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C068D">
      <w:pPr>
        <w:spacing w:before="120" w:beforeLines="50" w:after="120" w:afterLines="50"/>
        <w:rPr>
          <w:bCs w:val="0"/>
          <w:color w:val="000000" w:themeColor="text1"/>
          <w14:textFill>
            <w14:solidFill>
              <w14:schemeClr w14:val="tx1"/>
            </w14:solidFill>
          </w14:textFill>
        </w:rPr>
      </w:pPr>
      <w:bookmarkStart w:id="504" w:name="_GoBack"/>
      <w:bookmarkEnd w:id="504"/>
      <w:sdt>
        <w:sdtPr>
          <w:tag w:val="_PLD_e2023e93e9d5454698c56f4b7265ca56"/>
          <w:id w:val="147463786"/>
        </w:sdtPr>
        <w:sdtContent>
          <w:r>
            <w:rPr>
              <w:rFonts w:hint="eastAsia"/>
              <w:color w:val="000000" w:themeColor="text1"/>
              <w14:textFill>
                <w14:solidFill>
                  <w14:schemeClr w14:val="tx1"/>
                </w14:solidFill>
              </w14:textFill>
            </w:rPr>
            <w:t>公司代码：</w:t>
          </w:r>
        </w:sdtContent>
      </w:sdt>
      <w:sdt>
        <w:sdtPr>
          <w:rPr>
            <w:rFonts w:hint="eastAsia"/>
            <w:bCs w:val="0"/>
          </w:rPr>
          <w:alias w:val="公司代码"/>
          <w:tag w:val="_GBC_704b7b03ea3f4a93b8d4655a09b2ff61"/>
          <w:id w:val="147478965"/>
          <w:placeholder>
            <w:docPart w:val="GBC22222222222222222222222222222"/>
          </w:placeholder>
        </w:sdtPr>
        <w:sdtEndPr>
          <w:rPr>
            <w:rFonts w:hint="eastAsia"/>
            <w:bCs w:val="0"/>
          </w:rPr>
        </w:sdtEndPr>
        <w:sdtContent>
          <w:r>
            <w:rPr>
              <w:rFonts w:hint="eastAsia"/>
              <w:bCs w:val="0"/>
            </w:rPr>
            <w:t>601718</w:t>
          </w:r>
        </w:sdtContent>
      </w:sdt>
      <w:r>
        <w:rPr>
          <w:rFonts w:hint="eastAsia"/>
          <w:color w:val="000000" w:themeColor="text1"/>
          <w14:textFill>
            <w14:solidFill>
              <w14:schemeClr w14:val="tx1"/>
            </w14:solidFill>
          </w14:textFill>
        </w:rPr>
        <w:t xml:space="preserve">                      　　　　　　　　　　</w:t>
      </w:r>
      <w:sdt>
        <w:sdtPr>
          <w:tag w:val="_PLD_9cd7c9dfc1e1482cb001b3fad058a63c"/>
          <w:id w:val="147481154"/>
        </w:sdtPr>
        <w:sdtContent>
          <w:r>
            <w:rPr>
              <w:rFonts w:hint="eastAsia"/>
              <w:color w:val="000000" w:themeColor="text1"/>
              <w14:textFill>
                <w14:solidFill>
                  <w14:schemeClr w14:val="tx1"/>
                </w14:solidFill>
              </w14:textFill>
            </w:rPr>
            <w:t>公司简称：</w:t>
          </w:r>
        </w:sdtContent>
      </w:sdt>
      <w:sdt>
        <w:sdtPr>
          <w:rPr>
            <w:rFonts w:hint="eastAsia"/>
            <w:bCs w:val="0"/>
          </w:rPr>
          <w:alias w:val="公司简称"/>
          <w:tag w:val="_GBC_0384ae715a1e4b4894a29e4d27f5bef4"/>
          <w:id w:val="147470815"/>
          <w:placeholder>
            <w:docPart w:val="GBC22222222222222222222222222222"/>
          </w:placeholder>
        </w:sdtPr>
        <w:sdtEndPr>
          <w:rPr>
            <w:rFonts w:hint="eastAsia"/>
            <w:bCs w:val="0"/>
          </w:rPr>
        </w:sdtEndPr>
        <w:sdtContent>
          <w:r>
            <w:rPr>
              <w:rFonts w:hint="eastAsia"/>
              <w:bCs w:val="0"/>
            </w:rPr>
            <w:t>际华集团</w:t>
          </w:r>
        </w:sdtContent>
      </w:sdt>
    </w:p>
    <w:p w14:paraId="0A2CAC9D">
      <w:pPr>
        <w:rPr>
          <w:color w:val="000000" w:themeColor="text1"/>
          <w14:textFill>
            <w14:solidFill>
              <w14:schemeClr w14:val="tx1"/>
            </w14:solidFill>
          </w14:textFill>
        </w:rPr>
      </w:pPr>
    </w:p>
    <w:p w14:paraId="15614D7F">
      <w:pPr>
        <w:rPr>
          <w:color w:val="000000" w:themeColor="text1"/>
          <w14:textFill>
            <w14:solidFill>
              <w14:schemeClr w14:val="tx1"/>
            </w14:solidFill>
          </w14:textFill>
        </w:rPr>
      </w:pPr>
    </w:p>
    <w:p w14:paraId="7B6B1580">
      <w:pPr>
        <w:rPr>
          <w:color w:val="000000" w:themeColor="text1"/>
          <w14:textFill>
            <w14:solidFill>
              <w14:schemeClr w14:val="tx1"/>
            </w14:solidFill>
          </w14:textFill>
        </w:rPr>
      </w:pPr>
    </w:p>
    <w:p w14:paraId="2D058E34">
      <w:pPr>
        <w:rPr>
          <w:color w:val="000000" w:themeColor="text1"/>
          <w14:textFill>
            <w14:solidFill>
              <w14:schemeClr w14:val="tx1"/>
            </w14:solidFill>
          </w14:textFill>
        </w:rPr>
      </w:pPr>
    </w:p>
    <w:p w14:paraId="70EDECC9">
      <w:pPr>
        <w:rPr>
          <w:color w:val="000000" w:themeColor="text1"/>
          <w14:textFill>
            <w14:solidFill>
              <w14:schemeClr w14:val="tx1"/>
            </w14:solidFill>
          </w14:textFill>
        </w:rPr>
      </w:pPr>
    </w:p>
    <w:p w14:paraId="4CC77FA7">
      <w:pPr>
        <w:rPr>
          <w:color w:val="FF0000"/>
        </w:rPr>
      </w:pPr>
    </w:p>
    <w:p w14:paraId="1A1977F9">
      <w:pPr>
        <w:rPr>
          <w:color w:val="FF0000"/>
        </w:rPr>
      </w:pPr>
    </w:p>
    <w:p w14:paraId="3CAD9B90">
      <w:pPr>
        <w:jc w:val="center"/>
        <w:rPr>
          <w:rFonts w:ascii="黑体" w:hAnsi="黑体" w:eastAsia="黑体"/>
          <w:b/>
          <w:bCs w:val="0"/>
          <w:color w:val="FF0000"/>
          <w:sz w:val="44"/>
          <w:szCs w:val="44"/>
        </w:rPr>
      </w:pPr>
      <w:sdt>
        <w:sdtPr>
          <w:rPr>
            <w:rFonts w:hint="eastAsia" w:ascii="黑体" w:hAnsi="黑体" w:eastAsia="黑体"/>
            <w:b/>
            <w:bCs w:val="0"/>
            <w:color w:val="FF0000"/>
            <w:sz w:val="44"/>
            <w:szCs w:val="44"/>
          </w:rPr>
          <w:alias w:val="公司法定中文名称"/>
          <w:tag w:val="_GBC_ef279e32efc14c6bb521c62ff1f265ba"/>
          <w:id w:val="147471757"/>
          <w:placeholder>
            <w:docPart w:val="GBC22222222222222222222222222222"/>
          </w:placeholder>
          <w:dataBinding w:prefixMappings="xmlns:clcid-cgi='clcid-cgi'" w:xpath="/*/clcid-cgi:GongSiFaDingZhongWenMingCheng[not(@periodRef)]" w:storeItemID="{89EBAB94-44A0-46A2-B712-30D997D04A6D}"/>
          <w:text/>
        </w:sdtPr>
        <w:sdtEndPr>
          <w:rPr>
            <w:rFonts w:hint="eastAsia" w:ascii="黑体" w:hAnsi="黑体" w:eastAsia="黑体"/>
            <w:b/>
            <w:bCs w:val="0"/>
            <w:color w:val="FF0000"/>
            <w:sz w:val="44"/>
            <w:szCs w:val="44"/>
          </w:rPr>
        </w:sdtEndPr>
        <w:sdtContent>
          <w:r>
            <w:rPr>
              <w:rFonts w:hint="eastAsia" w:ascii="黑体" w:hAnsi="黑体" w:eastAsia="黑体"/>
              <w:b/>
              <w:bCs w:val="0"/>
              <w:color w:val="FF0000"/>
              <w:sz w:val="44"/>
              <w:szCs w:val="44"/>
            </w:rPr>
            <w:t>际华集团股份有限公司</w:t>
          </w:r>
        </w:sdtContent>
      </w:sdt>
    </w:p>
    <w:p w14:paraId="7BEC8931">
      <w:pPr>
        <w:jc w:val="center"/>
        <w:rPr>
          <w:rFonts w:ascii="黑体" w:hAnsi="黑体" w:eastAsia="黑体"/>
          <w:b/>
          <w:bCs w:val="0"/>
          <w:color w:val="FF0000"/>
          <w:sz w:val="44"/>
          <w:szCs w:val="44"/>
        </w:rPr>
      </w:pPr>
      <w:r>
        <w:rPr>
          <w:rFonts w:ascii="黑体" w:hAnsi="黑体" w:eastAsia="黑体"/>
          <w:b/>
          <w:color w:val="FF0000"/>
          <w:sz w:val="44"/>
          <w:szCs w:val="44"/>
        </w:rPr>
        <w:t>2025年</w:t>
      </w:r>
      <w:r>
        <w:rPr>
          <w:rFonts w:hint="eastAsia" w:ascii="黑体" w:hAnsi="黑体" w:eastAsia="黑体"/>
          <w:b/>
          <w:color w:val="FF0000"/>
          <w:sz w:val="44"/>
          <w:szCs w:val="44"/>
        </w:rPr>
        <w:t>半年度报告</w:t>
      </w:r>
    </w:p>
    <w:p w14:paraId="34B9A40C">
      <w:pPr>
        <w:rPr>
          <w:color w:val="FF0000"/>
        </w:rPr>
      </w:pPr>
    </w:p>
    <w:p w14:paraId="47AB846F">
      <w:pPr>
        <w:rPr>
          <w:color w:val="FF0000"/>
        </w:rPr>
      </w:pPr>
    </w:p>
    <w:p w14:paraId="347ACD87">
      <w:pPr>
        <w:rPr>
          <w:color w:val="000000" w:themeColor="text1"/>
          <w14:textFill>
            <w14:solidFill>
              <w14:schemeClr w14:val="tx1"/>
            </w14:solidFill>
          </w14:textFill>
        </w:rPr>
      </w:pPr>
    </w:p>
    <w:p w14:paraId="719054F5">
      <w:pPr>
        <w:rPr>
          <w:color w:val="000000" w:themeColor="text1"/>
          <w14:textFill>
            <w14:solidFill>
              <w14:schemeClr w14:val="tx1"/>
            </w14:solidFill>
          </w14:textFill>
        </w:rPr>
      </w:pPr>
    </w:p>
    <w:p w14:paraId="652DAD12">
      <w:pPr>
        <w:rPr>
          <w:color w:val="000000" w:themeColor="text1"/>
          <w14:textFill>
            <w14:solidFill>
              <w14:schemeClr w14:val="tx1"/>
            </w14:solidFill>
          </w14:textFill>
        </w:rPr>
      </w:pPr>
    </w:p>
    <w:p w14:paraId="43C60CEB">
      <w:pPr>
        <w:rPr>
          <w:color w:val="000000" w:themeColor="text1"/>
          <w14:textFill>
            <w14:solidFill>
              <w14:schemeClr w14:val="tx1"/>
            </w14:solidFill>
          </w14:textFill>
        </w:rPr>
      </w:pPr>
    </w:p>
    <w:p w14:paraId="5828A7F5">
      <w:pPr>
        <w:rPr>
          <w:color w:val="000000" w:themeColor="text1"/>
          <w14:textFill>
            <w14:solidFill>
              <w14:schemeClr w14:val="tx1"/>
            </w14:solidFill>
          </w14:textFill>
        </w:rPr>
      </w:pPr>
    </w:p>
    <w:p w14:paraId="25A8B875">
      <w:pPr>
        <w:rPr>
          <w:color w:val="000000" w:themeColor="text1"/>
          <w14:textFill>
            <w14:solidFill>
              <w14:schemeClr w14:val="tx1"/>
            </w14:solidFill>
          </w14:textFill>
        </w:rPr>
      </w:pPr>
      <w:r>
        <w:rPr>
          <w:color w:val="000000" w:themeColor="text1"/>
          <w14:textFill>
            <w14:solidFill>
              <w14:schemeClr w14:val="tx1"/>
            </w14:solidFill>
          </w14:textFill>
        </w:rPr>
        <w:br w:type="page"/>
      </w:r>
    </w:p>
    <w:sdt>
      <w:sdtPr>
        <w:tag w:val="_PLD_845fa8b330524542a31e33dd31c44bb8"/>
        <w:id w:val="147470337"/>
      </w:sdtPr>
      <w:sdtContent>
        <w:p w14:paraId="4DBAF2F5">
          <w:pPr>
            <w:pStyle w:val="33"/>
            <w:spacing w:after="280" w:afterAutospacing="0"/>
            <w:jc w:val="center"/>
            <w:rPr>
              <w:b/>
              <w:bCs w:val="0"/>
              <w:color w:val="000000" w:themeColor="text1"/>
              <w:sz w:val="28"/>
              <w:szCs w:val="28"/>
              <w14:textFill>
                <w14:solidFill>
                  <w14:schemeClr w14:val="tx1"/>
                </w14:solidFill>
              </w14:textFill>
            </w:rPr>
          </w:pPr>
          <w:bookmarkStart w:id="0" w:name="_Toc387656034"/>
          <w:r>
            <w:rPr>
              <w:rFonts w:hint="eastAsia"/>
              <w:b/>
              <w:color w:val="000000" w:themeColor="text1"/>
              <w:sz w:val="28"/>
              <w:szCs w:val="28"/>
              <w14:textFill>
                <w14:solidFill>
                  <w14:schemeClr w14:val="tx1"/>
                </w14:solidFill>
              </w14:textFill>
            </w:rPr>
            <w:t>重要提示</w:t>
          </w:r>
        </w:p>
      </w:sdtContent>
    </w:sdt>
    <w:bookmarkEnd w:id="0"/>
    <w:sdt>
      <w:sdtPr>
        <w:rPr>
          <w:rFonts w:hint="eastAsia" w:ascii="宋体" w:hAnsi="宋体"/>
          <w:color w:val="000000" w:themeColor="text1"/>
          <w14:textFill>
            <w14:solidFill>
              <w14:schemeClr w14:val="tx1"/>
            </w14:solidFill>
          </w14:textFill>
        </w:rPr>
        <w:alias w:val="董事会及董事声明"/>
        <w:tag w:val="_GBC_6c6da163383e4e4c92758ff24076a138"/>
        <w:id w:val="147464938"/>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14:paraId="21E021DB">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本公司董事会</w:t>
          </w:r>
          <w:sdt>
            <w:sdtPr>
              <w:tag w:val="_PLD_3ca0b65202324648991e5b6f01a8fade"/>
              <w:id w:val="147455473"/>
            </w:sdtPr>
            <w:sdtContent>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监事</w:t>
              </w:r>
              <w:r>
                <w:rPr>
                  <w:rFonts w:hint="eastAsia" w:ascii="宋体" w:hAnsi="宋体" w:cs="宋体"/>
                  <w:color w:val="000000" w:themeColor="text1"/>
                  <w14:textFill>
                    <w14:solidFill>
                      <w14:schemeClr w14:val="tx1"/>
                    </w14:solidFill>
                  </w14:textFill>
                </w:rPr>
                <w:t>会</w:t>
              </w:r>
            </w:sdtContent>
          </w:sdt>
          <w:r>
            <w:rPr>
              <w:rFonts w:ascii="宋体" w:hAnsi="宋体" w:cs="宋体"/>
              <w:color w:val="000000" w:themeColor="text1"/>
              <w14:textFill>
                <w14:solidFill>
                  <w14:schemeClr w14:val="tx1"/>
                </w14:solidFill>
              </w14:textFill>
            </w:rPr>
            <w:t>及董事</w:t>
          </w:r>
          <w:sdt>
            <w:sdtPr>
              <w:tag w:val="_PLD_e24810e6950c4ac89d613277aed2bed8"/>
              <w:id w:val="147471611"/>
            </w:sdtPr>
            <w:sdtContent>
              <w:r>
                <w:rPr>
                  <w:rFonts w:ascii="宋体" w:hAnsi="宋体" w:cs="宋体"/>
                  <w:color w:val="000000" w:themeColor="text1"/>
                  <w14:textFill>
                    <w14:solidFill>
                      <w14:schemeClr w14:val="tx1"/>
                    </w14:solidFill>
                  </w14:textFill>
                </w:rPr>
                <w:t>、监事</w:t>
              </w:r>
            </w:sdtContent>
          </w:sdt>
          <w:r>
            <w:rPr>
              <w:rFonts w:ascii="宋体" w:hAnsi="宋体" w:cs="宋体"/>
              <w:color w:val="000000" w:themeColor="text1"/>
              <w14:textFill>
                <w14:solidFill>
                  <w14:schemeClr w14:val="tx1"/>
                </w14:solidFill>
              </w14:textFill>
            </w:rPr>
            <w:t>、高级管理人员保证</w:t>
          </w:r>
          <w:r>
            <w:rPr>
              <w:rFonts w:hint="eastAsia" w:ascii="宋体" w:hAnsi="宋体" w:cs="宋体"/>
              <w:color w:val="000000" w:themeColor="text1"/>
              <w14:textFill>
                <w14:solidFill>
                  <w14:schemeClr w14:val="tx1"/>
                </w14:solidFill>
              </w14:textFill>
            </w:rPr>
            <w:t>半</w:t>
          </w:r>
          <w:r>
            <w:rPr>
              <w:rFonts w:ascii="宋体" w:hAnsi="宋体" w:cs="宋体"/>
              <w:color w:val="000000" w:themeColor="text1"/>
              <w14:textFill>
                <w14:solidFill>
                  <w14:schemeClr w14:val="tx1"/>
                </w14:solidFill>
              </w14:textFill>
            </w:rPr>
            <w:t>年度报告内容的真实</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、准确</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、完整</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，不存在虚假记载、误导性陈述或重大遗漏，并承担个别和连带的法律责任。</w:t>
          </w:r>
        </w:p>
      </w:sdtContent>
    </w:sdt>
    <w:p w14:paraId="42AB4E0F">
      <w:pPr>
        <w:pStyle w:val="55"/>
      </w:pPr>
    </w:p>
    <w:p w14:paraId="05FD73DA">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bookmarkStart w:id="1" w:name="_Hlk106871957"/>
      <w:bookmarkEnd w:id="1"/>
      <w:r>
        <w:rPr>
          <w:rFonts w:ascii="宋体" w:hAnsi="宋体" w:cs="宋体"/>
          <w:color w:val="000000" w:themeColor="text1"/>
          <w14:textFill>
            <w14:solidFill>
              <w14:schemeClr w14:val="tx1"/>
            </w14:solidFill>
          </w14:textFill>
        </w:rPr>
        <w:t>公司</w:t>
      </w:r>
      <w:sdt>
        <w:sdtPr>
          <w:tag w:val="_GBC_2e0ee33ebae04a83b92e8b1aa6754169"/>
          <w:id w:val="147466313"/>
        </w:sdtPr>
        <w:sdtContent>
          <w:r>
            <w:rPr>
              <w:rFonts w:ascii="宋体" w:hAnsi="宋体" w:cs="宋体"/>
              <w:color w:val="000000" w:themeColor="text1"/>
              <w14:textFill>
                <w14:solidFill>
                  <w14:schemeClr w14:val="tx1"/>
                </w14:solidFill>
              </w14:textFill>
            </w:rPr>
            <w:t>全体董事出席</w:t>
          </w:r>
        </w:sdtContent>
      </w:sdt>
      <w:r>
        <w:rPr>
          <w:rFonts w:ascii="宋体" w:hAnsi="宋体" w:cs="宋体"/>
          <w:color w:val="000000" w:themeColor="text1"/>
          <w14:textFill>
            <w14:solidFill>
              <w14:schemeClr w14:val="tx1"/>
            </w14:solidFill>
          </w14:textFill>
        </w:rPr>
        <w:t>董事会会议。</w:t>
      </w:r>
    </w:p>
    <w:p w14:paraId="11A390A5">
      <w:pPr>
        <w:rPr>
          <w:color w:val="000000" w:themeColor="text1"/>
          <w14:textFill>
            <w14:solidFill>
              <w14:schemeClr w14:val="tx1"/>
            </w14:solidFill>
          </w14:textFill>
        </w:rPr>
      </w:pPr>
    </w:p>
    <w:p w14:paraId="033736CD">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本半年度报告</w:t>
      </w:r>
      <w:sdt>
        <w:sdtPr>
          <w:tag w:val="_GBC_be15b7a71d95430e82193d4cab461623"/>
          <w:id w:val="147476919"/>
        </w:sdtPr>
        <w:sdtContent>
          <w:r>
            <w:rPr>
              <w:rFonts w:ascii="宋体" w:hAnsi="宋体" w:cs="宋体"/>
              <w:color w:val="000000" w:themeColor="text1"/>
              <w14:textFill>
                <w14:solidFill>
                  <w14:schemeClr w14:val="tx1"/>
                </w14:solidFill>
              </w14:textFill>
            </w:rPr>
            <w:t>未经审计</w:t>
          </w:r>
        </w:sdtContent>
      </w:sdt>
      <w:r>
        <w:rPr>
          <w:rFonts w:ascii="宋体" w:hAnsi="宋体" w:cs="宋体"/>
          <w:color w:val="000000" w:themeColor="text1"/>
          <w14:textFill>
            <w14:solidFill>
              <w14:schemeClr w14:val="tx1"/>
            </w14:solidFill>
          </w14:textFill>
        </w:rPr>
        <w:t>。</w:t>
      </w:r>
    </w:p>
    <w:p w14:paraId="03D6E2AD">
      <w:pPr>
        <w:rPr>
          <w:color w:val="000000" w:themeColor="text1"/>
          <w14:textFill>
            <w14:solidFill>
              <w14:schemeClr w14:val="tx1"/>
            </w14:solidFill>
          </w14:textFill>
        </w:rPr>
      </w:pPr>
    </w:p>
    <w:p w14:paraId="45B31B01">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董事会决议通过的本报告期利润分配预案或公积金转增股本预案</w:t>
      </w:r>
    </w:p>
    <w:sdt>
      <w:sdtPr>
        <w:rPr>
          <w:rFonts w:hint="eastAsia"/>
          <w:color w:val="000000" w:themeColor="text1"/>
          <w14:textFill>
            <w14:solidFill>
              <w14:schemeClr w14:val="tx1"/>
            </w14:solidFill>
          </w14:textFill>
        </w:rPr>
        <w:alias w:val="经董事会审议的报告期利润分配预案或公积金转增股本预案"/>
        <w:tag w:val="_GBC_7676626d447143468bebcc8d267ec746"/>
        <w:id w:val="147475358"/>
        <w:placeholder>
          <w:docPart w:val="GBC22222222222222222222222222222"/>
        </w:placeholder>
      </w:sdtPr>
      <w:sdtEndPr>
        <w:rPr>
          <w:rFonts w:hint="eastAsia"/>
          <w:color w:val="000000" w:themeColor="text1"/>
          <w14:textFill>
            <w14:solidFill>
              <w14:schemeClr w14:val="tx1"/>
            </w14:solidFill>
          </w14:textFill>
        </w:rPr>
      </w:sdtEndPr>
      <w:sdtContent>
        <w:p w14:paraId="6494A701">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CBF3529">
      <w:pPr>
        <w:kinsoku w:val="0"/>
        <w:overflowPunct w:val="0"/>
        <w:autoSpaceDE w:val="0"/>
        <w:autoSpaceDN w:val="0"/>
        <w:adjustRightInd w:val="0"/>
        <w:snapToGrid w:val="0"/>
        <w:spacing w:line="360" w:lineRule="exact"/>
        <w:rPr>
          <w:color w:val="000000" w:themeColor="text1"/>
          <w14:textFill>
            <w14:solidFill>
              <w14:schemeClr w14:val="tx1"/>
            </w14:solidFill>
          </w14:textFill>
        </w:rPr>
      </w:pPr>
    </w:p>
    <w:p w14:paraId="798C1FCA">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前瞻性陈述的风险声明</w:t>
      </w:r>
    </w:p>
    <w:sdt>
      <w:sdtPr>
        <w:rPr>
          <w:color w:val="000000" w:themeColor="text1"/>
          <w14:textFill>
            <w14:solidFill>
              <w14:schemeClr w14:val="tx1"/>
            </w14:solidFill>
          </w14:textFill>
        </w:rPr>
        <w:alias w:val="是否适用：前瞻性陈述的风险声明[双击切换]"/>
        <w:tag w:val="_GBC_6a28949332914149bda7cc0225d614b7"/>
        <w:id w:val="147477223"/>
        <w:placeholder>
          <w:docPart w:val="GBC22222222222222222222222222222"/>
        </w:placeholder>
      </w:sdtPr>
      <w:sdtEndPr>
        <w:rPr>
          <w:color w:val="000000" w:themeColor="text1"/>
          <w14:textFill>
            <w14:solidFill>
              <w14:schemeClr w14:val="tx1"/>
            </w14:solidFill>
          </w14:textFill>
        </w:rPr>
      </w:sdtEndPr>
      <w:sdtContent>
        <w:p w14:paraId="211BA85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公司对报告涉及未来计划等前瞻性陈述的声明"/>
        <w:tag w:val="_GBC_6511b5aecc604062ad93b5fbd25fd19b"/>
        <w:id w:val="147461985"/>
        <w:placeholder>
          <w:docPart w:val="GBC22222222222222222222222222222"/>
        </w:placeholder>
      </w:sdtPr>
      <w:sdtEndPr>
        <w:rPr>
          <w:rFonts w:hint="eastAsia"/>
          <w:color w:val="000000" w:themeColor="text1"/>
          <w14:textFill>
            <w14:solidFill>
              <w14:schemeClr w14:val="tx1"/>
            </w14:solidFill>
          </w14:textFill>
        </w:rPr>
      </w:sdtEndPr>
      <w:sdtContent>
        <w:p w14:paraId="69BBB6D9">
          <w:pPr>
            <w:kinsoku w:val="0"/>
            <w:overflowPunct w:val="0"/>
            <w:autoSpaceDE w:val="0"/>
            <w:autoSpaceDN w:val="0"/>
            <w:adjustRightInd w:val="0"/>
            <w:snapToGrid w:val="0"/>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本报告中所涉及的未来计划、发展战略等前瞻性描述不构成公司对投资者的实质承诺，敬请 </w:t>
          </w:r>
        </w:p>
        <w:p w14:paraId="1E5BB6FE">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投资者注意投资风险。</w:t>
          </w:r>
        </w:p>
      </w:sdtContent>
    </w:sdt>
    <w:p w14:paraId="5EDCA752">
      <w:pPr>
        <w:kinsoku w:val="0"/>
        <w:overflowPunct w:val="0"/>
        <w:autoSpaceDE w:val="0"/>
        <w:autoSpaceDN w:val="0"/>
        <w:adjustRightInd w:val="0"/>
        <w:snapToGrid w:val="0"/>
        <w:spacing w:line="360" w:lineRule="exact"/>
        <w:rPr>
          <w:color w:val="000000" w:themeColor="text1"/>
          <w14:textFill>
            <w14:solidFill>
              <w14:schemeClr w14:val="tx1"/>
            </w14:solidFill>
          </w14:textFill>
        </w:rPr>
      </w:pPr>
    </w:p>
    <w:p w14:paraId="57A09D68">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是否存在被控股股东及其他关联方非经营性占用资金情况</w:t>
      </w:r>
    </w:p>
    <w:sdt>
      <w:sdtPr>
        <w:rPr>
          <w:rFonts w:hint="eastAsia"/>
          <w:bCs w:val="0"/>
          <w:color w:val="000000" w:themeColor="text1"/>
          <w14:textFill>
            <w14:solidFill>
              <w14:schemeClr w14:val="tx1"/>
            </w14:solidFill>
          </w14:textFill>
        </w:rPr>
        <w:alias w:val="本公司是否存在大股东占用资金情况"/>
        <w:tag w:val="_GBC_a32400ff33ee44d89632e0d79a7f2c42"/>
        <w:id w:val="147476227"/>
        <w:placeholder>
          <w:docPart w:val="GBC22222222222222222222222222222"/>
        </w:placeholder>
        <w:comboBox>
          <w:listItem w:displayText="是" w:value="true"/>
          <w:listItem w:displayText="否" w:value="false"/>
        </w:comboBox>
      </w:sdtPr>
      <w:sdtEndPr>
        <w:rPr>
          <w:rFonts w:hint="eastAsia"/>
          <w:bCs w:val="0"/>
          <w:color w:val="000000" w:themeColor="text1"/>
          <w14:textFill>
            <w14:solidFill>
              <w14:schemeClr w14:val="tx1"/>
            </w14:solidFill>
          </w14:textFill>
        </w:rPr>
      </w:sdtEndPr>
      <w:sdtContent>
        <w:p w14:paraId="016A41DB">
          <w:pPr>
            <w:kinsoku w:val="0"/>
            <w:overflowPunct w:val="0"/>
            <w:autoSpaceDE w:val="0"/>
            <w:autoSpaceDN w:val="0"/>
            <w:adjustRightInd w:val="0"/>
            <w:snapToGrid w:val="0"/>
            <w:spacing w:line="360" w:lineRule="exact"/>
            <w:rPr>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否</w:t>
          </w:r>
        </w:p>
      </w:sdtContent>
    </w:sdt>
    <w:p w14:paraId="08D1B165">
      <w:pPr>
        <w:kinsoku w:val="0"/>
        <w:overflowPunct w:val="0"/>
        <w:autoSpaceDE w:val="0"/>
        <w:autoSpaceDN w:val="0"/>
        <w:adjustRightInd w:val="0"/>
        <w:snapToGrid w:val="0"/>
        <w:spacing w:line="360" w:lineRule="exact"/>
        <w:rPr>
          <w:color w:val="000000" w:themeColor="text1"/>
          <w:shd w:val="pct10" w:color="auto" w:fill="FFFFFF"/>
          <w14:textFill>
            <w14:solidFill>
              <w14:schemeClr w14:val="tx1"/>
            </w14:solidFill>
          </w14:textFill>
        </w:rPr>
      </w:pPr>
    </w:p>
    <w:p w14:paraId="61008206">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是否存在违反规定决策程序对外提供担保的情况</w:t>
      </w:r>
    </w:p>
    <w:sdt>
      <w:sdtPr>
        <w:rPr>
          <w:rFonts w:hint="eastAsia"/>
          <w:color w:val="000000" w:themeColor="text1"/>
          <w14:textFill>
            <w14:solidFill>
              <w14:schemeClr w14:val="tx1"/>
            </w14:solidFill>
          </w14:textFill>
        </w:rPr>
        <w:alias w:val="本公司是否存在违反规定决策程序对外提供担保的情况"/>
        <w:tag w:val="_GBC_3bc3f02bd342494aa2858bb9a39d8458"/>
        <w:id w:val="147463360"/>
        <w:placeholder>
          <w:docPart w:val="GBC22222222222222222222222222222"/>
        </w:placeholder>
        <w:comboBox>
          <w:listItem w:displayText="是" w:value="true"/>
          <w:listItem w:displayText="否" w:value="false"/>
        </w:comboBox>
      </w:sdtPr>
      <w:sdtEndPr>
        <w:rPr>
          <w:rFonts w:hint="eastAsia"/>
          <w:color w:val="000000" w:themeColor="text1"/>
          <w14:textFill>
            <w14:solidFill>
              <w14:schemeClr w14:val="tx1"/>
            </w14:solidFill>
          </w14:textFill>
        </w:rPr>
      </w:sdtEndPr>
      <w:sdtContent>
        <w:p w14:paraId="7E4021D9">
          <w:pPr>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sdtContent>
    </w:sdt>
    <w:p w14:paraId="5C16EB4E">
      <w:pPr>
        <w:rPr>
          <w:color w:val="000000" w:themeColor="text1"/>
          <w14:textFill>
            <w14:solidFill>
              <w14:schemeClr w14:val="tx1"/>
            </w14:solidFill>
          </w14:textFill>
        </w:rPr>
      </w:pPr>
    </w:p>
    <w:p w14:paraId="1E3643BF">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公司负责人</w:t>
      </w:r>
      <w:bookmarkStart w:id="2" w:name="OLE_LINK1"/>
      <w:sdt>
        <w:sdtPr>
          <w:rPr>
            <w:rFonts w:hint="eastAsia" w:ascii="宋体" w:hAnsi="宋体"/>
            <w:color w:val="000000" w:themeColor="text1"/>
            <w14:textFill>
              <w14:solidFill>
                <w14:schemeClr w14:val="tx1"/>
              </w14:solidFill>
            </w14:textFill>
          </w:rPr>
          <w:alias w:val="公司负责人姓名"/>
          <w:tag w:val="_GBC_ee6b72f666bb497bbe8fc037096654d2"/>
          <w:id w:val="147458606"/>
          <w:placeholder>
            <w:docPart w:val="GBC22222222222222222222222222222"/>
          </w:placeholder>
          <w:dataBinding w:prefixMappings="xmlns:clcid-mr='clcid-mr'" w:xpath="/*/clcid-mr:GongSi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夏前军</w:t>
          </w:r>
        </w:sdtContent>
      </w:sdt>
      <w:bookmarkEnd w:id="2"/>
      <w:r>
        <w:rPr>
          <w:rFonts w:ascii="宋体" w:hAnsi="宋体" w:cs="宋体"/>
          <w:color w:val="000000" w:themeColor="text1"/>
          <w14:textFill>
            <w14:solidFill>
              <w14:schemeClr w14:val="tx1"/>
            </w14:solidFill>
          </w14:textFill>
        </w:rPr>
        <w:t>、主管会计工作负责人</w:t>
      </w:r>
      <w:sdt>
        <w:sdtPr>
          <w:rPr>
            <w:rFonts w:hint="eastAsia" w:ascii="宋体" w:hAnsi="宋体"/>
            <w:color w:val="000000" w:themeColor="text1"/>
            <w14:textFill>
              <w14:solidFill>
                <w14:schemeClr w14:val="tx1"/>
              </w14:solidFill>
            </w14:textFill>
          </w:rPr>
          <w:alias w:val="主管会计工作负责人姓名"/>
          <w:tag w:val="_GBC_51ed55c6ff134dadaa6756998c964cdf"/>
          <w:id w:val="147480646"/>
          <w:placeholder>
            <w:docPart w:val="GBC22222222222222222222222222222"/>
          </w:placeholder>
          <w:dataBinding w:prefixMappings="xmlns:clcid-mr='clcid-mr'" w:xpath="/*/clcid-mr:ZhuGuanKuaiJiGongZuo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刘改平</w:t>
          </w:r>
        </w:sdtContent>
      </w:sdt>
      <w:r>
        <w:rPr>
          <w:rFonts w:ascii="宋体" w:hAnsi="宋体" w:cs="宋体"/>
          <w:color w:val="000000" w:themeColor="text1"/>
          <w14:textFill>
            <w14:solidFill>
              <w14:schemeClr w14:val="tx1"/>
            </w14:solidFill>
          </w14:textFill>
        </w:rPr>
        <w:t>及会计机构负责人（会计主管人员）</w:t>
      </w:r>
      <w:sdt>
        <w:sdtPr>
          <w:rPr>
            <w:rFonts w:hint="eastAsia" w:ascii="宋体" w:hAnsi="宋体"/>
            <w:color w:val="000000" w:themeColor="text1"/>
            <w14:textFill>
              <w14:solidFill>
                <w14:schemeClr w14:val="tx1"/>
              </w14:solidFill>
            </w14:textFill>
          </w:rPr>
          <w:alias w:val="会计机构负责人姓名"/>
          <w:tag w:val="_GBC_aa7d9e44d6e64b9abdcdefb4a3968427"/>
          <w:id w:val="147479527"/>
          <w:placeholder>
            <w:docPart w:val="GBC22222222222222222222222222222"/>
          </w:placeholder>
          <w:dataBinding w:prefixMappings="xmlns:clcid-mr='clcid-mr'" w:xpath="/*/clcid-mr:KuaiJiJiGouFuZeRenXingMing[not(@periodRef)]" w:storeItemID="{89EBAB94-44A0-46A2-B712-30D997D04A6D}"/>
          <w:text/>
        </w:sdtPr>
        <w:sdtEndPr>
          <w:rPr>
            <w:rFonts w:hint="eastAsia"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冯晓</w:t>
          </w:r>
        </w:sdtContent>
      </w:sdt>
      <w:r>
        <w:rPr>
          <w:rFonts w:ascii="宋体" w:hAnsi="宋体" w:cs="宋体"/>
          <w:color w:val="000000" w:themeColor="text1"/>
          <w14:textFill>
            <w14:solidFill>
              <w14:schemeClr w14:val="tx1"/>
            </w14:solidFill>
          </w14:textFill>
        </w:rPr>
        <w:t>声明：保证半年度报告中财务报告的真实、准确、完整。</w:t>
      </w:r>
    </w:p>
    <w:p w14:paraId="42EA42CF">
      <w:pPr>
        <w:rPr>
          <w:color w:val="000000" w:themeColor="text1"/>
          <w14:textFill>
            <w14:solidFill>
              <w14:schemeClr w14:val="tx1"/>
            </w14:solidFill>
          </w14:textFill>
        </w:rPr>
      </w:pPr>
    </w:p>
    <w:p w14:paraId="00751D9B">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bookmarkStart w:id="3" w:name="_Hlk61881950"/>
      <w:bookmarkStart w:id="4" w:name="_Hlk72769553"/>
      <w:r>
        <w:rPr>
          <w:rFonts w:ascii="宋体" w:hAnsi="宋体" w:cs="宋体"/>
          <w:color w:val="000000" w:themeColor="text1"/>
          <w14:textFill>
            <w14:solidFill>
              <w14:schemeClr w14:val="tx1"/>
            </w14:solidFill>
          </w14:textFill>
        </w:rPr>
        <w:t>是否存在半数以上董事无法保证公司所披露半年度报告的真实性、准确性和完整性</w:t>
      </w:r>
      <w:bookmarkEnd w:id="3"/>
    </w:p>
    <w:sdt>
      <w:sdtPr>
        <w:rPr>
          <w:rFonts w:hint="eastAsia"/>
          <w:color w:val="000000" w:themeColor="text1"/>
          <w14:textFill>
            <w14:solidFill>
              <w14:schemeClr w14:val="tx1"/>
            </w14:solidFill>
          </w14:textFill>
        </w:rPr>
        <w:alias w:val="是否存在半数以上董事无法保证公司所披露年度报告的真实性、准确性和完整性"/>
        <w:tag w:val="_GBC_016ca2a0d8c2429a89679ee7fdc015c2"/>
        <w:id w:val="147465246"/>
        <w:lock w:val="sdtLocked"/>
        <w:placeholder>
          <w:docPart w:val="GBC22222222222222222222222222222"/>
        </w:placeholder>
        <w:comboBox>
          <w:listItem w:displayText="是" w:value="true"/>
          <w:listItem w:displayText="否" w:value="false"/>
        </w:comboBox>
      </w:sdtPr>
      <w:sdtEndPr>
        <w:rPr>
          <w:rFonts w:hint="eastAsia"/>
          <w:color w:val="000000" w:themeColor="text1"/>
          <w14:textFill>
            <w14:solidFill>
              <w14:schemeClr w14:val="tx1"/>
            </w14:solidFill>
          </w14:textFill>
        </w:rPr>
      </w:sdtEndPr>
      <w:sdtContent>
        <w:p w14:paraId="277B4BD8">
          <w:pPr>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sdtContent>
    </w:sdt>
    <w:p w14:paraId="186727FB">
      <w:pPr>
        <w:rPr>
          <w:color w:val="000000" w:themeColor="text1"/>
          <w14:textFill>
            <w14:solidFill>
              <w14:schemeClr w14:val="tx1"/>
            </w14:solidFill>
          </w14:textFill>
        </w:rPr>
      </w:pPr>
    </w:p>
    <w:bookmarkEnd w:id="4"/>
    <w:p w14:paraId="3167B193">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重大风险提示</w:t>
      </w:r>
    </w:p>
    <w:sdt>
      <w:sdtPr>
        <w:rPr>
          <w:rFonts w:hint="eastAsia"/>
        </w:rPr>
        <w:alias w:val="重大风险提示"/>
        <w:tag w:val="_GBC_d0220f8592e64dd1b898937e183da1e3"/>
        <w:id w:val="147471286"/>
        <w:placeholder>
          <w:docPart w:val="GBC22222222222222222222222222222"/>
        </w:placeholder>
      </w:sdtPr>
      <w:sdtEndPr>
        <w:rPr>
          <w:rFonts w:hint="eastAsia"/>
        </w:rPr>
      </w:sdtEndPr>
      <w:sdtContent>
        <w:p w14:paraId="75A33F2B">
          <w:pPr>
            <w:ind w:firstLine="420" w:firstLineChars="200"/>
          </w:pPr>
          <w:r>
            <w:rPr>
              <w:rFonts w:hint="eastAsia"/>
            </w:rPr>
            <w:t>公司有关风险因素内容与对策措施已在本报告中“第三节管理层讨论与分析”之“五、其他</w:t>
          </w:r>
        </w:p>
        <w:p w14:paraId="79ED3487">
          <w:r>
            <w:rPr>
              <w:rFonts w:hint="eastAsia"/>
            </w:rPr>
            <w:t>披露事项 ”之“(一)可能面对的风险”部分予以详细描述，敬请查阅相关内容。</w:t>
          </w:r>
        </w:p>
      </w:sdtContent>
    </w:sdt>
    <w:p w14:paraId="6C003D58"/>
    <w:p w14:paraId="5D863DE8">
      <w:pPr>
        <w:pStyle w:val="3"/>
        <w:numPr>
          <w:ilvl w:val="0"/>
          <w:numId w:val="2"/>
        </w:numPr>
        <w:tabs>
          <w:tab w:val="left" w:pos="434"/>
        </w:tabs>
        <w:spacing w:before="0" w:after="0" w:line="360" w:lineRule="auto"/>
        <w:ind w:left="0" w:firstLine="0"/>
        <w:rPr>
          <w:rFonts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其他</w:t>
      </w:r>
    </w:p>
    <w:sdt>
      <w:sdtPr>
        <w:alias w:val="是否适用：其他重要提示[双击切换]"/>
        <w:tag w:val="_GBC_3a91363d913942688077b069148debc5"/>
        <w:id w:val="147455876"/>
        <w:placeholder>
          <w:docPart w:val="GBC22222222222222222222222222222"/>
        </w:placeholder>
      </w:sdtPr>
      <w:sdtContent>
        <w:p w14:paraId="56B05634">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3F8B042F">
      <w:pPr>
        <w:rPr>
          <w:color w:val="000000" w:themeColor="text1"/>
          <w14:textFill>
            <w14:solidFill>
              <w14:schemeClr w14:val="tx1"/>
            </w14:solidFill>
          </w14:textFill>
        </w:rPr>
      </w:pPr>
    </w:p>
    <w:p w14:paraId="52933F9E">
      <w:pPr>
        <w:rPr>
          <w:color w:val="000000" w:themeColor="text1"/>
          <w14:textFill>
            <w14:solidFill>
              <w14:schemeClr w14:val="tx1"/>
            </w14:solidFill>
          </w14:textFill>
        </w:rPr>
      </w:pPr>
    </w:p>
    <w:p w14:paraId="68FE8F8D">
      <w:pPr>
        <w:rPr>
          <w:color w:val="000000" w:themeColor="text1"/>
          <w14:textFill>
            <w14:solidFill>
              <w14:schemeClr w14:val="tx1"/>
            </w14:solidFill>
          </w14:textFill>
        </w:rPr>
        <w:sectPr>
          <w:headerReference r:id="rId3" w:type="default"/>
          <w:footerReference r:id="rId4" w:type="default"/>
          <w:pgSz w:w="11906" w:h="16838"/>
          <w:pgMar w:top="1525" w:right="1276" w:bottom="1440" w:left="1797" w:header="855" w:footer="992" w:gutter="0"/>
          <w:cols w:space="425" w:num="1"/>
          <w:docGrid w:linePitch="312" w:charSpace="0"/>
        </w:sectPr>
      </w:pPr>
    </w:p>
    <w:p w14:paraId="166198E6">
      <w:pPr>
        <w:rPr>
          <w:color w:val="000000" w:themeColor="text1"/>
          <w14:textFill>
            <w14:solidFill>
              <w14:schemeClr w14:val="tx1"/>
            </w14:solidFill>
          </w14:textFill>
        </w:rPr>
      </w:pPr>
    </w:p>
    <w:p w14:paraId="6CB43578">
      <w:pPr>
        <w:kinsoku w:val="0"/>
        <w:overflowPunct w:val="0"/>
        <w:autoSpaceDE w:val="0"/>
        <w:autoSpaceDN w:val="0"/>
        <w:adjustRightInd w:val="0"/>
        <w:snapToGrid w:val="0"/>
        <w:spacing w:line="360" w:lineRule="auto"/>
        <w:jc w:val="center"/>
      </w:pPr>
      <w:r>
        <w:rPr>
          <w:rFonts w:hint="eastAsia"/>
          <w:b/>
          <w:color w:val="000000" w:themeColor="text1"/>
          <w:sz w:val="32"/>
          <w:szCs w:val="32"/>
          <w14:textFill>
            <w14:solidFill>
              <w14:schemeClr w14:val="tx1"/>
            </w14:solidFill>
          </w14:textFill>
        </w:rPr>
        <w:t>目录</w:t>
      </w:r>
      <w:r>
        <w:rPr>
          <w:color w:val="000000" w:themeColor="text1"/>
          <w:shd w:val="pct10" w:color="auto" w:fill="FFFFFF"/>
          <w14:textFill>
            <w14:solidFill>
              <w14:schemeClr w14:val="tx1"/>
            </w14:solidFill>
          </w14:textFill>
        </w:rPr>
        <w:fldChar w:fldCharType="begin"/>
      </w:r>
      <w:r>
        <w:rPr>
          <w:color w:val="000000" w:themeColor="text1"/>
          <w:shd w:val="pct10" w:color="auto" w:fill="FFFFFF"/>
          <w14:textFill>
            <w14:solidFill>
              <w14:schemeClr w14:val="tx1"/>
            </w14:solidFill>
          </w14:textFill>
        </w:rPr>
        <w:instrText xml:space="preserve"> TOC \o "1-1" \h \z \u </w:instrText>
      </w:r>
      <w:r>
        <w:rPr>
          <w:color w:val="000000" w:themeColor="text1"/>
          <w:shd w:val="pct10" w:color="auto" w:fill="FFFFFF"/>
          <w14:textFill>
            <w14:solidFill>
              <w14:schemeClr w14:val="tx1"/>
            </w14:solidFill>
          </w14:textFill>
        </w:rPr>
        <w:fldChar w:fldCharType="separate"/>
      </w:r>
    </w:p>
    <w:p w14:paraId="429398A4">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"_Toc200030539" </w:instrText>
      </w:r>
      <w:r>
        <w:fldChar w:fldCharType="separate"/>
      </w:r>
      <w:r>
        <w:rPr>
          <w:rFonts w:hint="eastAsia" w:ascii="黑体" w:hAnsi="黑体"/>
        </w:rPr>
        <w:t>第一节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释义</w:t>
      </w:r>
      <w:r>
        <w:rPr>
          <w:rFonts w:hint="eastAsia"/>
        </w:rPr>
        <w:tab/>
      </w:r>
      <w:r>
        <w:rPr>
          <w:rFonts w:hint="eastAsia"/>
        </w:rPr>
        <w:fldChar w:fldCharType="begin"/>
      </w:r>
      <w:r>
        <w:rPr>
          <w:rFonts w:hint="eastAsia"/>
        </w:rPr>
        <w:instrText xml:space="preserve"> </w:instrText>
      </w:r>
      <w:r>
        <w:instrText xml:space="preserve">PAGEREF _Toc200030539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620659C">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"_Toc200030540" </w:instrText>
      </w:r>
      <w:r>
        <w:fldChar w:fldCharType="separate"/>
      </w:r>
      <w:r>
        <w:rPr>
          <w:rFonts w:hint="eastAsia" w:ascii="黑体" w:hAnsi="黑体"/>
        </w:rPr>
        <w:t>第二节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公司简介和主要财务指标</w:t>
      </w:r>
      <w:r>
        <w:rPr>
          <w:rFonts w:hint="eastAsia"/>
        </w:rPr>
        <w:tab/>
      </w:r>
      <w:r>
        <w:rPr>
          <w:rFonts w:hint="eastAsia"/>
        </w:rPr>
        <w:fldChar w:fldCharType="begin"/>
      </w:r>
      <w:r>
        <w:rPr>
          <w:rFonts w:hint="eastAsia"/>
        </w:rPr>
        <w:instrText xml:space="preserve"> </w:instrText>
      </w:r>
      <w:r>
        <w:instrText xml:space="preserve">PAGEREF _Toc200030540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6B90EB05">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"_Toc200030541" </w:instrText>
      </w:r>
      <w:r>
        <w:fldChar w:fldCharType="separate"/>
      </w:r>
      <w:r>
        <w:rPr>
          <w:rFonts w:hint="eastAsia" w:ascii="黑体" w:hAnsi="黑体"/>
        </w:rPr>
        <w:t>第三节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管理层讨论与分析</w:t>
      </w:r>
      <w:r>
        <w:rPr>
          <w:rFonts w:hint="eastAsia"/>
        </w:rPr>
        <w:tab/>
      </w:r>
      <w:r>
        <w:rPr>
          <w:rFonts w:hint="eastAsia"/>
        </w:rPr>
        <w:fldChar w:fldCharType="begin"/>
      </w:r>
      <w:r>
        <w:rPr>
          <w:rFonts w:hint="eastAsia"/>
        </w:rPr>
        <w:instrText xml:space="preserve"> </w:instrText>
      </w:r>
      <w:r>
        <w:instrText xml:space="preserve">PAGEREF _Toc200030541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536FFED8">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"_Toc200030542" </w:instrText>
      </w:r>
      <w:r>
        <w:fldChar w:fldCharType="separate"/>
      </w:r>
      <w:r>
        <w:rPr>
          <w:rFonts w:hint="eastAsia" w:ascii="黑体" w:hAnsi="黑体"/>
        </w:rPr>
        <w:t>第四节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公司治理、环境和社会</w:t>
      </w:r>
      <w:r>
        <w:rPr>
          <w:rFonts w:hint="eastAsia"/>
        </w:rPr>
        <w:tab/>
      </w:r>
      <w:r>
        <w:rPr>
          <w:rFonts w:hint="eastAsia"/>
        </w:rPr>
        <w:fldChar w:fldCharType="begin"/>
      </w:r>
      <w:r>
        <w:rPr>
          <w:rFonts w:hint="eastAsia"/>
        </w:rPr>
        <w:instrText xml:space="preserve"> </w:instrText>
      </w:r>
      <w:r>
        <w:instrText xml:space="preserve">PAGEREF _Toc200030542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7861D53">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"_Toc200030543" </w:instrText>
      </w:r>
      <w:r>
        <w:fldChar w:fldCharType="separate"/>
      </w:r>
      <w:r>
        <w:rPr>
          <w:rFonts w:hint="eastAsia" w:ascii="黑体" w:hAnsi="黑体"/>
        </w:rPr>
        <w:t>第五节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重要事项</w:t>
      </w:r>
      <w:r>
        <w:rPr>
          <w:rFonts w:hint="eastAsia"/>
        </w:rPr>
        <w:tab/>
      </w:r>
      <w:r>
        <w:rPr>
          <w:rFonts w:hint="eastAsia"/>
        </w:rPr>
        <w:fldChar w:fldCharType="begin"/>
      </w:r>
      <w:r>
        <w:rPr>
          <w:rFonts w:hint="eastAsia"/>
        </w:rPr>
        <w:instrText xml:space="preserve"> </w:instrText>
      </w:r>
      <w:r>
        <w:instrText xml:space="preserve">PAGEREF _Toc200030543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69A52999">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"_Toc200030544" </w:instrText>
      </w:r>
      <w:r>
        <w:fldChar w:fldCharType="separate"/>
      </w:r>
      <w:r>
        <w:rPr>
          <w:rFonts w:hint="eastAsia" w:ascii="黑体" w:hAnsi="黑体"/>
        </w:rPr>
        <w:t>第六节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股份变动及股东情况</w:t>
      </w:r>
      <w:r>
        <w:rPr>
          <w:rFonts w:hint="eastAsia"/>
        </w:rPr>
        <w:tab/>
      </w:r>
      <w:r>
        <w:rPr>
          <w:rFonts w:hint="eastAsia"/>
        </w:rPr>
        <w:fldChar w:fldCharType="begin"/>
      </w:r>
      <w:r>
        <w:rPr>
          <w:rFonts w:hint="eastAsia"/>
        </w:rPr>
        <w:instrText xml:space="preserve"> </w:instrText>
      </w:r>
      <w:r>
        <w:instrText xml:space="preserve">PAGEREF _Toc200030544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5FF00411">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"_Toc200030545" </w:instrText>
      </w:r>
      <w:r>
        <w:fldChar w:fldCharType="separate"/>
      </w:r>
      <w:r>
        <w:rPr>
          <w:rFonts w:hint="eastAsia" w:ascii="黑体" w:hAnsi="黑体"/>
        </w:rPr>
        <w:t>第七节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债券相关情况</w:t>
      </w:r>
      <w:r>
        <w:rPr>
          <w:rFonts w:hint="eastAsia"/>
        </w:rPr>
        <w:tab/>
      </w:r>
      <w:r>
        <w:rPr>
          <w:rFonts w:hint="eastAsia"/>
        </w:rPr>
        <w:fldChar w:fldCharType="begin"/>
      </w:r>
      <w:r>
        <w:rPr>
          <w:rFonts w:hint="eastAsia"/>
        </w:rPr>
        <w:instrText xml:space="preserve"> </w:instrText>
      </w:r>
      <w:r>
        <w:instrText xml:space="preserve">PAGEREF _Toc200030545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14:paraId="4203516E">
      <w:pPr>
        <w:pStyle w:val="27"/>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"_Toc200030546" </w:instrText>
      </w:r>
      <w:r>
        <w:fldChar w:fldCharType="separate"/>
      </w:r>
      <w:r>
        <w:rPr>
          <w:rFonts w:hint="eastAsia" w:ascii="黑体" w:hAnsi="黑体"/>
        </w:rPr>
        <w:t>第八节</w:t>
      </w:r>
      <w:r>
        <w:rPr>
          <w:rFonts w:hint="eastAsia" w:asciiTheme="minorHAnsi" w:hAnsiTheme="minorHAnsi" w:eastAsiaTheme="minorEastAsia" w:cstheme="minorBidi"/>
          <w:b w:val="0"/>
          <w:bCs w:val="0"/>
          <w:caps w:val="0"/>
          <w:kern w:val="2"/>
          <w:sz w:val="22"/>
          <w:szCs w:val="24"/>
          <w14:ligatures w14:val="standardContextual"/>
        </w:rPr>
        <w:tab/>
      </w:r>
      <w:r>
        <w:rPr>
          <w:rFonts w:hint="eastAsia" w:ascii="黑体" w:hAnsi="黑体"/>
        </w:rPr>
        <w:t>财务报告</w:t>
      </w:r>
      <w:r>
        <w:rPr>
          <w:rFonts w:hint="eastAsia"/>
        </w:rPr>
        <w:tab/>
      </w:r>
      <w:r>
        <w:rPr>
          <w:rFonts w:hint="eastAsia"/>
        </w:rPr>
        <w:fldChar w:fldCharType="begin"/>
      </w:r>
      <w:r>
        <w:rPr>
          <w:rFonts w:hint="eastAsia"/>
        </w:rPr>
        <w:instrText xml:space="preserve"> </w:instrText>
      </w:r>
      <w:r>
        <w:instrText xml:space="preserve">PAGEREF _Toc200030546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14:paraId="6CBBD030">
      <w:pPr>
        <w:kinsoku w:val="0"/>
        <w:overflowPunct w:val="0"/>
        <w:autoSpaceDE w:val="0"/>
        <w:autoSpaceDN w:val="0"/>
        <w:adjustRightInd w:val="0"/>
        <w:snapToGrid w:val="0"/>
        <w:spacing w:line="360" w:lineRule="auto"/>
        <w:jc w:val="center"/>
        <w:rPr>
          <w:color w:val="000000" w:themeColor="text1"/>
          <w:shd w:val="pct10" w:color="auto" w:fill="FFFFFF"/>
          <w14:textFill>
            <w14:solidFill>
              <w14:schemeClr w14:val="tx1"/>
            </w14:solidFill>
          </w14:textFill>
        </w:rPr>
      </w:pPr>
      <w:r>
        <w:rPr>
          <w:color w:val="000000" w:themeColor="text1"/>
          <w:shd w:val="pct10" w:color="auto" w:fill="FFFFFF"/>
          <w14:textFill>
            <w14:solidFill>
              <w14:schemeClr w14:val="tx1"/>
            </w14:solidFill>
          </w14:textFill>
        </w:rPr>
        <w:fldChar w:fldCharType="end"/>
      </w:r>
    </w:p>
    <w:p w14:paraId="793FB9BD">
      <w:pPr>
        <w:spacing w:line="360" w:lineRule="exact"/>
        <w:ind w:right="5"/>
        <w:rPr>
          <w:b/>
          <w:bCs w:val="0"/>
          <w:color w:val="000000" w:themeColor="text1"/>
          <w:sz w:val="24"/>
          <w14:textFill>
            <w14:solidFill>
              <w14:schemeClr w14:val="tx1"/>
            </w14:solidFill>
          </w14:textFill>
        </w:rPr>
      </w:pPr>
      <w:bookmarkStart w:id="5" w:name="_Hlk76111741"/>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294"/>
        <w:gridCol w:w="6599"/>
      </w:tblGrid>
      <w:sdt>
        <w:sdtPr>
          <w:rPr>
            <w:color w:val="000000" w:themeColor="text1"/>
            <w14:textFill>
              <w14:solidFill>
                <w14:schemeClr w14:val="tx1"/>
              </w14:solidFill>
            </w14:textFill>
          </w:rPr>
          <w:alias w:val="备查文件情况"/>
          <w:tag w:val="_TUP_d1defbbd2758417a8ea21948dd35feef"/>
          <w:id w:val="147471429"/>
          <w:placeholder>
            <w:docPart w:val="GBC11111111111111111111111111111"/>
          </w:placeholder>
        </w:sdtPr>
        <w:sdtEndPr>
          <w:rPr>
            <w:color w:val="000000" w:themeColor="text1"/>
            <w14:textFill>
              <w14:solidFill>
                <w14:schemeClr w14:val="tx1"/>
              </w14:solidFill>
            </w14:textFill>
          </w:rPr>
        </w:sdtEndPr>
        <w:sdtContent>
          <w:tr w14:paraId="09F3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restart"/>
                <w:tcBorders>
                  <w:top w:val="single" w:color="auto" w:sz="4" w:space="0"/>
                  <w:left w:val="single" w:color="auto" w:sz="4" w:space="0"/>
                  <w:bottom w:val="single" w:color="auto" w:sz="4" w:space="0"/>
                  <w:right w:val="single" w:color="auto" w:sz="4" w:space="0"/>
                </w:tcBorders>
                <w:vAlign w:val="center"/>
              </w:tcPr>
              <w:sdt>
                <w:sdtPr>
                  <w:tag w:val="_PLD_4dedc5664132424db8ffece735208815"/>
                  <w:id w:val="147473005"/>
                </w:sdtPr>
                <w:sdtContent>
                  <w:p w14:paraId="00FEDCBE">
                    <w:pPr>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备查文件目录</w:t>
                    </w:r>
                  </w:p>
                </w:sdtContent>
              </w:sdt>
            </w:tc>
            <w:sdt>
              <w:sdtPr>
                <w:rPr>
                  <w:color w:val="000000" w:themeColor="text1"/>
                  <w14:textFill>
                    <w14:solidFill>
                      <w14:schemeClr w14:val="tx1"/>
                    </w14:solidFill>
                  </w14:textFill>
                </w:rPr>
                <w:alias w:val="备查文件目录"/>
                <w:tag w:val="_GBC_b75b724a20654c669c9ce009a20dc247"/>
                <w:id w:val="147457159"/>
              </w:sdtPr>
              <w:sdtEndPr>
                <w:rPr>
                  <w:color w:val="000000" w:themeColor="text1"/>
                  <w14:textFill>
                    <w14:solidFill>
                      <w14:schemeClr w14:val="tx1"/>
                    </w14:solidFill>
                  </w14:textFill>
                </w:rPr>
              </w:sdtEndPr>
              <w:sdtContent>
                <w:tc>
                  <w:tcPr>
                    <w:tcW w:w="3710" w:type="pct"/>
                    <w:tcBorders>
                      <w:top w:val="single" w:color="auto" w:sz="4" w:space="0"/>
                      <w:left w:val="single" w:color="auto" w:sz="4" w:space="0"/>
                      <w:bottom w:val="single" w:color="auto" w:sz="4" w:space="0"/>
                      <w:right w:val="single" w:color="auto" w:sz="4" w:space="0"/>
                    </w:tcBorders>
                  </w:tcPr>
                  <w:p w14:paraId="01352396">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载有公司负责人、主管会计工作负责人、会计机构负责人签名并盖章的财务报表。</w:t>
                    </w:r>
                  </w:p>
                </w:tc>
              </w:sdtContent>
            </w:sdt>
          </w:tr>
        </w:sdtContent>
      </w:sdt>
      <w:tr w14:paraId="6352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tcBorders>
              <w:top w:val="single" w:color="auto" w:sz="4" w:space="0"/>
              <w:left w:val="single" w:color="auto" w:sz="4" w:space="0"/>
              <w:bottom w:val="single" w:color="auto" w:sz="4" w:space="0"/>
              <w:right w:val="single" w:color="auto" w:sz="4" w:space="0"/>
            </w:tcBorders>
            <w:vAlign w:val="center"/>
          </w:tcPr>
          <w:p w14:paraId="1EC6ED95">
            <w:pPr>
              <w:pStyle w:val="55"/>
            </w:pPr>
          </w:p>
        </w:tc>
        <w:tc>
          <w:tcPr>
            <w:tcW w:w="3710" w:type="pct"/>
            <w:tcBorders>
              <w:top w:val="single" w:color="auto" w:sz="4" w:space="0"/>
              <w:left w:val="single" w:color="auto" w:sz="4" w:space="0"/>
              <w:bottom w:val="single" w:color="auto" w:sz="4" w:space="0"/>
              <w:right w:val="single" w:color="auto" w:sz="4" w:space="0"/>
            </w:tcBorders>
          </w:tcPr>
          <w:p w14:paraId="048B6BB3">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报告期内公开披露过的所有公司文件的正本及公告的原稿</w:t>
            </w:r>
          </w:p>
        </w:tc>
      </w:tr>
      <w:tr w14:paraId="5960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tcBorders>
              <w:top w:val="single" w:color="auto" w:sz="4" w:space="0"/>
              <w:left w:val="single" w:color="auto" w:sz="4" w:space="0"/>
              <w:bottom w:val="single" w:color="auto" w:sz="4" w:space="0"/>
              <w:right w:val="single" w:color="auto" w:sz="4" w:space="0"/>
            </w:tcBorders>
            <w:vAlign w:val="center"/>
          </w:tcPr>
          <w:p w14:paraId="652FCBBD">
            <w:pPr>
              <w:pStyle w:val="55"/>
            </w:pPr>
          </w:p>
        </w:tc>
        <w:tc>
          <w:tcPr>
            <w:tcW w:w="3710" w:type="pct"/>
            <w:tcBorders>
              <w:top w:val="single" w:color="auto" w:sz="4" w:space="0"/>
              <w:left w:val="single" w:color="auto" w:sz="4" w:space="0"/>
              <w:bottom w:val="single" w:color="auto" w:sz="4" w:space="0"/>
              <w:right w:val="single" w:color="auto" w:sz="4" w:space="0"/>
            </w:tcBorders>
          </w:tcPr>
          <w:p w14:paraId="6760491A">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公司负责人签署的本次半年报全文及摘要</w:t>
            </w:r>
          </w:p>
        </w:tc>
      </w:tr>
    </w:tbl>
    <w:p w14:paraId="52826EC4">
      <w:pPr>
        <w:spacing w:line="360" w:lineRule="exact"/>
        <w:jc w:val="right"/>
        <w:rPr>
          <w:color w:val="000000" w:themeColor="text1"/>
          <w14:textFill>
            <w14:solidFill>
              <w14:schemeClr w14:val="tx1"/>
            </w14:solidFill>
          </w14:textFill>
        </w:rPr>
      </w:pPr>
    </w:p>
    <w:bookmarkEnd w:id="5"/>
    <w:p w14:paraId="0D9C9F42">
      <w:pPr>
        <w:kinsoku w:val="0"/>
        <w:overflowPunct w:val="0"/>
        <w:autoSpaceDE w:val="0"/>
        <w:autoSpaceDN w:val="0"/>
        <w:adjustRightInd w:val="0"/>
        <w:snapToGrid w:val="0"/>
        <w:spacing w:line="360" w:lineRule="exact"/>
        <w:rPr>
          <w:color w:val="000000" w:themeColor="text1"/>
          <w:shd w:val="pct10" w:color="auto" w:fill="FFFFFF"/>
          <w14:textFill>
            <w14:solidFill>
              <w14:schemeClr w14:val="tx1"/>
            </w14:solidFill>
          </w14:textFill>
        </w:rPr>
      </w:pPr>
    </w:p>
    <w:p w14:paraId="33B01C93">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27006772">
      <w:pPr>
        <w:pStyle w:val="2"/>
        <w:numPr>
          <w:ilvl w:val="0"/>
          <w:numId w:val="3"/>
        </w:numPr>
        <w:rPr>
          <w:rFonts w:ascii="黑体" w:hAnsi="黑体"/>
          <w:color w:val="000000" w:themeColor="text1"/>
          <w14:textFill>
            <w14:solidFill>
              <w14:schemeClr w14:val="tx1"/>
            </w14:solidFill>
          </w14:textFill>
        </w:rPr>
      </w:pPr>
      <w:bookmarkStart w:id="6" w:name="_Toc200030539"/>
      <w:bookmarkStart w:id="7" w:name="_Toc76114272"/>
      <w:bookmarkStart w:id="8" w:name="_Toc342565880"/>
      <w:r>
        <w:rPr>
          <w:rFonts w:hint="eastAsia" w:ascii="黑体" w:hAnsi="黑体"/>
          <w:color w:val="000000" w:themeColor="text1"/>
          <w14:textFill>
            <w14:solidFill>
              <w14:schemeClr w14:val="tx1"/>
            </w14:solidFill>
          </w14:textFill>
        </w:rPr>
        <w:t>释义</w:t>
      </w:r>
    </w:p>
    <w:bookmarkEnd w:id="6"/>
    <w:bookmarkEnd w:id="7"/>
    <w:p w14:paraId="0B0F070E">
      <w:pPr>
        <w:rPr>
          <w:color w:val="000000" w:themeColor="text1"/>
          <w14:textFill>
            <w14:solidFill>
              <w14:schemeClr w14:val="tx1"/>
            </w14:solidFill>
          </w14:textFill>
        </w:rPr>
      </w:pPr>
      <w:r>
        <w:rPr>
          <w:color w:val="000000" w:themeColor="text1"/>
          <w14:textFill>
            <w14:solidFill>
              <w14:schemeClr w14:val="tx1"/>
            </w14:solidFill>
          </w14:textFill>
        </w:rPr>
        <w:t>在本报告书中，除非文义另有所指，下列词语具有如下含义：</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6"/>
        <w:gridCol w:w="778"/>
        <w:gridCol w:w="5254"/>
      </w:tblGrid>
      <w:tr w14:paraId="155E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73bff14187b49a1b1c86b56316c5e47"/>
            <w:id w:val="147476401"/>
          </w:sdtPr>
          <w:sdtContent>
            <w:tc>
              <w:tcPr>
                <w:tcW w:w="9048" w:type="dxa"/>
                <w:gridSpan w:val="3"/>
              </w:tcPr>
              <w:p w14:paraId="5E5A8942">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常用词语释义</w:t>
                </w:r>
              </w:p>
            </w:tc>
          </w:sdtContent>
        </w:sdt>
      </w:tr>
      <w:sdt>
        <w:sdtPr>
          <w:rPr>
            <w:rFonts w:hint="eastAsia" w:ascii="宋体" w:hAnsi="宋体"/>
            <w:color w:val="000000" w:themeColor="text1"/>
            <w14:textFill>
              <w14:solidFill>
                <w14:schemeClr w14:val="tx1"/>
              </w14:solidFill>
            </w14:textFill>
          </w:rPr>
          <w:alias w:val="释义"/>
          <w:tag w:val="_GBC_ca5c2cb7a4e545e2b2d9d1b94b528746"/>
          <w:id w:val="147461702"/>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7554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0952EBBB">
                <w:pPr>
                  <w:widowControl w:val="0"/>
                  <w:jc w:val="both"/>
                </w:pPr>
                <w:r>
                  <w:rPr>
                    <w:rFonts w:hint="eastAsia"/>
                  </w:rPr>
                  <w:t>证监会</w:t>
                </w:r>
              </w:p>
            </w:tc>
            <w:tc>
              <w:tcPr>
                <w:tcW w:w="778" w:type="dxa"/>
              </w:tcPr>
              <w:sdt>
                <w:sdtPr>
                  <w:tag w:val="_PLD_289cf7e5c3a845d59c038a21dcd4a571"/>
                  <w:id w:val="147472206"/>
                </w:sdtPr>
                <w:sdtContent>
                  <w:p w14:paraId="6B3DA90A">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7342"/>
              </w:sdtPr>
              <w:sdtEndPr>
                <w:rPr>
                  <w:rFonts w:hint="eastAsia"/>
                  <w:color w:val="000000" w:themeColor="text1"/>
                  <w14:textFill>
                    <w14:solidFill>
                      <w14:schemeClr w14:val="tx1"/>
                    </w14:solidFill>
                  </w14:textFill>
                </w:rPr>
              </w:sdtEndPr>
              <w:sdtContent>
                <w:tc>
                  <w:tcPr>
                    <w:tcW w:w="5254" w:type="dxa"/>
                    <w:vAlign w:val="center"/>
                  </w:tcPr>
                  <w:p w14:paraId="215C3209">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中国证券监督管理委员会</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3874"/>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07F5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3F8FF7F1">
                <w:pPr>
                  <w:widowControl w:val="0"/>
                  <w:jc w:val="both"/>
                </w:pPr>
                <w:r>
                  <w:rPr>
                    <w:rFonts w:hint="eastAsia"/>
                  </w:rPr>
                  <w:t>上交所</w:t>
                </w:r>
              </w:p>
            </w:tc>
            <w:tc>
              <w:tcPr>
                <w:tcW w:w="778" w:type="dxa"/>
              </w:tcPr>
              <w:sdt>
                <w:sdtPr>
                  <w:tag w:val="_PLD_289cf7e5c3a845d59c038a21dcd4a571"/>
                  <w:id w:val="147462357"/>
                </w:sdtPr>
                <w:sdtContent>
                  <w:p w14:paraId="21D56D53">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61543"/>
              </w:sdtPr>
              <w:sdtEndPr>
                <w:rPr>
                  <w:rFonts w:hint="eastAsia"/>
                  <w:color w:val="000000" w:themeColor="text1"/>
                  <w14:textFill>
                    <w14:solidFill>
                      <w14:schemeClr w14:val="tx1"/>
                    </w14:solidFill>
                  </w14:textFill>
                </w:rPr>
              </w:sdtEndPr>
              <w:sdtContent>
                <w:tc>
                  <w:tcPr>
                    <w:tcW w:w="5254" w:type="dxa"/>
                    <w:vAlign w:val="center"/>
                  </w:tcPr>
                  <w:p w14:paraId="68098148">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上海证券交易所</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8747"/>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0E8B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00534FD2">
                <w:pPr>
                  <w:widowControl w:val="0"/>
                  <w:jc w:val="both"/>
                </w:pPr>
                <w:r>
                  <w:rPr>
                    <w:rFonts w:hint="eastAsia"/>
                  </w:rPr>
                  <w:t>公司，本公司，际华集团</w:t>
                </w:r>
              </w:p>
            </w:tc>
            <w:tc>
              <w:tcPr>
                <w:tcW w:w="778" w:type="dxa"/>
              </w:tcPr>
              <w:sdt>
                <w:sdtPr>
                  <w:tag w:val="_PLD_289cf7e5c3a845d59c038a21dcd4a571"/>
                  <w:id w:val="147463569"/>
                </w:sdtPr>
                <w:sdtContent>
                  <w:p w14:paraId="140E042D">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4516"/>
              </w:sdtPr>
              <w:sdtEndPr>
                <w:rPr>
                  <w:rFonts w:hint="eastAsia"/>
                  <w:color w:val="000000" w:themeColor="text1"/>
                  <w14:textFill>
                    <w14:solidFill>
                      <w14:schemeClr w14:val="tx1"/>
                    </w14:solidFill>
                  </w14:textFill>
                </w:rPr>
              </w:sdtEndPr>
              <w:sdtContent>
                <w:tc>
                  <w:tcPr>
                    <w:tcW w:w="5254" w:type="dxa"/>
                    <w:vAlign w:val="center"/>
                  </w:tcPr>
                  <w:p w14:paraId="7626E8D2">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际华集团股份有限公司</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5744"/>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0E02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21AC8B2B">
                <w:pPr>
                  <w:widowControl w:val="0"/>
                  <w:jc w:val="both"/>
                </w:pPr>
                <w:r>
                  <w:rPr>
                    <w:rFonts w:hint="eastAsia"/>
                  </w:rPr>
                  <w:t>新兴际华，新兴际华集团，控股股东</w:t>
                </w:r>
              </w:p>
            </w:tc>
            <w:tc>
              <w:tcPr>
                <w:tcW w:w="778" w:type="dxa"/>
              </w:tcPr>
              <w:sdt>
                <w:sdtPr>
                  <w:tag w:val="_PLD_289cf7e5c3a845d59c038a21dcd4a571"/>
                  <w:id w:val="147479090"/>
                </w:sdtPr>
                <w:sdtContent>
                  <w:p w14:paraId="3E8AEB5B">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59178"/>
              </w:sdtPr>
              <w:sdtEndPr>
                <w:rPr>
                  <w:rFonts w:hint="eastAsia"/>
                  <w:color w:val="000000" w:themeColor="text1"/>
                  <w14:textFill>
                    <w14:solidFill>
                      <w14:schemeClr w14:val="tx1"/>
                    </w14:solidFill>
                  </w14:textFill>
                </w:rPr>
              </w:sdtEndPr>
              <w:sdtContent>
                <w:tc>
                  <w:tcPr>
                    <w:tcW w:w="5254" w:type="dxa"/>
                    <w:vAlign w:val="center"/>
                  </w:tcPr>
                  <w:p w14:paraId="4A4022DC">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新兴际华集团有限公司</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1569"/>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5486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6D37DB80">
                <w:pPr>
                  <w:widowControl w:val="0"/>
                  <w:jc w:val="both"/>
                </w:pPr>
                <w:r>
                  <w:rPr>
                    <w:rFonts w:hint="eastAsia"/>
                  </w:rPr>
                  <w:t>新兴铸管</w:t>
                </w:r>
              </w:p>
            </w:tc>
            <w:tc>
              <w:tcPr>
                <w:tcW w:w="778" w:type="dxa"/>
              </w:tcPr>
              <w:sdt>
                <w:sdtPr>
                  <w:tag w:val="_PLD_289cf7e5c3a845d59c038a21dcd4a571"/>
                  <w:id w:val="147452036"/>
                </w:sdtPr>
                <w:sdtContent>
                  <w:p w14:paraId="18C0A8F9">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60611"/>
              </w:sdtPr>
              <w:sdtEndPr>
                <w:rPr>
                  <w:rFonts w:hint="eastAsia"/>
                  <w:color w:val="000000" w:themeColor="text1"/>
                  <w14:textFill>
                    <w14:solidFill>
                      <w14:schemeClr w14:val="tx1"/>
                    </w14:solidFill>
                  </w14:textFill>
                </w:rPr>
              </w:sdtEndPr>
              <w:sdtContent>
                <w:tc>
                  <w:tcPr>
                    <w:tcW w:w="5254" w:type="dxa"/>
                    <w:vAlign w:val="center"/>
                  </w:tcPr>
                  <w:p w14:paraId="03336756">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新兴铸管股份有限公司</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1102"/>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253D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7A095EF4">
                <w:pPr>
                  <w:widowControl w:val="0"/>
                  <w:jc w:val="both"/>
                </w:pPr>
                <w:r>
                  <w:rPr>
                    <w:rFonts w:hint="eastAsia"/>
                  </w:rPr>
                  <w:t>新兴发展</w:t>
                </w:r>
              </w:p>
            </w:tc>
            <w:tc>
              <w:tcPr>
                <w:tcW w:w="778" w:type="dxa"/>
              </w:tcPr>
              <w:sdt>
                <w:sdtPr>
                  <w:tag w:val="_PLD_289cf7e5c3a845d59c038a21dcd4a571"/>
                  <w:id w:val="147476839"/>
                </w:sdtPr>
                <w:sdtContent>
                  <w:p w14:paraId="59141E8B">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58852"/>
              </w:sdtPr>
              <w:sdtEndPr>
                <w:rPr>
                  <w:rFonts w:hint="eastAsia"/>
                  <w:color w:val="000000" w:themeColor="text1"/>
                  <w14:textFill>
                    <w14:solidFill>
                      <w14:schemeClr w14:val="tx1"/>
                    </w14:solidFill>
                  </w14:textFill>
                </w:rPr>
              </w:sdtEndPr>
              <w:sdtContent>
                <w:tc>
                  <w:tcPr>
                    <w:tcW w:w="5254" w:type="dxa"/>
                    <w:vAlign w:val="center"/>
                  </w:tcPr>
                  <w:p w14:paraId="2F73BAC0">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新兴发展集团有限公司</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76116"/>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5143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0F730F9B">
                <w:pPr>
                  <w:widowControl w:val="0"/>
                  <w:jc w:val="both"/>
                </w:pPr>
                <w:r>
                  <w:rPr>
                    <w:rFonts w:hint="eastAsia"/>
                  </w:rPr>
                  <w:t>国资委</w:t>
                </w:r>
              </w:p>
            </w:tc>
            <w:tc>
              <w:tcPr>
                <w:tcW w:w="778" w:type="dxa"/>
              </w:tcPr>
              <w:sdt>
                <w:sdtPr>
                  <w:tag w:val="_PLD_289cf7e5c3a845d59c038a21dcd4a571"/>
                  <w:id w:val="147465055"/>
                </w:sdtPr>
                <w:sdtContent>
                  <w:p w14:paraId="4824B8B1">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7555"/>
              </w:sdtPr>
              <w:sdtEndPr>
                <w:rPr>
                  <w:rFonts w:hint="eastAsia"/>
                  <w:color w:val="000000" w:themeColor="text1"/>
                  <w14:textFill>
                    <w14:solidFill>
                      <w14:schemeClr w14:val="tx1"/>
                    </w14:solidFill>
                  </w14:textFill>
                </w:rPr>
              </w:sdtEndPr>
              <w:sdtContent>
                <w:tc>
                  <w:tcPr>
                    <w:tcW w:w="5254" w:type="dxa"/>
                    <w:vAlign w:val="center"/>
                  </w:tcPr>
                  <w:p w14:paraId="46B441A5">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国务院国有资产监督管理委员会</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81727"/>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2830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78324EDC">
                <w:pPr>
                  <w:widowControl w:val="0"/>
                  <w:jc w:val="both"/>
                </w:pPr>
                <w:r>
                  <w:rPr>
                    <w:rFonts w:hint="eastAsia"/>
                  </w:rPr>
                  <w:t>军队</w:t>
                </w:r>
              </w:p>
            </w:tc>
            <w:tc>
              <w:tcPr>
                <w:tcW w:w="778" w:type="dxa"/>
              </w:tcPr>
              <w:sdt>
                <w:sdtPr>
                  <w:tag w:val="_PLD_289cf7e5c3a845d59c038a21dcd4a571"/>
                  <w:id w:val="147454441"/>
                </w:sdtPr>
                <w:sdtContent>
                  <w:p w14:paraId="6309371A">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65551"/>
              </w:sdtPr>
              <w:sdtEndPr>
                <w:rPr>
                  <w:rFonts w:hint="eastAsia"/>
                  <w:color w:val="000000" w:themeColor="text1"/>
                  <w14:textFill>
                    <w14:solidFill>
                      <w14:schemeClr w14:val="tx1"/>
                    </w14:solidFill>
                  </w14:textFill>
                </w:rPr>
              </w:sdtEndPr>
              <w:sdtContent>
                <w:tc>
                  <w:tcPr>
                    <w:tcW w:w="5254" w:type="dxa"/>
                    <w:vAlign w:val="center"/>
                  </w:tcPr>
                  <w:p w14:paraId="60566A5B">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中国人民解放军</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52684"/>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51D4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4B1104D9">
                <w:pPr>
                  <w:widowControl w:val="0"/>
                  <w:jc w:val="both"/>
                </w:pPr>
                <w:r>
                  <w:rPr>
                    <w:rFonts w:hint="eastAsia"/>
                  </w:rPr>
                  <w:t>武警部队</w:t>
                </w:r>
              </w:p>
            </w:tc>
            <w:tc>
              <w:tcPr>
                <w:tcW w:w="778" w:type="dxa"/>
              </w:tcPr>
              <w:sdt>
                <w:sdtPr>
                  <w:tag w:val="_PLD_289cf7e5c3a845d59c038a21dcd4a571"/>
                  <w:id w:val="147473949"/>
                </w:sdtPr>
                <w:sdtContent>
                  <w:p w14:paraId="0B8B04EB">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8982"/>
              </w:sdtPr>
              <w:sdtEndPr>
                <w:rPr>
                  <w:rFonts w:hint="eastAsia"/>
                  <w:color w:val="000000" w:themeColor="text1"/>
                  <w14:textFill>
                    <w14:solidFill>
                      <w14:schemeClr w14:val="tx1"/>
                    </w14:solidFill>
                  </w14:textFill>
                </w:rPr>
              </w:sdtEndPr>
              <w:sdtContent>
                <w:tc>
                  <w:tcPr>
                    <w:tcW w:w="5254" w:type="dxa"/>
                    <w:vAlign w:val="center"/>
                  </w:tcPr>
                  <w:p w14:paraId="30D234B2">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中国人民武装警察部队</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1517"/>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7E26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3E70FE82">
                <w:pPr>
                  <w:widowControl w:val="0"/>
                  <w:jc w:val="both"/>
                </w:pPr>
                <w:r>
                  <w:rPr>
                    <w:rFonts w:hint="eastAsia"/>
                  </w:rPr>
                  <w:t>军品，军需品</w:t>
                </w:r>
              </w:p>
            </w:tc>
            <w:tc>
              <w:tcPr>
                <w:tcW w:w="778" w:type="dxa"/>
              </w:tcPr>
              <w:sdt>
                <w:sdtPr>
                  <w:tag w:val="_PLD_289cf7e5c3a845d59c038a21dcd4a571"/>
                  <w:id w:val="147452168"/>
                </w:sdtPr>
                <w:sdtContent>
                  <w:p w14:paraId="0B38FE64">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57528"/>
              </w:sdtPr>
              <w:sdtEndPr>
                <w:rPr>
                  <w:rFonts w:hint="eastAsia"/>
                  <w:color w:val="000000" w:themeColor="text1"/>
                  <w14:textFill>
                    <w14:solidFill>
                      <w14:schemeClr w14:val="tx1"/>
                    </w14:solidFill>
                  </w14:textFill>
                </w:rPr>
              </w:sdtEndPr>
              <w:sdtContent>
                <w:tc>
                  <w:tcPr>
                    <w:tcW w:w="5254" w:type="dxa"/>
                    <w:vAlign w:val="center"/>
                  </w:tcPr>
                  <w:p w14:paraId="6AF7BA2C">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为军队、武警部队提供的各类军需被装、装备产品的总称</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56407"/>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18C3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6970825B">
                <w:pPr>
                  <w:widowControl w:val="0"/>
                  <w:jc w:val="both"/>
                </w:pPr>
                <w:r>
                  <w:rPr>
                    <w:rFonts w:hint="eastAsia"/>
                  </w:rPr>
                  <w:t>民品</w:t>
                </w:r>
              </w:p>
            </w:tc>
            <w:tc>
              <w:tcPr>
                <w:tcW w:w="778" w:type="dxa"/>
              </w:tcPr>
              <w:sdt>
                <w:sdtPr>
                  <w:tag w:val="_PLD_289cf7e5c3a845d59c038a21dcd4a571"/>
                  <w:id w:val="147475055"/>
                </w:sdtPr>
                <w:sdtContent>
                  <w:p w14:paraId="7D89F7DA">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7626"/>
              </w:sdtPr>
              <w:sdtEndPr>
                <w:rPr>
                  <w:rFonts w:hint="eastAsia"/>
                  <w:color w:val="000000" w:themeColor="text1"/>
                  <w14:textFill>
                    <w14:solidFill>
                      <w14:schemeClr w14:val="tx1"/>
                    </w14:solidFill>
                  </w14:textFill>
                </w:rPr>
              </w:sdtEndPr>
              <w:sdtContent>
                <w:tc>
                  <w:tcPr>
                    <w:tcW w:w="5254" w:type="dxa"/>
                    <w:vAlign w:val="center"/>
                  </w:tcPr>
                  <w:p w14:paraId="3DB0B9A3">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除军品之外的其他产品</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75302"/>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1E25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276E66D9">
                <w:pPr>
                  <w:widowControl w:val="0"/>
                  <w:jc w:val="both"/>
                </w:pPr>
                <w:r>
                  <w:rPr>
                    <w:rFonts w:hint="eastAsia"/>
                  </w:rPr>
                  <w:t>上海证券交易所网站</w:t>
                </w:r>
              </w:p>
            </w:tc>
            <w:tc>
              <w:tcPr>
                <w:tcW w:w="778" w:type="dxa"/>
              </w:tcPr>
              <w:sdt>
                <w:sdtPr>
                  <w:tag w:val="_PLD_289cf7e5c3a845d59c038a21dcd4a571"/>
                  <w:id w:val="147458201"/>
                </w:sdtPr>
                <w:sdtContent>
                  <w:p w14:paraId="054B76B0">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0422"/>
              </w:sdtPr>
              <w:sdtEndPr>
                <w:rPr>
                  <w:rFonts w:hint="eastAsia"/>
                  <w:color w:val="000000" w:themeColor="text1"/>
                  <w14:textFill>
                    <w14:solidFill>
                      <w14:schemeClr w14:val="tx1"/>
                    </w14:solidFill>
                  </w14:textFill>
                </w:rPr>
              </w:sdtEndPr>
              <w:sdtContent>
                <w:tc>
                  <w:tcPr>
                    <w:tcW w:w="5254" w:type="dxa"/>
                    <w:vAlign w:val="center"/>
                  </w:tcPr>
                  <w:p w14:paraId="344CBF94">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http://www.sse.com.cn</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53716"/>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6155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0A1D047B">
                <w:pPr>
                  <w:widowControl w:val="0"/>
                  <w:jc w:val="both"/>
                </w:pPr>
                <w:r>
                  <w:rPr>
                    <w:rFonts w:hint="eastAsia"/>
                  </w:rPr>
                  <w:t>公司章程</w:t>
                </w:r>
              </w:p>
            </w:tc>
            <w:tc>
              <w:tcPr>
                <w:tcW w:w="778" w:type="dxa"/>
              </w:tcPr>
              <w:sdt>
                <w:sdtPr>
                  <w:tag w:val="_PLD_289cf7e5c3a845d59c038a21dcd4a571"/>
                  <w:id w:val="147462576"/>
                </w:sdtPr>
                <w:sdtContent>
                  <w:p w14:paraId="1642B403">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59443"/>
              </w:sdtPr>
              <w:sdtEndPr>
                <w:rPr>
                  <w:rFonts w:hint="eastAsia"/>
                  <w:color w:val="000000" w:themeColor="text1"/>
                  <w14:textFill>
                    <w14:solidFill>
                      <w14:schemeClr w14:val="tx1"/>
                    </w14:solidFill>
                  </w14:textFill>
                </w:rPr>
              </w:sdtEndPr>
              <w:sdtContent>
                <w:tc>
                  <w:tcPr>
                    <w:tcW w:w="5254" w:type="dxa"/>
                    <w:vAlign w:val="center"/>
                  </w:tcPr>
                  <w:p w14:paraId="74832F85">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际华集团股份有限公司章程</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62257"/>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18C8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5B94436F">
                <w:pPr>
                  <w:widowControl w:val="0"/>
                  <w:jc w:val="both"/>
                </w:pPr>
                <w:r>
                  <w:rPr>
                    <w:rFonts w:hint="eastAsia"/>
                  </w:rPr>
                  <w:t>报告期</w:t>
                </w:r>
              </w:p>
            </w:tc>
            <w:tc>
              <w:tcPr>
                <w:tcW w:w="778" w:type="dxa"/>
              </w:tcPr>
              <w:sdt>
                <w:sdtPr>
                  <w:tag w:val="_PLD_289cf7e5c3a845d59c038a21dcd4a571"/>
                  <w:id w:val="147458308"/>
                </w:sdtPr>
                <w:sdtContent>
                  <w:p w14:paraId="6B9FCEDF">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75981"/>
              </w:sdtPr>
              <w:sdtEndPr>
                <w:rPr>
                  <w:rFonts w:hint="eastAsia"/>
                  <w:color w:val="000000" w:themeColor="text1"/>
                  <w14:textFill>
                    <w14:solidFill>
                      <w14:schemeClr w14:val="tx1"/>
                    </w14:solidFill>
                  </w14:textFill>
                </w:rPr>
              </w:sdtEndPr>
              <w:sdtContent>
                <w:tc>
                  <w:tcPr>
                    <w:tcW w:w="5254" w:type="dxa"/>
                    <w:vAlign w:val="center"/>
                  </w:tcPr>
                  <w:p w14:paraId="29A7119B">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2025年1月1日至2025年6月30日</w:t>
                    </w:r>
                  </w:p>
                </w:tc>
              </w:sdtContent>
            </w:sdt>
          </w:tr>
        </w:sdtContent>
      </w:sdt>
      <w:sdt>
        <w:sdtPr>
          <w:rPr>
            <w:rFonts w:hint="eastAsia" w:ascii="宋体" w:hAnsi="宋体"/>
            <w:color w:val="000000" w:themeColor="text1"/>
            <w14:textFill>
              <w14:solidFill>
                <w14:schemeClr w14:val="tx1"/>
              </w14:solidFill>
            </w14:textFill>
          </w:rPr>
          <w:alias w:val="释义"/>
          <w:tag w:val="_GBC_ca5c2cb7a4e545e2b2d9d1b94b528746"/>
          <w:id w:val="147472149"/>
          <w:placeholder>
            <w:docPart w:val="75FCC87414EC4602AD9AE92B9FF2EFDC"/>
          </w:placeholder>
        </w:sdtPr>
        <w:sdtEndPr>
          <w:rPr>
            <w:rFonts w:hint="eastAsia" w:ascii="宋体" w:hAnsi="宋体"/>
            <w:color w:val="000000" w:themeColor="text1"/>
            <w14:textFill>
              <w14:solidFill>
                <w14:schemeClr w14:val="tx1"/>
              </w14:solidFill>
            </w14:textFill>
          </w:rPr>
        </w:sdtEndPr>
        <w:sdtContent>
          <w:tr w14:paraId="6446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6" w:type="dxa"/>
                <w:vAlign w:val="center"/>
              </w:tcPr>
              <w:p w14:paraId="6D7B1507">
                <w:pPr>
                  <w:widowControl w:val="0"/>
                  <w:jc w:val="both"/>
                </w:pPr>
                <w:r>
                  <w:rPr>
                    <w:rFonts w:hint="eastAsia"/>
                  </w:rPr>
                  <w:t>所属企业</w:t>
                </w:r>
              </w:p>
            </w:tc>
            <w:tc>
              <w:tcPr>
                <w:tcW w:w="778" w:type="dxa"/>
              </w:tcPr>
              <w:sdt>
                <w:sdtPr>
                  <w:tag w:val="_PLD_289cf7e5c3a845d59c038a21dcd4a571"/>
                  <w:id w:val="147459739"/>
                </w:sdtPr>
                <w:sdtContent>
                  <w:p w14:paraId="0DDF7E68">
                    <w:pPr>
                      <w:widowControl w:val="0"/>
                      <w:jc w:val="center"/>
                      <w:rPr>
                        <w:color w:val="000000" w:themeColor="text1"/>
                        <w:highlight w:val="lightGray"/>
                        <w14:textFill>
                          <w14:solidFill>
                            <w14:schemeClr w14:val="tx1"/>
                          </w14:solidFill>
                        </w14:textFill>
                      </w:rPr>
                    </w:pPr>
                    <w:r>
                      <w:rPr>
                        <w:rFonts w:hint="eastAsia"/>
                        <w:color w:val="000000" w:themeColor="text1"/>
                        <w14:textFill>
                          <w14:solidFill>
                            <w14:schemeClr w14:val="tx1"/>
                          </w14:solidFill>
                        </w14:textFill>
                      </w:rPr>
                      <w:t>指</w:t>
                    </w:r>
                  </w:p>
                </w:sdtContent>
              </w:sdt>
            </w:tc>
            <w:sdt>
              <w:sdtPr>
                <w:rPr>
                  <w:rFonts w:hint="eastAsia"/>
                  <w:color w:val="000000" w:themeColor="text1"/>
                  <w14:textFill>
                    <w14:solidFill>
                      <w14:schemeClr w14:val="tx1"/>
                    </w14:solidFill>
                  </w14:textFill>
                </w:rPr>
                <w:alias w:val="常用词语释义"/>
                <w:tag w:val="_GBC_b625dd71b03542c3b074c2ce59de70ad"/>
                <w:id w:val="147457710"/>
              </w:sdtPr>
              <w:sdtEndPr>
                <w:rPr>
                  <w:rFonts w:hint="eastAsia"/>
                  <w:color w:val="000000" w:themeColor="text1"/>
                  <w14:textFill>
                    <w14:solidFill>
                      <w14:schemeClr w14:val="tx1"/>
                    </w14:solidFill>
                  </w14:textFill>
                </w:rPr>
              </w:sdtEndPr>
              <w:sdtContent>
                <w:tc>
                  <w:tcPr>
                    <w:tcW w:w="5254" w:type="dxa"/>
                    <w:vAlign w:val="center"/>
                  </w:tcPr>
                  <w:p w14:paraId="24A62453">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纳入本公司合并财务报表范围的子公司</w:t>
                    </w:r>
                  </w:p>
                </w:tc>
              </w:sdtContent>
            </w:sdt>
          </w:tr>
        </w:sdtContent>
      </w:sdt>
    </w:tbl>
    <w:p w14:paraId="3C52BAAA">
      <w:pPr>
        <w:rPr>
          <w:color w:val="000000" w:themeColor="text1"/>
          <w14:textFill>
            <w14:solidFill>
              <w14:schemeClr w14:val="tx1"/>
            </w14:solidFill>
          </w14:textFill>
        </w:rPr>
      </w:pPr>
    </w:p>
    <w:p w14:paraId="33281E54">
      <w:pPr>
        <w:rPr>
          <w:color w:val="000000" w:themeColor="text1"/>
          <w14:textFill>
            <w14:solidFill>
              <w14:schemeClr w14:val="tx1"/>
            </w14:solidFill>
          </w14:textFill>
        </w:rPr>
      </w:pPr>
    </w:p>
    <w:p w14:paraId="78E86A8B">
      <w:pPr>
        <w:pStyle w:val="2"/>
        <w:numPr>
          <w:ilvl w:val="0"/>
          <w:numId w:val="3"/>
        </w:numPr>
        <w:rPr>
          <w:rFonts w:ascii="黑体" w:hAnsi="黑体"/>
          <w:color w:val="000000" w:themeColor="text1"/>
          <w14:textFill>
            <w14:solidFill>
              <w14:schemeClr w14:val="tx1"/>
            </w14:solidFill>
          </w14:textFill>
        </w:rPr>
      </w:pPr>
      <w:bookmarkStart w:id="9" w:name="_Toc76114273"/>
      <w:bookmarkStart w:id="10" w:name="_Toc200030540"/>
      <w:r>
        <w:rPr>
          <w:rFonts w:hint="eastAsia" w:ascii="黑体" w:hAnsi="黑体"/>
          <w:color w:val="000000" w:themeColor="text1"/>
          <w14:textFill>
            <w14:solidFill>
              <w14:schemeClr w14:val="tx1"/>
            </w14:solidFill>
          </w14:textFill>
        </w:rPr>
        <w:t>公司简介</w:t>
      </w:r>
      <w:bookmarkEnd w:id="8"/>
      <w:r>
        <w:rPr>
          <w:rFonts w:hint="eastAsia" w:ascii="黑体" w:hAnsi="黑体"/>
          <w:color w:val="000000" w:themeColor="text1"/>
          <w14:textFill>
            <w14:solidFill>
              <w14:schemeClr w14:val="tx1"/>
            </w14:solidFill>
          </w14:textFill>
        </w:rPr>
        <w:t>和主要财务指标</w:t>
      </w:r>
    </w:p>
    <w:bookmarkEnd w:id="9"/>
    <w:bookmarkEnd w:id="10"/>
    <w:p w14:paraId="486F89BA">
      <w:pPr>
        <w:pStyle w:val="3"/>
        <w:numPr>
          <w:ilvl w:val="0"/>
          <w:numId w:val="4"/>
        </w:numPr>
        <w:ind w:left="0" w:firstLine="0"/>
        <w:rPr>
          <w:color w:val="000000" w:themeColor="text1"/>
          <w14:textFill>
            <w14:solidFill>
              <w14:schemeClr w14:val="tx1"/>
            </w14:solidFill>
          </w14:textFill>
        </w:rPr>
      </w:pPr>
      <w:bookmarkStart w:id="11" w:name="_Toc342565881"/>
      <w:bookmarkStart w:id="12" w:name="_Toc342051041"/>
      <w:r>
        <w:rPr>
          <w:rFonts w:hint="eastAsia"/>
          <w:color w:val="000000" w:themeColor="text1"/>
          <w14:textFill>
            <w14:solidFill>
              <w14:schemeClr w14:val="tx1"/>
            </w14:solidFill>
          </w14:textFill>
        </w:rPr>
        <w:t>公司信息</w:t>
      </w:r>
      <w:bookmarkEnd w:id="11"/>
      <w:bookmarkEnd w:id="12"/>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14:paraId="31286F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372cd7a5ecc1420488735479d42bf939"/>
            <w:id w:val="147483417"/>
          </w:sdtPr>
          <w:sdtContent>
            <w:tc>
              <w:tcPr>
                <w:tcW w:w="2169" w:type="pct"/>
                <w:tcBorders>
                  <w:top w:val="single" w:color="auto" w:sz="4" w:space="0"/>
                  <w:bottom w:val="single" w:color="auto" w:sz="4" w:space="0"/>
                  <w:right w:val="single" w:color="auto" w:sz="4" w:space="0"/>
                </w:tcBorders>
              </w:tcPr>
              <w:p w14:paraId="09AF403F">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公司的中文名称</w:t>
                </w:r>
              </w:p>
            </w:tc>
          </w:sdtContent>
        </w:sdt>
        <w:sdt>
          <w:sdtPr>
            <w:rPr>
              <w:rFonts w:hint="eastAsia"/>
              <w:color w:val="000000" w:themeColor="text1"/>
              <w14:textFill>
                <w14:solidFill>
                  <w14:schemeClr w14:val="tx1"/>
                </w14:solidFill>
              </w14:textFill>
            </w:rPr>
            <w:alias w:val="公司法定中文名称"/>
            <w:tag w:val="_GBC_6f7f4fb261c84402a309f1371502ca4f"/>
            <w:id w:val="147481606"/>
            <w:dataBinding w:prefixMappings="xmlns:clcid-cgi='clcid-cgi'" w:xpath="/*/clcid-cgi:GongSiFaDingZhongWenMingCheng[not(@periodRef)]" w:storeItemID="{89EBAB94-44A0-46A2-B712-30D997D04A6D}"/>
            <w:text/>
          </w:sdtPr>
          <w:sdtEndPr>
            <w:rPr>
              <w:rFonts w:hint="eastAsia"/>
              <w:color w:val="000000" w:themeColor="text1"/>
              <w14:textFill>
                <w14:solidFill>
                  <w14:schemeClr w14:val="tx1"/>
                </w14:solidFill>
              </w14:textFill>
            </w:rPr>
          </w:sdtEndPr>
          <w:sdtContent>
            <w:tc>
              <w:tcPr>
                <w:tcW w:w="2831" w:type="pct"/>
                <w:tcBorders>
                  <w:top w:val="single" w:color="auto" w:sz="4" w:space="0"/>
                  <w:left w:val="single" w:color="auto" w:sz="4" w:space="0"/>
                  <w:bottom w:val="single" w:color="auto" w:sz="4" w:space="0"/>
                </w:tcBorders>
              </w:tcPr>
              <w:p w14:paraId="6DB4917B">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际华集团股份有限公司</w:t>
                </w:r>
              </w:p>
            </w:tc>
          </w:sdtContent>
        </w:sdt>
      </w:tr>
      <w:tr w14:paraId="0F66A9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7EDFB818">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公司的中文简称</w:t>
            </w:r>
          </w:p>
        </w:tc>
        <w:tc>
          <w:tcPr>
            <w:tcW w:w="2831" w:type="pct"/>
            <w:tcBorders>
              <w:top w:val="single" w:color="auto" w:sz="4" w:space="0"/>
              <w:left w:val="single" w:color="auto" w:sz="4" w:space="0"/>
              <w:bottom w:val="single" w:color="auto" w:sz="4" w:space="0"/>
            </w:tcBorders>
          </w:tcPr>
          <w:p w14:paraId="2FFBBB8A">
            <w:pPr>
              <w:kinsoku w:val="0"/>
              <w:overflowPunct w:val="0"/>
              <w:autoSpaceDE w:val="0"/>
              <w:autoSpaceDN w:val="0"/>
              <w:adjustRightInd w:val="0"/>
              <w:snapToGrid w:val="0"/>
            </w:pPr>
            <w:r>
              <w:rPr>
                <w:rFonts w:hint="eastAsia" w:cs="Times New Roman"/>
              </w:rPr>
              <w:t>际华集团</w:t>
            </w:r>
          </w:p>
        </w:tc>
      </w:tr>
      <w:tr w14:paraId="0BB0E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4A02B44B">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公司的外文名称</w:t>
            </w:r>
          </w:p>
        </w:tc>
        <w:tc>
          <w:tcPr>
            <w:tcW w:w="2831" w:type="pct"/>
            <w:tcBorders>
              <w:top w:val="single" w:color="auto" w:sz="4" w:space="0"/>
              <w:left w:val="single" w:color="auto" w:sz="4" w:space="0"/>
              <w:bottom w:val="single" w:color="auto" w:sz="4" w:space="0"/>
            </w:tcBorders>
          </w:tcPr>
          <w:p w14:paraId="4810248F">
            <w:pPr>
              <w:kinsoku w:val="0"/>
              <w:overflowPunct w:val="0"/>
              <w:autoSpaceDE w:val="0"/>
              <w:autoSpaceDN w:val="0"/>
              <w:adjustRightInd w:val="0"/>
              <w:snapToGrid w:val="0"/>
            </w:pPr>
            <w:r>
              <w:rPr>
                <w:rFonts w:hint="eastAsia" w:cs="Times New Roman"/>
              </w:rPr>
              <w:t>Jihua Group Corporation Limited</w:t>
            </w:r>
          </w:p>
        </w:tc>
      </w:tr>
      <w:tr w14:paraId="510310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15F04333">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公司的外文名称缩写</w:t>
            </w:r>
          </w:p>
        </w:tc>
        <w:tc>
          <w:tcPr>
            <w:tcW w:w="2831" w:type="pct"/>
            <w:tcBorders>
              <w:top w:val="single" w:color="auto" w:sz="4" w:space="0"/>
              <w:left w:val="single" w:color="auto" w:sz="4" w:space="0"/>
              <w:bottom w:val="single" w:color="auto" w:sz="4" w:space="0"/>
            </w:tcBorders>
          </w:tcPr>
          <w:p w14:paraId="11D0FBF2">
            <w:pPr>
              <w:kinsoku w:val="0"/>
              <w:overflowPunct w:val="0"/>
              <w:autoSpaceDE w:val="0"/>
              <w:autoSpaceDN w:val="0"/>
              <w:adjustRightInd w:val="0"/>
              <w:snapToGrid w:val="0"/>
            </w:pPr>
            <w:r>
              <w:rPr>
                <w:rFonts w:hint="eastAsia" w:cs="Times New Roman"/>
              </w:rPr>
              <w:t>Jihua Group</w:t>
            </w:r>
          </w:p>
        </w:tc>
      </w:tr>
      <w:tr w14:paraId="0D5C0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36F531E8">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w:t>
            </w:r>
            <w:r>
              <w:rPr>
                <w:rFonts w:hint="eastAsia"/>
                <w:color w:val="000000" w:themeColor="text1"/>
                <w14:textFill>
                  <w14:solidFill>
                    <w14:schemeClr w14:val="tx1"/>
                  </w14:solidFill>
                </w14:textFill>
              </w:rPr>
              <w:t>法定代表人</w:t>
            </w:r>
          </w:p>
        </w:tc>
        <w:tc>
          <w:tcPr>
            <w:tcW w:w="2831" w:type="pct"/>
            <w:tcBorders>
              <w:top w:val="single" w:color="auto" w:sz="4" w:space="0"/>
              <w:left w:val="single" w:color="auto" w:sz="4" w:space="0"/>
              <w:bottom w:val="single" w:color="auto" w:sz="4" w:space="0"/>
            </w:tcBorders>
          </w:tcPr>
          <w:sdt>
            <w:sdtPr>
              <w:rPr>
                <w:rFonts w:hint="eastAsia" w:cs="Times New Roman"/>
                <w:bCs w:val="0"/>
                <w:sz w:val="20"/>
                <w:szCs w:val="20"/>
              </w:rPr>
              <w:alias w:val="公司法定代表人"/>
              <w:tag w:val="_GBC_71327a0d8afa49e1aba9d42a68663413"/>
              <w:id w:val="147462454"/>
              <w:text/>
            </w:sdtPr>
            <w:sdtEndPr>
              <w:rPr>
                <w:rFonts w:hint="eastAsia" w:cs="Times New Roman"/>
                <w:bCs w:val="0"/>
                <w:sz w:val="20"/>
                <w:szCs w:val="20"/>
              </w:rPr>
            </w:sdtEndPr>
            <w:sdtContent>
              <w:p w14:paraId="0DF706BC">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bCs w:val="0"/>
                    <w:sz w:val="20"/>
                    <w:szCs w:val="20"/>
                  </w:rPr>
                  <w:t>夏前军</w:t>
                </w:r>
              </w:p>
            </w:sdtContent>
          </w:sdt>
        </w:tc>
      </w:tr>
    </w:tbl>
    <w:p w14:paraId="6E109E99">
      <w:pPr>
        <w:rPr>
          <w:color w:val="000000" w:themeColor="text1"/>
          <w14:textFill>
            <w14:solidFill>
              <w14:schemeClr w14:val="tx1"/>
            </w14:solidFill>
          </w14:textFill>
        </w:rPr>
      </w:pPr>
    </w:p>
    <w:p w14:paraId="6BB6165E">
      <w:pPr>
        <w:pStyle w:val="3"/>
        <w:numPr>
          <w:ilvl w:val="0"/>
          <w:numId w:val="4"/>
        </w:numPr>
        <w:ind w:left="0" w:firstLine="0"/>
        <w:rPr>
          <w:color w:val="000000" w:themeColor="text1"/>
          <w14:textFill>
            <w14:solidFill>
              <w14:schemeClr w14:val="tx1"/>
            </w14:solidFill>
          </w14:textFill>
        </w:rPr>
      </w:pPr>
      <w:bookmarkStart w:id="13" w:name="_Toc342565882"/>
      <w:bookmarkStart w:id="14" w:name="_Toc342051042"/>
      <w:r>
        <w:rPr>
          <w:rFonts w:hint="eastAsia"/>
          <w:color w:val="000000" w:themeColor="text1"/>
          <w14:textFill>
            <w14:solidFill>
              <w14:schemeClr w14:val="tx1"/>
            </w14:solidFill>
          </w14:textFill>
        </w:rPr>
        <w:t>联系人和联系方式</w:t>
      </w:r>
      <w:bookmarkEnd w:id="13"/>
      <w:bookmarkEnd w:id="14"/>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2962"/>
        <w:gridCol w:w="2965"/>
        <w:gridCol w:w="2965"/>
      </w:tblGrid>
      <w:tr w14:paraId="54A347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14:paraId="63E0ECB2">
            <w:pPr>
              <w:kinsoku w:val="0"/>
              <w:overflowPunct w:val="0"/>
              <w:autoSpaceDE w:val="0"/>
              <w:autoSpaceDN w:val="0"/>
              <w:adjustRightInd w:val="0"/>
              <w:snapToGrid w:val="0"/>
              <w:rPr>
                <w:color w:val="000000" w:themeColor="text1"/>
                <w14:textFill>
                  <w14:solidFill>
                    <w14:schemeClr w14:val="tx1"/>
                  </w14:solidFill>
                </w14:textFill>
              </w:rPr>
            </w:pPr>
          </w:p>
        </w:tc>
        <w:tc>
          <w:tcPr>
            <w:tcW w:w="1667" w:type="pct"/>
            <w:tcBorders>
              <w:top w:val="single" w:color="auto" w:sz="4" w:space="0"/>
              <w:left w:val="single" w:color="auto" w:sz="4" w:space="0"/>
              <w:bottom w:val="single" w:color="auto" w:sz="4" w:space="0"/>
              <w:right w:val="single" w:color="auto" w:sz="4" w:space="0"/>
            </w:tcBorders>
          </w:tcPr>
          <w:p w14:paraId="69F546CB">
            <w:pPr>
              <w:pStyle w:val="15"/>
              <w:kinsoku w:val="0"/>
              <w:overflowPunct w:val="0"/>
              <w:autoSpaceDE w:val="0"/>
              <w:autoSpaceDN w:val="0"/>
              <w:adjustRightInd w:val="0"/>
              <w:snapToGrid w:val="0"/>
              <w:jc w:val="center"/>
              <w:rPr>
                <w:rFonts w:ascii="宋体" w:hAnsi="宋体"/>
                <w:color w:val="000000" w:themeColor="text1"/>
                <w14:textFill>
                  <w14:solidFill>
                    <w14:schemeClr w14:val="tx1"/>
                  </w14:solidFill>
                </w14:textFill>
              </w:rPr>
            </w:pPr>
            <w:sdt>
              <w:sdtPr>
                <w:tag w:val="_PLD_d0432012a3f249c3b4fdd759ff340e86"/>
                <w:id w:val="147463758"/>
              </w:sdtPr>
              <w:sdtContent>
                <w:r>
                  <w:rPr>
                    <w:rFonts w:hint="eastAsia" w:ascii="宋体" w:hAnsi="宋体" w:cs="宋体"/>
                    <w:color w:val="000000" w:themeColor="text1"/>
                    <w14:textFill>
                      <w14:solidFill>
                        <w14:schemeClr w14:val="tx1"/>
                      </w14:solidFill>
                    </w14:textFill>
                  </w:rPr>
                  <w:t>董事会秘书</w:t>
                </w:r>
              </w:sdtContent>
            </w:sdt>
            <w:r>
              <w:rPr>
                <w:rFonts w:ascii="宋体" w:hAnsi="宋体"/>
                <w:color w:val="000000" w:themeColor="text1"/>
                <w14:textFill>
                  <w14:solidFill>
                    <w14:schemeClr w14:val="tx1"/>
                  </w14:solidFill>
                </w14:textFill>
              </w:rPr>
              <w:t xml:space="preserve"> </w:t>
            </w:r>
          </w:p>
        </w:tc>
        <w:sdt>
          <w:sdtPr>
            <w:tag w:val="_PLD_3a25396416c14d2cb0688ae0ac8a1d4d"/>
            <w:id w:val="147460152"/>
          </w:sdtPr>
          <w:sdtContent>
            <w:tc>
              <w:tcPr>
                <w:tcW w:w="1667" w:type="pct"/>
                <w:tcBorders>
                  <w:top w:val="single" w:color="auto" w:sz="4" w:space="0"/>
                  <w:left w:val="single" w:color="auto" w:sz="4" w:space="0"/>
                  <w:bottom w:val="single" w:color="auto" w:sz="4" w:space="0"/>
                </w:tcBorders>
              </w:tcPr>
              <w:p w14:paraId="4DA01CA2">
                <w:pPr>
                  <w:pStyle w:val="15"/>
                  <w:kinsoku w:val="0"/>
                  <w:overflowPunct w:val="0"/>
                  <w:autoSpaceDE w:val="0"/>
                  <w:autoSpaceDN w:val="0"/>
                  <w:adjustRightInd w:val="0"/>
                  <w:snapToGri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证券事务代表</w:t>
                </w:r>
              </w:p>
            </w:tc>
          </w:sdtContent>
        </w:sdt>
      </w:tr>
      <w:tr w14:paraId="53E97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14:paraId="6441B426">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c>
          <w:tcPr>
            <w:tcW w:w="1667" w:type="pct"/>
            <w:tcBorders>
              <w:top w:val="single" w:color="auto" w:sz="4" w:space="0"/>
              <w:left w:val="single" w:color="auto" w:sz="4" w:space="0"/>
              <w:bottom w:val="single" w:color="auto" w:sz="4" w:space="0"/>
              <w:right w:val="single" w:color="auto" w:sz="4" w:space="0"/>
            </w:tcBorders>
          </w:tcPr>
          <w:p w14:paraId="52FD8306">
            <w:pPr>
              <w:kinsoku w:val="0"/>
              <w:overflowPunct w:val="0"/>
              <w:autoSpaceDE w:val="0"/>
              <w:autoSpaceDN w:val="0"/>
              <w:adjustRightInd w:val="0"/>
              <w:snapToGrid w:val="0"/>
            </w:pPr>
            <w:r>
              <w:rPr>
                <w:rFonts w:hint="eastAsia" w:cs="Times New Roman"/>
              </w:rPr>
              <w:t>冯晓</w:t>
            </w:r>
          </w:p>
        </w:tc>
        <w:tc>
          <w:tcPr>
            <w:tcW w:w="1667" w:type="pct"/>
            <w:tcBorders>
              <w:top w:val="single" w:color="auto" w:sz="4" w:space="0"/>
              <w:left w:val="single" w:color="auto" w:sz="4" w:space="0"/>
              <w:bottom w:val="single" w:color="auto" w:sz="4" w:space="0"/>
            </w:tcBorders>
          </w:tcPr>
          <w:p w14:paraId="5E3B28E4">
            <w:pPr>
              <w:kinsoku w:val="0"/>
              <w:overflowPunct w:val="0"/>
              <w:autoSpaceDE w:val="0"/>
              <w:autoSpaceDN w:val="0"/>
              <w:adjustRightInd w:val="0"/>
              <w:snapToGrid w:val="0"/>
            </w:pPr>
            <w:r>
              <w:rPr>
                <w:rFonts w:hint="eastAsia" w:cs="Times New Roman"/>
              </w:rPr>
              <w:t>李丹</w:t>
            </w:r>
          </w:p>
        </w:tc>
      </w:tr>
      <w:tr w14:paraId="60E157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14:paraId="26E84842">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联系地址</w:t>
            </w:r>
          </w:p>
        </w:tc>
        <w:tc>
          <w:tcPr>
            <w:tcW w:w="1667" w:type="pct"/>
            <w:tcBorders>
              <w:top w:val="single" w:color="auto" w:sz="4" w:space="0"/>
              <w:left w:val="single" w:color="auto" w:sz="4" w:space="0"/>
              <w:bottom w:val="single" w:color="auto" w:sz="4" w:space="0"/>
              <w:right w:val="single" w:color="auto" w:sz="4" w:space="0"/>
            </w:tcBorders>
          </w:tcPr>
          <w:p w14:paraId="655F12CF">
            <w:pPr>
              <w:kinsoku w:val="0"/>
              <w:overflowPunct w:val="0"/>
              <w:autoSpaceDE w:val="0"/>
              <w:autoSpaceDN w:val="0"/>
              <w:adjustRightInd w:val="0"/>
              <w:snapToGrid w:val="0"/>
            </w:pPr>
            <w:sdt>
              <w:sdtPr>
                <w:rPr>
                  <w:rFonts w:hint="eastAsia" w:cs="Times New Roman"/>
                </w:rPr>
                <w:alias w:val="公司注册地址"/>
                <w:tag w:val="_GBC_176149bee7bf41819b29097eb854f331"/>
                <w:id w:val="147458650"/>
              </w:sdtPr>
              <w:sdtEndPr>
                <w:rPr>
                  <w:rFonts w:hint="eastAsia" w:cs="Times New Roman"/>
                </w:rPr>
              </w:sdtEndPr>
              <w:sdtContent>
                <w:r>
                  <w:rPr>
                    <w:rFonts w:hint="eastAsia" w:cs="Times New Roman"/>
                  </w:rPr>
                  <w:t>北京市大兴区广茂大街44号院2号楼</w:t>
                </w:r>
              </w:sdtContent>
            </w:sdt>
            <w:r>
              <w:rPr>
                <w:rFonts w:hint="eastAsia" w:cs="Times New Roman"/>
              </w:rPr>
              <w:t>4层</w:t>
            </w:r>
          </w:p>
        </w:tc>
        <w:tc>
          <w:tcPr>
            <w:tcW w:w="1667" w:type="pct"/>
            <w:tcBorders>
              <w:top w:val="single" w:color="auto" w:sz="4" w:space="0"/>
              <w:left w:val="single" w:color="auto" w:sz="4" w:space="0"/>
              <w:bottom w:val="single" w:color="auto" w:sz="4" w:space="0"/>
            </w:tcBorders>
          </w:tcPr>
          <w:p w14:paraId="5E7C7024">
            <w:pPr>
              <w:kinsoku w:val="0"/>
              <w:overflowPunct w:val="0"/>
              <w:autoSpaceDE w:val="0"/>
              <w:autoSpaceDN w:val="0"/>
              <w:adjustRightInd w:val="0"/>
              <w:snapToGrid w:val="0"/>
            </w:pPr>
            <w:r>
              <w:rPr>
                <w:rFonts w:hint="eastAsia" w:cs="Times New Roman"/>
              </w:rPr>
              <w:t>北京市大兴区广茂大街44号院2号楼4层</w:t>
            </w:r>
          </w:p>
        </w:tc>
      </w:tr>
      <w:tr w14:paraId="297978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14:paraId="7CD6FDFD">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电话</w:t>
            </w:r>
          </w:p>
        </w:tc>
        <w:tc>
          <w:tcPr>
            <w:tcW w:w="1667" w:type="pct"/>
            <w:tcBorders>
              <w:top w:val="single" w:color="auto" w:sz="4" w:space="0"/>
              <w:left w:val="single" w:color="auto" w:sz="4" w:space="0"/>
              <w:bottom w:val="single" w:color="auto" w:sz="4" w:space="0"/>
              <w:right w:val="single" w:color="auto" w:sz="4" w:space="0"/>
            </w:tcBorders>
          </w:tcPr>
          <w:p w14:paraId="6369A14B">
            <w:pPr>
              <w:kinsoku w:val="0"/>
              <w:overflowPunct w:val="0"/>
              <w:autoSpaceDE w:val="0"/>
              <w:autoSpaceDN w:val="0"/>
              <w:adjustRightInd w:val="0"/>
              <w:snapToGrid w:val="0"/>
            </w:pPr>
            <w:r>
              <w:rPr>
                <w:rFonts w:hint="eastAsia" w:cs="Times New Roman"/>
              </w:rPr>
              <w:t>010-87601718</w:t>
            </w:r>
          </w:p>
        </w:tc>
        <w:tc>
          <w:tcPr>
            <w:tcW w:w="1667" w:type="pct"/>
            <w:tcBorders>
              <w:top w:val="single" w:color="auto" w:sz="4" w:space="0"/>
              <w:left w:val="single" w:color="auto" w:sz="4" w:space="0"/>
              <w:bottom w:val="single" w:color="auto" w:sz="4" w:space="0"/>
            </w:tcBorders>
          </w:tcPr>
          <w:p w14:paraId="28148486">
            <w:pPr>
              <w:kinsoku w:val="0"/>
              <w:overflowPunct w:val="0"/>
              <w:autoSpaceDE w:val="0"/>
              <w:autoSpaceDN w:val="0"/>
              <w:adjustRightInd w:val="0"/>
              <w:snapToGrid w:val="0"/>
            </w:pPr>
            <w:r>
              <w:rPr>
                <w:rFonts w:hint="eastAsia" w:cs="Times New Roman"/>
              </w:rPr>
              <w:t>010-87601718</w:t>
            </w:r>
          </w:p>
        </w:tc>
      </w:tr>
      <w:tr w14:paraId="103051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14:paraId="6AD4C51C">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传真</w:t>
            </w:r>
          </w:p>
        </w:tc>
        <w:tc>
          <w:tcPr>
            <w:tcW w:w="1667" w:type="pct"/>
            <w:tcBorders>
              <w:top w:val="single" w:color="auto" w:sz="4" w:space="0"/>
              <w:left w:val="single" w:color="auto" w:sz="4" w:space="0"/>
              <w:bottom w:val="single" w:color="auto" w:sz="4" w:space="0"/>
              <w:right w:val="single" w:color="auto" w:sz="4" w:space="0"/>
            </w:tcBorders>
          </w:tcPr>
          <w:p w14:paraId="198C67CC">
            <w:pPr>
              <w:kinsoku w:val="0"/>
              <w:overflowPunct w:val="0"/>
              <w:autoSpaceDE w:val="0"/>
              <w:autoSpaceDN w:val="0"/>
              <w:adjustRightInd w:val="0"/>
              <w:snapToGrid w:val="0"/>
            </w:pPr>
            <w:r>
              <w:rPr>
                <w:rFonts w:hint="eastAsia" w:cs="Times New Roman"/>
              </w:rPr>
              <w:t>010-87601718</w:t>
            </w:r>
          </w:p>
        </w:tc>
        <w:tc>
          <w:tcPr>
            <w:tcW w:w="1667" w:type="pct"/>
            <w:tcBorders>
              <w:top w:val="single" w:color="auto" w:sz="4" w:space="0"/>
              <w:left w:val="single" w:color="auto" w:sz="4" w:space="0"/>
              <w:bottom w:val="single" w:color="auto" w:sz="4" w:space="0"/>
            </w:tcBorders>
          </w:tcPr>
          <w:p w14:paraId="45E4D5AB">
            <w:pPr>
              <w:kinsoku w:val="0"/>
              <w:overflowPunct w:val="0"/>
              <w:autoSpaceDE w:val="0"/>
              <w:autoSpaceDN w:val="0"/>
              <w:adjustRightInd w:val="0"/>
              <w:snapToGrid w:val="0"/>
            </w:pPr>
            <w:r>
              <w:rPr>
                <w:rFonts w:hint="eastAsia" w:cs="Times New Roman"/>
              </w:rPr>
              <w:t>010-87601718</w:t>
            </w:r>
          </w:p>
        </w:tc>
      </w:tr>
      <w:tr w14:paraId="48968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14:paraId="37D29BDB">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电子信箱</w:t>
            </w:r>
          </w:p>
        </w:tc>
        <w:tc>
          <w:tcPr>
            <w:tcW w:w="1667" w:type="pct"/>
            <w:tcBorders>
              <w:top w:val="single" w:color="auto" w:sz="4" w:space="0"/>
              <w:left w:val="single" w:color="auto" w:sz="4" w:space="0"/>
              <w:bottom w:val="single" w:color="auto" w:sz="4" w:space="0"/>
              <w:right w:val="single" w:color="auto" w:sz="4" w:space="0"/>
            </w:tcBorders>
          </w:tcPr>
          <w:p w14:paraId="359F3238">
            <w:pPr>
              <w:kinsoku w:val="0"/>
              <w:overflowPunct w:val="0"/>
              <w:autoSpaceDE w:val="0"/>
              <w:autoSpaceDN w:val="0"/>
              <w:adjustRightInd w:val="0"/>
              <w:snapToGrid w:val="0"/>
            </w:pPr>
            <w:r>
              <w:rPr>
                <w:rFonts w:hint="eastAsia" w:cs="Times New Roman"/>
              </w:rPr>
              <w:t>ir@jihuachina.com</w:t>
            </w:r>
          </w:p>
        </w:tc>
        <w:tc>
          <w:tcPr>
            <w:tcW w:w="1667" w:type="pct"/>
            <w:tcBorders>
              <w:top w:val="single" w:color="auto" w:sz="4" w:space="0"/>
              <w:left w:val="single" w:color="auto" w:sz="4" w:space="0"/>
              <w:bottom w:val="single" w:color="auto" w:sz="4" w:space="0"/>
            </w:tcBorders>
          </w:tcPr>
          <w:p w14:paraId="1ABE05FC">
            <w:pPr>
              <w:kinsoku w:val="0"/>
              <w:overflowPunct w:val="0"/>
              <w:autoSpaceDE w:val="0"/>
              <w:autoSpaceDN w:val="0"/>
              <w:adjustRightInd w:val="0"/>
              <w:snapToGrid w:val="0"/>
            </w:pPr>
            <w:r>
              <w:rPr>
                <w:rFonts w:hint="eastAsia" w:cs="Times New Roman"/>
              </w:rPr>
              <w:t>ir@jihuachina.com</w:t>
            </w:r>
          </w:p>
        </w:tc>
      </w:tr>
    </w:tbl>
    <w:p w14:paraId="3EB21428">
      <w:pPr>
        <w:rPr>
          <w:color w:val="000000" w:themeColor="text1"/>
          <w14:textFill>
            <w14:solidFill>
              <w14:schemeClr w14:val="tx1"/>
            </w14:solidFill>
          </w14:textFill>
        </w:rPr>
      </w:pPr>
    </w:p>
    <w:p w14:paraId="09BD849C">
      <w:pPr>
        <w:pStyle w:val="3"/>
        <w:numPr>
          <w:ilvl w:val="0"/>
          <w:numId w:val="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基本情况变更简介</w:t>
      </w:r>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14:paraId="2A1A76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85d89a4aa7974727a1dc32c53cb7ca26"/>
            <w:id w:val="147454837"/>
          </w:sdtPr>
          <w:sdtContent>
            <w:tc>
              <w:tcPr>
                <w:tcW w:w="2169" w:type="pct"/>
                <w:tcBorders>
                  <w:top w:val="single" w:color="auto" w:sz="4" w:space="0"/>
                  <w:bottom w:val="single" w:color="auto" w:sz="4" w:space="0"/>
                  <w:right w:val="single" w:color="auto" w:sz="4" w:space="0"/>
                </w:tcBorders>
              </w:tcPr>
              <w:p w14:paraId="1EEC6758">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公司注册地址</w:t>
                </w:r>
              </w:p>
            </w:tc>
          </w:sdtContent>
        </w:sdt>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注册地址"/>
              <w:tag w:val="_GBC_176149bee7bf41819b29097eb854f331"/>
              <w:id w:val="147453166"/>
              <w:lock w:val="sdtLocked"/>
            </w:sdtPr>
            <w:sdtEndPr>
              <w:rPr>
                <w:rFonts w:cs="Times New Roman"/>
                <w:bCs w:val="0"/>
                <w:sz w:val="20"/>
                <w:szCs w:val="20"/>
              </w:rPr>
            </w:sdtEndPr>
            <w:sdtContent>
              <w:p w14:paraId="4D44D4BC">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北京市大兴区广茂大街44号院2号楼</w:t>
                </w:r>
              </w:p>
            </w:sdtContent>
          </w:sdt>
        </w:tc>
      </w:tr>
      <w:tr w14:paraId="76F39D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5721C2DA">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公司注册地址的历史变更情况</w:t>
            </w:r>
          </w:p>
        </w:tc>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注册地址的历史变更情况"/>
              <w:tag w:val="_GBC_1ae6dbe87be04682949409d4dbd0335e"/>
              <w:id w:val="147464250"/>
              <w:lock w:val="sdtLocked"/>
            </w:sdtPr>
            <w:sdtEndPr>
              <w:rPr>
                <w:rFonts w:cs="Times New Roman"/>
                <w:bCs w:val="0"/>
                <w:sz w:val="20"/>
                <w:szCs w:val="20"/>
              </w:rPr>
            </w:sdtEndPr>
            <w:sdtContent>
              <w:p w14:paraId="041588D5">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2022年11月17日，公司注册地址由“北京市丰台区南四环西路188号十五区6号楼”变更为“北京市大兴区广茂大街44号院2号楼”。</w:t>
                </w:r>
              </w:p>
            </w:sdtContent>
          </w:sdt>
        </w:tc>
      </w:tr>
      <w:tr w14:paraId="282561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72ABA409">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公司办公地址</w:t>
            </w:r>
          </w:p>
        </w:tc>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办公地址"/>
              <w:tag w:val="_GBC_5d7ed1a91af0489a99a8b9a1eb39057e"/>
              <w:id w:val="147463424"/>
              <w:lock w:val="sdtLocked"/>
            </w:sdtPr>
            <w:sdtEndPr>
              <w:rPr>
                <w:rFonts w:cs="Times New Roman"/>
                <w:bCs w:val="0"/>
                <w:sz w:val="20"/>
                <w:szCs w:val="20"/>
              </w:rPr>
            </w:sdtEndPr>
            <w:sdtContent>
              <w:p w14:paraId="1BF60B84">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北京市大兴区广茂大街44号院2号楼</w:t>
                </w:r>
              </w:p>
            </w:sdtContent>
          </w:sdt>
        </w:tc>
      </w:tr>
      <w:tr w14:paraId="67DEA4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3B67B2C7">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公司办公地址的邮政编码</w:t>
            </w:r>
          </w:p>
        </w:tc>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办公地址邮政编码"/>
              <w:tag w:val="_GBC_0b586d6a76e74eb5bfd69803dd5b3f21"/>
              <w:id w:val="147462464"/>
              <w:lock w:val="sdtLocked"/>
            </w:sdtPr>
            <w:sdtEndPr>
              <w:rPr>
                <w:rFonts w:cs="Times New Roman"/>
                <w:bCs w:val="0"/>
                <w:sz w:val="20"/>
                <w:szCs w:val="20"/>
              </w:rPr>
            </w:sdtEndPr>
            <w:sdtContent>
              <w:p w14:paraId="3C02CF6C">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102627</w:t>
                </w:r>
              </w:p>
            </w:sdtContent>
          </w:sdt>
        </w:tc>
      </w:tr>
      <w:tr w14:paraId="5792DB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16057591">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公司网址</w:t>
            </w:r>
          </w:p>
        </w:tc>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国际互联网网址"/>
              <w:tag w:val="_GBC_7230b5ca49734fc2ad410245ff685045"/>
              <w:id w:val="147472669"/>
              <w:lock w:val="sdtLocked"/>
            </w:sdtPr>
            <w:sdtEndPr>
              <w:rPr>
                <w:rFonts w:cs="Times New Roman"/>
                <w:bCs w:val="0"/>
                <w:sz w:val="20"/>
                <w:szCs w:val="20"/>
              </w:rPr>
            </w:sdtEndPr>
            <w:sdtContent>
              <w:p w14:paraId="09BC65BE">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http://www.jihuachina.com</w:t>
                </w:r>
              </w:p>
            </w:sdtContent>
          </w:sdt>
        </w:tc>
      </w:tr>
      <w:tr w14:paraId="39693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7E0AFBC4">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电子信箱</w:t>
            </w:r>
          </w:p>
        </w:tc>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电子信箱"/>
              <w:tag w:val="_GBC_229dc578e23341bbaf9302c6a1aaeb1e"/>
              <w:id w:val="147478203"/>
              <w:lock w:val="sdtLocked"/>
            </w:sdtPr>
            <w:sdtEndPr>
              <w:rPr>
                <w:rFonts w:cs="Times New Roman"/>
                <w:bCs w:val="0"/>
                <w:sz w:val="20"/>
                <w:szCs w:val="20"/>
              </w:rPr>
            </w:sdtEndPr>
            <w:sdtContent>
              <w:p w14:paraId="0F1CE651">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ir@jihuachina.com</w:t>
                </w:r>
              </w:p>
            </w:sdtContent>
          </w:sdt>
        </w:tc>
      </w:tr>
      <w:tr w14:paraId="3D0D0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0CA8EEB5">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报告期内变更情况查询索引</w:t>
            </w:r>
          </w:p>
        </w:tc>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基本情况报告期内变更查询索引"/>
              <w:tag w:val="_GBC_faa254795096437fb73ed03d5cbc1c7e"/>
              <w:id w:val="147457291"/>
              <w:lock w:val="sdtLocked"/>
            </w:sdtPr>
            <w:sdtEndPr>
              <w:rPr>
                <w:rFonts w:cs="Times New Roman"/>
                <w:bCs w:val="0"/>
                <w:sz w:val="20"/>
                <w:szCs w:val="20"/>
              </w:rPr>
            </w:sdtEndPr>
            <w:sdtContent>
              <w:p w14:paraId="218C2BB0">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不适用</w:t>
                </w:r>
              </w:p>
            </w:sdtContent>
          </w:sdt>
        </w:tc>
      </w:tr>
    </w:tbl>
    <w:p w14:paraId="059AF79D">
      <w:pPr>
        <w:kinsoku w:val="0"/>
        <w:overflowPunct w:val="0"/>
        <w:autoSpaceDE w:val="0"/>
        <w:autoSpaceDN w:val="0"/>
        <w:adjustRightInd w:val="0"/>
        <w:snapToGrid w:val="0"/>
        <w:rPr>
          <w:color w:val="000000" w:themeColor="text1"/>
          <w14:textFill>
            <w14:solidFill>
              <w14:schemeClr w14:val="tx1"/>
            </w14:solidFill>
          </w14:textFill>
        </w:rPr>
      </w:pPr>
    </w:p>
    <w:p w14:paraId="03B82799">
      <w:pPr>
        <w:pStyle w:val="3"/>
        <w:numPr>
          <w:ilvl w:val="0"/>
          <w:numId w:val="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信息披露及备置地点变更情况简介</w:t>
      </w:r>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14:paraId="3C0E23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5a9e1277ac2b48eb8d7aa1b69c532d31"/>
            <w:id w:val="147466286"/>
          </w:sdtPr>
          <w:sdtContent>
            <w:tc>
              <w:tcPr>
                <w:tcW w:w="2169" w:type="pct"/>
                <w:tcBorders>
                  <w:top w:val="single" w:color="auto" w:sz="4" w:space="0"/>
                  <w:bottom w:val="single" w:color="auto" w:sz="4" w:space="0"/>
                  <w:right w:val="single" w:color="auto" w:sz="4" w:space="0"/>
                </w:tcBorders>
              </w:tcPr>
              <w:p w14:paraId="6E7B6532">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公司选定的信息披露报纸名称</w:t>
                </w:r>
              </w:p>
            </w:tc>
          </w:sdtContent>
        </w:sdt>
        <w:tc>
          <w:tcPr>
            <w:tcW w:w="2831" w:type="pct"/>
            <w:tcBorders>
              <w:top w:val="single" w:color="auto" w:sz="4" w:space="0"/>
              <w:left w:val="single" w:color="auto" w:sz="4" w:space="0"/>
              <w:bottom w:val="single" w:color="auto" w:sz="4" w:space="0"/>
            </w:tcBorders>
            <w:vAlign w:val="center"/>
          </w:tcPr>
          <w:sdt>
            <w:sdtPr>
              <w:rPr>
                <w:rFonts w:cs="Times New Roman"/>
                <w:bCs w:val="0"/>
                <w:sz w:val="20"/>
                <w:szCs w:val="20"/>
              </w:rPr>
              <w:alias w:val="公司选定的信息披露报纸名称"/>
              <w:tag w:val="_GBC_ea25303a54e24033a0a9a380e9688e98"/>
              <w:id w:val="147456477"/>
              <w:lock w:val="sdtLocked"/>
            </w:sdtPr>
            <w:sdtEndPr>
              <w:rPr>
                <w:rFonts w:cs="Times New Roman"/>
                <w:bCs w:val="0"/>
                <w:sz w:val="20"/>
                <w:szCs w:val="20"/>
              </w:rPr>
            </w:sdtEndPr>
            <w:sdtContent>
              <w:p w14:paraId="0904D188">
                <w:pPr>
                  <w:kinsoku w:val="0"/>
                  <w:overflowPunct w:val="0"/>
                  <w:autoSpaceDE w:val="0"/>
                  <w:autoSpaceDN w:val="0"/>
                  <w:adjustRightInd w:val="0"/>
                  <w:snapToGrid w:val="0"/>
                  <w:rPr>
                    <w:color w:val="000000" w:themeColor="text1"/>
                    <w14:textFill>
                      <w14:solidFill>
                        <w14:schemeClr w14:val="tx1"/>
                      </w14:solidFill>
                    </w14:textFill>
                  </w:rPr>
                </w:pPr>
                <w:r>
                  <w:rPr>
                    <w:rFonts w:hint="eastAsia" w:cs="Times New Roman"/>
                  </w:rPr>
                  <w:t>中国证券报</w:t>
                </w:r>
              </w:p>
            </w:sdtContent>
          </w:sdt>
        </w:tc>
      </w:tr>
      <w:tr w14:paraId="33B666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423408A8">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登载半年度报告的</w:t>
            </w:r>
            <w:r>
              <w:rPr>
                <w:rFonts w:hint="eastAsia"/>
                <w:color w:val="000000" w:themeColor="text1"/>
                <w14:textFill>
                  <w14:solidFill>
                    <w14:schemeClr w14:val="tx1"/>
                  </w14:solidFill>
                </w14:textFill>
              </w:rPr>
              <w:t>网站地</w:t>
            </w:r>
            <w:r>
              <w:rPr>
                <w:color w:val="000000" w:themeColor="text1"/>
                <w14:textFill>
                  <w14:solidFill>
                    <w14:schemeClr w14:val="tx1"/>
                  </w14:solidFill>
                </w14:textFill>
              </w:rPr>
              <w:t>址</w:t>
            </w:r>
          </w:p>
        </w:tc>
        <w:tc>
          <w:tcPr>
            <w:tcW w:w="2831" w:type="pct"/>
            <w:tcBorders>
              <w:top w:val="single" w:color="auto" w:sz="4" w:space="0"/>
              <w:left w:val="single" w:color="auto" w:sz="4" w:space="0"/>
              <w:bottom w:val="single" w:color="auto" w:sz="4" w:space="0"/>
            </w:tcBorders>
            <w:vAlign w:val="center"/>
          </w:tcPr>
          <w:p w14:paraId="433CFFE5">
            <w:pPr>
              <w:kinsoku w:val="0"/>
              <w:overflowPunct w:val="0"/>
              <w:autoSpaceDE w:val="0"/>
              <w:autoSpaceDN w:val="0"/>
              <w:adjustRightInd w:val="0"/>
              <w:snapToGrid w:val="0"/>
            </w:pPr>
            <w:r>
              <w:rPr>
                <w:rFonts w:hint="eastAsia" w:cs="Times New Roman"/>
              </w:rPr>
              <w:t>http://www.sse.com.cn</w:t>
            </w:r>
          </w:p>
        </w:tc>
      </w:tr>
      <w:tr w14:paraId="0C1227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6D83D77D">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公司半年度报告备置地点</w:t>
            </w:r>
          </w:p>
        </w:tc>
        <w:tc>
          <w:tcPr>
            <w:tcW w:w="2831" w:type="pct"/>
            <w:tcBorders>
              <w:top w:val="single" w:color="auto" w:sz="4" w:space="0"/>
              <w:left w:val="single" w:color="auto" w:sz="4" w:space="0"/>
              <w:bottom w:val="single" w:color="auto" w:sz="4" w:space="0"/>
            </w:tcBorders>
            <w:vAlign w:val="center"/>
          </w:tcPr>
          <w:p w14:paraId="4A812E2A">
            <w:pPr>
              <w:kinsoku w:val="0"/>
              <w:overflowPunct w:val="0"/>
              <w:autoSpaceDE w:val="0"/>
              <w:autoSpaceDN w:val="0"/>
              <w:adjustRightInd w:val="0"/>
              <w:snapToGrid w:val="0"/>
            </w:pPr>
            <w:r>
              <w:rPr>
                <w:rFonts w:hint="eastAsia" w:cs="Times New Roman"/>
              </w:rPr>
              <w:t>公司董事会办公室</w:t>
            </w:r>
          </w:p>
        </w:tc>
      </w:tr>
      <w:tr w14:paraId="2B39C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14:paraId="594AEC7A">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报告期内变更情况查询索引</w:t>
            </w:r>
          </w:p>
        </w:tc>
        <w:tc>
          <w:tcPr>
            <w:tcW w:w="2831" w:type="pct"/>
            <w:tcBorders>
              <w:top w:val="single" w:color="auto" w:sz="4" w:space="0"/>
              <w:left w:val="single" w:color="auto" w:sz="4" w:space="0"/>
              <w:bottom w:val="single" w:color="auto" w:sz="4" w:space="0"/>
            </w:tcBorders>
            <w:vAlign w:val="center"/>
          </w:tcPr>
          <w:p w14:paraId="207C144B">
            <w:pPr>
              <w:kinsoku w:val="0"/>
              <w:overflowPunct w:val="0"/>
              <w:autoSpaceDE w:val="0"/>
              <w:autoSpaceDN w:val="0"/>
              <w:adjustRightInd w:val="0"/>
              <w:snapToGrid w:val="0"/>
            </w:pPr>
            <w:r>
              <w:rPr>
                <w:rFonts w:hint="eastAsia" w:cs="Times New Roman"/>
              </w:rPr>
              <w:t>不适用</w:t>
            </w:r>
          </w:p>
        </w:tc>
      </w:tr>
    </w:tbl>
    <w:p w14:paraId="35097132">
      <w:pPr>
        <w:rPr>
          <w:color w:val="000000" w:themeColor="text1"/>
          <w14:textFill>
            <w14:solidFill>
              <w14:schemeClr w14:val="tx1"/>
            </w14:solidFill>
          </w14:textFill>
        </w:rPr>
      </w:pPr>
    </w:p>
    <w:p w14:paraId="339529F8">
      <w:pPr>
        <w:pStyle w:val="3"/>
        <w:numPr>
          <w:ilvl w:val="0"/>
          <w:numId w:val="4"/>
        </w:numPr>
        <w:ind w:left="0" w:firstLine="0"/>
        <w:rPr>
          <w:color w:val="000000" w:themeColor="text1"/>
          <w14:textFill>
            <w14:solidFill>
              <w14:schemeClr w14:val="tx1"/>
            </w14:solidFill>
          </w14:textFill>
        </w:rPr>
      </w:pPr>
      <w:bookmarkStart w:id="15" w:name="_Toc342051045"/>
      <w:bookmarkStart w:id="16" w:name="_Toc342565885"/>
      <w:r>
        <w:rPr>
          <w:rFonts w:hint="eastAsia"/>
          <w:color w:val="000000" w:themeColor="text1"/>
          <w14:textFill>
            <w14:solidFill>
              <w14:schemeClr w14:val="tx1"/>
            </w14:solidFill>
          </w14:textFill>
        </w:rPr>
        <w:t>公司股票简况</w:t>
      </w:r>
      <w:bookmarkEnd w:id="15"/>
      <w:bookmarkEnd w:id="16"/>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2222"/>
        <w:gridCol w:w="2224"/>
        <w:gridCol w:w="2224"/>
        <w:gridCol w:w="2224"/>
      </w:tblGrid>
      <w:tr w14:paraId="547C9F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136d907086394f5eaee0ec7d22ac5510"/>
            <w:id w:val="147456924"/>
          </w:sdtPr>
          <w:sdtContent>
            <w:tc>
              <w:tcPr>
                <w:tcW w:w="1250" w:type="pct"/>
                <w:tcBorders>
                  <w:top w:val="single" w:color="auto" w:sz="4" w:space="0"/>
                  <w:bottom w:val="single" w:color="auto" w:sz="4" w:space="0"/>
                  <w:right w:val="single" w:color="auto" w:sz="4" w:space="0"/>
                </w:tcBorders>
              </w:tcPr>
              <w:p w14:paraId="13F1898F">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股票种类</w:t>
                </w:r>
              </w:p>
            </w:tc>
          </w:sdtContent>
        </w:sdt>
        <w:sdt>
          <w:sdtPr>
            <w:tag w:val="_PLD_6a843bcbb5a24c0aa6b5fa899c00d11d"/>
            <w:id w:val="147458507"/>
          </w:sdtPr>
          <w:sdtContent>
            <w:tc>
              <w:tcPr>
                <w:tcW w:w="1250" w:type="pct"/>
                <w:tcBorders>
                  <w:top w:val="single" w:color="auto" w:sz="4" w:space="0"/>
                  <w:left w:val="single" w:color="auto" w:sz="4" w:space="0"/>
                  <w:bottom w:val="single" w:color="auto" w:sz="4" w:space="0"/>
                  <w:right w:val="single" w:color="auto" w:sz="4" w:space="0"/>
                </w:tcBorders>
              </w:tcPr>
              <w:p w14:paraId="18DDF6B9">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股票上市交易所</w:t>
                </w:r>
              </w:p>
            </w:tc>
          </w:sdtContent>
        </w:sdt>
        <w:sdt>
          <w:sdtPr>
            <w:tag w:val="_PLD_c012a58bb3cc4bbd9a7de1f52bd17553"/>
            <w:id w:val="147451273"/>
          </w:sdtPr>
          <w:sdtContent>
            <w:tc>
              <w:tcPr>
                <w:tcW w:w="1250" w:type="pct"/>
                <w:tcBorders>
                  <w:top w:val="single" w:color="auto" w:sz="4" w:space="0"/>
                  <w:left w:val="single" w:color="auto" w:sz="4" w:space="0"/>
                  <w:bottom w:val="single" w:color="auto" w:sz="4" w:space="0"/>
                  <w:right w:val="single" w:color="auto" w:sz="4" w:space="0"/>
                </w:tcBorders>
              </w:tcPr>
              <w:p w14:paraId="41ECCDCE">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股票简称</w:t>
                </w:r>
              </w:p>
            </w:tc>
          </w:sdtContent>
        </w:sdt>
        <w:sdt>
          <w:sdtPr>
            <w:tag w:val="_PLD_9fa1e8781b094b29b21027138e9f63e8"/>
            <w:id w:val="147477953"/>
          </w:sdtPr>
          <w:sdtContent>
            <w:tc>
              <w:tcPr>
                <w:tcW w:w="1250" w:type="pct"/>
                <w:tcBorders>
                  <w:top w:val="single" w:color="auto" w:sz="4" w:space="0"/>
                  <w:left w:val="single" w:color="auto" w:sz="4" w:space="0"/>
                  <w:bottom w:val="single" w:color="auto" w:sz="4" w:space="0"/>
                  <w:right w:val="single" w:color="auto" w:sz="4" w:space="0"/>
                </w:tcBorders>
              </w:tcPr>
              <w:p w14:paraId="67F6D07B">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股票代码</w:t>
                </w:r>
              </w:p>
            </w:tc>
          </w:sdtContent>
        </w:sdt>
      </w:tr>
      <w:tr w14:paraId="4A307B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250" w:type="pct"/>
            <w:tcBorders>
              <w:top w:val="single" w:color="auto" w:sz="4" w:space="0"/>
              <w:bottom w:val="single" w:color="auto" w:sz="4" w:space="0"/>
              <w:right w:val="single" w:color="auto" w:sz="4" w:space="0"/>
            </w:tcBorders>
            <w:vAlign w:val="center"/>
          </w:tcPr>
          <w:p w14:paraId="2520DD23">
            <w:pPr>
              <w:kinsoku w:val="0"/>
              <w:overflowPunct w:val="0"/>
              <w:autoSpaceDE w:val="0"/>
              <w:autoSpaceDN w:val="0"/>
              <w:adjustRightInd w:val="0"/>
              <w:snapToGrid w:val="0"/>
              <w:jc w:val="center"/>
            </w:pPr>
            <w:r>
              <w:rPr>
                <w:rFonts w:hint="eastAsia" w:cs="Times New Roman"/>
              </w:rPr>
              <w:t>A股</w:t>
            </w:r>
          </w:p>
        </w:tc>
        <w:tc>
          <w:tcPr>
            <w:tcW w:w="1250" w:type="pct"/>
            <w:tcBorders>
              <w:top w:val="single" w:color="auto" w:sz="4" w:space="0"/>
              <w:left w:val="single" w:color="auto" w:sz="4" w:space="0"/>
              <w:bottom w:val="single" w:color="auto" w:sz="4" w:space="0"/>
              <w:right w:val="single" w:color="auto" w:sz="4" w:space="0"/>
            </w:tcBorders>
            <w:vAlign w:val="center"/>
          </w:tcPr>
          <w:p w14:paraId="782E2C7F">
            <w:pPr>
              <w:kinsoku w:val="0"/>
              <w:overflowPunct w:val="0"/>
              <w:autoSpaceDE w:val="0"/>
              <w:autoSpaceDN w:val="0"/>
              <w:adjustRightInd w:val="0"/>
              <w:snapToGrid w:val="0"/>
              <w:jc w:val="center"/>
            </w:pPr>
            <w:r>
              <w:rPr>
                <w:rFonts w:hint="eastAsia" w:cs="Times New Roman"/>
              </w:rPr>
              <w:t>上海证券交易所</w:t>
            </w:r>
          </w:p>
        </w:tc>
        <w:tc>
          <w:tcPr>
            <w:tcW w:w="1250" w:type="pct"/>
            <w:tcBorders>
              <w:top w:val="single" w:color="auto" w:sz="4" w:space="0"/>
              <w:left w:val="single" w:color="auto" w:sz="4" w:space="0"/>
              <w:bottom w:val="single" w:color="auto" w:sz="4" w:space="0"/>
              <w:right w:val="single" w:color="auto" w:sz="4" w:space="0"/>
            </w:tcBorders>
            <w:vAlign w:val="center"/>
          </w:tcPr>
          <w:p w14:paraId="190A18A7">
            <w:pPr>
              <w:kinsoku w:val="0"/>
              <w:overflowPunct w:val="0"/>
              <w:autoSpaceDE w:val="0"/>
              <w:autoSpaceDN w:val="0"/>
              <w:adjustRightInd w:val="0"/>
              <w:snapToGrid w:val="0"/>
              <w:jc w:val="center"/>
            </w:pPr>
            <w:r>
              <w:rPr>
                <w:rFonts w:hint="eastAsia" w:cs="Times New Roman"/>
              </w:rPr>
              <w:t>际华集团</w:t>
            </w:r>
          </w:p>
        </w:tc>
        <w:tc>
          <w:tcPr>
            <w:tcW w:w="1250" w:type="pct"/>
            <w:tcBorders>
              <w:top w:val="single" w:color="auto" w:sz="4" w:space="0"/>
              <w:left w:val="single" w:color="auto" w:sz="4" w:space="0"/>
              <w:bottom w:val="single" w:color="auto" w:sz="4" w:space="0"/>
              <w:right w:val="single" w:color="auto" w:sz="4" w:space="0"/>
            </w:tcBorders>
            <w:vAlign w:val="center"/>
          </w:tcPr>
          <w:p w14:paraId="1512B662">
            <w:pPr>
              <w:kinsoku w:val="0"/>
              <w:overflowPunct w:val="0"/>
              <w:autoSpaceDE w:val="0"/>
              <w:autoSpaceDN w:val="0"/>
              <w:adjustRightInd w:val="0"/>
              <w:snapToGrid w:val="0"/>
              <w:jc w:val="center"/>
            </w:pPr>
            <w:r>
              <w:rPr>
                <w:rFonts w:hint="eastAsia" w:cs="Times New Roman"/>
              </w:rPr>
              <w:t>601718</w:t>
            </w:r>
          </w:p>
        </w:tc>
      </w:tr>
    </w:tbl>
    <w:p w14:paraId="6ECBFEDC">
      <w:pPr>
        <w:pStyle w:val="55"/>
      </w:pPr>
    </w:p>
    <w:p w14:paraId="2CFE29C3">
      <w:pPr>
        <w:pStyle w:val="3"/>
        <w:numPr>
          <w:ilvl w:val="0"/>
          <w:numId w:val="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其他有关资料</w:t>
      </w:r>
    </w:p>
    <w:sdt>
      <w:sdtPr>
        <w:rPr>
          <w:color w:val="000000" w:themeColor="text1"/>
          <w14:textFill>
            <w14:solidFill>
              <w14:schemeClr w14:val="tx1"/>
            </w14:solidFill>
          </w14:textFill>
        </w:rPr>
        <w:alias w:val="是否适用：其他有关资料[双击切换]"/>
        <w:tag w:val="_GBC_78c3cc115c0d4dd3bf5e7c57142e5e68"/>
        <w:id w:val="147472333"/>
        <w:placeholder>
          <w:docPart w:val="GBC22222222222222222222222222222"/>
        </w:placeholder>
      </w:sdtPr>
      <w:sdtEndPr>
        <w:rPr>
          <w:color w:val="000000" w:themeColor="text1"/>
          <w14:textFill>
            <w14:solidFill>
              <w14:schemeClr w14:val="tx1"/>
            </w14:solidFill>
          </w14:textFill>
        </w:rPr>
      </w:sdtEndPr>
      <w:sdtContent>
        <w:p w14:paraId="310CB7C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E17BABF">
      <w:pPr>
        <w:rPr>
          <w:color w:val="000000" w:themeColor="text1"/>
          <w:bdr w:val="single" w:color="auto" w:sz="4" w:space="0"/>
          <w14:textFill>
            <w14:solidFill>
              <w14:schemeClr w14:val="tx1"/>
            </w14:solidFill>
          </w14:textFill>
        </w:rPr>
      </w:pPr>
    </w:p>
    <w:p w14:paraId="2085125E">
      <w:pPr>
        <w:pStyle w:val="3"/>
        <w:numPr>
          <w:ilvl w:val="0"/>
          <w:numId w:val="4"/>
        </w:numPr>
        <w:ind w:left="0" w:firstLine="0"/>
        <w:rPr>
          <w:color w:val="000000" w:themeColor="text1"/>
          <w14:textFill>
            <w14:solidFill>
              <w14:schemeClr w14:val="tx1"/>
            </w14:solidFill>
          </w14:textFill>
        </w:rPr>
      </w:pPr>
      <w:bookmarkStart w:id="17" w:name="_Toc342565889"/>
      <w:bookmarkStart w:id="18" w:name="_Toc342056397"/>
      <w:r>
        <w:rPr>
          <w:rFonts w:hint="eastAsia"/>
          <w:color w:val="000000" w:themeColor="text1"/>
          <w14:textFill>
            <w14:solidFill>
              <w14:schemeClr w14:val="tx1"/>
            </w14:solidFill>
          </w14:textFill>
        </w:rPr>
        <w:t>公司主要会计数据和财务指标</w:t>
      </w:r>
    </w:p>
    <w:bookmarkEnd w:id="17"/>
    <w:bookmarkEnd w:id="18"/>
    <w:p w14:paraId="1E355F68">
      <w:pPr>
        <w:pStyle w:val="4"/>
        <w:numPr>
          <w:ilvl w:val="1"/>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主要会计数据</w:t>
      </w:r>
    </w:p>
    <w:p w14:paraId="19CC644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末公司前三年主要会计数据和财务指标"/>
          <w:tag w:val="_GBC_c7cd0dd826b247dbba8cc8b1a811aefb"/>
          <w:id w:val="1474636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报告期末公司前三年主要会计数据和财务指标"/>
          <w:tag w:val="_GBC_2df6a5d441324c13bcf6c4c54ac41eb0"/>
          <w:id w:val="1474529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7"/>
        <w:gridCol w:w="1821"/>
        <w:gridCol w:w="1792"/>
        <w:gridCol w:w="1759"/>
      </w:tblGrid>
      <w:tr w14:paraId="57E2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sdt>
          <w:sdtPr>
            <w:tag w:val="_PLD_e63d02b963714237aa4678b1878c888d"/>
            <w:id w:val="-1587214299"/>
          </w:sdtPr>
          <w:sdtContent>
            <w:tc>
              <w:tcPr>
                <w:tcW w:w="2031" w:type="pct"/>
                <w:vAlign w:val="center"/>
              </w:tcPr>
              <w:p w14:paraId="23A2D4D4">
                <w:pPr>
                  <w:widowControl w:val="0"/>
                  <w:kinsoku w:val="0"/>
                  <w:overflowPunct w:val="0"/>
                  <w:autoSpaceDE w:val="0"/>
                  <w:autoSpaceDN w:val="0"/>
                  <w:adjustRightInd w:val="0"/>
                  <w:snapToGrid w:val="0"/>
                  <w:jc w:val="center"/>
                  <w:rPr>
                    <w:color w:val="000000" w:themeColor="text1"/>
                    <w14:textFill>
                      <w14:solidFill>
                        <w14:schemeClr w14:val="tx1"/>
                      </w14:solidFill>
                    </w14:textFill>
                  </w:rPr>
                </w:pPr>
                <w:bookmarkStart w:id="19" w:name="_Hlk72769913"/>
                <w:r>
                  <w:rPr>
                    <w:rFonts w:hint="eastAsia"/>
                    <w:color w:val="000000" w:themeColor="text1"/>
                    <w14:textFill>
                      <w14:solidFill>
                        <w14:schemeClr w14:val="tx1"/>
                      </w14:solidFill>
                    </w14:textFill>
                  </w:rPr>
                  <w:t>主要会计数据</w:t>
                </w:r>
              </w:p>
            </w:tc>
          </w:sdtContent>
        </w:sdt>
        <w:sdt>
          <w:sdtPr>
            <w:tag w:val="_PLD_913ae157f7e74eee947ea98d96be3599"/>
            <w:id w:val="-927426803"/>
          </w:sdtPr>
          <w:sdtContent>
            <w:tc>
              <w:tcPr>
                <w:tcW w:w="1006" w:type="pct"/>
                <w:vAlign w:val="center"/>
              </w:tcPr>
              <w:p w14:paraId="29F3C3FC">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报告期</w:t>
                </w:r>
              </w:p>
              <w:p w14:paraId="1878D2F6">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（1－6月）</w:t>
                </w:r>
              </w:p>
            </w:tc>
          </w:sdtContent>
        </w:sdt>
        <w:sdt>
          <w:sdtPr>
            <w:tag w:val="_PLD_0f32665f64034720b1ecd674058f4d8b"/>
            <w:id w:val="606473388"/>
          </w:sdtPr>
          <w:sdtContent>
            <w:tc>
              <w:tcPr>
                <w:tcW w:w="990" w:type="pct"/>
                <w:vAlign w:val="center"/>
              </w:tcPr>
              <w:p w14:paraId="4983C834">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上年同期</w:t>
                </w:r>
              </w:p>
            </w:tc>
          </w:sdtContent>
        </w:sdt>
        <w:sdt>
          <w:sdtPr>
            <w:tag w:val="_PLD_e634aa67fe8c44038b152224d8a245d6"/>
            <w:id w:val="2039775224"/>
          </w:sdtPr>
          <w:sdtContent>
            <w:tc>
              <w:tcPr>
                <w:tcW w:w="971" w:type="pct"/>
                <w:vAlign w:val="center"/>
              </w:tcPr>
              <w:p w14:paraId="3ABB939C">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本报告期比上年同期增减(%)</w:t>
                </w:r>
              </w:p>
            </w:tc>
          </w:sdtContent>
        </w:sdt>
      </w:tr>
      <w:tr w14:paraId="5C8A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601d7d8438f74f1c9abca1ce60a4f163"/>
            <w:id w:val="-1315177053"/>
          </w:sdtPr>
          <w:sdtContent>
            <w:tc>
              <w:tcPr>
                <w:tcW w:w="2031" w:type="pct"/>
              </w:tcPr>
              <w:p w14:paraId="2E3899C7">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营业收入</w:t>
                </w:r>
              </w:p>
            </w:tc>
          </w:sdtContent>
        </w:sdt>
        <w:tc>
          <w:tcPr>
            <w:tcW w:w="1006" w:type="pct"/>
            <w:vAlign w:val="center"/>
          </w:tcPr>
          <w:p w14:paraId="7C59D20A">
            <w:pPr>
              <w:widowControl w:val="0"/>
              <w:kinsoku w:val="0"/>
              <w:overflowPunct w:val="0"/>
              <w:autoSpaceDE w:val="0"/>
              <w:autoSpaceDN w:val="0"/>
              <w:adjustRightInd w:val="0"/>
              <w:snapToGrid w:val="0"/>
              <w:jc w:val="right"/>
            </w:pPr>
            <w:r>
              <w:rPr>
                <w:rFonts w:hint="eastAsia"/>
              </w:rPr>
              <w:t>3,207,731,942.85</w:t>
            </w:r>
          </w:p>
        </w:tc>
        <w:tc>
          <w:tcPr>
            <w:tcW w:w="990" w:type="pct"/>
            <w:vAlign w:val="center"/>
          </w:tcPr>
          <w:p w14:paraId="33D9EDA2">
            <w:pPr>
              <w:widowControl w:val="0"/>
              <w:kinsoku w:val="0"/>
              <w:overflowPunct w:val="0"/>
              <w:autoSpaceDE w:val="0"/>
              <w:autoSpaceDN w:val="0"/>
              <w:adjustRightInd w:val="0"/>
              <w:snapToGrid w:val="0"/>
              <w:jc w:val="right"/>
              <w:rPr>
                <w:bCs w:val="0"/>
              </w:rPr>
            </w:pPr>
            <w:r>
              <w:rPr>
                <w:rFonts w:hint="eastAsia"/>
              </w:rPr>
              <w:t>5,204,229,384.76</w:t>
            </w:r>
          </w:p>
        </w:tc>
        <w:tc>
          <w:tcPr>
            <w:tcW w:w="971" w:type="pct"/>
            <w:vAlign w:val="center"/>
          </w:tcPr>
          <w:p w14:paraId="3163A4CF">
            <w:pPr>
              <w:widowControl w:val="0"/>
              <w:kinsoku w:val="0"/>
              <w:overflowPunct w:val="0"/>
              <w:autoSpaceDE w:val="0"/>
              <w:autoSpaceDN w:val="0"/>
              <w:adjustRightInd w:val="0"/>
              <w:snapToGrid w:val="0"/>
              <w:jc w:val="right"/>
            </w:pPr>
            <w:r>
              <w:rPr>
                <w:rFonts w:hint="eastAsia"/>
              </w:rPr>
              <w:t>-38.36</w:t>
            </w:r>
          </w:p>
        </w:tc>
      </w:tr>
      <w:tr w14:paraId="5A5A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1" w:type="pct"/>
          </w:tcPr>
          <w:sdt>
            <w:sdtPr>
              <w:tag w:val="_PLD_481bf739c56b45a8a7307a26a5c45b0a"/>
              <w:id w:val="-791738400"/>
            </w:sdtPr>
            <w:sdtContent>
              <w:p w14:paraId="4E91B3F4">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利润总额</w:t>
                </w:r>
              </w:p>
            </w:sdtContent>
          </w:sdt>
        </w:tc>
        <w:tc>
          <w:tcPr>
            <w:tcW w:w="1006" w:type="pct"/>
            <w:vAlign w:val="center"/>
          </w:tcPr>
          <w:p w14:paraId="49BE49C5">
            <w:pPr>
              <w:widowControl w:val="0"/>
              <w:kinsoku w:val="0"/>
              <w:overflowPunct w:val="0"/>
              <w:autoSpaceDE w:val="0"/>
              <w:autoSpaceDN w:val="0"/>
              <w:adjustRightInd w:val="0"/>
              <w:snapToGrid w:val="0"/>
              <w:jc w:val="right"/>
            </w:pPr>
            <w:r>
              <w:t>-55,817,783.71</w:t>
            </w:r>
          </w:p>
        </w:tc>
        <w:tc>
          <w:tcPr>
            <w:tcW w:w="990" w:type="pct"/>
            <w:vAlign w:val="center"/>
          </w:tcPr>
          <w:p w14:paraId="0070F82D">
            <w:pPr>
              <w:widowControl w:val="0"/>
              <w:kinsoku w:val="0"/>
              <w:overflowPunct w:val="0"/>
              <w:autoSpaceDE w:val="0"/>
              <w:autoSpaceDN w:val="0"/>
              <w:adjustRightInd w:val="0"/>
              <w:snapToGrid w:val="0"/>
              <w:jc w:val="right"/>
              <w:rPr>
                <w:bCs w:val="0"/>
              </w:rPr>
            </w:pPr>
            <w:r>
              <w:t>-7,937,984.70</w:t>
            </w:r>
          </w:p>
        </w:tc>
        <w:tc>
          <w:tcPr>
            <w:tcW w:w="971" w:type="pct"/>
            <w:vAlign w:val="center"/>
          </w:tcPr>
          <w:p w14:paraId="05B42488">
            <w:pPr>
              <w:widowControl w:val="0"/>
              <w:kinsoku w:val="0"/>
              <w:overflowPunct w:val="0"/>
              <w:autoSpaceDE w:val="0"/>
              <w:autoSpaceDN w:val="0"/>
              <w:adjustRightInd w:val="0"/>
              <w:snapToGrid w:val="0"/>
              <w:jc w:val="right"/>
            </w:pPr>
            <w:r>
              <w:t>不适用</w:t>
            </w:r>
          </w:p>
        </w:tc>
      </w:tr>
      <w:tr w14:paraId="6C27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1825ec6c60fc481f877063c3cecfffca"/>
            <w:id w:val="1640610185"/>
          </w:sdtPr>
          <w:sdtContent>
            <w:tc>
              <w:tcPr>
                <w:tcW w:w="2031" w:type="pct"/>
              </w:tcPr>
              <w:p w14:paraId="071C2DF6">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归属于上市公司股东的净利润</w:t>
                </w:r>
              </w:p>
            </w:tc>
          </w:sdtContent>
        </w:sdt>
        <w:tc>
          <w:tcPr>
            <w:tcW w:w="1006" w:type="pct"/>
            <w:vAlign w:val="center"/>
          </w:tcPr>
          <w:p w14:paraId="0B8686DC">
            <w:pPr>
              <w:widowControl w:val="0"/>
              <w:kinsoku w:val="0"/>
              <w:overflowPunct w:val="0"/>
              <w:autoSpaceDE w:val="0"/>
              <w:autoSpaceDN w:val="0"/>
              <w:adjustRightInd w:val="0"/>
              <w:snapToGrid w:val="0"/>
              <w:jc w:val="right"/>
            </w:pPr>
            <w:r>
              <w:rPr>
                <w:rFonts w:hint="eastAsia"/>
              </w:rPr>
              <w:t>-79,031,846.24</w:t>
            </w:r>
          </w:p>
        </w:tc>
        <w:tc>
          <w:tcPr>
            <w:tcW w:w="990" w:type="pct"/>
            <w:vAlign w:val="center"/>
          </w:tcPr>
          <w:p w14:paraId="4E3E0FCC">
            <w:pPr>
              <w:widowControl w:val="0"/>
              <w:kinsoku w:val="0"/>
              <w:overflowPunct w:val="0"/>
              <w:autoSpaceDE w:val="0"/>
              <w:autoSpaceDN w:val="0"/>
              <w:adjustRightInd w:val="0"/>
              <w:snapToGrid w:val="0"/>
              <w:jc w:val="right"/>
              <w:rPr>
                <w:bCs w:val="0"/>
              </w:rPr>
            </w:pPr>
            <w:r>
              <w:rPr>
                <w:rFonts w:hint="eastAsia"/>
              </w:rPr>
              <w:t>-18,828,390.85</w:t>
            </w:r>
          </w:p>
        </w:tc>
        <w:tc>
          <w:tcPr>
            <w:tcW w:w="971" w:type="pct"/>
            <w:vAlign w:val="center"/>
          </w:tcPr>
          <w:p w14:paraId="435FCFC6">
            <w:pPr>
              <w:widowControl w:val="0"/>
              <w:kinsoku w:val="0"/>
              <w:overflowPunct w:val="0"/>
              <w:autoSpaceDE w:val="0"/>
              <w:autoSpaceDN w:val="0"/>
              <w:adjustRightInd w:val="0"/>
              <w:snapToGrid w:val="0"/>
              <w:jc w:val="right"/>
            </w:pPr>
            <w:r>
              <w:rPr>
                <w:rFonts w:hint="eastAsia"/>
              </w:rPr>
              <w:t>不适用</w:t>
            </w:r>
          </w:p>
        </w:tc>
      </w:tr>
      <w:tr w14:paraId="6844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f59cc08add024388b79135816e85f0a1"/>
            <w:id w:val="440570432"/>
          </w:sdtPr>
          <w:sdtContent>
            <w:tc>
              <w:tcPr>
                <w:tcW w:w="2031" w:type="pct"/>
              </w:tcPr>
              <w:p w14:paraId="05E6E504">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归属于上市公司股东的扣除非经常性损益的净利润</w:t>
                </w:r>
              </w:p>
            </w:tc>
          </w:sdtContent>
        </w:sdt>
        <w:tc>
          <w:tcPr>
            <w:tcW w:w="1006" w:type="pct"/>
            <w:vAlign w:val="center"/>
          </w:tcPr>
          <w:p w14:paraId="406EA36F">
            <w:pPr>
              <w:widowControl w:val="0"/>
              <w:kinsoku w:val="0"/>
              <w:overflowPunct w:val="0"/>
              <w:autoSpaceDE w:val="0"/>
              <w:autoSpaceDN w:val="0"/>
              <w:adjustRightInd w:val="0"/>
              <w:snapToGrid w:val="0"/>
              <w:jc w:val="right"/>
            </w:pPr>
            <w:r>
              <w:rPr>
                <w:rFonts w:hint="eastAsia"/>
              </w:rPr>
              <w:t>-145,785,600.38</w:t>
            </w:r>
          </w:p>
        </w:tc>
        <w:tc>
          <w:tcPr>
            <w:tcW w:w="990" w:type="pct"/>
            <w:vAlign w:val="center"/>
          </w:tcPr>
          <w:p w14:paraId="343503D8">
            <w:pPr>
              <w:widowControl w:val="0"/>
              <w:kinsoku w:val="0"/>
              <w:overflowPunct w:val="0"/>
              <w:autoSpaceDE w:val="0"/>
              <w:autoSpaceDN w:val="0"/>
              <w:adjustRightInd w:val="0"/>
              <w:snapToGrid w:val="0"/>
              <w:jc w:val="right"/>
              <w:rPr>
                <w:bCs w:val="0"/>
              </w:rPr>
            </w:pPr>
            <w:r>
              <w:rPr>
                <w:rFonts w:hint="eastAsia"/>
              </w:rPr>
              <w:t>-8,715,761.51</w:t>
            </w:r>
          </w:p>
        </w:tc>
        <w:tc>
          <w:tcPr>
            <w:tcW w:w="971" w:type="pct"/>
            <w:vAlign w:val="center"/>
          </w:tcPr>
          <w:p w14:paraId="0A364919">
            <w:pPr>
              <w:widowControl w:val="0"/>
              <w:kinsoku w:val="0"/>
              <w:overflowPunct w:val="0"/>
              <w:autoSpaceDE w:val="0"/>
              <w:autoSpaceDN w:val="0"/>
              <w:adjustRightInd w:val="0"/>
              <w:snapToGrid w:val="0"/>
              <w:jc w:val="right"/>
            </w:pPr>
            <w:r>
              <w:rPr>
                <w:rFonts w:hint="eastAsia"/>
              </w:rPr>
              <w:t>不适用</w:t>
            </w:r>
          </w:p>
        </w:tc>
      </w:tr>
      <w:tr w14:paraId="2BD3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895da6708d8042d69e93b2530ead8964"/>
            <w:id w:val="-46684196"/>
          </w:sdtPr>
          <w:sdtContent>
            <w:tc>
              <w:tcPr>
                <w:tcW w:w="2031" w:type="pct"/>
              </w:tcPr>
              <w:p w14:paraId="51046A4D">
                <w:pPr>
                  <w:widowControl w:val="0"/>
                  <w:kinsoku w:val="0"/>
                  <w:overflowPunct w:val="0"/>
                  <w:autoSpaceDE w:val="0"/>
                  <w:autoSpaceDN w:val="0"/>
                  <w:adjustRightInd w:val="0"/>
                  <w:snapToGrid w:val="0"/>
                  <w:jc w:val="both"/>
                  <w:rPr>
                    <w:color w:val="000000" w:themeColor="text1"/>
                    <w:highlight w:val="magenta"/>
                    <w14:textFill>
                      <w14:solidFill>
                        <w14:schemeClr w14:val="tx1"/>
                      </w14:solidFill>
                    </w14:textFill>
                  </w:rPr>
                </w:pPr>
                <w:r>
                  <w:rPr>
                    <w:rFonts w:hint="eastAsia"/>
                    <w:color w:val="000000" w:themeColor="text1"/>
                    <w14:textFill>
                      <w14:solidFill>
                        <w14:schemeClr w14:val="tx1"/>
                      </w14:solidFill>
                    </w14:textFill>
                  </w:rPr>
                  <w:t>经营活动产生的现金流量净额</w:t>
                </w:r>
              </w:p>
            </w:tc>
          </w:sdtContent>
        </w:sdt>
        <w:tc>
          <w:tcPr>
            <w:tcW w:w="1006" w:type="pct"/>
            <w:vAlign w:val="center"/>
          </w:tcPr>
          <w:p w14:paraId="434FF09F">
            <w:pPr>
              <w:widowControl w:val="0"/>
              <w:kinsoku w:val="0"/>
              <w:overflowPunct w:val="0"/>
              <w:autoSpaceDE w:val="0"/>
              <w:autoSpaceDN w:val="0"/>
              <w:adjustRightInd w:val="0"/>
              <w:snapToGrid w:val="0"/>
              <w:jc w:val="right"/>
            </w:pPr>
            <w:r>
              <w:rPr>
                <w:rFonts w:hint="eastAsia"/>
              </w:rPr>
              <w:t>-896,712,065.16</w:t>
            </w:r>
          </w:p>
        </w:tc>
        <w:tc>
          <w:tcPr>
            <w:tcW w:w="990" w:type="pct"/>
            <w:vAlign w:val="center"/>
          </w:tcPr>
          <w:p w14:paraId="39E5596C">
            <w:pPr>
              <w:widowControl w:val="0"/>
              <w:kinsoku w:val="0"/>
              <w:overflowPunct w:val="0"/>
              <w:autoSpaceDE w:val="0"/>
              <w:autoSpaceDN w:val="0"/>
              <w:adjustRightInd w:val="0"/>
              <w:snapToGrid w:val="0"/>
              <w:jc w:val="right"/>
            </w:pPr>
            <w:r>
              <w:rPr>
                <w:rFonts w:hint="eastAsia"/>
              </w:rPr>
              <w:t>-1,618,356,756.77</w:t>
            </w:r>
          </w:p>
        </w:tc>
        <w:tc>
          <w:tcPr>
            <w:tcW w:w="971" w:type="pct"/>
            <w:vAlign w:val="center"/>
          </w:tcPr>
          <w:p w14:paraId="7BC1A0A2">
            <w:pPr>
              <w:widowControl w:val="0"/>
              <w:kinsoku w:val="0"/>
              <w:overflowPunct w:val="0"/>
              <w:autoSpaceDE w:val="0"/>
              <w:autoSpaceDN w:val="0"/>
              <w:adjustRightInd w:val="0"/>
              <w:snapToGrid w:val="0"/>
              <w:jc w:val="right"/>
            </w:pPr>
            <w:r>
              <w:rPr>
                <w:rFonts w:hint="eastAsia"/>
              </w:rPr>
              <w:t>不适用</w:t>
            </w:r>
          </w:p>
        </w:tc>
      </w:tr>
      <w:sdt>
        <w:sdtPr>
          <w:alias w:val="主要时期数会计数据"/>
          <w:tag w:val="_GBC_4b6455b0069141d59ef27889062d8c76"/>
          <w:id w:val="419996112"/>
          <w:placeholder>
            <w:docPart w:val="{ed865f5d-8d72-4c4d-bd97-136fffbf140a}"/>
          </w:placeholder>
        </w:sdtPr>
        <w:sdtContent>
          <w:sdt>
            <w:sdtPr>
              <w:alias w:val="主要时期数会计数据"/>
              <w:tag w:val="_GBC_4b6455b0069141d59ef27889062d8c76"/>
              <w:id w:val="1770498400"/>
              <w:placeholder>
                <w:docPart w:val="{ed865f5d-8d72-4c4d-bd97-136fffbf140a}"/>
              </w:placeholder>
            </w:sdtPr>
            <w:sdtContent>
              <w:tr w14:paraId="7C37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031" w:type="pct"/>
                    <w:vAlign w:val="center"/>
                  </w:tcPr>
                  <w:p w14:paraId="34DA754B">
                    <w:pPr>
                      <w:widowControl w:val="0"/>
                      <w:kinsoku w:val="0"/>
                      <w:overflowPunct w:val="0"/>
                      <w:autoSpaceDE w:val="0"/>
                      <w:autoSpaceDN w:val="0"/>
                      <w:adjustRightInd w:val="0"/>
                      <w:snapToGrid w:val="0"/>
                      <w:jc w:val="center"/>
                      <w:rPr>
                        <w:color w:val="000000" w:themeColor="text1"/>
                        <w14:textFill>
                          <w14:solidFill>
                            <w14:schemeClr w14:val="tx1"/>
                          </w14:solidFill>
                        </w14:textFill>
                      </w:rPr>
                    </w:pPr>
                  </w:p>
                </w:tc>
                <w:sdt>
                  <w:sdtPr>
                    <w:tag w:val="_PLD_b75e9aa554cc48539ab9de572d244f45"/>
                    <w:id w:val="1383531750"/>
                  </w:sdtPr>
                  <w:sdtContent>
                    <w:tc>
                      <w:tcPr>
                        <w:tcW w:w="1006" w:type="pct"/>
                        <w:vAlign w:val="center"/>
                      </w:tcPr>
                      <w:p w14:paraId="4D32BC48">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本报告期末</w:t>
                        </w:r>
                      </w:p>
                    </w:tc>
                  </w:sdtContent>
                </w:sdt>
                <w:sdt>
                  <w:sdtPr>
                    <w:tag w:val="_PLD_7425b2bc6a39452296814978a781ba72"/>
                    <w:id w:val="747926670"/>
                  </w:sdtPr>
                  <w:sdtContent>
                    <w:tc>
                      <w:tcPr>
                        <w:tcW w:w="990" w:type="pct"/>
                        <w:vAlign w:val="center"/>
                      </w:tcPr>
                      <w:p w14:paraId="308B200A">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上年度末</w:t>
                        </w:r>
                      </w:p>
                    </w:tc>
                  </w:sdtContent>
                </w:sdt>
                <w:sdt>
                  <w:sdtPr>
                    <w:tag w:val="_PLD_7a1ba9a6d9b54e51bd320f47b6233184"/>
                    <w:id w:val="-995406892"/>
                  </w:sdtPr>
                  <w:sdtContent>
                    <w:tc>
                      <w:tcPr>
                        <w:tcW w:w="971" w:type="pct"/>
                        <w:vAlign w:val="center"/>
                      </w:tcPr>
                      <w:p w14:paraId="0A9AB9D1">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本报告期末比上年度末增减(%)</w:t>
                        </w:r>
                      </w:p>
                    </w:tc>
                  </w:sdtContent>
                </w:sdt>
              </w:tr>
            </w:sdtContent>
          </w:sdt>
        </w:sdtContent>
      </w:sdt>
      <w:tr w14:paraId="627D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c12ab31af03f46e4bd02eb659877c070"/>
            <w:id w:val="484056766"/>
          </w:sdtPr>
          <w:sdtContent>
            <w:tc>
              <w:tcPr>
                <w:tcW w:w="2031" w:type="pct"/>
              </w:tcPr>
              <w:p w14:paraId="60B02766">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归属于上市公司股东的净资产</w:t>
                </w:r>
              </w:p>
            </w:tc>
          </w:sdtContent>
        </w:sdt>
        <w:tc>
          <w:tcPr>
            <w:tcW w:w="1006" w:type="pct"/>
            <w:vAlign w:val="center"/>
          </w:tcPr>
          <w:p w14:paraId="70FEE23B">
            <w:pPr>
              <w:widowControl w:val="0"/>
              <w:kinsoku w:val="0"/>
              <w:overflowPunct w:val="0"/>
              <w:autoSpaceDE w:val="0"/>
              <w:autoSpaceDN w:val="0"/>
              <w:adjustRightInd w:val="0"/>
              <w:snapToGrid w:val="0"/>
              <w:jc w:val="right"/>
            </w:pPr>
            <w:r>
              <w:rPr>
                <w:rFonts w:hint="eastAsia"/>
              </w:rPr>
              <w:t>12,494,090,072.05</w:t>
            </w:r>
          </w:p>
        </w:tc>
        <w:tc>
          <w:tcPr>
            <w:tcW w:w="990" w:type="pct"/>
            <w:vAlign w:val="center"/>
          </w:tcPr>
          <w:p w14:paraId="47A87C28">
            <w:pPr>
              <w:widowControl w:val="0"/>
              <w:kinsoku w:val="0"/>
              <w:overflowPunct w:val="0"/>
              <w:autoSpaceDE w:val="0"/>
              <w:autoSpaceDN w:val="0"/>
              <w:adjustRightInd w:val="0"/>
              <w:snapToGrid w:val="0"/>
              <w:jc w:val="right"/>
              <w:rPr>
                <w:bCs w:val="0"/>
              </w:rPr>
            </w:pPr>
            <w:r>
              <w:rPr>
                <w:rFonts w:hint="eastAsia"/>
              </w:rPr>
              <w:t>12,613,688,608.06</w:t>
            </w:r>
          </w:p>
        </w:tc>
        <w:tc>
          <w:tcPr>
            <w:tcW w:w="971" w:type="pct"/>
            <w:vAlign w:val="center"/>
          </w:tcPr>
          <w:p w14:paraId="3D1B388C">
            <w:pPr>
              <w:widowControl w:val="0"/>
              <w:kinsoku w:val="0"/>
              <w:overflowPunct w:val="0"/>
              <w:autoSpaceDE w:val="0"/>
              <w:autoSpaceDN w:val="0"/>
              <w:adjustRightInd w:val="0"/>
              <w:snapToGrid w:val="0"/>
              <w:jc w:val="right"/>
            </w:pPr>
            <w:r>
              <w:rPr>
                <w:rFonts w:hint="eastAsia"/>
              </w:rPr>
              <w:t>-0.95</w:t>
            </w:r>
          </w:p>
        </w:tc>
      </w:tr>
      <w:tr w14:paraId="7913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c9e79cad72304cada434a9145656a31f"/>
            <w:id w:val="-1570799666"/>
          </w:sdtPr>
          <w:sdtContent>
            <w:tc>
              <w:tcPr>
                <w:tcW w:w="2031" w:type="pct"/>
              </w:tcPr>
              <w:p w14:paraId="4C68BAF3">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总资产</w:t>
                </w:r>
              </w:p>
            </w:tc>
          </w:sdtContent>
        </w:sdt>
        <w:tc>
          <w:tcPr>
            <w:tcW w:w="1006" w:type="pct"/>
            <w:vAlign w:val="center"/>
          </w:tcPr>
          <w:p w14:paraId="50873919">
            <w:pPr>
              <w:widowControl w:val="0"/>
              <w:kinsoku w:val="0"/>
              <w:overflowPunct w:val="0"/>
              <w:autoSpaceDE w:val="0"/>
              <w:autoSpaceDN w:val="0"/>
              <w:adjustRightInd w:val="0"/>
              <w:snapToGrid w:val="0"/>
              <w:jc w:val="right"/>
            </w:pPr>
            <w:r>
              <w:rPr>
                <w:rFonts w:hint="eastAsia"/>
              </w:rPr>
              <w:t>21,663,866,816.93</w:t>
            </w:r>
          </w:p>
        </w:tc>
        <w:tc>
          <w:tcPr>
            <w:tcW w:w="990" w:type="pct"/>
            <w:vAlign w:val="center"/>
          </w:tcPr>
          <w:p w14:paraId="3913A286">
            <w:pPr>
              <w:widowControl w:val="0"/>
              <w:kinsoku w:val="0"/>
              <w:overflowPunct w:val="0"/>
              <w:autoSpaceDE w:val="0"/>
              <w:autoSpaceDN w:val="0"/>
              <w:adjustRightInd w:val="0"/>
              <w:snapToGrid w:val="0"/>
              <w:jc w:val="right"/>
              <w:rPr>
                <w:bCs w:val="0"/>
              </w:rPr>
            </w:pPr>
            <w:r>
              <w:rPr>
                <w:rFonts w:hint="eastAsia"/>
              </w:rPr>
              <w:t>21,172,865,094.07</w:t>
            </w:r>
          </w:p>
        </w:tc>
        <w:tc>
          <w:tcPr>
            <w:tcW w:w="971" w:type="pct"/>
            <w:vAlign w:val="center"/>
          </w:tcPr>
          <w:p w14:paraId="22FB0B30">
            <w:pPr>
              <w:widowControl w:val="0"/>
              <w:kinsoku w:val="0"/>
              <w:overflowPunct w:val="0"/>
              <w:autoSpaceDE w:val="0"/>
              <w:autoSpaceDN w:val="0"/>
              <w:adjustRightInd w:val="0"/>
              <w:snapToGrid w:val="0"/>
              <w:jc w:val="right"/>
            </w:pPr>
            <w:r>
              <w:rPr>
                <w:rFonts w:hint="eastAsia"/>
              </w:rPr>
              <w:t>2.32</w:t>
            </w:r>
          </w:p>
        </w:tc>
      </w:tr>
    </w:tbl>
    <w:p w14:paraId="4311FE12">
      <w:pPr>
        <w:rPr>
          <w:color w:val="000000" w:themeColor="text1"/>
          <w14:textFill>
            <w14:solidFill>
              <w14:schemeClr w14:val="tx1"/>
            </w14:solidFill>
          </w14:textFill>
        </w:rPr>
      </w:pPr>
    </w:p>
    <w:bookmarkEnd w:id="19"/>
    <w:p w14:paraId="196881C3">
      <w:pPr>
        <w:pStyle w:val="4"/>
        <w:numPr>
          <w:ilvl w:val="1"/>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主要财务指标</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2"/>
        <w:gridCol w:w="1701"/>
        <w:gridCol w:w="1843"/>
        <w:gridCol w:w="1852"/>
      </w:tblGrid>
      <w:tr w14:paraId="162E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12e929543994adfbc7a21fe743cd125"/>
            <w:id w:val="1789475943"/>
          </w:sdtPr>
          <w:sdtContent>
            <w:tc>
              <w:tcPr>
                <w:tcW w:w="3652" w:type="dxa"/>
                <w:vAlign w:val="center"/>
              </w:tcPr>
              <w:p w14:paraId="3CACB9F6">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主要财务指标</w:t>
                </w:r>
              </w:p>
            </w:tc>
          </w:sdtContent>
        </w:sdt>
        <w:sdt>
          <w:sdtPr>
            <w:tag w:val="_PLD_d04f89449ff14c5fa39e871117b7e9e2"/>
            <w:id w:val="-1923095148"/>
          </w:sdtPr>
          <w:sdtContent>
            <w:tc>
              <w:tcPr>
                <w:tcW w:w="1701" w:type="dxa"/>
                <w:vAlign w:val="center"/>
              </w:tcPr>
              <w:p w14:paraId="388A5E4F">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w:t>
                </w:r>
              </w:p>
              <w:p w14:paraId="4E5F5669">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（1－6月）</w:t>
                </w:r>
              </w:p>
            </w:tc>
          </w:sdtContent>
        </w:sdt>
        <w:sdt>
          <w:sdtPr>
            <w:tag w:val="_PLD_bdb91a2a58254a0e945eecc5aef91521"/>
            <w:id w:val="-818425961"/>
          </w:sdtPr>
          <w:sdtContent>
            <w:tc>
              <w:tcPr>
                <w:tcW w:w="1843" w:type="dxa"/>
                <w:vAlign w:val="center"/>
              </w:tcPr>
              <w:p w14:paraId="6906E820">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上年同期</w:t>
                </w:r>
              </w:p>
            </w:tc>
          </w:sdtContent>
        </w:sdt>
        <w:sdt>
          <w:sdtPr>
            <w:tag w:val="_PLD_08306889e5b040aa83784b3f6db386f1"/>
            <w:id w:val="785625329"/>
          </w:sdtPr>
          <w:sdtContent>
            <w:tc>
              <w:tcPr>
                <w:tcW w:w="1852" w:type="dxa"/>
                <w:vAlign w:val="center"/>
              </w:tcPr>
              <w:p w14:paraId="322917C9">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本报告期比上年同期增减(%)</w:t>
                </w:r>
              </w:p>
            </w:tc>
          </w:sdtContent>
        </w:sdt>
      </w:tr>
      <w:tr w14:paraId="7AEF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89671b43cd048bda3f42f7ff187200a"/>
            <w:id w:val="1658731204"/>
          </w:sdtPr>
          <w:sdtContent>
            <w:tc>
              <w:tcPr>
                <w:tcW w:w="3652" w:type="dxa"/>
              </w:tcPr>
              <w:p w14:paraId="35C2055D">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基本每股收益（元／股）</w:t>
                </w:r>
              </w:p>
            </w:tc>
          </w:sdtContent>
        </w:sdt>
        <w:tc>
          <w:tcPr>
            <w:tcW w:w="1701" w:type="dxa"/>
            <w:vAlign w:val="center"/>
          </w:tcPr>
          <w:p w14:paraId="53106707">
            <w:pPr>
              <w:widowControl w:val="0"/>
              <w:kinsoku w:val="0"/>
              <w:overflowPunct w:val="0"/>
              <w:autoSpaceDE w:val="0"/>
              <w:autoSpaceDN w:val="0"/>
              <w:adjustRightInd w:val="0"/>
              <w:snapToGrid w:val="0"/>
              <w:jc w:val="right"/>
            </w:pPr>
            <w:r>
              <w:rPr>
                <w:rFonts w:hint="eastAsia"/>
              </w:rPr>
              <w:t>-0.018</w:t>
            </w:r>
          </w:p>
        </w:tc>
        <w:tc>
          <w:tcPr>
            <w:tcW w:w="1843" w:type="dxa"/>
            <w:vAlign w:val="center"/>
          </w:tcPr>
          <w:p w14:paraId="5D5A9FED">
            <w:pPr>
              <w:widowControl w:val="0"/>
              <w:kinsoku w:val="0"/>
              <w:overflowPunct w:val="0"/>
              <w:autoSpaceDE w:val="0"/>
              <w:autoSpaceDN w:val="0"/>
              <w:adjustRightInd w:val="0"/>
              <w:snapToGrid w:val="0"/>
              <w:jc w:val="right"/>
            </w:pPr>
            <w:r>
              <w:rPr>
                <w:rFonts w:hint="eastAsia"/>
              </w:rPr>
              <w:t>-0.004</w:t>
            </w:r>
          </w:p>
        </w:tc>
        <w:tc>
          <w:tcPr>
            <w:tcW w:w="1852" w:type="dxa"/>
            <w:vAlign w:val="center"/>
          </w:tcPr>
          <w:p w14:paraId="63B554E7">
            <w:pPr>
              <w:widowControl w:val="0"/>
              <w:kinsoku w:val="0"/>
              <w:overflowPunct w:val="0"/>
              <w:autoSpaceDE w:val="0"/>
              <w:autoSpaceDN w:val="0"/>
              <w:adjustRightInd w:val="0"/>
              <w:snapToGrid w:val="0"/>
              <w:jc w:val="right"/>
            </w:pPr>
            <w:r>
              <w:rPr>
                <w:rFonts w:hint="eastAsia"/>
              </w:rPr>
              <w:t>不适用</w:t>
            </w:r>
          </w:p>
        </w:tc>
      </w:tr>
      <w:tr w14:paraId="0928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53c618810f6494198af9022cf5f9c92"/>
            <w:id w:val="-949551187"/>
          </w:sdtPr>
          <w:sdtContent>
            <w:tc>
              <w:tcPr>
                <w:tcW w:w="3652" w:type="dxa"/>
              </w:tcPr>
              <w:p w14:paraId="31721E66">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稀释每股收益（元／股）</w:t>
                </w:r>
              </w:p>
            </w:tc>
          </w:sdtContent>
        </w:sdt>
        <w:tc>
          <w:tcPr>
            <w:tcW w:w="1701" w:type="dxa"/>
            <w:vAlign w:val="center"/>
          </w:tcPr>
          <w:p w14:paraId="0115F49F">
            <w:pPr>
              <w:widowControl w:val="0"/>
              <w:kinsoku w:val="0"/>
              <w:overflowPunct w:val="0"/>
              <w:autoSpaceDE w:val="0"/>
              <w:autoSpaceDN w:val="0"/>
              <w:adjustRightInd w:val="0"/>
              <w:snapToGrid w:val="0"/>
              <w:jc w:val="right"/>
            </w:pPr>
            <w:r>
              <w:rPr>
                <w:rFonts w:hint="eastAsia"/>
              </w:rPr>
              <w:t>-0.018</w:t>
            </w:r>
          </w:p>
        </w:tc>
        <w:tc>
          <w:tcPr>
            <w:tcW w:w="1843" w:type="dxa"/>
            <w:vAlign w:val="center"/>
          </w:tcPr>
          <w:p w14:paraId="42ED5E24">
            <w:pPr>
              <w:widowControl w:val="0"/>
              <w:kinsoku w:val="0"/>
              <w:overflowPunct w:val="0"/>
              <w:autoSpaceDE w:val="0"/>
              <w:autoSpaceDN w:val="0"/>
              <w:adjustRightInd w:val="0"/>
              <w:snapToGrid w:val="0"/>
              <w:jc w:val="right"/>
            </w:pPr>
            <w:r>
              <w:rPr>
                <w:rFonts w:hint="eastAsia"/>
              </w:rPr>
              <w:t>-0.004</w:t>
            </w:r>
          </w:p>
        </w:tc>
        <w:tc>
          <w:tcPr>
            <w:tcW w:w="1852" w:type="dxa"/>
            <w:vAlign w:val="center"/>
          </w:tcPr>
          <w:p w14:paraId="483C58DB">
            <w:pPr>
              <w:widowControl w:val="0"/>
              <w:kinsoku w:val="0"/>
              <w:overflowPunct w:val="0"/>
              <w:autoSpaceDE w:val="0"/>
              <w:autoSpaceDN w:val="0"/>
              <w:adjustRightInd w:val="0"/>
              <w:snapToGrid w:val="0"/>
              <w:jc w:val="right"/>
            </w:pPr>
            <w:r>
              <w:rPr>
                <w:rFonts w:hint="eastAsia"/>
              </w:rPr>
              <w:t>不适用</w:t>
            </w:r>
          </w:p>
        </w:tc>
      </w:tr>
      <w:tr w14:paraId="0914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995656a90ee4448a470f6a06fe39000"/>
            <w:id w:val="-143591273"/>
          </w:sdtPr>
          <w:sdtContent>
            <w:tc>
              <w:tcPr>
                <w:tcW w:w="3652" w:type="dxa"/>
              </w:tcPr>
              <w:p w14:paraId="3B2E839E">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扣除非经常性损益后的基本每股收益（元／股）</w:t>
                </w:r>
              </w:p>
            </w:tc>
          </w:sdtContent>
        </w:sdt>
        <w:tc>
          <w:tcPr>
            <w:tcW w:w="1701" w:type="dxa"/>
            <w:vAlign w:val="center"/>
          </w:tcPr>
          <w:p w14:paraId="04A20261">
            <w:pPr>
              <w:widowControl w:val="0"/>
              <w:kinsoku w:val="0"/>
              <w:overflowPunct w:val="0"/>
              <w:autoSpaceDE w:val="0"/>
              <w:autoSpaceDN w:val="0"/>
              <w:adjustRightInd w:val="0"/>
              <w:snapToGrid w:val="0"/>
              <w:jc w:val="right"/>
            </w:pPr>
            <w:r>
              <w:rPr>
                <w:rFonts w:hint="eastAsia"/>
              </w:rPr>
              <w:t>-0.033</w:t>
            </w:r>
          </w:p>
        </w:tc>
        <w:tc>
          <w:tcPr>
            <w:tcW w:w="1843" w:type="dxa"/>
            <w:vAlign w:val="center"/>
          </w:tcPr>
          <w:p w14:paraId="481D4FEF">
            <w:pPr>
              <w:widowControl w:val="0"/>
              <w:kinsoku w:val="0"/>
              <w:overflowPunct w:val="0"/>
              <w:autoSpaceDE w:val="0"/>
              <w:autoSpaceDN w:val="0"/>
              <w:adjustRightInd w:val="0"/>
              <w:snapToGrid w:val="0"/>
              <w:jc w:val="right"/>
            </w:pPr>
            <w:r>
              <w:rPr>
                <w:rFonts w:hint="eastAsia"/>
              </w:rPr>
              <w:t>-0.002</w:t>
            </w:r>
          </w:p>
        </w:tc>
        <w:tc>
          <w:tcPr>
            <w:tcW w:w="1852" w:type="dxa"/>
            <w:vAlign w:val="center"/>
          </w:tcPr>
          <w:p w14:paraId="60FDB49C">
            <w:pPr>
              <w:widowControl w:val="0"/>
              <w:kinsoku w:val="0"/>
              <w:overflowPunct w:val="0"/>
              <w:autoSpaceDE w:val="0"/>
              <w:autoSpaceDN w:val="0"/>
              <w:adjustRightInd w:val="0"/>
              <w:snapToGrid w:val="0"/>
              <w:jc w:val="right"/>
            </w:pPr>
            <w:r>
              <w:rPr>
                <w:rFonts w:hint="eastAsia"/>
              </w:rPr>
              <w:t>不适用</w:t>
            </w:r>
          </w:p>
        </w:tc>
      </w:tr>
      <w:tr w14:paraId="60EC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ae3fa8992794ff1bdf49e4e770ce96d"/>
            <w:id w:val="689417096"/>
          </w:sdtPr>
          <w:sdtContent>
            <w:tc>
              <w:tcPr>
                <w:tcW w:w="3652" w:type="dxa"/>
              </w:tcPr>
              <w:p w14:paraId="525FDDFA">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加权平均净资产收益率（%）</w:t>
                </w:r>
              </w:p>
            </w:tc>
          </w:sdtContent>
        </w:sdt>
        <w:tc>
          <w:tcPr>
            <w:tcW w:w="1701" w:type="dxa"/>
            <w:vAlign w:val="center"/>
          </w:tcPr>
          <w:p w14:paraId="5FAC8683">
            <w:pPr>
              <w:widowControl w:val="0"/>
              <w:kinsoku w:val="0"/>
              <w:overflowPunct w:val="0"/>
              <w:autoSpaceDE w:val="0"/>
              <w:autoSpaceDN w:val="0"/>
              <w:adjustRightInd w:val="0"/>
              <w:snapToGrid w:val="0"/>
              <w:jc w:val="right"/>
            </w:pPr>
            <w:r>
              <w:rPr>
                <w:rFonts w:hint="eastAsia"/>
              </w:rPr>
              <w:t>-0.63</w:t>
            </w:r>
          </w:p>
        </w:tc>
        <w:tc>
          <w:tcPr>
            <w:tcW w:w="1843" w:type="dxa"/>
            <w:vAlign w:val="center"/>
          </w:tcPr>
          <w:p w14:paraId="5B7F1B66">
            <w:pPr>
              <w:widowControl w:val="0"/>
              <w:kinsoku w:val="0"/>
              <w:overflowPunct w:val="0"/>
              <w:autoSpaceDE w:val="0"/>
              <w:autoSpaceDN w:val="0"/>
              <w:adjustRightInd w:val="0"/>
              <w:snapToGrid w:val="0"/>
              <w:jc w:val="right"/>
            </w:pPr>
            <w:r>
              <w:rPr>
                <w:rFonts w:hint="eastAsia"/>
              </w:rPr>
              <w:t>-0.11</w:t>
            </w:r>
          </w:p>
        </w:tc>
        <w:tc>
          <w:tcPr>
            <w:tcW w:w="1852" w:type="dxa"/>
            <w:vAlign w:val="center"/>
          </w:tcPr>
          <w:p w14:paraId="240F263B">
            <w:pPr>
              <w:widowControl w:val="0"/>
              <w:kinsoku w:val="0"/>
              <w:overflowPunct w:val="0"/>
              <w:autoSpaceDE w:val="0"/>
              <w:autoSpaceDN w:val="0"/>
              <w:adjustRightInd w:val="0"/>
              <w:snapToGrid w:val="0"/>
              <w:jc w:val="right"/>
            </w:pPr>
            <w:r>
              <w:rPr>
                <w:rFonts w:hint="eastAsia"/>
              </w:rPr>
              <w:t>减少0.52个百分点</w:t>
            </w:r>
          </w:p>
        </w:tc>
      </w:tr>
      <w:tr w14:paraId="2004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7d92f3112bf450196ad8233f93a5237"/>
            <w:id w:val="-196320162"/>
          </w:sdtPr>
          <w:sdtContent>
            <w:tc>
              <w:tcPr>
                <w:tcW w:w="3652" w:type="dxa"/>
              </w:tcPr>
              <w:p w14:paraId="530C17B0">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扣除非经常性损益后的加权平均净资产收益率（%）</w:t>
                </w:r>
              </w:p>
            </w:tc>
          </w:sdtContent>
        </w:sdt>
        <w:tc>
          <w:tcPr>
            <w:tcW w:w="1701" w:type="dxa"/>
            <w:vAlign w:val="center"/>
          </w:tcPr>
          <w:p w14:paraId="154183B2">
            <w:pPr>
              <w:widowControl w:val="0"/>
              <w:kinsoku w:val="0"/>
              <w:overflowPunct w:val="0"/>
              <w:autoSpaceDE w:val="0"/>
              <w:autoSpaceDN w:val="0"/>
              <w:adjustRightInd w:val="0"/>
              <w:snapToGrid w:val="0"/>
              <w:jc w:val="right"/>
            </w:pPr>
            <w:r>
              <w:rPr>
                <w:rFonts w:hint="eastAsia"/>
              </w:rPr>
              <w:t>-1.16</w:t>
            </w:r>
          </w:p>
        </w:tc>
        <w:tc>
          <w:tcPr>
            <w:tcW w:w="1843" w:type="dxa"/>
            <w:vAlign w:val="center"/>
          </w:tcPr>
          <w:p w14:paraId="5493E36F">
            <w:pPr>
              <w:widowControl w:val="0"/>
              <w:kinsoku w:val="0"/>
              <w:overflowPunct w:val="0"/>
              <w:autoSpaceDE w:val="0"/>
              <w:autoSpaceDN w:val="0"/>
              <w:adjustRightInd w:val="0"/>
              <w:snapToGrid w:val="0"/>
              <w:jc w:val="right"/>
            </w:pPr>
            <w:r>
              <w:rPr>
                <w:rFonts w:hint="eastAsia"/>
              </w:rPr>
              <w:t>-0.05</w:t>
            </w:r>
          </w:p>
        </w:tc>
        <w:tc>
          <w:tcPr>
            <w:tcW w:w="1852" w:type="dxa"/>
            <w:vAlign w:val="center"/>
          </w:tcPr>
          <w:p w14:paraId="1E51CB84">
            <w:pPr>
              <w:widowControl w:val="0"/>
              <w:kinsoku w:val="0"/>
              <w:overflowPunct w:val="0"/>
              <w:autoSpaceDE w:val="0"/>
              <w:autoSpaceDN w:val="0"/>
              <w:adjustRightInd w:val="0"/>
              <w:snapToGrid w:val="0"/>
              <w:jc w:val="right"/>
            </w:pPr>
            <w:r>
              <w:rPr>
                <w:rFonts w:hint="eastAsia"/>
              </w:rPr>
              <w:t>减少1.11个百分点</w:t>
            </w:r>
          </w:p>
        </w:tc>
      </w:tr>
    </w:tbl>
    <w:p w14:paraId="7CF49437">
      <w:pPr>
        <w:rPr>
          <w:color w:val="000000" w:themeColor="text1"/>
          <w14:textFill>
            <w14:solidFill>
              <w14:schemeClr w14:val="tx1"/>
            </w14:solidFill>
          </w14:textFill>
        </w:rPr>
      </w:pPr>
    </w:p>
    <w:p w14:paraId="6712E7A0">
      <w:pPr>
        <w:rPr>
          <w:color w:val="000000" w:themeColor="text1"/>
          <w14:textFill>
            <w14:solidFill>
              <w14:schemeClr w14:val="tx1"/>
            </w14:solidFill>
          </w14:textFill>
        </w:rPr>
      </w:pPr>
      <w:bookmarkStart w:id="20" w:name="_Toc342056398"/>
      <w:bookmarkStart w:id="21" w:name="_Toc342565890"/>
      <w:r>
        <w:rPr>
          <w:color w:val="000000" w:themeColor="text1"/>
          <w14:textFill>
            <w14:solidFill>
              <w14:schemeClr w14:val="tx1"/>
            </w14:solidFill>
          </w14:textFill>
        </w:rPr>
        <w:t>公司主要会计数据和财务指标的说明</w:t>
      </w:r>
    </w:p>
    <w:sdt>
      <w:sdtPr>
        <w:rPr>
          <w:color w:val="000000" w:themeColor="text1"/>
          <w14:textFill>
            <w14:solidFill>
              <w14:schemeClr w14:val="tx1"/>
            </w14:solidFill>
          </w14:textFill>
        </w:rPr>
        <w:alias w:val="是否适用：公司主要会计数据和财务指标的说明[双击切换]"/>
        <w:tag w:val="_GBC_cfe99dae5f804f6f8f02eb429483f98a"/>
        <w:id w:val="147463706"/>
        <w:placeholder>
          <w:docPart w:val="GBC22222222222222222222222222222"/>
        </w:placeholder>
      </w:sdtPr>
      <w:sdtEndPr>
        <w:rPr>
          <w:color w:val="000000" w:themeColor="text1"/>
          <w14:textFill>
            <w14:solidFill>
              <w14:schemeClr w14:val="tx1"/>
            </w14:solidFill>
          </w14:textFill>
        </w:rPr>
      </w:sdtEndPr>
      <w:sdtContent>
        <w:p w14:paraId="1FAE596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889239">
      <w:pPr>
        <w:rPr>
          <w:color w:val="000000" w:themeColor="text1"/>
          <w14:textFill>
            <w14:solidFill>
              <w14:schemeClr w14:val="tx1"/>
            </w14:solidFill>
          </w14:textFill>
        </w:rPr>
      </w:pPr>
    </w:p>
    <w:p w14:paraId="1E187F14">
      <w:pPr>
        <w:pStyle w:val="3"/>
        <w:numPr>
          <w:ilvl w:val="0"/>
          <w:numId w:val="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境内外会计准则下会计数据差异</w:t>
      </w:r>
      <w:bookmarkEnd w:id="20"/>
      <w:bookmarkEnd w:id="21"/>
    </w:p>
    <w:sdt>
      <w:sdtPr>
        <w:rPr>
          <w:color w:val="000000" w:themeColor="text1"/>
          <w14:textFill>
            <w14:solidFill>
              <w14:schemeClr w14:val="tx1"/>
            </w14:solidFill>
          </w14:textFill>
        </w:rPr>
        <w:alias w:val="是否适用：境内外会计准则下会计数据差异[双击切换]"/>
        <w:tag w:val="_GBC_bdabc18d82504a7696c49b78e67b7ce4"/>
        <w:id w:val="147456017"/>
        <w:placeholder>
          <w:docPart w:val="GBC22222222222222222222222222222"/>
        </w:placeholder>
      </w:sdtPr>
      <w:sdtEndPr>
        <w:rPr>
          <w:color w:val="000000" w:themeColor="text1"/>
          <w14:textFill>
            <w14:solidFill>
              <w14:schemeClr w14:val="tx1"/>
            </w14:solidFill>
          </w14:textFill>
        </w:rPr>
      </w:sdtEndPr>
      <w:sdtContent>
        <w:p w14:paraId="0E564C0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FBD9DDC">
      <w:pPr>
        <w:rPr>
          <w:color w:val="000000" w:themeColor="text1"/>
          <w14:textFill>
            <w14:solidFill>
              <w14:schemeClr w14:val="tx1"/>
            </w14:solidFill>
          </w14:textFill>
        </w:rPr>
      </w:pPr>
    </w:p>
    <w:p w14:paraId="779BF833">
      <w:pPr>
        <w:pStyle w:val="3"/>
        <w:numPr>
          <w:ilvl w:val="0"/>
          <w:numId w:val="4"/>
        </w:numPr>
        <w:ind w:left="0" w:firstLine="0"/>
        <w:rPr>
          <w:color w:val="000000" w:themeColor="text1"/>
          <w14:textFill>
            <w14:solidFill>
              <w14:schemeClr w14:val="tx1"/>
            </w14:solidFill>
          </w14:textFill>
        </w:rPr>
      </w:pPr>
      <w:bookmarkStart w:id="22" w:name="_Hlk24640273"/>
      <w:bookmarkEnd w:id="22"/>
      <w:bookmarkStart w:id="23" w:name="_Hlk167796974"/>
      <w:r>
        <w:rPr>
          <w:rFonts w:hint="eastAsia"/>
          <w:color w:val="000000" w:themeColor="text1"/>
          <w14:textFill>
            <w14:solidFill>
              <w14:schemeClr w14:val="tx1"/>
            </w14:solidFill>
          </w14:textFill>
        </w:rPr>
        <w:t>非经常性损益项目和金额</w:t>
      </w:r>
    </w:p>
    <w:sdt>
      <w:sdtPr>
        <w:rPr>
          <w:color w:val="000000" w:themeColor="text1"/>
          <w14:textFill>
            <w14:solidFill>
              <w14:schemeClr w14:val="tx1"/>
            </w14:solidFill>
          </w14:textFill>
        </w:rPr>
        <w:alias w:val="是否适用：扣除非经常性损益项目和金额[双击切换]"/>
        <w:tag w:val="_GBC_43f94504cb3d48cbbe81a75d50663c2d"/>
        <w:id w:val="-999876400"/>
      </w:sdtPr>
      <w:sdtEndPr>
        <w:rPr>
          <w:color w:val="000000" w:themeColor="text1"/>
          <w14:textFill>
            <w14:solidFill>
              <w14:schemeClr w14:val="tx1"/>
            </w14:solidFill>
          </w14:textFill>
        </w:rPr>
      </w:sdtEndPr>
      <w:sdtContent>
        <w:p w14:paraId="170509F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600C57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扣除非经常性损益项目和金额"/>
          <w:tag w:val="_GBC_f9e43a30b40946c08985f868a2ba3b74"/>
          <w:id w:val="939950101"/>
          <w: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扣除非经常性损益项目和金额"/>
          <w:tag w:val="_GBC_81dc93f6f5e14511b89edb8661fa84fd"/>
          <w:id w:val="201902008"/>
          <w: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4"/>
        <w:gridCol w:w="1800"/>
      </w:tblGrid>
      <w:tr w14:paraId="3507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5c3787071e446ebb752a5626cdbd723"/>
            <w:id w:val="1410355167"/>
          </w:sdtPr>
          <w:sdtContent>
            <w:tc>
              <w:tcPr>
                <w:tcW w:w="4005" w:type="pct"/>
                <w:vAlign w:val="center"/>
              </w:tcPr>
              <w:p w14:paraId="19D276E7">
                <w:pPr>
                  <w:pStyle w:val="50"/>
                  <w:ind w:firstLine="0" w:firstLineChars="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非经常性损益项目</w:t>
                </w:r>
              </w:p>
            </w:tc>
          </w:sdtContent>
        </w:sdt>
        <w:sdt>
          <w:sdtPr>
            <w:tag w:val="_PLD_819237cfe12b4f9b95d296101869571d"/>
            <w:id w:val="1785074073"/>
          </w:sdtPr>
          <w:sdtContent>
            <w:tc>
              <w:tcPr>
                <w:tcW w:w="995" w:type="pct"/>
                <w:vAlign w:val="center"/>
              </w:tcPr>
              <w:p w14:paraId="5353B063">
                <w:pPr>
                  <w:pStyle w:val="50"/>
                  <w:ind w:firstLine="0" w:firstLineChars="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金额</w:t>
                </w:r>
              </w:p>
            </w:tc>
          </w:sdtContent>
        </w:sdt>
      </w:tr>
      <w:tr w14:paraId="391B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0e4cc56d5ce4ab8995fe31d29cad831"/>
            <w:id w:val="1471249329"/>
          </w:sdtPr>
          <w:sdtContent>
            <w:tc>
              <w:tcPr>
                <w:tcW w:w="4005" w:type="pct"/>
              </w:tcPr>
              <w:p w14:paraId="098AED93">
                <w:pPr>
                  <w:pStyle w:val="50"/>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非流动</w:t>
                </w:r>
                <w:r>
                  <w:rPr>
                    <w:rFonts w:hint="eastAsia"/>
                    <w:color w:val="000000" w:themeColor="text1"/>
                    <w14:textFill>
                      <w14:solidFill>
                        <w14:schemeClr w14:val="tx1"/>
                      </w14:solidFill>
                    </w14:textFill>
                  </w:rPr>
                  <w:t>性</w:t>
                </w:r>
                <w:r>
                  <w:rPr>
                    <w:color w:val="000000" w:themeColor="text1"/>
                    <w14:textFill>
                      <w14:solidFill>
                        <w14:schemeClr w14:val="tx1"/>
                      </w14:solidFill>
                    </w14:textFill>
                  </w:rPr>
                  <w:t>资产处置损益</w:t>
                </w:r>
                <w:r>
                  <w:rPr>
                    <w:rFonts w:hint="eastAsia"/>
                    <w:color w:val="000000" w:themeColor="text1"/>
                    <w14:textFill>
                      <w14:solidFill>
                        <w14:schemeClr w14:val="tx1"/>
                      </w14:solidFill>
                    </w14:textFill>
                  </w:rPr>
                  <w:t>，包括已计提资产减值准备的冲销部分</w:t>
                </w:r>
              </w:p>
            </w:tc>
          </w:sdtContent>
        </w:sdt>
        <w:tc>
          <w:tcPr>
            <w:tcW w:w="995" w:type="pct"/>
            <w:vAlign w:val="center"/>
          </w:tcPr>
          <w:p w14:paraId="7E43C60E">
            <w:pPr>
              <w:widowControl w:val="0"/>
              <w:jc w:val="right"/>
            </w:pPr>
            <w:r>
              <w:t>34,664,918.68</w:t>
            </w:r>
          </w:p>
        </w:tc>
      </w:tr>
      <w:tr w14:paraId="39D9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dc41639099c4efbada9d625228e2b63"/>
            <w:id w:val="1931073936"/>
          </w:sdtPr>
          <w:sdtContent>
            <w:tc>
              <w:tcPr>
                <w:tcW w:w="4005" w:type="pct"/>
              </w:tcPr>
              <w:p w14:paraId="6900B1C2">
                <w:pPr>
                  <w:pStyle w:val="50"/>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计入当期损益的政府补助</w:t>
                </w:r>
                <w:r>
                  <w:rPr>
                    <w:rFonts w:hint="eastAsia"/>
                    <w:color w:val="000000" w:themeColor="text1"/>
                    <w14:textFill>
                      <w14:solidFill>
                        <w14:schemeClr w14:val="tx1"/>
                      </w14:solidFill>
                    </w14:textFill>
                  </w:rPr>
                  <w:t>，但与公司正常经营业务密切相关、符合国家政策规定、按照确定的标准享有、对公司损益产生持续影响的政府补助除外</w:t>
                </w:r>
              </w:p>
            </w:tc>
          </w:sdtContent>
        </w:sdt>
        <w:tc>
          <w:tcPr>
            <w:tcW w:w="995" w:type="pct"/>
            <w:vAlign w:val="center"/>
          </w:tcPr>
          <w:p w14:paraId="0D68EBF8">
            <w:pPr>
              <w:widowControl w:val="0"/>
              <w:jc w:val="right"/>
            </w:pPr>
            <w:r>
              <w:t>28,704,879.12</w:t>
            </w:r>
          </w:p>
        </w:tc>
      </w:tr>
      <w:tr w14:paraId="4910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5" w:type="pct"/>
          </w:tcPr>
          <w:sdt>
            <w:sdtPr>
              <w:tag w:val="_PLD_021b0c05f7054e8686df7c6abbe49304"/>
              <w:id w:val="4484472"/>
            </w:sdtPr>
            <w:sdtContent>
              <w:p w14:paraId="6080DE20">
                <w:pPr>
                  <w:pStyle w:val="50"/>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单独进行减值测试的应收款项减值准备转回</w:t>
                </w:r>
              </w:p>
            </w:sdtContent>
          </w:sdt>
        </w:tc>
        <w:tc>
          <w:tcPr>
            <w:tcW w:w="995" w:type="pct"/>
            <w:vAlign w:val="center"/>
          </w:tcPr>
          <w:p w14:paraId="528D5A5B">
            <w:pPr>
              <w:widowControl w:val="0"/>
              <w:jc w:val="right"/>
            </w:pPr>
            <w:r>
              <w:t>1,250,268.22</w:t>
            </w:r>
          </w:p>
        </w:tc>
      </w:tr>
      <w:tr w14:paraId="5F15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9b564a6d2bf4df0aec19390517af601"/>
            <w:id w:val="788480023"/>
          </w:sdtPr>
          <w:sdtContent>
            <w:tc>
              <w:tcPr>
                <w:tcW w:w="4005" w:type="pct"/>
              </w:tcPr>
              <w:p w14:paraId="12A5B790">
                <w:pPr>
                  <w:pStyle w:val="50"/>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除上述各项之外的其他营业外收入和支出</w:t>
                </w:r>
              </w:p>
            </w:tc>
          </w:sdtContent>
        </w:sdt>
        <w:tc>
          <w:tcPr>
            <w:tcW w:w="995" w:type="pct"/>
            <w:vAlign w:val="center"/>
          </w:tcPr>
          <w:p w14:paraId="11CC14C2">
            <w:pPr>
              <w:widowControl w:val="0"/>
              <w:jc w:val="right"/>
            </w:pPr>
            <w:r>
              <w:t>3,163,928.95</w:t>
            </w:r>
          </w:p>
        </w:tc>
      </w:tr>
      <w:tr w14:paraId="1BD7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55ddc768cfb437c81d35267aad13bdd"/>
            <w:id w:val="754173383"/>
          </w:sdtPr>
          <w:sdtContent>
            <w:tc>
              <w:tcPr>
                <w:tcW w:w="4005" w:type="pct"/>
              </w:tcPr>
              <w:p w14:paraId="64BB2B48">
                <w:pPr>
                  <w:pStyle w:val="50"/>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其他符合非经常性损益定义的损益项目</w:t>
                </w:r>
              </w:p>
            </w:tc>
          </w:sdtContent>
        </w:sdt>
        <w:tc>
          <w:tcPr>
            <w:tcW w:w="995" w:type="pct"/>
            <w:vAlign w:val="center"/>
          </w:tcPr>
          <w:p w14:paraId="33B4A4BD">
            <w:pPr>
              <w:widowControl w:val="0"/>
              <w:jc w:val="right"/>
            </w:pPr>
            <w:r>
              <w:t>303,743.60</w:t>
            </w:r>
          </w:p>
        </w:tc>
      </w:tr>
      <w:tr w14:paraId="4A3E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b738fe002d14c64858348a9a2636c25"/>
            <w:id w:val="997925187"/>
          </w:sdtPr>
          <w:sdtContent>
            <w:tc>
              <w:tcPr>
                <w:tcW w:w="4005" w:type="pct"/>
              </w:tcPr>
              <w:p w14:paraId="48D92D3D">
                <w:pPr>
                  <w:pStyle w:val="50"/>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减：</w:t>
                </w:r>
                <w:r>
                  <w:rPr>
                    <w:color w:val="000000" w:themeColor="text1"/>
                    <w14:textFill>
                      <w14:solidFill>
                        <w14:schemeClr w14:val="tx1"/>
                      </w14:solidFill>
                    </w14:textFill>
                  </w:rPr>
                  <w:t>所得税影响额</w:t>
                </w:r>
              </w:p>
            </w:tc>
          </w:sdtContent>
        </w:sdt>
        <w:tc>
          <w:tcPr>
            <w:tcW w:w="995" w:type="pct"/>
            <w:vAlign w:val="center"/>
          </w:tcPr>
          <w:p w14:paraId="70FB6ADD">
            <w:pPr>
              <w:widowControl w:val="0"/>
              <w:jc w:val="right"/>
            </w:pPr>
            <w:r>
              <w:t>3,494,132.04</w:t>
            </w:r>
          </w:p>
        </w:tc>
      </w:tr>
      <w:tr w14:paraId="4705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b514295ca8e4bd8bbade989452c2d1a"/>
            <w:id w:val="-1986152014"/>
          </w:sdtPr>
          <w:sdtContent>
            <w:tc>
              <w:tcPr>
                <w:tcW w:w="4005" w:type="pct"/>
              </w:tcPr>
              <w:p w14:paraId="510B332C">
                <w:pPr>
                  <w:pStyle w:val="50"/>
                  <w:jc w:val="left"/>
                  <w:rPr>
                    <w:color w:val="000000" w:themeColor="text1"/>
                    <w14:textFill>
                      <w14:solidFill>
                        <w14:schemeClr w14:val="tx1"/>
                      </w14:solidFill>
                    </w14:textFill>
                  </w:rPr>
                </w:pPr>
                <w:r>
                  <w:rPr>
                    <w:color w:val="000000" w:themeColor="text1"/>
                    <w14:textFill>
                      <w14:solidFill>
                        <w14:schemeClr w14:val="tx1"/>
                      </w14:solidFill>
                    </w14:textFill>
                  </w:rPr>
                  <w:t>少数股东权益影响额</w:t>
                </w:r>
                <w:r>
                  <w:rPr>
                    <w:rFonts w:hint="eastAsia"/>
                    <w:color w:val="000000" w:themeColor="text1"/>
                    <w14:textFill>
                      <w14:solidFill>
                        <w14:schemeClr w14:val="tx1"/>
                      </w14:solidFill>
                    </w14:textFill>
                  </w:rPr>
                  <w:t>（税后）</w:t>
                </w:r>
              </w:p>
            </w:tc>
          </w:sdtContent>
        </w:sdt>
        <w:tc>
          <w:tcPr>
            <w:tcW w:w="995" w:type="pct"/>
            <w:vAlign w:val="center"/>
          </w:tcPr>
          <w:p w14:paraId="3812A160">
            <w:pPr>
              <w:widowControl w:val="0"/>
              <w:jc w:val="right"/>
            </w:pPr>
            <w:r>
              <w:t>-2,160,147.61</w:t>
            </w:r>
          </w:p>
        </w:tc>
      </w:tr>
      <w:tr w14:paraId="0DD7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35cb722fb83497eb61ff0bc8a52d2d1"/>
            <w:id w:val="-604808793"/>
          </w:sdtPr>
          <w:sdtContent>
            <w:tc>
              <w:tcPr>
                <w:tcW w:w="4005" w:type="pct"/>
                <w:vAlign w:val="center"/>
              </w:tcPr>
              <w:p w14:paraId="3F4D4957">
                <w:pPr>
                  <w:pStyle w:val="50"/>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c>
          <w:tcPr>
            <w:tcW w:w="995" w:type="pct"/>
            <w:vAlign w:val="center"/>
          </w:tcPr>
          <w:p w14:paraId="600159D1">
            <w:pPr>
              <w:widowControl w:val="0"/>
              <w:jc w:val="right"/>
            </w:pPr>
            <w:r>
              <w:t>66,753,754.14</w:t>
            </w:r>
          </w:p>
        </w:tc>
      </w:tr>
    </w:tbl>
    <w:p w14:paraId="5F6C539C">
      <w:pPr>
        <w:rPr>
          <w:color w:val="000000" w:themeColor="text1"/>
          <w14:textFill>
            <w14:solidFill>
              <w14:schemeClr w14:val="tx1"/>
            </w14:solidFill>
          </w14:textFill>
        </w:rPr>
      </w:pPr>
    </w:p>
    <w:bookmarkEnd w:id="23"/>
    <w:p w14:paraId="34CA365F">
      <w:pPr>
        <w:pStyle w:val="20"/>
        <w:adjustRightInd w:val="0"/>
        <w:snapToGrid w:val="0"/>
        <w:spacing w:line="200" w:lineRule="atLeast"/>
        <w:rPr>
          <w:rFonts w:hAnsi="宋体"/>
          <w:color w:val="000000" w:themeColor="text1"/>
          <w:kern w:val="0"/>
          <w:szCs w:val="21"/>
          <w14:textFill>
            <w14:solidFill>
              <w14:schemeClr w14:val="tx1"/>
            </w14:solidFill>
          </w14:textFill>
        </w:rPr>
      </w:pPr>
      <w:bookmarkStart w:id="24" w:name="_Hlk89096484"/>
      <w:bookmarkStart w:id="25" w:name="_Hlk137045432"/>
      <w:bookmarkStart w:id="26" w:name="_Hlk41379873"/>
      <w:bookmarkStart w:id="27" w:name="_Hlk105685044"/>
      <w:r>
        <w:rPr>
          <w:rFonts w:hint="eastAsia" w:hAnsi="宋体" w:cs="宋体"/>
          <w:color w:val="000000" w:themeColor="text1"/>
          <w:kern w:val="0"/>
          <w:szCs w:val="21"/>
          <w14:textFill>
            <w14:solidFill>
              <w14:schemeClr w14:val="tx1"/>
            </w14:solidFill>
          </w14:textFill>
        </w:rPr>
        <w:t>对公司将《公开发行证券的公司信息披露解释性公告第</w:t>
      </w:r>
      <w:r>
        <w:rPr>
          <w:rFonts w:hAnsi="宋体" w:cs="宋体"/>
          <w:color w:val="000000" w:themeColor="text1"/>
          <w:kern w:val="0"/>
          <w:szCs w:val="21"/>
          <w14:textFill>
            <w14:solidFill>
              <w14:schemeClr w14:val="tx1"/>
            </w14:solidFill>
          </w14:textFill>
        </w:rPr>
        <w:t>1号——非经常性损益》未列举的项目认定为非经常性损益项目且金额重大的，以及将《公开发行证券的公司信息披露解释性公告第1号——非经常性损益》中列举的非经常性损益项目界定为经常性损益的项目，应说明原因</w:t>
      </w:r>
      <w:r>
        <w:rPr>
          <w:rFonts w:hint="eastAsia" w:hAnsi="宋体" w:cs="宋体"/>
          <w:color w:val="000000" w:themeColor="text1"/>
          <w:kern w:val="0"/>
          <w:szCs w:val="21"/>
          <w14:textFill>
            <w14:solidFill>
              <w14:schemeClr w14:val="tx1"/>
            </w14:solidFill>
          </w14:textFill>
        </w:rPr>
        <w:t>。</w:t>
      </w:r>
    </w:p>
    <w:sdt>
      <w:sdtPr>
        <w:rPr>
          <w:color w:val="000000" w:themeColor="text1"/>
          <w14:textFill>
            <w14:solidFill>
              <w14:schemeClr w14:val="tx1"/>
            </w14:solidFill>
          </w14:textFill>
        </w:rPr>
        <w:alias w:val="是否适用：将非经常性损益项目界定为经常性损益项目[双击切换]"/>
        <w:tag w:val="_GBC_2fced4d4c7b049209a471cd2040fe574"/>
        <w:id w:val="147475057"/>
        <w:placeholder>
          <w:docPart w:val="GBC22222222222222222222222222222"/>
        </w:placeholder>
      </w:sdtPr>
      <w:sdtEndPr>
        <w:rPr>
          <w:color w:val="000000" w:themeColor="text1"/>
          <w14:textFill>
            <w14:solidFill>
              <w14:schemeClr w14:val="tx1"/>
            </w14:solidFill>
          </w14:textFill>
        </w:rPr>
      </w:sdtEndPr>
      <w:sdtContent>
        <w:p w14:paraId="18B7CED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0113742">
      <w:pPr>
        <w:rPr>
          <w:color w:val="000000" w:themeColor="text1"/>
          <w14:textFill>
            <w14:solidFill>
              <w14:schemeClr w14:val="tx1"/>
            </w14:solidFill>
          </w14:textFill>
        </w:rPr>
      </w:pPr>
    </w:p>
    <w:bookmarkEnd w:id="24"/>
    <w:bookmarkEnd w:id="25"/>
    <w:bookmarkEnd w:id="26"/>
    <w:p w14:paraId="056E6557">
      <w:pPr>
        <w:pStyle w:val="3"/>
        <w:numPr>
          <w:ilvl w:val="0"/>
          <w:numId w:val="4"/>
        </w:numPr>
        <w:ind w:left="0" w:firstLine="0"/>
        <w:rPr>
          <w:color w:val="000000" w:themeColor="text1"/>
          <w14:textFill>
            <w14:solidFill>
              <w14:schemeClr w14:val="tx1"/>
            </w14:solidFill>
          </w14:textFill>
        </w:rPr>
      </w:pPr>
      <w:bookmarkStart w:id="28" w:name="_Hlk199506011"/>
      <w:bookmarkStart w:id="29" w:name="_Hlk200097037"/>
      <w:r>
        <w:rPr>
          <w:rFonts w:hint="eastAsia"/>
          <w:color w:val="000000" w:themeColor="text1"/>
          <w14:textFill>
            <w14:solidFill>
              <w14:schemeClr w14:val="tx1"/>
            </w14:solidFill>
          </w14:textFill>
        </w:rPr>
        <w:t>存在股权激励、员工持股计划的公司可选择披露扣除股份支付影响后的净利润</w:t>
      </w:r>
    </w:p>
    <w:sdt>
      <w:sdtPr>
        <w:rPr>
          <w:rFonts w:hint="eastAsia"/>
        </w:rPr>
        <w:alias w:val="是否适用：扣除股份支付影响后的净利润[双击切换]"/>
        <w:tag w:val="_GBC_0800bd28016b47e5b3f7d0b40ad325dc"/>
        <w:id w:val="147467590"/>
        <w:placeholder>
          <w:docPart w:val="GBC22222222222222222222222222222"/>
        </w:placeholder>
      </w:sdtPr>
      <w:sdtEndPr>
        <w:rPr>
          <w:rFonts w:hint="eastAsia"/>
        </w:rPr>
      </w:sdtEndPr>
      <w:sdtContent>
        <w:p w14:paraId="0C488D68">
          <w:pPr>
            <w:pStyle w:val="55"/>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bookmarkEnd w:id="27"/>
    <w:bookmarkEnd w:id="28"/>
    <w:bookmarkEnd w:id="29"/>
    <w:p w14:paraId="3814AF1B">
      <w:pPr>
        <w:pStyle w:val="3"/>
        <w:numPr>
          <w:ilvl w:val="0"/>
          <w:numId w:val="4"/>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公司简介和主要财务指标其他说明[双击切换]"/>
        <w:tag w:val="_GBC_5b4104dc5c2c4501bc2420c70be30c2a"/>
        <w:id w:val="147454136"/>
        <w:placeholder>
          <w:docPart w:val="GBC22222222222222222222222222222"/>
        </w:placeholder>
      </w:sdtPr>
      <w:sdtEndPr>
        <w:rPr>
          <w:color w:val="000000" w:themeColor="text1"/>
          <w14:textFill>
            <w14:solidFill>
              <w14:schemeClr w14:val="tx1"/>
            </w14:solidFill>
          </w14:textFill>
        </w:rPr>
      </w:sdtEndPr>
      <w:sdtContent>
        <w:p w14:paraId="56C14E8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C805E78">
      <w:pPr>
        <w:kinsoku w:val="0"/>
        <w:overflowPunct w:val="0"/>
        <w:autoSpaceDE w:val="0"/>
        <w:autoSpaceDN w:val="0"/>
        <w:adjustRightInd w:val="0"/>
        <w:snapToGrid w:val="0"/>
        <w:rPr>
          <w:color w:val="000000" w:themeColor="text1"/>
          <w14:textFill>
            <w14:solidFill>
              <w14:schemeClr w14:val="tx1"/>
            </w14:solidFill>
          </w14:textFill>
        </w:rPr>
      </w:pPr>
    </w:p>
    <w:p w14:paraId="385F4421">
      <w:pPr>
        <w:pStyle w:val="2"/>
        <w:numPr>
          <w:ilvl w:val="0"/>
          <w:numId w:val="3"/>
        </w:numPr>
        <w:rPr>
          <w:rFonts w:ascii="黑体" w:hAnsi="黑体"/>
          <w:color w:val="000000" w:themeColor="text1"/>
          <w14:textFill>
            <w14:solidFill>
              <w14:schemeClr w14:val="tx1"/>
            </w14:solidFill>
          </w14:textFill>
        </w:rPr>
      </w:pPr>
      <w:bookmarkStart w:id="30" w:name="_Toc200030541"/>
      <w:bookmarkStart w:id="31" w:name="_Toc76114274"/>
      <w:r>
        <w:rPr>
          <w:rFonts w:hint="eastAsia" w:ascii="黑体" w:hAnsi="黑体"/>
          <w:color w:val="000000" w:themeColor="text1"/>
          <w14:textFill>
            <w14:solidFill>
              <w14:schemeClr w14:val="tx1"/>
            </w14:solidFill>
          </w14:textFill>
        </w:rPr>
        <w:t>管理层讨论与分析</w:t>
      </w:r>
    </w:p>
    <w:bookmarkEnd w:id="30"/>
    <w:bookmarkEnd w:id="31"/>
    <w:p w14:paraId="0F3BA831">
      <w:pPr>
        <w:pStyle w:val="3"/>
        <w:numPr>
          <w:ilvl w:val="0"/>
          <w:numId w:val="6"/>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报告期内公司所属行业及主营业务情况说明</w:t>
      </w:r>
    </w:p>
    <w:sdt>
      <w:sdtPr>
        <w:rPr>
          <w:rFonts w:hint="eastAsia"/>
          <w:color w:val="000000" w:themeColor="text1"/>
          <w14:textFill>
            <w14:solidFill>
              <w14:schemeClr w14:val="tx1"/>
            </w14:solidFill>
          </w14:textFill>
        </w:rPr>
        <w:alias w:val="报告期内公司所从事的主要业务、经营模式及行业情况说明"/>
        <w:tag w:val="_GBC_5c28d6f46eea48f892bed0c5fc99ab60"/>
        <w:id w:val="147468787"/>
        <w:placeholder>
          <w:docPart w:val="GBC22222222222222222222222222222"/>
        </w:placeholder>
      </w:sdtPr>
      <w:sdtEndPr>
        <w:rPr>
          <w:rFonts w:hint="eastAsia"/>
          <w:color w:val="000000" w:themeColor="text1"/>
          <w14:textFill>
            <w14:solidFill>
              <w14:schemeClr w14:val="tx1"/>
            </w14:solidFill>
          </w14:textFill>
        </w:rPr>
      </w:sdtEndPr>
      <w:sdtContent>
        <w:p w14:paraId="5DCB51D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根据证监会上市公司行业分类，公司整体被划分到“制造业——纺织服装、服饰业”。</w:t>
          </w:r>
        </w:p>
        <w:p w14:paraId="6AE31CD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国家统计局数据，2025年1-6月全国规模以上工业企业纺织业利润总额301.8亿元，同比下降8.1%；纺织服装、服饰业同比下降12.9%；皮革、毛皮、羽毛及其制品和制鞋业同比下降8.7%。根据海关总署统计情况，2025年1-6月全国纺织品出口705.2亿美元，同比增长1.8%；服装出口738.3亿美元，与上年同期基本持平。</w:t>
          </w:r>
        </w:p>
        <w:p w14:paraId="7271058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产品市场包括军品市场和民品市场，主要客户为中国军队、武警部队，国家统一着装部门，央企、大中型企业以及个人消费者。根据公司“十四五”规划和各业务板块对公司收入、利润的贡献程度，职业装、职业鞋靴、纺织印染、防护装具及装备业务是公司目前的核心业务。</w:t>
          </w:r>
        </w:p>
        <w:p w14:paraId="49D1A3D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（一）职业装</w:t>
          </w:r>
        </w:p>
        <w:p w14:paraId="1D75DB8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公司部分子公司从事职业装的研发、生产和销售，主要产品包括军服类、行业制服类、职业工装、品牌服装及特种功能性服装和配套产品。</w:t>
          </w:r>
        </w:p>
        <w:p w14:paraId="68CE2408">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（二）职业鞋靴</w:t>
          </w:r>
        </w:p>
        <w:p w14:paraId="3BBAB914">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公司部分子公司从事职业鞋靴的研发、生产和销售，主要产品包括皮鞋、皮革、毛皮、服装革、两用毛革及其制品，防护功能性鞋、军用胶鞋、橡胶大底等。</w:t>
          </w:r>
        </w:p>
        <w:p w14:paraId="17A81EFF">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（三）纺织印染</w:t>
          </w:r>
        </w:p>
        <w:p w14:paraId="4DF73FC6">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公司部分子公司从事纺织印染产品的研发、生产和销售，主要产品包括棉纱、棉线、棉布、染色布、针织面料、针织成衣、服饰产品、家纺制品等。</w:t>
          </w:r>
        </w:p>
        <w:p w14:paraId="11B7B60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（四）防护装具及装备</w:t>
          </w:r>
        </w:p>
        <w:p w14:paraId="3C331C06">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部分子公司从事功能性防护装具及装备、环保滤材等产品的研发、生产和销售，其中防护装备主要产品包括防弹衣、防弹头盔、防弹插板、防弹护具及其他功能器件等；功能性装具主要产品包括帐篷、携行具等；环保滤材主要产品包括PPS、P84、PTFE复合、NOMEX、ZMS系列、玻璃纤维滤料等。</w:t>
          </w:r>
        </w:p>
        <w:p w14:paraId="6E0B758C">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（五）商贸物流业务</w:t>
          </w:r>
        </w:p>
        <w:p w14:paraId="1A0C4E7F">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公司主要开展以军需品出口为主的国际贸易，主要从事服装、鞋靴、面料、装具等产品的贸易业务。</w:t>
          </w:r>
        </w:p>
      </w:sdtContent>
    </w:sdt>
    <w:p w14:paraId="690F1D8B">
      <w:pPr>
        <w:rPr>
          <w:color w:val="000000" w:themeColor="text1"/>
          <w14:textFill>
            <w14:solidFill>
              <w14:schemeClr w14:val="tx1"/>
            </w14:solidFill>
          </w14:textFill>
        </w:rPr>
      </w:pPr>
    </w:p>
    <w:p w14:paraId="6B65EDBE">
      <w:pPr>
        <w:rPr>
          <w:rFonts w:ascii="Calibri" w:hAnsi="Calibri" w:cs="Times New Roman"/>
          <w:bCs w:val="0"/>
          <w:kern w:val="2"/>
        </w:rPr>
      </w:pPr>
      <w:bookmarkStart w:id="32" w:name="_Hlk188285089"/>
      <w:bookmarkStart w:id="33" w:name="_Hlk199506625"/>
      <w:r>
        <w:rPr>
          <w:rFonts w:hint="eastAsia" w:ascii="Calibri" w:hAnsi="Calibri" w:cs="Times New Roman"/>
          <w:kern w:val="2"/>
        </w:rPr>
        <w:t>报告期内公司新增重要非主营业务的说明</w:t>
      </w:r>
    </w:p>
    <w:sdt>
      <w:sdtPr>
        <w:rPr>
          <w:rFonts w:hint="eastAsia"/>
        </w:rPr>
        <w:alias w:val="是否适用：报告期内公司新增重要非主营业务的说明[双击切换]"/>
        <w:tag w:val="_GBC_c777ca3f625d446a99f6adbd4267c48a"/>
        <w:id w:val="147479943"/>
        <w:placeholder>
          <w:docPart w:val="GBC22222222222222222222222222222"/>
        </w:placeholder>
      </w:sdtPr>
      <w:sdtEndPr>
        <w:rPr>
          <w:rFonts w:hint="eastAsia"/>
        </w:rPr>
      </w:sdtEndPr>
      <w:sdtContent>
        <w:p w14:paraId="22759F54">
          <w:pPr>
            <w:pStyle w:val="55"/>
          </w:pPr>
          <w:r>
            <w:rPr>
              <w:rFonts w:hint="eastAsia" w:ascii="宋体" w:hAnsi="宋体"/>
            </w:rPr>
            <w:fldChar w:fldCharType="begin"/>
          </w:r>
          <w:r>
            <w:rPr>
              <w:rFonts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ascii="宋体" w:hAnsi="宋体"/>
            </w:rPr>
            <w:instrText xml:space="preserve"> MACROBUTTON  SnrToggleCheckbox √不适用 </w:instrText>
          </w:r>
          <w:r>
            <w:rPr>
              <w:rFonts w:hint="eastAsia" w:ascii="宋体" w:hAnsi="宋体"/>
            </w:rPr>
            <w:fldChar w:fldCharType="end"/>
          </w:r>
        </w:p>
      </w:sdtContent>
    </w:sdt>
    <w:bookmarkEnd w:id="32"/>
    <w:bookmarkEnd w:id="33"/>
    <w:p w14:paraId="011C4843">
      <w:pPr>
        <w:pStyle w:val="3"/>
        <w:numPr>
          <w:ilvl w:val="0"/>
          <w:numId w:val="6"/>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经营情况的讨论与分析</w:t>
      </w:r>
    </w:p>
    <w:sdt>
      <w:sdtPr>
        <w:rPr>
          <w:rFonts w:hint="eastAsia"/>
          <w:color w:val="000000" w:themeColor="text1"/>
          <w14:textFill>
            <w14:solidFill>
              <w14:schemeClr w14:val="tx1"/>
            </w14:solidFill>
          </w14:textFill>
        </w:rPr>
        <w:alias w:val="管理层讨论与分析"/>
        <w:tag w:val="_GBC_886258ec69e240da99b57ac102afbda6"/>
        <w:id w:val="147482696"/>
        <w:placeholder>
          <w:docPart w:val="GBC22222222222222222222222222222"/>
        </w:placeholder>
      </w:sdtPr>
      <w:sdtEndPr>
        <w:rPr>
          <w:rFonts w:hint="eastAsia"/>
          <w:color w:val="000000" w:themeColor="text1"/>
          <w14:textFill>
            <w14:solidFill>
              <w14:schemeClr w14:val="tx1"/>
            </w14:solidFill>
          </w14:textFill>
        </w:rPr>
      </w:sdtEndPr>
      <w:sdtContent>
        <w:p w14:paraId="20E7E315">
          <w:pPr>
            <w:ind w:firstLine="420" w:firstLineChars="200"/>
          </w:pPr>
          <w:r>
            <w:rPr>
              <w:rFonts w:hint="eastAsia"/>
              <w:color w:val="000000" w:themeColor="text1"/>
              <w14:textFill>
                <w14:solidFill>
                  <w14:schemeClr w14:val="tx1"/>
                </w14:solidFill>
              </w14:textFill>
            </w:rPr>
            <w:t>报告期内，公司实现营业收</w:t>
          </w:r>
          <w:r>
            <w:rPr>
              <w:rFonts w:hint="eastAsia"/>
            </w:rPr>
            <w:t>入32.08亿元，同比下降38.36%，实现归属于上市公司股东的净利润为-7,903万元。收入及利润下降</w:t>
          </w:r>
          <w:r>
            <w:rPr>
              <w:rFonts w:hint="eastAsia"/>
              <w:color w:val="000000" w:themeColor="text1"/>
              <w14:textFill>
                <w14:solidFill>
                  <w14:schemeClr w14:val="tx1"/>
                </w14:solidFill>
              </w14:textFill>
            </w:rPr>
            <w:t>主要系重点客户上半年产品订单减少，导致营业收入降幅较大；因订单收入减少带来的产能利用不足，固定费用较高，毛利额下降影响了利润。</w:t>
          </w:r>
          <w:r>
            <w:rPr>
              <w:rFonts w:hint="eastAsia"/>
            </w:rPr>
            <w:t>报告期内，尽管公司整体收入有所下滑，但公司围绕战略性新兴产业，在高强尼龙、玄武岩纤维、防水透湿膜等新材料成果转化以及单兵产品、野营装备、消防装备等新产品开发方面加快布局，全力推动传统产业转型升级和战新产业部署落地。</w:t>
          </w:r>
        </w:p>
        <w:p w14:paraId="0681167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公司积极履行“保军”首责，深度推进产品结构战略性调整：一是积极梳理所属企业主力产品，构建“军品、应急、民品”三位一体产品谱系——军品领域加速由基础防护、隐身功能向多功能系统集成升级，提升单兵保障能力与战场适应性；应急领域聚焦消防抢险、灾害救援、工业防护四大核心场景，打造模块化专业解决方案；民品领域聚焦行政司法制服、央国企工装集采、高端定制服务、电商快反供应链及国际品牌代工五大赛道，形成多层次市场布局，三大板块协同强化主业核心竞争力。二是强化产能建设通过推进智能化改造、数字化转型和优化用工结构等措施提升保障能力。三是重塑营销体系，公司开展营销体系提升工作，完善营销体系架构，加强营销队伍市场化竞争能力建设。四是培育新质动能，打造高级定制“JH1912” 品牌，开发系列高端商务定制产品，配套建成国内一流全流程数字化柔性智能西装生产线，形成研发、设计、生产、售后快速反应能力。五是战新产业如期开展，“双国产”（国产原材料+国产装备）高性能尼龙66纤维完成中试验证，成功打通纺丝-应用全链路制备技术，成为国内少数具备军警防护装备、消防救援服装及高端民用功能性面料全产业链供应能力的企业，为业务板块提供高附加值材料支撑。</w:t>
          </w:r>
        </w:p>
      </w:sdtContent>
    </w:sdt>
    <w:p w14:paraId="612FA3BD">
      <w:pPr>
        <w:rPr>
          <w:color w:val="000000" w:themeColor="text1"/>
          <w14:textFill>
            <w14:solidFill>
              <w14:schemeClr w14:val="tx1"/>
            </w14:solidFill>
          </w14:textFill>
        </w:rPr>
      </w:pPr>
    </w:p>
    <w:p w14:paraId="45F48F4F">
      <w:pPr>
        <w:rPr>
          <w:b/>
          <w:bCs w:val="0"/>
          <w:color w:val="000000" w:themeColor="text1"/>
          <w14:textFill>
            <w14:solidFill>
              <w14:schemeClr w14:val="tx1"/>
            </w14:solidFill>
          </w14:textFill>
        </w:rPr>
      </w:pPr>
      <w:r>
        <w:rPr>
          <w:rFonts w:hint="eastAsia"/>
          <w:b/>
          <w:color w:val="000000" w:themeColor="text1"/>
          <w14:textFill>
            <w14:solidFill>
              <w14:schemeClr w14:val="tx1"/>
            </w14:solidFill>
          </w14:textFill>
        </w:rPr>
        <w:t>报告期内公司经营情况的重大变化，以及报告期内发生的对公司经营情况有重大影响和预计未来会有重大影响的事项</w:t>
      </w:r>
    </w:p>
    <w:sdt>
      <w:sdtPr>
        <w:rPr>
          <w:rFonts w:hint="eastAsia"/>
          <w:color w:val="000000" w:themeColor="text1"/>
          <w14:textFill>
            <w14:solidFill>
              <w14:schemeClr w14:val="tx1"/>
            </w14:solidFill>
          </w14:textFill>
        </w:rPr>
        <w:alias w:val="是否适用：报告期内公司经营情况的重大变化，以及报告期内发生的对公司经营情况有重大影响和预计未来会有重大影响的事项[双击切换]"/>
        <w:tag w:val="_GBC_0f91ff55b5a9406ea662149119d7e23c"/>
        <w:id w:val="147459355"/>
        <w:placeholder>
          <w:docPart w:val="GBC22222222222222222222222222222"/>
        </w:placeholder>
      </w:sdtPr>
      <w:sdtEndPr>
        <w:rPr>
          <w:rFonts w:hint="eastAsia"/>
          <w:color w:val="000000" w:themeColor="text1"/>
          <w14:textFill>
            <w14:solidFill>
              <w14:schemeClr w14:val="tx1"/>
            </w14:solidFill>
          </w14:textFill>
        </w:rPr>
      </w:sdtEndPr>
      <w:sdtContent>
        <w:p w14:paraId="721DAC1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4DC4D7">
      <w:pPr>
        <w:rPr>
          <w:color w:val="000000" w:themeColor="text1"/>
          <w14:textFill>
            <w14:solidFill>
              <w14:schemeClr w14:val="tx1"/>
            </w14:solidFill>
          </w14:textFill>
        </w:rPr>
      </w:pPr>
    </w:p>
    <w:p w14:paraId="6AC08E44">
      <w:pPr>
        <w:pStyle w:val="3"/>
        <w:numPr>
          <w:ilvl w:val="0"/>
          <w:numId w:val="6"/>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报告期内核心竞争力分析</w:t>
      </w:r>
    </w:p>
    <w:sdt>
      <w:sdtPr>
        <w:rPr>
          <w:color w:val="000000" w:themeColor="text1"/>
          <w14:textFill>
            <w14:solidFill>
              <w14:schemeClr w14:val="tx1"/>
            </w14:solidFill>
          </w14:textFill>
        </w:rPr>
        <w:alias w:val="是否适用：报告期内核心竞争力分析[双击切换]"/>
        <w:tag w:val="_GBC_f5e4beedb06c4dedb1da9c7f429d840e"/>
        <w:id w:val="147474098"/>
        <w:placeholder>
          <w:docPart w:val="GBC22222222222222222222222222222"/>
        </w:placeholder>
      </w:sdtPr>
      <w:sdtEndPr>
        <w:rPr>
          <w:color w:val="000000" w:themeColor="text1"/>
          <w14:textFill>
            <w14:solidFill>
              <w14:schemeClr w14:val="tx1"/>
            </w14:solidFill>
          </w14:textFill>
        </w:rPr>
      </w:sdtEndPr>
      <w:sdtContent>
        <w:p w14:paraId="20EF61F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报告期内核心竞争力分析"/>
        <w:tag w:val="_GBC_2aded0644185447a9ec788ba0b35ac4f"/>
        <w:id w:val="147454926"/>
        <w:placeholder>
          <w:docPart w:val="GBC22222222222222222222222222222"/>
        </w:placeholder>
      </w:sdtPr>
      <w:sdtEndPr>
        <w:rPr>
          <w:rFonts w:hint="eastAsia"/>
          <w:color w:val="000000" w:themeColor="text1"/>
          <w14:textFill>
            <w14:solidFill>
              <w14:schemeClr w14:val="tx1"/>
            </w14:solidFill>
          </w14:textFill>
        </w:rPr>
      </w:sdtEndPr>
      <w:sdtContent>
        <w:p w14:paraId="695FACA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（一）领先的行业市场地位</w:t>
          </w:r>
        </w:p>
        <w:p w14:paraId="7BC3D78E">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是中国军队、武警部队军需品采购的主要供应商，是中国军需品、职业装、职业鞋靴的重要研发和生产基地，在军需品（包括服装、鞋、帽、配饰等）市场占据领先的市场份额；公司是国家统一着装部门和单位以及其他职业装着装行业的主要供应商，在消防、公安、司法、检察院、法院、工商、税务、铁路、交通等国家统一着装部门制服市场占有较大市场份额；公司拥有军需品出口资质，具有全产品系列的综合保障能力。</w:t>
          </w:r>
        </w:p>
        <w:p w14:paraId="16BD5FD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（二）良好的产业协同能力</w:t>
          </w:r>
        </w:p>
        <w:p w14:paraId="503180E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拥有纺纱、织布、印染、制衣、服饰、防护装具的完整产业链，具备从研发设计、生产制造到销售、服务的协同优势。公司所属企业分布在全国23个省、自治区和直辖市，区位优势明显，在产品研发、原料供应、生产组织和销售渠道方面具有良好产业协同能力。</w:t>
          </w:r>
        </w:p>
        <w:p w14:paraId="549A69DF">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（三）快速提升的研发创新能力</w:t>
          </w:r>
        </w:p>
        <w:p w14:paraId="6539B79A">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逐步形成了以际华研究总院为牵引，以职业装、职业鞋靴、纺织印染、防护装具等4个专业研究院为支撑的上下协同、高效联动的研发创新体系。公司共拥有2个国家级企业技术中心、3个国家级工业设计中心、1个博士后科研工作站，1个博士后科研流动站协作研发中心、19个省级企业技术中心、7个省级工程技术研究中心、3个省级工程研究中心、9个省级工业设计中心、2个省级重点实验室、3家省级产业技术研究院。拥有有效专利2208项，其中有效发明专利509项，参与制定国家标准39个。公司成立高级定制、工程技术、时尚设计“三中心”，提升专业能力建设。打造设计师特色研发体系，挂牌多个设计师命名的工作室。研发创新体系的不断完善和研发创新能力的提升为公司重大项目研发设计、关键材料和技术攻关以及保持产品质量和性能提升提供了强力支撑和保障。</w:t>
          </w:r>
        </w:p>
        <w:p w14:paraId="5707E58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（四）较强的行业品牌影响力</w:t>
          </w:r>
        </w:p>
        <w:p w14:paraId="59D7D392">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建立了以“际华”品牌作为母品牌的多元化业务母子品牌架构体系,多年位列亚洲品牌前500强。公司是中国军队、武警部队军需品采购的主要供应商，“际华”品牌在国内军需品市场具有强大的影响力。依托在军需品市场的影响力和产品品质，公司在民用职业服饰市场的影响力也在不断提升，公司科技时尚职业装、商务休闲鞋靴等先后亮相中国国际时装周等产品发布会，在市场上产生较好反响。公司积极践行“保军、应急、为民”使命宗旨，发挥了服务国防、保障军需、应急救援的主力军作用，在历次阅兵等重大保障、抗震防洪救灾等急难险重任务中彰显了央企“国家队”的重要地位，提升了行业地位和品牌形象。</w:t>
          </w:r>
        </w:p>
      </w:sdtContent>
    </w:sdt>
    <w:p w14:paraId="5B221396">
      <w:pPr>
        <w:rPr>
          <w:color w:val="000000" w:themeColor="text1"/>
          <w14:textFill>
            <w14:solidFill>
              <w14:schemeClr w14:val="tx1"/>
            </w14:solidFill>
          </w14:textFill>
        </w:rPr>
      </w:pPr>
    </w:p>
    <w:p w14:paraId="7F7F3EC5">
      <w:pPr>
        <w:pStyle w:val="3"/>
        <w:numPr>
          <w:ilvl w:val="0"/>
          <w:numId w:val="6"/>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报告期内主要经营情况</w:t>
      </w:r>
    </w:p>
    <w:p w14:paraId="369809F7">
      <w:pPr>
        <w:pStyle w:val="57"/>
        <w:numPr>
          <w:ilvl w:val="0"/>
          <w:numId w:val="7"/>
        </w:numPr>
        <w:rPr>
          <w:rFonts w:ascii="宋体" w:hAnsi="宋体"/>
          <w:color w:val="000000" w:themeColor="text1"/>
          <w14:textFill>
            <w14:solidFill>
              <w14:schemeClr w14:val="tx1"/>
            </w14:solidFill>
          </w14:textFill>
        </w:rPr>
      </w:pPr>
      <w:bookmarkStart w:id="34" w:name="_Toc342559738"/>
      <w:bookmarkStart w:id="35" w:name="_Toc342565895"/>
      <w:r>
        <w:rPr>
          <w:rFonts w:hint="eastAsia" w:ascii="宋体" w:hAnsi="宋体"/>
          <w:color w:val="000000" w:themeColor="text1"/>
          <w14:textFill>
            <w14:solidFill>
              <w14:schemeClr w14:val="tx1"/>
            </w14:solidFill>
          </w14:textFill>
        </w:rPr>
        <w:t>主营业务分析</w:t>
      </w:r>
      <w:bookmarkEnd w:id="34"/>
      <w:bookmarkEnd w:id="35"/>
    </w:p>
    <w:p w14:paraId="2C3BEFA0">
      <w:pPr>
        <w:pStyle w:val="58"/>
        <w:numPr>
          <w:ilvl w:val="0"/>
          <w:numId w:val="8"/>
        </w:numPr>
        <w:rPr>
          <w:rFonts w:ascii="宋体" w:hAnsi="宋体"/>
          <w:color w:val="000000" w:themeColor="text1"/>
          <w14:textFill>
            <w14:solidFill>
              <w14:schemeClr w14:val="tx1"/>
            </w14:solidFill>
          </w14:textFill>
        </w:rPr>
      </w:pPr>
      <w:bookmarkStart w:id="36" w:name="_Toc342559739"/>
      <w:bookmarkStart w:id="37" w:name="_Toc342565896"/>
      <w:r>
        <w:rPr>
          <w:rFonts w:hint="eastAsia" w:ascii="宋体" w:hAnsi="宋体"/>
          <w:color w:val="000000" w:themeColor="text1"/>
          <w14:textFill>
            <w14:solidFill>
              <w14:schemeClr w14:val="tx1"/>
            </w14:solidFill>
          </w14:textFill>
        </w:rPr>
        <w:t>财务报表相关科目变动分析表</w:t>
      </w:r>
      <w:bookmarkEnd w:id="36"/>
      <w:bookmarkEnd w:id="37"/>
    </w:p>
    <w:p w14:paraId="5980A726">
      <w:pPr>
        <w:pStyle w:val="50"/>
        <w:ind w:left="360" w:firstLine="0" w:firstLineChars="0"/>
        <w:jc w:val="right"/>
        <w:rPr>
          <w:rFonts w:ascii="宋体" w:hAnsi="宋体"/>
          <w:color w:val="000000" w:themeColor="text1"/>
          <w14:textFill>
            <w14:solidFill>
              <w14:schemeClr w14:val="tx1"/>
            </w14:solidFill>
          </w14:textFill>
        </w:rPr>
      </w:pPr>
      <w:bookmarkStart w:id="38" w:name="_Toc342565903"/>
      <w:r>
        <w:rPr>
          <w:rFonts w:hint="eastAsia" w:ascii="宋体" w:hAnsi="宋体"/>
          <w:color w:val="000000" w:themeColor="text1"/>
          <w:szCs w:val="21"/>
          <w14:textFill>
            <w14:solidFill>
              <w14:schemeClr w14:val="tx1"/>
            </w14:solidFill>
          </w14:textFill>
        </w:rPr>
        <w:t>单位</w:t>
      </w:r>
      <w:r>
        <w:rPr>
          <w:rFonts w:ascii="宋体" w:hAnsi="宋体"/>
          <w:color w:val="000000" w:themeColor="text1"/>
          <w:szCs w:val="21"/>
          <w14:textFill>
            <w14:solidFill>
              <w14:schemeClr w14:val="tx1"/>
            </w14:solidFill>
          </w14:textFill>
        </w:rPr>
        <w:t>：</w:t>
      </w:r>
      <w:sdt>
        <w:sdtPr>
          <w:rPr>
            <w:rFonts w:ascii="宋体" w:hAnsi="宋体"/>
            <w:color w:val="000000" w:themeColor="text1"/>
            <w:szCs w:val="21"/>
            <w14:textFill>
              <w14:solidFill>
                <w14:schemeClr w14:val="tx1"/>
              </w14:solidFill>
            </w14:textFill>
          </w:rPr>
          <w:alias w:val="单位：利润表及现金流量表相关科目变动分析表"/>
          <w:tag w:val="_GBC_ece1a77905b94e6db0c76206578fe2db"/>
          <w:id w:val="-1308853541"/>
          <w:comboBox>
            <w:listItem w:displayText="元" w:value="1"/>
            <w:listItem w:displayText="千元" w:value="1000"/>
            <w:listItem w:displayText="万元" w:value="10000"/>
            <w:listItem w:displayText="百万元" w:value="1000000"/>
            <w:listItem w:displayText="亿元" w:value="100000000"/>
          </w:comboBox>
        </w:sdtPr>
        <w:sdtEndPr>
          <w:rPr>
            <w:rFonts w:ascii="宋体" w:hAnsi="宋体"/>
            <w:color w:val="000000" w:themeColor="text1"/>
            <w:szCs w:val="21"/>
            <w14:textFill>
              <w14:solidFill>
                <w14:schemeClr w14:val="tx1"/>
              </w14:solidFill>
            </w14:textFill>
          </w:rPr>
        </w:sdtEndPr>
        <w:sdtContent>
          <w:r>
            <w:rPr>
              <w:rFonts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r>
        <w:rPr>
          <w:rFonts w:ascii="宋体" w:hAnsi="宋体"/>
          <w:color w:val="000000" w:themeColor="text1"/>
          <w:szCs w:val="21"/>
          <w14:textFill>
            <w14:solidFill>
              <w14:schemeClr w14:val="tx1"/>
            </w14:solidFill>
          </w14:textFill>
        </w:rPr>
        <w:t>：</w:t>
      </w:r>
      <w:sdt>
        <w:sdtPr>
          <w:rPr>
            <w:rFonts w:ascii="宋体" w:hAnsi="宋体"/>
            <w:color w:val="000000" w:themeColor="text1"/>
            <w:szCs w:val="21"/>
            <w14:textFill>
              <w14:solidFill>
                <w14:schemeClr w14:val="tx1"/>
              </w14:solidFill>
            </w14:textFill>
          </w:rPr>
          <w:alias w:val="币种：利润表及现金流量表相关科目变动分析表"/>
          <w:tag w:val="_GBC_6c86f79f9e2349b09f37ad908cd43f73"/>
          <w:id w:val="-206139315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宋体" w:hAnsi="宋体"/>
            <w:color w:val="000000" w:themeColor="text1"/>
            <w:szCs w:val="21"/>
            <w14:textFill>
              <w14:solidFill>
                <w14:schemeClr w14:val="tx1"/>
              </w14:solidFill>
            </w14:textFill>
          </w:rPr>
        </w:sdtEndPr>
        <w:sdtContent>
          <w:r>
            <w:rPr>
              <w:rFonts w:ascii="宋体" w:hAnsi="宋体"/>
              <w:color w:val="000000" w:themeColor="text1"/>
              <w:szCs w:val="21"/>
              <w14:textFill>
                <w14:solidFill>
                  <w14:schemeClr w14:val="tx1"/>
                </w14:solidFill>
              </w14:textFill>
            </w:rPr>
            <w:t>人民币</w:t>
          </w:r>
        </w:sdtContent>
      </w:sdt>
    </w:p>
    <w:tbl>
      <w:tblPr>
        <w:tblStyle w:val="38"/>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3"/>
        <w:gridCol w:w="2126"/>
        <w:gridCol w:w="1985"/>
        <w:gridCol w:w="1842"/>
      </w:tblGrid>
      <w:tr w14:paraId="44E8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e2e0d1bb8d44a278061305ea6808979"/>
            <w:id w:val="2129197261"/>
          </w:sdtPr>
          <w:sdtContent>
            <w:tc>
              <w:tcPr>
                <w:tcW w:w="1706" w:type="pct"/>
                <w:vAlign w:val="center"/>
              </w:tcPr>
              <w:p w14:paraId="07049838">
                <w:pPr>
                  <w:pStyle w:val="50"/>
                  <w:ind w:firstLine="0" w:firstLineChars="0"/>
                  <w:rPr>
                    <w:rFonts w:ascii="宋体" w:hAnsi="宋体"/>
                    <w:color w:val="000000" w:themeColor="text1"/>
                    <w:szCs w:val="21"/>
                    <w14:textFill>
                      <w14:solidFill>
                        <w14:schemeClr w14:val="tx1"/>
                      </w14:solidFill>
                    </w14:textFill>
                  </w:rPr>
                </w:pPr>
                <w:bookmarkStart w:id="39" w:name="_Hlk10208057"/>
                <w:r>
                  <w:rPr>
                    <w:rFonts w:hint="eastAsia" w:ascii="宋体" w:hAnsi="宋体"/>
                    <w:color w:val="000000" w:themeColor="text1"/>
                    <w:szCs w:val="21"/>
                    <w14:textFill>
                      <w14:solidFill>
                        <w14:schemeClr w14:val="tx1"/>
                      </w14:solidFill>
                    </w14:textFill>
                  </w:rPr>
                  <w:t>科目</w:t>
                </w:r>
              </w:p>
            </w:tc>
          </w:sdtContent>
        </w:sdt>
        <w:sdt>
          <w:sdtPr>
            <w:tag w:val="_PLD_37391874ab08430b841a55f53c4d20e6"/>
            <w:id w:val="818695264"/>
          </w:sdtPr>
          <w:sdtContent>
            <w:tc>
              <w:tcPr>
                <w:tcW w:w="1176" w:type="pct"/>
                <w:vAlign w:val="center"/>
              </w:tcPr>
              <w:p w14:paraId="7EA17765">
                <w:pPr>
                  <w:pStyle w:val="50"/>
                  <w:ind w:firstLine="0" w:firstLineChars="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本期数</w:t>
                </w:r>
              </w:p>
            </w:tc>
          </w:sdtContent>
        </w:sdt>
        <w:sdt>
          <w:sdtPr>
            <w:tag w:val="_PLD_d061bf6d7e824e93a5540d2e36feb15d"/>
            <w:id w:val="1555348509"/>
          </w:sdtPr>
          <w:sdtContent>
            <w:tc>
              <w:tcPr>
                <w:tcW w:w="1098" w:type="pct"/>
                <w:vAlign w:val="center"/>
              </w:tcPr>
              <w:p w14:paraId="5C5BE8D1">
                <w:pPr>
                  <w:pStyle w:val="50"/>
                  <w:ind w:firstLine="0" w:firstLineChars="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上年同期数</w:t>
                </w:r>
              </w:p>
            </w:tc>
          </w:sdtContent>
        </w:sdt>
        <w:sdt>
          <w:sdtPr>
            <w:tag w:val="_PLD_1792b71106c34c75af22292391c96e49"/>
            <w:id w:val="425842889"/>
          </w:sdtPr>
          <w:sdtContent>
            <w:tc>
              <w:tcPr>
                <w:tcW w:w="1019" w:type="pct"/>
                <w:vAlign w:val="center"/>
              </w:tcPr>
              <w:p w14:paraId="00047473">
                <w:pPr>
                  <w:pStyle w:val="50"/>
                  <w:ind w:firstLine="0" w:firstLineChars="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变动比例（%）</w:t>
                </w:r>
              </w:p>
            </w:tc>
          </w:sdtContent>
        </w:sdt>
      </w:tr>
      <w:tr w14:paraId="60D2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7aabd73356d4df6ad6c67395e690823"/>
            <w:id w:val="329804669"/>
          </w:sdtPr>
          <w:sdtContent>
            <w:tc>
              <w:tcPr>
                <w:tcW w:w="1706" w:type="pct"/>
              </w:tcPr>
              <w:p w14:paraId="38A58643">
                <w:pPr>
                  <w:pStyle w:val="50"/>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营业收入</w:t>
                </w:r>
              </w:p>
            </w:tc>
          </w:sdtContent>
        </w:sdt>
        <w:tc>
          <w:tcPr>
            <w:tcW w:w="1176" w:type="pct"/>
            <w:vAlign w:val="bottom"/>
          </w:tcPr>
          <w:p w14:paraId="63522EBB">
            <w:pPr>
              <w:pStyle w:val="50"/>
              <w:ind w:firstLine="0" w:firstLineChars="0"/>
              <w:jc w:val="right"/>
              <w:rPr>
                <w:rFonts w:ascii="Times New Roman" w:hAnsi="Times New Roman"/>
                <w:szCs w:val="21"/>
              </w:rPr>
            </w:pPr>
            <w:r>
              <w:rPr>
                <w:rFonts w:hint="eastAsia" w:ascii="Times New Roman" w:hAnsi="Times New Roman"/>
                <w:szCs w:val="21"/>
              </w:rPr>
              <w:t>3,207,731,942.85</w:t>
            </w:r>
          </w:p>
        </w:tc>
        <w:tc>
          <w:tcPr>
            <w:tcW w:w="1098" w:type="pct"/>
            <w:vAlign w:val="bottom"/>
          </w:tcPr>
          <w:p w14:paraId="6A349BBB">
            <w:pPr>
              <w:pStyle w:val="50"/>
              <w:ind w:firstLine="0" w:firstLineChars="0"/>
              <w:jc w:val="right"/>
              <w:rPr>
                <w:rFonts w:ascii="Times New Roman" w:hAnsi="Times New Roman"/>
                <w:szCs w:val="21"/>
              </w:rPr>
            </w:pPr>
            <w:r>
              <w:rPr>
                <w:rFonts w:hint="eastAsia" w:ascii="Times New Roman" w:hAnsi="Times New Roman"/>
                <w:szCs w:val="21"/>
              </w:rPr>
              <w:t>5,204,229,384.76</w:t>
            </w:r>
          </w:p>
        </w:tc>
        <w:tc>
          <w:tcPr>
            <w:tcW w:w="1019" w:type="pct"/>
            <w:vAlign w:val="bottom"/>
          </w:tcPr>
          <w:p w14:paraId="069F2BF3">
            <w:pPr>
              <w:pStyle w:val="50"/>
              <w:ind w:firstLine="0" w:firstLineChars="0"/>
              <w:jc w:val="right"/>
              <w:rPr>
                <w:rFonts w:ascii="Times New Roman" w:hAnsi="Times New Roman"/>
                <w:szCs w:val="21"/>
              </w:rPr>
            </w:pPr>
            <w:r>
              <w:rPr>
                <w:rFonts w:hint="eastAsia" w:ascii="Times New Roman" w:hAnsi="Times New Roman"/>
                <w:szCs w:val="21"/>
              </w:rPr>
              <w:t>-38.36</w:t>
            </w:r>
          </w:p>
        </w:tc>
      </w:tr>
      <w:tr w14:paraId="127F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43930b444784190b0545eacad3472d8"/>
            <w:id w:val="-359968539"/>
          </w:sdtPr>
          <w:sdtContent>
            <w:tc>
              <w:tcPr>
                <w:tcW w:w="1706" w:type="pct"/>
              </w:tcPr>
              <w:p w14:paraId="0EF1FE1E">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营业成本</w:t>
                </w:r>
              </w:p>
            </w:tc>
          </w:sdtContent>
        </w:sdt>
        <w:tc>
          <w:tcPr>
            <w:tcW w:w="1176" w:type="pct"/>
            <w:vAlign w:val="bottom"/>
          </w:tcPr>
          <w:p w14:paraId="6C8E3F63">
            <w:pPr>
              <w:pStyle w:val="50"/>
              <w:ind w:firstLine="0" w:firstLineChars="0"/>
              <w:jc w:val="right"/>
              <w:rPr>
                <w:rFonts w:ascii="Times New Roman" w:hAnsi="Times New Roman"/>
                <w:szCs w:val="21"/>
              </w:rPr>
            </w:pPr>
            <w:r>
              <w:rPr>
                <w:rFonts w:hint="eastAsia" w:ascii="Times New Roman" w:hAnsi="Times New Roman"/>
                <w:szCs w:val="21"/>
              </w:rPr>
              <w:t>2,758,166,135.56</w:t>
            </w:r>
          </w:p>
        </w:tc>
        <w:tc>
          <w:tcPr>
            <w:tcW w:w="1098" w:type="pct"/>
            <w:vAlign w:val="bottom"/>
          </w:tcPr>
          <w:p w14:paraId="210DDD7D">
            <w:pPr>
              <w:pStyle w:val="50"/>
              <w:ind w:firstLine="0" w:firstLineChars="0"/>
              <w:jc w:val="right"/>
              <w:rPr>
                <w:rFonts w:ascii="Times New Roman" w:hAnsi="Times New Roman"/>
                <w:szCs w:val="21"/>
              </w:rPr>
            </w:pPr>
            <w:r>
              <w:rPr>
                <w:rFonts w:hint="eastAsia" w:ascii="Times New Roman" w:hAnsi="Times New Roman"/>
                <w:szCs w:val="21"/>
              </w:rPr>
              <w:t>4,519,705,718.89</w:t>
            </w:r>
          </w:p>
        </w:tc>
        <w:tc>
          <w:tcPr>
            <w:tcW w:w="1019" w:type="pct"/>
            <w:vAlign w:val="bottom"/>
          </w:tcPr>
          <w:p w14:paraId="6A179ED4">
            <w:pPr>
              <w:pStyle w:val="50"/>
              <w:ind w:firstLine="0" w:firstLineChars="0"/>
              <w:jc w:val="right"/>
              <w:rPr>
                <w:rFonts w:ascii="Times New Roman" w:hAnsi="Times New Roman"/>
                <w:szCs w:val="21"/>
              </w:rPr>
            </w:pPr>
            <w:r>
              <w:rPr>
                <w:rFonts w:hint="eastAsia" w:ascii="Times New Roman" w:hAnsi="Times New Roman"/>
                <w:szCs w:val="21"/>
              </w:rPr>
              <w:t>-38.97</w:t>
            </w:r>
          </w:p>
        </w:tc>
      </w:tr>
      <w:tr w14:paraId="1A71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140de3631dd486996919c00b7b71b20"/>
            <w:id w:val="-1518459136"/>
          </w:sdtPr>
          <w:sdtContent>
            <w:tc>
              <w:tcPr>
                <w:tcW w:w="1706" w:type="pct"/>
              </w:tcPr>
              <w:p w14:paraId="17D2CDB3">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销售费用</w:t>
                </w:r>
              </w:p>
            </w:tc>
          </w:sdtContent>
        </w:sdt>
        <w:tc>
          <w:tcPr>
            <w:tcW w:w="1176" w:type="pct"/>
            <w:vAlign w:val="bottom"/>
          </w:tcPr>
          <w:p w14:paraId="3809E026">
            <w:pPr>
              <w:pStyle w:val="50"/>
              <w:ind w:firstLine="0" w:firstLineChars="0"/>
              <w:jc w:val="right"/>
              <w:rPr>
                <w:rFonts w:ascii="Times New Roman" w:hAnsi="Times New Roman"/>
                <w:szCs w:val="21"/>
              </w:rPr>
            </w:pPr>
            <w:r>
              <w:rPr>
                <w:rFonts w:hint="eastAsia" w:ascii="Times New Roman" w:hAnsi="Times New Roman"/>
                <w:szCs w:val="21"/>
              </w:rPr>
              <w:t>114,303,971.14</w:t>
            </w:r>
          </w:p>
        </w:tc>
        <w:tc>
          <w:tcPr>
            <w:tcW w:w="1098" w:type="pct"/>
            <w:vAlign w:val="bottom"/>
          </w:tcPr>
          <w:p w14:paraId="2D5518D8">
            <w:pPr>
              <w:pStyle w:val="50"/>
              <w:ind w:firstLine="0" w:firstLineChars="0"/>
              <w:jc w:val="right"/>
              <w:rPr>
                <w:rFonts w:ascii="Times New Roman" w:hAnsi="Times New Roman"/>
                <w:szCs w:val="21"/>
              </w:rPr>
            </w:pPr>
            <w:r>
              <w:rPr>
                <w:rFonts w:hint="eastAsia" w:ascii="Times New Roman" w:hAnsi="Times New Roman"/>
                <w:szCs w:val="21"/>
              </w:rPr>
              <w:t>172,992,168.56</w:t>
            </w:r>
          </w:p>
        </w:tc>
        <w:tc>
          <w:tcPr>
            <w:tcW w:w="1019" w:type="pct"/>
            <w:vAlign w:val="bottom"/>
          </w:tcPr>
          <w:p w14:paraId="7AC31360">
            <w:pPr>
              <w:pStyle w:val="50"/>
              <w:ind w:firstLine="0" w:firstLineChars="0"/>
              <w:jc w:val="right"/>
              <w:rPr>
                <w:rFonts w:ascii="Times New Roman" w:hAnsi="Times New Roman"/>
                <w:szCs w:val="21"/>
              </w:rPr>
            </w:pPr>
            <w:r>
              <w:rPr>
                <w:rFonts w:hint="eastAsia" w:ascii="Times New Roman" w:hAnsi="Times New Roman"/>
                <w:szCs w:val="21"/>
              </w:rPr>
              <w:t>-33.93</w:t>
            </w:r>
          </w:p>
        </w:tc>
      </w:tr>
      <w:tr w14:paraId="0ED1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448b6c19be4461084a37286c6a46673"/>
            <w:id w:val="1872021522"/>
          </w:sdtPr>
          <w:sdtContent>
            <w:tc>
              <w:tcPr>
                <w:tcW w:w="1706" w:type="pct"/>
              </w:tcPr>
              <w:p w14:paraId="51255329">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管理费用</w:t>
                </w:r>
              </w:p>
            </w:tc>
          </w:sdtContent>
        </w:sdt>
        <w:tc>
          <w:tcPr>
            <w:tcW w:w="1176" w:type="pct"/>
            <w:vAlign w:val="bottom"/>
          </w:tcPr>
          <w:p w14:paraId="2B8CC17E">
            <w:pPr>
              <w:pStyle w:val="50"/>
              <w:ind w:firstLine="0" w:firstLineChars="0"/>
              <w:jc w:val="right"/>
              <w:rPr>
                <w:rFonts w:ascii="Times New Roman" w:hAnsi="Times New Roman"/>
                <w:szCs w:val="21"/>
              </w:rPr>
            </w:pPr>
            <w:r>
              <w:rPr>
                <w:rFonts w:hint="eastAsia" w:ascii="Times New Roman" w:hAnsi="Times New Roman"/>
                <w:szCs w:val="21"/>
              </w:rPr>
              <w:t>277,091,465.72</w:t>
            </w:r>
          </w:p>
        </w:tc>
        <w:tc>
          <w:tcPr>
            <w:tcW w:w="1098" w:type="pct"/>
            <w:vAlign w:val="bottom"/>
          </w:tcPr>
          <w:p w14:paraId="3F87B3C5">
            <w:pPr>
              <w:pStyle w:val="50"/>
              <w:ind w:firstLine="0" w:firstLineChars="0"/>
              <w:jc w:val="right"/>
              <w:rPr>
                <w:rFonts w:ascii="Times New Roman" w:hAnsi="Times New Roman"/>
                <w:szCs w:val="21"/>
              </w:rPr>
            </w:pPr>
            <w:r>
              <w:rPr>
                <w:rFonts w:hint="eastAsia" w:ascii="Times New Roman" w:hAnsi="Times New Roman"/>
                <w:szCs w:val="21"/>
              </w:rPr>
              <w:t>306,136,331.59</w:t>
            </w:r>
          </w:p>
        </w:tc>
        <w:tc>
          <w:tcPr>
            <w:tcW w:w="1019" w:type="pct"/>
            <w:vAlign w:val="bottom"/>
          </w:tcPr>
          <w:p w14:paraId="2F1C49C6">
            <w:pPr>
              <w:pStyle w:val="50"/>
              <w:ind w:firstLine="0" w:firstLineChars="0"/>
              <w:jc w:val="right"/>
              <w:rPr>
                <w:rFonts w:ascii="Times New Roman" w:hAnsi="Times New Roman"/>
                <w:szCs w:val="21"/>
              </w:rPr>
            </w:pPr>
            <w:r>
              <w:rPr>
                <w:rFonts w:hint="eastAsia" w:ascii="Times New Roman" w:hAnsi="Times New Roman"/>
                <w:szCs w:val="21"/>
              </w:rPr>
              <w:t>-9.49</w:t>
            </w:r>
          </w:p>
        </w:tc>
      </w:tr>
      <w:tr w14:paraId="181F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989f363470245b8a8044d51af95f876"/>
            <w:id w:val="-1280717182"/>
          </w:sdtPr>
          <w:sdtContent>
            <w:tc>
              <w:tcPr>
                <w:tcW w:w="1706" w:type="pct"/>
              </w:tcPr>
              <w:p w14:paraId="51DA22E2">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财务费用</w:t>
                </w:r>
              </w:p>
            </w:tc>
          </w:sdtContent>
        </w:sdt>
        <w:tc>
          <w:tcPr>
            <w:tcW w:w="1176" w:type="pct"/>
            <w:vAlign w:val="bottom"/>
          </w:tcPr>
          <w:p w14:paraId="6F3805AC">
            <w:pPr>
              <w:pStyle w:val="50"/>
              <w:ind w:firstLine="0" w:firstLineChars="0"/>
              <w:jc w:val="right"/>
              <w:rPr>
                <w:rFonts w:ascii="Times New Roman" w:hAnsi="Times New Roman"/>
                <w:szCs w:val="21"/>
              </w:rPr>
            </w:pPr>
            <w:r>
              <w:rPr>
                <w:rFonts w:hint="eastAsia" w:ascii="Times New Roman" w:hAnsi="Times New Roman"/>
                <w:szCs w:val="21"/>
              </w:rPr>
              <w:t>-14,188,414.87</w:t>
            </w:r>
          </w:p>
        </w:tc>
        <w:tc>
          <w:tcPr>
            <w:tcW w:w="1098" w:type="pct"/>
            <w:vAlign w:val="bottom"/>
          </w:tcPr>
          <w:p w14:paraId="3E906ACE">
            <w:pPr>
              <w:pStyle w:val="50"/>
              <w:ind w:firstLine="0" w:firstLineChars="0"/>
              <w:jc w:val="right"/>
              <w:rPr>
                <w:rFonts w:ascii="Times New Roman" w:hAnsi="Times New Roman"/>
                <w:szCs w:val="21"/>
              </w:rPr>
            </w:pPr>
            <w:r>
              <w:rPr>
                <w:rFonts w:hint="eastAsia" w:ascii="Times New Roman" w:hAnsi="Times New Roman"/>
                <w:szCs w:val="21"/>
              </w:rPr>
              <w:t>-15,626,551.17</w:t>
            </w:r>
          </w:p>
        </w:tc>
        <w:tc>
          <w:tcPr>
            <w:tcW w:w="1019" w:type="pct"/>
            <w:vAlign w:val="bottom"/>
          </w:tcPr>
          <w:p w14:paraId="0E414A9D">
            <w:pPr>
              <w:pStyle w:val="50"/>
              <w:ind w:firstLine="0" w:firstLineChars="0"/>
              <w:jc w:val="right"/>
              <w:rPr>
                <w:rFonts w:ascii="Times New Roman" w:hAnsi="Times New Roman"/>
                <w:szCs w:val="21"/>
              </w:rPr>
            </w:pPr>
            <w:r>
              <w:rPr>
                <w:rFonts w:hint="eastAsia" w:ascii="Times New Roman" w:hAnsi="Times New Roman"/>
                <w:szCs w:val="21"/>
              </w:rPr>
              <w:t>不适用</w:t>
            </w:r>
          </w:p>
        </w:tc>
      </w:tr>
      <w:tr w14:paraId="396F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9aac573eb414fcbb6f291d963446057"/>
            <w:id w:val="-1131479145"/>
          </w:sdtPr>
          <w:sdtContent>
            <w:tc>
              <w:tcPr>
                <w:tcW w:w="1706" w:type="pct"/>
              </w:tcPr>
              <w:p w14:paraId="7A44C676">
                <w:pPr>
                  <w:pStyle w:val="50"/>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研发费用</w:t>
                </w:r>
              </w:p>
            </w:tc>
          </w:sdtContent>
        </w:sdt>
        <w:tc>
          <w:tcPr>
            <w:tcW w:w="1176" w:type="pct"/>
            <w:vAlign w:val="bottom"/>
          </w:tcPr>
          <w:p w14:paraId="61E79458">
            <w:pPr>
              <w:pStyle w:val="50"/>
              <w:ind w:firstLine="0" w:firstLineChars="0"/>
              <w:jc w:val="right"/>
              <w:rPr>
                <w:rFonts w:ascii="Times New Roman" w:hAnsi="Times New Roman"/>
                <w:szCs w:val="21"/>
              </w:rPr>
            </w:pPr>
            <w:r>
              <w:rPr>
                <w:rFonts w:hint="eastAsia" w:ascii="Times New Roman" w:hAnsi="Times New Roman"/>
                <w:szCs w:val="21"/>
              </w:rPr>
              <w:t>118,775,901.52</w:t>
            </w:r>
          </w:p>
        </w:tc>
        <w:tc>
          <w:tcPr>
            <w:tcW w:w="1098" w:type="pct"/>
            <w:vAlign w:val="bottom"/>
          </w:tcPr>
          <w:p w14:paraId="24560D75">
            <w:pPr>
              <w:pStyle w:val="50"/>
              <w:ind w:firstLine="0" w:firstLineChars="0"/>
              <w:jc w:val="right"/>
              <w:rPr>
                <w:rFonts w:ascii="Times New Roman" w:hAnsi="Times New Roman"/>
                <w:szCs w:val="21"/>
              </w:rPr>
            </w:pPr>
            <w:r>
              <w:rPr>
                <w:rFonts w:hint="eastAsia" w:ascii="Times New Roman" w:hAnsi="Times New Roman"/>
                <w:szCs w:val="21"/>
              </w:rPr>
              <w:t>158,017,862.43</w:t>
            </w:r>
          </w:p>
        </w:tc>
        <w:tc>
          <w:tcPr>
            <w:tcW w:w="1019" w:type="pct"/>
            <w:vAlign w:val="bottom"/>
          </w:tcPr>
          <w:p w14:paraId="57FF0262">
            <w:pPr>
              <w:pStyle w:val="50"/>
              <w:ind w:firstLine="0" w:firstLineChars="0"/>
              <w:jc w:val="right"/>
              <w:rPr>
                <w:rFonts w:ascii="Times New Roman" w:hAnsi="Times New Roman"/>
                <w:szCs w:val="21"/>
              </w:rPr>
            </w:pPr>
            <w:r>
              <w:rPr>
                <w:rFonts w:hint="eastAsia" w:ascii="Times New Roman" w:hAnsi="Times New Roman"/>
                <w:szCs w:val="21"/>
              </w:rPr>
              <w:t>-24.83</w:t>
            </w:r>
          </w:p>
        </w:tc>
      </w:tr>
      <w:tr w14:paraId="6470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e652539acb44f708b4f7202c302af4f"/>
            <w:id w:val="-1355413049"/>
          </w:sdtPr>
          <w:sdtContent>
            <w:tc>
              <w:tcPr>
                <w:tcW w:w="1706" w:type="pct"/>
              </w:tcPr>
              <w:p w14:paraId="1986554B">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经营活动产生的现金流量净额</w:t>
                </w:r>
              </w:p>
            </w:tc>
          </w:sdtContent>
        </w:sdt>
        <w:tc>
          <w:tcPr>
            <w:tcW w:w="1176" w:type="pct"/>
            <w:vAlign w:val="bottom"/>
          </w:tcPr>
          <w:p w14:paraId="7C2C80C6">
            <w:pPr>
              <w:pStyle w:val="50"/>
              <w:ind w:firstLine="0" w:firstLineChars="0"/>
              <w:jc w:val="right"/>
              <w:rPr>
                <w:rFonts w:ascii="Times New Roman" w:hAnsi="Times New Roman"/>
                <w:szCs w:val="21"/>
              </w:rPr>
            </w:pPr>
            <w:r>
              <w:rPr>
                <w:rFonts w:hint="eastAsia" w:ascii="Times New Roman" w:hAnsi="Times New Roman"/>
                <w:szCs w:val="21"/>
              </w:rPr>
              <w:t>-896,712,065.16</w:t>
            </w:r>
          </w:p>
        </w:tc>
        <w:tc>
          <w:tcPr>
            <w:tcW w:w="1098" w:type="pct"/>
            <w:vAlign w:val="bottom"/>
          </w:tcPr>
          <w:p w14:paraId="628B83EB">
            <w:pPr>
              <w:pStyle w:val="50"/>
              <w:ind w:firstLine="0" w:firstLineChars="0"/>
              <w:jc w:val="right"/>
              <w:rPr>
                <w:rFonts w:ascii="Times New Roman" w:hAnsi="Times New Roman"/>
                <w:szCs w:val="21"/>
              </w:rPr>
            </w:pPr>
            <w:r>
              <w:rPr>
                <w:rFonts w:hint="eastAsia" w:ascii="Times New Roman" w:hAnsi="Times New Roman"/>
                <w:szCs w:val="21"/>
              </w:rPr>
              <w:t>-1,618,356,756.77</w:t>
            </w:r>
          </w:p>
        </w:tc>
        <w:tc>
          <w:tcPr>
            <w:tcW w:w="1019" w:type="pct"/>
            <w:vAlign w:val="bottom"/>
          </w:tcPr>
          <w:p w14:paraId="5D95ADAF">
            <w:pPr>
              <w:pStyle w:val="50"/>
              <w:ind w:firstLine="0" w:firstLineChars="0"/>
              <w:jc w:val="right"/>
              <w:rPr>
                <w:rFonts w:ascii="Times New Roman" w:hAnsi="Times New Roman"/>
                <w:szCs w:val="21"/>
              </w:rPr>
            </w:pPr>
            <w:r>
              <w:rPr>
                <w:rFonts w:hint="eastAsia" w:ascii="Times New Roman" w:hAnsi="Times New Roman"/>
                <w:szCs w:val="21"/>
              </w:rPr>
              <w:t>不适用</w:t>
            </w:r>
          </w:p>
        </w:tc>
      </w:tr>
      <w:tr w14:paraId="4192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3331660aee640afb46a84edc7e2d2a4"/>
            <w:id w:val="1546177478"/>
          </w:sdtPr>
          <w:sdtContent>
            <w:tc>
              <w:tcPr>
                <w:tcW w:w="1706" w:type="pct"/>
              </w:tcPr>
              <w:p w14:paraId="24082349">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投资活动产生的现金流量净额</w:t>
                </w:r>
              </w:p>
            </w:tc>
          </w:sdtContent>
        </w:sdt>
        <w:tc>
          <w:tcPr>
            <w:tcW w:w="1176" w:type="pct"/>
            <w:vAlign w:val="bottom"/>
          </w:tcPr>
          <w:p w14:paraId="181F8552">
            <w:pPr>
              <w:pStyle w:val="50"/>
              <w:ind w:firstLine="0" w:firstLineChars="0"/>
              <w:jc w:val="right"/>
              <w:rPr>
                <w:rFonts w:ascii="Times New Roman" w:hAnsi="Times New Roman"/>
                <w:szCs w:val="21"/>
              </w:rPr>
            </w:pPr>
            <w:r>
              <w:rPr>
                <w:rFonts w:hint="eastAsia" w:ascii="Times New Roman" w:hAnsi="Times New Roman"/>
                <w:szCs w:val="21"/>
              </w:rPr>
              <w:t>-367,489,454.81</w:t>
            </w:r>
          </w:p>
        </w:tc>
        <w:tc>
          <w:tcPr>
            <w:tcW w:w="1098" w:type="pct"/>
            <w:vAlign w:val="bottom"/>
          </w:tcPr>
          <w:p w14:paraId="15D0A7AB">
            <w:pPr>
              <w:pStyle w:val="50"/>
              <w:ind w:firstLine="0" w:firstLineChars="0"/>
              <w:jc w:val="right"/>
              <w:rPr>
                <w:rFonts w:ascii="Times New Roman" w:hAnsi="Times New Roman"/>
                <w:szCs w:val="21"/>
              </w:rPr>
            </w:pPr>
            <w:r>
              <w:rPr>
                <w:rFonts w:hint="eastAsia" w:ascii="Times New Roman" w:hAnsi="Times New Roman"/>
                <w:szCs w:val="21"/>
              </w:rPr>
              <w:t>-160,025,239.13</w:t>
            </w:r>
          </w:p>
        </w:tc>
        <w:tc>
          <w:tcPr>
            <w:tcW w:w="1019" w:type="pct"/>
            <w:vAlign w:val="bottom"/>
          </w:tcPr>
          <w:p w14:paraId="221E30E1">
            <w:pPr>
              <w:pStyle w:val="50"/>
              <w:ind w:firstLine="0" w:firstLineChars="0"/>
              <w:jc w:val="right"/>
              <w:rPr>
                <w:rFonts w:ascii="Times New Roman" w:hAnsi="Times New Roman"/>
                <w:szCs w:val="21"/>
              </w:rPr>
            </w:pPr>
            <w:r>
              <w:rPr>
                <w:rFonts w:hint="eastAsia" w:ascii="Times New Roman" w:hAnsi="Times New Roman"/>
                <w:szCs w:val="21"/>
              </w:rPr>
              <w:t>不适用</w:t>
            </w:r>
          </w:p>
        </w:tc>
      </w:tr>
      <w:tr w14:paraId="0FB8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32eafcb28041f58b5df53597b43172"/>
            <w:id w:val="-629080064"/>
          </w:sdtPr>
          <w:sdtContent>
            <w:tc>
              <w:tcPr>
                <w:tcW w:w="1706" w:type="pct"/>
              </w:tcPr>
              <w:p w14:paraId="2489C038">
                <w:pPr>
                  <w:pStyle w:val="50"/>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筹资活动产生的现金流量净额</w:t>
                </w:r>
              </w:p>
            </w:tc>
          </w:sdtContent>
        </w:sdt>
        <w:tc>
          <w:tcPr>
            <w:tcW w:w="1176" w:type="pct"/>
            <w:vAlign w:val="bottom"/>
          </w:tcPr>
          <w:p w14:paraId="110B534E">
            <w:pPr>
              <w:pStyle w:val="50"/>
              <w:ind w:firstLine="0" w:firstLineChars="0"/>
              <w:jc w:val="right"/>
              <w:rPr>
                <w:rFonts w:ascii="Times New Roman" w:hAnsi="Times New Roman"/>
                <w:szCs w:val="21"/>
              </w:rPr>
            </w:pPr>
            <w:r>
              <w:rPr>
                <w:rFonts w:hint="eastAsia" w:ascii="Times New Roman" w:hAnsi="Times New Roman"/>
                <w:szCs w:val="21"/>
              </w:rPr>
              <w:t>1,742,522,867.91</w:t>
            </w:r>
          </w:p>
        </w:tc>
        <w:tc>
          <w:tcPr>
            <w:tcW w:w="1098" w:type="pct"/>
            <w:vAlign w:val="bottom"/>
          </w:tcPr>
          <w:p w14:paraId="074DC9A3">
            <w:pPr>
              <w:pStyle w:val="50"/>
              <w:ind w:firstLine="0" w:firstLineChars="0"/>
              <w:jc w:val="right"/>
              <w:rPr>
                <w:rFonts w:ascii="Times New Roman" w:hAnsi="Times New Roman"/>
                <w:szCs w:val="21"/>
              </w:rPr>
            </w:pPr>
            <w:r>
              <w:rPr>
                <w:rFonts w:hint="eastAsia" w:ascii="Times New Roman" w:hAnsi="Times New Roman"/>
                <w:szCs w:val="21"/>
              </w:rPr>
              <w:t>-661,018,543.32</w:t>
            </w:r>
          </w:p>
        </w:tc>
        <w:tc>
          <w:tcPr>
            <w:tcW w:w="1019" w:type="pct"/>
            <w:vAlign w:val="bottom"/>
          </w:tcPr>
          <w:p w14:paraId="35E3BBBA">
            <w:pPr>
              <w:pStyle w:val="50"/>
              <w:ind w:firstLine="0" w:firstLineChars="0"/>
              <w:jc w:val="right"/>
              <w:rPr>
                <w:rFonts w:ascii="Times New Roman" w:hAnsi="Times New Roman"/>
                <w:szCs w:val="21"/>
              </w:rPr>
            </w:pPr>
            <w:r>
              <w:rPr>
                <w:rFonts w:hint="eastAsia" w:ascii="Times New Roman" w:hAnsi="Times New Roman"/>
                <w:szCs w:val="21"/>
              </w:rPr>
              <w:t>不适用</w:t>
            </w:r>
          </w:p>
        </w:tc>
      </w:tr>
      <w:bookmarkEnd w:id="39"/>
    </w:tbl>
    <w:p w14:paraId="698E93EA">
      <w:pPr>
        <w:pStyle w:val="50"/>
        <w:ind w:firstLine="0" w:firstLineChars="0"/>
        <w:jc w:val="left"/>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营业收入变动原因说明：</w:t>
      </w:r>
      <w:sdt>
        <w:sdtPr>
          <w:rPr>
            <w:rFonts w:ascii="Times New Roman" w:hAnsi="Times New Roman"/>
            <w:color w:val="000000" w:themeColor="text1"/>
            <w:szCs w:val="21"/>
            <w14:textFill>
              <w14:solidFill>
                <w14:schemeClr w14:val="tx1"/>
              </w14:solidFill>
            </w14:textFill>
          </w:rPr>
          <w:alias w:val="营业收入变动原因说明"/>
          <w:tag w:val="_GBC_f42c61e6c2ef46fe886ea6ecdd4ea15b"/>
          <w:id w:val="1480879493"/>
        </w:sdtPr>
        <w:sdtEndPr>
          <w:rPr>
            <w:rFonts w:ascii="Times New Roman" w:hAnsi="Times New Roman"/>
            <w:color w:val="000000" w:themeColor="text1"/>
            <w:szCs w:val="21"/>
            <w14:textFill>
              <w14:solidFill>
                <w14:schemeClr w14:val="tx1"/>
              </w14:solidFill>
            </w14:textFill>
          </w:rPr>
        </w:sdtEndPr>
        <w:sdtContent>
          <w:r>
            <w:rPr>
              <w:rFonts w:ascii="Times New Roman" w:hAnsi="Times New Roman"/>
              <w:color w:val="000000" w:themeColor="text1"/>
              <w:szCs w:val="21"/>
              <w14:textFill>
                <w14:solidFill>
                  <w14:schemeClr w14:val="tx1"/>
                </w14:solidFill>
              </w14:textFill>
            </w:rPr>
            <w:t>主要系重点客户订单量减少，部分新研产品尚未形成增量订单，导致营业收入同比降低。</w:t>
          </w:r>
        </w:sdtContent>
      </w:sdt>
    </w:p>
    <w:p w14:paraId="69C9AA85">
      <w:pPr>
        <w:pStyle w:val="50"/>
        <w:ind w:firstLine="0" w:firstLineChars="0"/>
        <w:jc w:val="left"/>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营业成本变动原因说明：</w:t>
      </w:r>
      <w:sdt>
        <w:sdtPr>
          <w:rPr>
            <w:rFonts w:hint="eastAsia" w:ascii="Times New Roman" w:hAnsi="Times New Roman"/>
            <w:color w:val="000000" w:themeColor="text1"/>
            <w14:textFill>
              <w14:solidFill>
                <w14:schemeClr w14:val="tx1"/>
              </w14:solidFill>
            </w14:textFill>
          </w:rPr>
          <w:alias w:val="营业成本变动原因说明"/>
          <w:tag w:val="_GBC_4ab47071f9844da58abe164f6bd272aa"/>
          <w:id w:val="-789741777"/>
        </w:sdtPr>
        <w:sdtEndPr>
          <w:rPr>
            <w:rFonts w:hint="eastAsia" w:ascii="Times New Roman" w:hAnsi="Times New Roman"/>
            <w:color w:val="000000" w:themeColor="text1"/>
            <w14:textFill>
              <w14:solidFill>
                <w14:schemeClr w14:val="tx1"/>
              </w14:solidFill>
            </w14:textFill>
          </w:rPr>
        </w:sdtEndPr>
        <w:sdtContent>
          <w:r>
            <w:rPr>
              <w:rFonts w:hint="eastAsia" w:ascii="Times New Roman" w:hAnsi="Times New Roman"/>
              <w:color w:val="000000" w:themeColor="text1"/>
              <w14:textFill>
                <w14:solidFill>
                  <w14:schemeClr w14:val="tx1"/>
                </w14:solidFill>
              </w14:textFill>
            </w:rPr>
            <w:t>主要系营业收入规模减少所致。</w:t>
          </w:r>
        </w:sdtContent>
      </w:sdt>
    </w:p>
    <w:p w14:paraId="6771F7CC">
      <w:pPr>
        <w:pStyle w:val="50"/>
        <w:ind w:firstLine="0" w:firstLineChars="0"/>
        <w:jc w:val="left"/>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销售费用变动原因说明：</w:t>
      </w:r>
      <w:sdt>
        <w:sdtPr>
          <w:rPr>
            <w:rFonts w:hint="eastAsia" w:ascii="Times New Roman" w:hAnsi="Times New Roman"/>
            <w:color w:val="000000" w:themeColor="text1"/>
            <w14:textFill>
              <w14:solidFill>
                <w14:schemeClr w14:val="tx1"/>
              </w14:solidFill>
            </w14:textFill>
          </w:rPr>
          <w:alias w:val="销售费用变动原因说明"/>
          <w:tag w:val="_GBC_d8f3d3236009445ca57b171f1c954fae"/>
          <w:id w:val="-1828355575"/>
        </w:sdtPr>
        <w:sdtEndPr>
          <w:rPr>
            <w:rFonts w:hint="eastAsia" w:ascii="Times New Roman" w:hAnsi="Times New Roman"/>
            <w:color w:val="000000" w:themeColor="text1"/>
            <w14:textFill>
              <w14:solidFill>
                <w14:schemeClr w14:val="tx1"/>
              </w14:solidFill>
            </w14:textFill>
          </w:rPr>
        </w:sdtEndPr>
        <w:sdtContent>
          <w:r>
            <w:rPr>
              <w:rFonts w:hint="eastAsia" w:ascii="Times New Roman" w:hAnsi="Times New Roman"/>
              <w:color w:val="000000" w:themeColor="text1"/>
              <w14:textFill>
                <w14:solidFill>
                  <w14:schemeClr w14:val="tx1"/>
                </w14:solidFill>
              </w14:textFill>
            </w:rPr>
            <w:t>主要系销售订单承揽减少导致销售人员绩效等费用降低。</w:t>
          </w:r>
        </w:sdtContent>
      </w:sdt>
    </w:p>
    <w:p w14:paraId="7760890C">
      <w:pPr>
        <w:pStyle w:val="50"/>
        <w:ind w:firstLine="0" w:firstLineChars="0"/>
        <w:jc w:val="left"/>
        <w:rPr>
          <w:rFonts w:ascii="Times New Roman" w:hAnsi="Times New Roman"/>
          <w:color w:val="000000" w:themeColor="text1"/>
          <w14:textFill>
            <w14:solidFill>
              <w14:schemeClr w14:val="tx1"/>
            </w14:solidFill>
          </w14:textFill>
        </w:rPr>
      </w:pPr>
      <w:r>
        <w:rPr>
          <w:rFonts w:ascii="Times New Roman" w:hAnsi="Times New Roman"/>
          <w:color w:val="000000" w:themeColor="text1"/>
          <w:szCs w:val="21"/>
          <w14:textFill>
            <w14:solidFill>
              <w14:schemeClr w14:val="tx1"/>
            </w14:solidFill>
          </w14:textFill>
        </w:rPr>
        <w:t>经营活动产生的现金流量净额</w:t>
      </w:r>
      <w:r>
        <w:rPr>
          <w:rFonts w:hint="eastAsia" w:ascii="Times New Roman" w:hAnsi="Times New Roman"/>
          <w:color w:val="000000" w:themeColor="text1"/>
          <w:szCs w:val="21"/>
          <w14:textFill>
            <w14:solidFill>
              <w14:schemeClr w14:val="tx1"/>
            </w14:solidFill>
          </w14:textFill>
        </w:rPr>
        <w:t>变动原因说明：</w:t>
      </w:r>
      <w:sdt>
        <w:sdtPr>
          <w:rPr>
            <w:rFonts w:hint="eastAsia" w:ascii="Times New Roman" w:hAnsi="Times New Roman"/>
            <w:color w:val="000000" w:themeColor="text1"/>
            <w:szCs w:val="21"/>
            <w14:textFill>
              <w14:solidFill>
                <w14:schemeClr w14:val="tx1"/>
              </w14:solidFill>
            </w14:textFill>
          </w:rPr>
          <w:alias w:val="经营活动产生的现金流量净额变动原因说明"/>
          <w:tag w:val="_GBC_309323bb8b0046e9bb6afe0231994d50"/>
          <w:id w:val="-324516672"/>
          <w:placeholder>
            <w:docPart w:val="{675547d5-2fbb-4aba-a866-9ee596c17de6}"/>
          </w:placeholder>
        </w:sdtPr>
        <w:sdtEndPr>
          <w:rPr>
            <w:rFonts w:hint="eastAsia" w:ascii="Times New Roman" w:hAnsi="Times New Roman"/>
            <w:color w:val="000000" w:themeColor="text1"/>
            <w:szCs w:val="21"/>
            <w14:textFill>
              <w14:solidFill>
                <w14:schemeClr w14:val="tx1"/>
              </w14:solidFill>
            </w14:textFill>
          </w:rPr>
        </w:sdtEndPr>
        <w:sdtContent>
          <w:r>
            <w:rPr>
              <w:rFonts w:hint="eastAsia" w:ascii="Times New Roman" w:hAnsi="Times New Roman"/>
              <w:color w:val="000000" w:themeColor="text1"/>
              <w:szCs w:val="21"/>
              <w14:textFill>
                <w14:solidFill>
                  <w14:schemeClr w14:val="tx1"/>
                </w14:solidFill>
              </w14:textFill>
            </w:rPr>
            <w:t>主要系购买商品、接受劳务支付的现金同比减少所致。</w:t>
          </w:r>
        </w:sdtContent>
      </w:sdt>
    </w:p>
    <w:p w14:paraId="406F561A">
      <w:pPr>
        <w:pStyle w:val="50"/>
        <w:ind w:firstLine="0" w:firstLineChars="0"/>
        <w:jc w:val="left"/>
        <w:rPr>
          <w:rFonts w:ascii="Times New Roman" w:hAnsi="Times New Roman"/>
          <w:color w:val="000000" w:themeColor="text1"/>
          <w14:textFill>
            <w14:solidFill>
              <w14:schemeClr w14:val="tx1"/>
            </w14:solidFill>
          </w14:textFill>
        </w:rPr>
      </w:pPr>
      <w:r>
        <w:rPr>
          <w:rFonts w:ascii="Times New Roman" w:hAnsi="Times New Roman"/>
          <w:color w:val="000000" w:themeColor="text1"/>
          <w:szCs w:val="21"/>
          <w14:textFill>
            <w14:solidFill>
              <w14:schemeClr w14:val="tx1"/>
            </w14:solidFill>
          </w14:textFill>
        </w:rPr>
        <w:t>投资活动产生的现金流量净额</w:t>
      </w:r>
      <w:r>
        <w:rPr>
          <w:rFonts w:hint="eastAsia" w:ascii="Times New Roman" w:hAnsi="Times New Roman"/>
          <w:color w:val="000000" w:themeColor="text1"/>
          <w:szCs w:val="21"/>
          <w14:textFill>
            <w14:solidFill>
              <w14:schemeClr w14:val="tx1"/>
            </w14:solidFill>
          </w14:textFill>
        </w:rPr>
        <w:t>变动原因说明：</w:t>
      </w:r>
      <w:sdt>
        <w:sdtPr>
          <w:rPr>
            <w:rFonts w:hint="eastAsia" w:ascii="Times New Roman" w:hAnsi="Times New Roman"/>
            <w:color w:val="000000" w:themeColor="text1"/>
            <w:szCs w:val="21"/>
            <w14:textFill>
              <w14:solidFill>
                <w14:schemeClr w14:val="tx1"/>
              </w14:solidFill>
            </w14:textFill>
          </w:rPr>
          <w:alias w:val="投资活动产生的现金流量净额变动原因说明"/>
          <w:tag w:val="_GBC_981bcb9573814b8080b52fae435fb1b0"/>
          <w:id w:val="-947234684"/>
          <w:placeholder>
            <w:docPart w:val="{675547d5-2fbb-4aba-a866-9ee596c17de6}"/>
          </w:placeholder>
        </w:sdtPr>
        <w:sdtEndPr>
          <w:rPr>
            <w:rFonts w:hint="eastAsia" w:ascii="Times New Roman" w:hAnsi="Times New Roman"/>
            <w:color w:val="000000" w:themeColor="text1"/>
            <w:szCs w:val="21"/>
            <w14:textFill>
              <w14:solidFill>
                <w14:schemeClr w14:val="tx1"/>
              </w14:solidFill>
            </w14:textFill>
          </w:rPr>
        </w:sdtEndPr>
        <w:sdtContent>
          <w:r>
            <w:rPr>
              <w:rFonts w:hint="eastAsia" w:ascii="Times New Roman" w:hAnsi="Times New Roman"/>
              <w:color w:val="000000" w:themeColor="text1"/>
              <w:szCs w:val="21"/>
              <w14:textFill>
                <w14:solidFill>
                  <w14:schemeClr w14:val="tx1"/>
                </w14:solidFill>
              </w14:textFill>
            </w:rPr>
            <w:t>主要系报告期内公司围绕传统产业数智化升级、战新产业布局，建设部分功能性产品生产线导致购建固定资产、无形资产和其他长期资产支付的现金同比增加。</w:t>
          </w:r>
        </w:sdtContent>
      </w:sdt>
    </w:p>
    <w:p w14:paraId="13DBBDCD">
      <w:pPr>
        <w:pStyle w:val="50"/>
        <w:ind w:firstLine="0" w:firstLineChars="0"/>
        <w:jc w:val="left"/>
        <w:rPr>
          <w:rFonts w:ascii="Times New Roman" w:hAnsi="Times New Roman"/>
          <w:color w:val="000000" w:themeColor="text1"/>
          <w14:textFill>
            <w14:solidFill>
              <w14:schemeClr w14:val="tx1"/>
            </w14:solidFill>
          </w14:textFill>
        </w:rPr>
      </w:pPr>
      <w:r>
        <w:rPr>
          <w:rFonts w:ascii="Times New Roman" w:hAnsi="Times New Roman"/>
          <w:color w:val="000000" w:themeColor="text1"/>
          <w:szCs w:val="21"/>
          <w14:textFill>
            <w14:solidFill>
              <w14:schemeClr w14:val="tx1"/>
            </w14:solidFill>
          </w14:textFill>
        </w:rPr>
        <w:t>筹资活动产生的现金流量净额</w:t>
      </w:r>
      <w:r>
        <w:rPr>
          <w:rFonts w:hint="eastAsia" w:ascii="Times New Roman" w:hAnsi="Times New Roman"/>
          <w:color w:val="000000" w:themeColor="text1"/>
          <w:szCs w:val="21"/>
          <w14:textFill>
            <w14:solidFill>
              <w14:schemeClr w14:val="tx1"/>
            </w14:solidFill>
          </w14:textFill>
        </w:rPr>
        <w:t>变动原因说明：</w:t>
      </w:r>
      <w:sdt>
        <w:sdtPr>
          <w:rPr>
            <w:rFonts w:hint="eastAsia" w:ascii="Times New Roman" w:hAnsi="Times New Roman"/>
            <w:color w:val="000000" w:themeColor="text1"/>
            <w:szCs w:val="21"/>
            <w14:textFill>
              <w14:solidFill>
                <w14:schemeClr w14:val="tx1"/>
              </w14:solidFill>
            </w14:textFill>
          </w:rPr>
          <w:alias w:val="筹资活动产生的现金流量净额变动原因说明"/>
          <w:tag w:val="_GBC_900a9d8acfac4ec18a35c4034161c13e"/>
          <w:id w:val="433484247"/>
          <w:placeholder>
            <w:docPart w:val="{675547d5-2fbb-4aba-a866-9ee596c17de6}"/>
          </w:placeholder>
        </w:sdtPr>
        <w:sdtEndPr>
          <w:rPr>
            <w:rFonts w:hint="eastAsia" w:ascii="Times New Roman" w:hAnsi="Times New Roman"/>
            <w:color w:val="000000" w:themeColor="text1"/>
            <w:szCs w:val="21"/>
            <w14:textFill>
              <w14:solidFill>
                <w14:schemeClr w14:val="tx1"/>
              </w14:solidFill>
            </w14:textFill>
          </w:rPr>
        </w:sdtEndPr>
        <w:sdtContent>
          <w:r>
            <w:rPr>
              <w:rFonts w:hint="eastAsia" w:ascii="Times New Roman" w:hAnsi="Times New Roman"/>
              <w:color w:val="000000" w:themeColor="text1"/>
              <w:szCs w:val="21"/>
              <w14:textFill>
                <w14:solidFill>
                  <w14:schemeClr w14:val="tx1"/>
                </w14:solidFill>
              </w14:textFill>
            </w:rPr>
            <w:t>主要系取得借款收到的现金同比增加所致。</w:t>
          </w:r>
        </w:sdtContent>
      </w:sdt>
    </w:p>
    <w:p w14:paraId="5C66D8E1"/>
    <w:p w14:paraId="636868B0"/>
    <w:p w14:paraId="112F6C15">
      <w:pPr>
        <w:pStyle w:val="58"/>
        <w:numPr>
          <w:ilvl w:val="0"/>
          <w:numId w:val="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本期公司业务类型、利润构成或利润来源发生重大变动的详细说明</w:t>
      </w:r>
    </w:p>
    <w:sdt>
      <w:sdtPr>
        <w:rPr>
          <w:color w:val="000000" w:themeColor="text1"/>
          <w14:textFill>
            <w14:solidFill>
              <w14:schemeClr w14:val="tx1"/>
            </w14:solidFill>
          </w14:textFill>
        </w:rPr>
        <w:alias w:val="是否适用：公司利润构成或利润来源发生重大变动的详细说明[双击切换]"/>
        <w:tag w:val="_GBC_cf62b49cb7b54052a77aa6c4ec7218c8"/>
        <w:id w:val="147482480"/>
        <w:placeholder>
          <w:docPart w:val="GBC22222222222222222222222222222"/>
        </w:placeholder>
      </w:sdtPr>
      <w:sdtEndPr>
        <w:rPr>
          <w:color w:val="000000" w:themeColor="text1"/>
          <w14:textFill>
            <w14:solidFill>
              <w14:schemeClr w14:val="tx1"/>
            </w14:solidFill>
          </w14:textFill>
        </w:rPr>
      </w:sdtEndPr>
      <w:sdtContent>
        <w:p w14:paraId="289556D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0BB0CF">
      <w:pPr>
        <w:rPr>
          <w:color w:val="000000" w:themeColor="text1"/>
          <w14:textFill>
            <w14:solidFill>
              <w14:schemeClr w14:val="tx1"/>
            </w14:solidFill>
          </w14:textFill>
        </w:rPr>
      </w:pPr>
    </w:p>
    <w:p w14:paraId="5AC1932F">
      <w:pPr>
        <w:pStyle w:val="57"/>
        <w:numPr>
          <w:ilvl w:val="0"/>
          <w:numId w:val="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非主营业务导致利润重大变化的说明</w:t>
      </w:r>
    </w:p>
    <w:sdt>
      <w:sdtPr>
        <w:rPr>
          <w:rFonts w:hint="eastAsia"/>
          <w:color w:val="000000" w:themeColor="text1"/>
          <w14:textFill>
            <w14:solidFill>
              <w14:schemeClr w14:val="tx1"/>
            </w14:solidFill>
          </w14:textFill>
        </w:rPr>
        <w:alias w:val="是否适用：非主营业务来源分析[双击切换]"/>
        <w:tag w:val="_GBC_45f0580c6f114551af0270412b25ccd0"/>
        <w:id w:val="147463749"/>
        <w:placeholder>
          <w:docPart w:val="GBC22222222222222222222222222222"/>
        </w:placeholder>
      </w:sdtPr>
      <w:sdtEndPr>
        <w:rPr>
          <w:rFonts w:hint="eastAsia"/>
          <w:color w:val="000000" w:themeColor="text1"/>
          <w14:textFill>
            <w14:solidFill>
              <w14:schemeClr w14:val="tx1"/>
            </w14:solidFill>
          </w14:textFill>
        </w:rPr>
      </w:sdtEndPr>
      <w:sdtContent>
        <w:p w14:paraId="12DC341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8C565D">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43A606FD">
      <w:pPr>
        <w:rPr>
          <w:color w:val="000000" w:themeColor="text1"/>
          <w14:textFill>
            <w14:solidFill>
              <w14:schemeClr w14:val="tx1"/>
            </w14:solidFill>
          </w14:textFill>
        </w:rPr>
      </w:pPr>
    </w:p>
    <w:p w14:paraId="3B8C1D5D">
      <w:pPr>
        <w:pStyle w:val="57"/>
        <w:numPr>
          <w:ilvl w:val="0"/>
          <w:numId w:val="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资产、负债情况分析</w:t>
      </w:r>
    </w:p>
    <w:p w14:paraId="291514DE">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资产、负债情况分析[双击切换]"/>
          <w:tag w:val="_GBC_7e768f46f428417e8696bff3cfaf9902"/>
          <w:id w:val="147463100"/>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7EC37063">
      <w:pPr>
        <w:pStyle w:val="58"/>
        <w:numPr>
          <w:ilvl w:val="0"/>
          <w:numId w:val="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资产</w:t>
      </w:r>
      <w:r>
        <w:rPr>
          <w:rFonts w:hint="eastAsia" w:ascii="宋体" w:hAnsi="宋体"/>
          <w:color w:val="000000" w:themeColor="text1"/>
          <w14:textFill>
            <w14:solidFill>
              <w14:schemeClr w14:val="tx1"/>
            </w14:solidFill>
          </w14:textFill>
        </w:rPr>
        <w:t>及</w:t>
      </w:r>
      <w:r>
        <w:rPr>
          <w:rFonts w:ascii="宋体" w:hAnsi="宋体"/>
          <w:color w:val="000000" w:themeColor="text1"/>
          <w14:textFill>
            <w14:solidFill>
              <w14:schemeClr w14:val="tx1"/>
            </w14:solidFill>
          </w14:textFill>
        </w:rPr>
        <w:t>负债</w:t>
      </w:r>
      <w:r>
        <w:rPr>
          <w:rFonts w:hint="eastAsia" w:ascii="宋体" w:hAnsi="宋体"/>
          <w:color w:val="000000" w:themeColor="text1"/>
          <w14:textFill>
            <w14:solidFill>
              <w14:schemeClr w14:val="tx1"/>
            </w14:solidFill>
          </w14:textFill>
        </w:rPr>
        <w:t>状</w:t>
      </w:r>
      <w:r>
        <w:rPr>
          <w:rFonts w:ascii="宋体" w:hAnsi="宋体"/>
          <w:color w:val="000000" w:themeColor="text1"/>
          <w14:textFill>
            <w14:solidFill>
              <w14:schemeClr w14:val="tx1"/>
            </w14:solidFill>
          </w14:textFill>
        </w:rPr>
        <w:t>况</w:t>
      </w:r>
    </w:p>
    <w:p w14:paraId="543C992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资产负债状况分析"/>
          <w:tag w:val="_GBC_21de4e2184d94baf8e19137a1d0d5b74"/>
          <w:id w:val="-1800536537"/>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0"/>
        <w:gridCol w:w="1974"/>
        <w:gridCol w:w="1779"/>
        <w:gridCol w:w="1810"/>
        <w:gridCol w:w="1756"/>
        <w:gridCol w:w="1582"/>
        <w:gridCol w:w="3138"/>
      </w:tblGrid>
      <w:tr w14:paraId="5794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sdt>
          <w:sdtPr>
            <w:tag w:val="_PLD_d0f356a255cd4ad2a1d809f43b17afe4"/>
            <w:id w:val="-1792120919"/>
          </w:sdtPr>
          <w:sdtContent>
            <w:tc>
              <w:tcPr>
                <w:tcW w:w="727" w:type="pct"/>
                <w:vAlign w:val="center"/>
              </w:tcPr>
              <w:p w14:paraId="71AECD55">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bookmarkStart w:id="40" w:name="_Hlk74646362"/>
                <w:r>
                  <w:rPr>
                    <w:rFonts w:asciiTheme="minorEastAsia" w:hAnsiTheme="minorEastAsia" w:eastAsiaTheme="minorEastAsia"/>
                    <w:color w:val="000000" w:themeColor="text1"/>
                    <w14:textFill>
                      <w14:solidFill>
                        <w14:schemeClr w14:val="tx1"/>
                      </w14:solidFill>
                    </w14:textFill>
                  </w:rPr>
                  <w:t>项目名称</w:t>
                </w:r>
              </w:p>
            </w:tc>
          </w:sdtContent>
        </w:sdt>
        <w:sdt>
          <w:sdtPr>
            <w:tag w:val="_PLD_908740cf286747d79d5abbe407fef2b5"/>
            <w:id w:val="379369227"/>
          </w:sdtPr>
          <w:sdtContent>
            <w:tc>
              <w:tcPr>
                <w:tcW w:w="700" w:type="pct"/>
                <w:vAlign w:val="center"/>
              </w:tcPr>
              <w:p w14:paraId="2110432C">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本期期末数</w:t>
                </w:r>
              </w:p>
            </w:tc>
          </w:sdtContent>
        </w:sdt>
        <w:sdt>
          <w:sdtPr>
            <w:tag w:val="_PLD_329bbbc9fa484c0990e705c4343b8bd2"/>
            <w:id w:val="-1986309131"/>
          </w:sdtPr>
          <w:sdtContent>
            <w:tc>
              <w:tcPr>
                <w:tcW w:w="631" w:type="pct"/>
                <w:vAlign w:val="center"/>
              </w:tcPr>
              <w:p w14:paraId="68476293">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本期期末数占总资产的比例（%）</w:t>
                </w:r>
              </w:p>
            </w:tc>
          </w:sdtContent>
        </w:sdt>
        <w:sdt>
          <w:sdtPr>
            <w:tag w:val="_PLD_56ec8d815a204f39816e77d18cf2ac7e"/>
            <w:id w:val="969248090"/>
          </w:sdtPr>
          <w:sdtContent>
            <w:tc>
              <w:tcPr>
                <w:tcW w:w="642" w:type="pct"/>
                <w:vAlign w:val="center"/>
              </w:tcPr>
              <w:p w14:paraId="26F75273">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期末数</w:t>
                </w:r>
              </w:p>
            </w:tc>
          </w:sdtContent>
        </w:sdt>
        <w:sdt>
          <w:sdtPr>
            <w:tag w:val="_PLD_4bc2806364aa476db7b5ac96d585ad18"/>
            <w:id w:val="71933953"/>
          </w:sdtPr>
          <w:sdtContent>
            <w:tc>
              <w:tcPr>
                <w:tcW w:w="623" w:type="pct"/>
                <w:vAlign w:val="center"/>
              </w:tcPr>
              <w:p w14:paraId="40F3E140">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期末数占总资产的比例（%）</w:t>
                </w:r>
              </w:p>
            </w:tc>
          </w:sdtContent>
        </w:sdt>
        <w:sdt>
          <w:sdtPr>
            <w:tag w:val="_PLD_4cfcbfaae8d94f2d87cb33b122df7a82"/>
            <w:id w:val="-1583223850"/>
          </w:sdtPr>
          <w:sdtContent>
            <w:tc>
              <w:tcPr>
                <w:tcW w:w="561" w:type="pct"/>
                <w:vAlign w:val="center"/>
              </w:tcPr>
              <w:p w14:paraId="05966035">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本期期末金额较上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期末变动比例（%）</w:t>
                </w:r>
              </w:p>
            </w:tc>
          </w:sdtContent>
        </w:sdt>
        <w:sdt>
          <w:sdtPr>
            <w:tag w:val="_PLD_2acc4b359fa846d5bfb9939daf2ce46b"/>
            <w:id w:val="-887567648"/>
          </w:sdtPr>
          <w:sdtContent>
            <w:tc>
              <w:tcPr>
                <w:tcW w:w="1113" w:type="pct"/>
                <w:vAlign w:val="center"/>
              </w:tcPr>
              <w:p w14:paraId="5E6D2E82">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情况说明</w:t>
                </w:r>
              </w:p>
            </w:tc>
          </w:sdtContent>
        </w:sdt>
      </w:tr>
      <w:tr w14:paraId="2925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sdt>
          <w:sdtPr>
            <w:tag w:val="_PLD_0ff1ee5cfded425b899baf2ffbfdc0f0"/>
            <w:id w:val="1817385060"/>
          </w:sdtPr>
          <w:sdtEndPr>
            <w:rPr>
              <w:rStyle w:val="224"/>
              <w:rFonts w:ascii="Calibri" w:hAnsi="Calibri" w:cs="Times New Roman"/>
              <w:b/>
              <w:kern w:val="2"/>
              <w:szCs w:val="28"/>
            </w:rPr>
          </w:sdtEndPr>
          <w:sdtContent>
            <w:tc>
              <w:tcPr>
                <w:tcW w:w="727" w:type="pct"/>
                <w:vAlign w:val="center"/>
              </w:tcPr>
              <w:p w14:paraId="519C0FF1">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Style w:val="224"/>
                    <w:rFonts w:hint="eastAsia" w:asciiTheme="minorEastAsia" w:hAnsiTheme="minorEastAsia" w:eastAsiaTheme="minorEastAsia"/>
                    <w:b w:val="0"/>
                    <w:color w:val="000000" w:themeColor="text1"/>
                    <w:szCs w:val="21"/>
                    <w14:textFill>
                      <w14:solidFill>
                        <w14:schemeClr w14:val="tx1"/>
                      </w14:solidFill>
                    </w14:textFill>
                  </w:rPr>
                  <w:t>在建工程</w:t>
                </w:r>
              </w:p>
            </w:tc>
          </w:sdtContent>
        </w:sdt>
        <w:tc>
          <w:tcPr>
            <w:tcW w:w="700" w:type="pct"/>
            <w:vAlign w:val="center"/>
          </w:tcPr>
          <w:p w14:paraId="2292D657">
            <w:pPr>
              <w:widowControl w:val="0"/>
              <w:jc w:val="right"/>
              <w:rPr>
                <w:rFonts w:eastAsiaTheme="minorEastAsia"/>
              </w:rPr>
            </w:pPr>
            <w:r>
              <w:rPr>
                <w:rFonts w:hint="eastAsia" w:eastAsiaTheme="minorEastAsia"/>
              </w:rPr>
              <w:t>399,635,284.93</w:t>
            </w:r>
          </w:p>
        </w:tc>
        <w:tc>
          <w:tcPr>
            <w:tcW w:w="631" w:type="pct"/>
            <w:vAlign w:val="center"/>
          </w:tcPr>
          <w:p w14:paraId="02F22412">
            <w:pPr>
              <w:widowControl w:val="0"/>
              <w:jc w:val="right"/>
              <w:rPr>
                <w:rFonts w:eastAsiaTheme="minorEastAsia"/>
              </w:rPr>
            </w:pPr>
            <w:r>
              <w:rPr>
                <w:rFonts w:hint="eastAsia" w:eastAsiaTheme="minorEastAsia"/>
              </w:rPr>
              <w:t>1.84</w:t>
            </w:r>
          </w:p>
        </w:tc>
        <w:tc>
          <w:tcPr>
            <w:tcW w:w="642" w:type="pct"/>
            <w:vAlign w:val="center"/>
          </w:tcPr>
          <w:p w14:paraId="191AA4FF">
            <w:pPr>
              <w:widowControl w:val="0"/>
              <w:jc w:val="right"/>
              <w:rPr>
                <w:rFonts w:eastAsiaTheme="minorEastAsia"/>
              </w:rPr>
            </w:pPr>
            <w:r>
              <w:rPr>
                <w:rFonts w:hint="eastAsia" w:eastAsiaTheme="minorEastAsia"/>
              </w:rPr>
              <w:t>275,601,526.58</w:t>
            </w:r>
          </w:p>
        </w:tc>
        <w:tc>
          <w:tcPr>
            <w:tcW w:w="623" w:type="pct"/>
            <w:vAlign w:val="center"/>
          </w:tcPr>
          <w:p w14:paraId="27C660FB">
            <w:pPr>
              <w:widowControl w:val="0"/>
              <w:jc w:val="right"/>
              <w:rPr>
                <w:rFonts w:eastAsiaTheme="minorEastAsia"/>
              </w:rPr>
            </w:pPr>
            <w:r>
              <w:rPr>
                <w:rFonts w:hint="eastAsia" w:eastAsiaTheme="minorEastAsia"/>
              </w:rPr>
              <w:t>1.30</w:t>
            </w:r>
          </w:p>
        </w:tc>
        <w:tc>
          <w:tcPr>
            <w:tcW w:w="561" w:type="pct"/>
            <w:vAlign w:val="center"/>
          </w:tcPr>
          <w:p w14:paraId="3102B357">
            <w:pPr>
              <w:widowControl w:val="0"/>
              <w:jc w:val="right"/>
              <w:rPr>
                <w:rFonts w:eastAsiaTheme="minorEastAsia"/>
              </w:rPr>
            </w:pPr>
            <w:r>
              <w:rPr>
                <w:rFonts w:hint="eastAsia" w:eastAsiaTheme="minorEastAsia"/>
              </w:rPr>
              <w:t>45.00</w:t>
            </w:r>
          </w:p>
        </w:tc>
        <w:tc>
          <w:tcPr>
            <w:tcW w:w="1113" w:type="pct"/>
            <w:vAlign w:val="center"/>
          </w:tcPr>
          <w:p w14:paraId="2B0016F9">
            <w:pPr>
              <w:widowControl w:val="0"/>
              <w:jc w:val="left"/>
              <w:rPr>
                <w:rFonts w:asciiTheme="minorEastAsia" w:hAnsiTheme="minorEastAsia" w:eastAsiaTheme="minorEastAsia"/>
              </w:rPr>
            </w:pPr>
            <w:r>
              <w:rPr>
                <w:rFonts w:hint="eastAsia" w:asciiTheme="minorEastAsia" w:hAnsiTheme="minorEastAsia" w:eastAsiaTheme="minorEastAsia"/>
              </w:rPr>
              <w:t>主要系报告期内公司围绕传统产业数智化升级、战新产业布局，加大投资建设所致</w:t>
            </w:r>
          </w:p>
        </w:tc>
      </w:tr>
      <w:tr w14:paraId="1F02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sdt>
          <w:sdtPr>
            <w:tag w:val="_PLD_f446bfc0bdb7497b92f1f084f89862f6"/>
            <w:id w:val="12814322"/>
          </w:sdtPr>
          <w:sdtEndPr>
            <w:rPr>
              <w:rStyle w:val="224"/>
              <w:rFonts w:ascii="Calibri" w:hAnsi="Calibri" w:cs="Times New Roman"/>
              <w:b/>
              <w:kern w:val="2"/>
              <w:szCs w:val="28"/>
            </w:rPr>
          </w:sdtEndPr>
          <w:sdtContent>
            <w:tc>
              <w:tcPr>
                <w:tcW w:w="727" w:type="pct"/>
                <w:vAlign w:val="center"/>
              </w:tcPr>
              <w:p w14:paraId="320EA8E0">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Style w:val="224"/>
                    <w:rFonts w:hint="eastAsia" w:asciiTheme="minorEastAsia" w:hAnsiTheme="minorEastAsia" w:eastAsiaTheme="minorEastAsia"/>
                    <w:b w:val="0"/>
                    <w:color w:val="000000" w:themeColor="text1"/>
                    <w:szCs w:val="21"/>
                    <w14:textFill>
                      <w14:solidFill>
                        <w14:schemeClr w14:val="tx1"/>
                      </w14:solidFill>
                    </w14:textFill>
                  </w:rPr>
                  <w:t>短期借款</w:t>
                </w:r>
              </w:p>
            </w:tc>
          </w:sdtContent>
        </w:sdt>
        <w:tc>
          <w:tcPr>
            <w:tcW w:w="700" w:type="pct"/>
            <w:vAlign w:val="center"/>
          </w:tcPr>
          <w:p w14:paraId="743A00BD">
            <w:pPr>
              <w:widowControl w:val="0"/>
              <w:jc w:val="right"/>
              <w:rPr>
                <w:rFonts w:eastAsiaTheme="minorEastAsia"/>
              </w:rPr>
            </w:pPr>
            <w:r>
              <w:rPr>
                <w:rFonts w:hint="eastAsia" w:eastAsiaTheme="minorEastAsia"/>
              </w:rPr>
              <w:t>289,520,293.40</w:t>
            </w:r>
          </w:p>
        </w:tc>
        <w:tc>
          <w:tcPr>
            <w:tcW w:w="631" w:type="pct"/>
            <w:vAlign w:val="center"/>
          </w:tcPr>
          <w:p w14:paraId="469FE0EC">
            <w:pPr>
              <w:widowControl w:val="0"/>
              <w:jc w:val="right"/>
              <w:rPr>
                <w:rFonts w:eastAsiaTheme="minorEastAsia"/>
              </w:rPr>
            </w:pPr>
            <w:r>
              <w:rPr>
                <w:rFonts w:hint="eastAsia" w:eastAsiaTheme="minorEastAsia"/>
              </w:rPr>
              <w:t>1.34</w:t>
            </w:r>
          </w:p>
        </w:tc>
        <w:tc>
          <w:tcPr>
            <w:tcW w:w="642" w:type="pct"/>
            <w:vAlign w:val="center"/>
          </w:tcPr>
          <w:p w14:paraId="7BECE739">
            <w:pPr>
              <w:widowControl w:val="0"/>
              <w:jc w:val="right"/>
              <w:rPr>
                <w:rFonts w:eastAsiaTheme="minorEastAsia"/>
              </w:rPr>
            </w:pPr>
            <w:r>
              <w:rPr>
                <w:rFonts w:hint="eastAsia" w:eastAsiaTheme="minorEastAsia"/>
              </w:rPr>
              <w:t>440,186,330.50</w:t>
            </w:r>
          </w:p>
        </w:tc>
        <w:tc>
          <w:tcPr>
            <w:tcW w:w="623" w:type="pct"/>
            <w:vAlign w:val="center"/>
          </w:tcPr>
          <w:p w14:paraId="2EB7003C">
            <w:pPr>
              <w:widowControl w:val="0"/>
              <w:jc w:val="right"/>
              <w:rPr>
                <w:rFonts w:eastAsiaTheme="minorEastAsia"/>
              </w:rPr>
            </w:pPr>
            <w:r>
              <w:rPr>
                <w:rFonts w:hint="eastAsia" w:eastAsiaTheme="minorEastAsia"/>
              </w:rPr>
              <w:t>2.08</w:t>
            </w:r>
          </w:p>
        </w:tc>
        <w:tc>
          <w:tcPr>
            <w:tcW w:w="561" w:type="pct"/>
            <w:vAlign w:val="center"/>
          </w:tcPr>
          <w:p w14:paraId="61EDFB14">
            <w:pPr>
              <w:widowControl w:val="0"/>
              <w:jc w:val="right"/>
              <w:rPr>
                <w:rFonts w:eastAsiaTheme="minorEastAsia"/>
              </w:rPr>
            </w:pPr>
            <w:r>
              <w:rPr>
                <w:rFonts w:hint="eastAsia" w:eastAsiaTheme="minorEastAsia"/>
              </w:rPr>
              <w:t>-34.23</w:t>
            </w:r>
          </w:p>
        </w:tc>
        <w:tc>
          <w:tcPr>
            <w:tcW w:w="1113" w:type="pct"/>
            <w:vAlign w:val="center"/>
          </w:tcPr>
          <w:p w14:paraId="509BF973">
            <w:pPr>
              <w:widowControl w:val="0"/>
              <w:jc w:val="left"/>
              <w:rPr>
                <w:rFonts w:asciiTheme="minorEastAsia" w:hAnsiTheme="minorEastAsia" w:eastAsiaTheme="minorEastAsia"/>
              </w:rPr>
            </w:pPr>
            <w:r>
              <w:rPr>
                <w:rFonts w:hint="eastAsia" w:asciiTheme="minorEastAsia" w:hAnsiTheme="minorEastAsia" w:eastAsiaTheme="minorEastAsia"/>
              </w:rPr>
              <w:t>主要系偿还到期银行贷款所致</w:t>
            </w:r>
          </w:p>
        </w:tc>
      </w:tr>
      <w:tr w14:paraId="561C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sdt>
          <w:sdtPr>
            <w:tag w:val="_PLD_2994c1e41b5d486e9890bb70a9932412"/>
            <w:id w:val="-1525630342"/>
          </w:sdtPr>
          <w:sdtEndPr>
            <w:rPr>
              <w:rStyle w:val="224"/>
              <w:rFonts w:ascii="Calibri" w:hAnsi="Calibri" w:cs="Times New Roman"/>
              <w:b/>
              <w:kern w:val="2"/>
              <w:szCs w:val="28"/>
            </w:rPr>
          </w:sdtEndPr>
          <w:sdtContent>
            <w:tc>
              <w:tcPr>
                <w:tcW w:w="727" w:type="pct"/>
                <w:vAlign w:val="center"/>
              </w:tcPr>
              <w:p w14:paraId="24403F58">
                <w:pPr>
                  <w:widowControl w:val="0"/>
                  <w:jc w:val="center"/>
                  <w:rPr>
                    <w:rStyle w:val="224"/>
                    <w:rFonts w:asciiTheme="minorEastAsia" w:hAnsiTheme="minorEastAsia" w:eastAsiaTheme="minorEastAsia"/>
                    <w:b w:val="0"/>
                    <w:color w:val="000000" w:themeColor="text1"/>
                    <w:szCs w:val="21"/>
                    <w14:textFill>
                      <w14:solidFill>
                        <w14:schemeClr w14:val="tx1"/>
                      </w14:solidFill>
                    </w14:textFill>
                  </w:rPr>
                </w:pPr>
                <w:r>
                  <w:rPr>
                    <w:rStyle w:val="224"/>
                    <w:rFonts w:hint="eastAsia" w:asciiTheme="minorEastAsia" w:hAnsiTheme="minorEastAsia" w:eastAsiaTheme="minorEastAsia"/>
                    <w:b w:val="0"/>
                    <w:color w:val="000000" w:themeColor="text1"/>
                    <w:szCs w:val="21"/>
                    <w14:textFill>
                      <w14:solidFill>
                        <w14:schemeClr w14:val="tx1"/>
                      </w14:solidFill>
                    </w14:textFill>
                  </w:rPr>
                  <w:t>长期借款</w:t>
                </w:r>
              </w:p>
            </w:tc>
          </w:sdtContent>
        </w:sdt>
        <w:tc>
          <w:tcPr>
            <w:tcW w:w="700" w:type="pct"/>
            <w:vAlign w:val="center"/>
          </w:tcPr>
          <w:p w14:paraId="358A5AEA">
            <w:pPr>
              <w:widowControl w:val="0"/>
              <w:jc w:val="right"/>
              <w:rPr>
                <w:rFonts w:eastAsiaTheme="minorEastAsia"/>
              </w:rPr>
            </w:pPr>
            <w:r>
              <w:rPr>
                <w:rFonts w:hint="eastAsia" w:eastAsiaTheme="minorEastAsia"/>
              </w:rPr>
              <w:t>2,514,768,990.10</w:t>
            </w:r>
          </w:p>
        </w:tc>
        <w:tc>
          <w:tcPr>
            <w:tcW w:w="631" w:type="pct"/>
            <w:vAlign w:val="center"/>
          </w:tcPr>
          <w:p w14:paraId="7A2EDA69">
            <w:pPr>
              <w:widowControl w:val="0"/>
              <w:jc w:val="right"/>
              <w:rPr>
                <w:rFonts w:eastAsiaTheme="minorEastAsia"/>
              </w:rPr>
            </w:pPr>
            <w:r>
              <w:rPr>
                <w:rFonts w:hint="eastAsia" w:eastAsiaTheme="minorEastAsia"/>
              </w:rPr>
              <w:t>11.61</w:t>
            </w:r>
          </w:p>
        </w:tc>
        <w:tc>
          <w:tcPr>
            <w:tcW w:w="642" w:type="pct"/>
            <w:vAlign w:val="center"/>
          </w:tcPr>
          <w:p w14:paraId="400178DB">
            <w:pPr>
              <w:widowControl w:val="0"/>
              <w:jc w:val="right"/>
              <w:rPr>
                <w:rFonts w:eastAsiaTheme="minorEastAsia"/>
              </w:rPr>
            </w:pPr>
            <w:r>
              <w:rPr>
                <w:rFonts w:hint="eastAsia" w:eastAsiaTheme="minorEastAsia"/>
              </w:rPr>
              <w:t>497,317,783.34</w:t>
            </w:r>
          </w:p>
        </w:tc>
        <w:tc>
          <w:tcPr>
            <w:tcW w:w="623" w:type="pct"/>
            <w:vAlign w:val="center"/>
          </w:tcPr>
          <w:p w14:paraId="290DE86D">
            <w:pPr>
              <w:widowControl w:val="0"/>
              <w:jc w:val="right"/>
              <w:rPr>
                <w:rFonts w:eastAsiaTheme="minorEastAsia"/>
              </w:rPr>
            </w:pPr>
            <w:r>
              <w:rPr>
                <w:rFonts w:hint="eastAsia" w:eastAsiaTheme="minorEastAsia"/>
              </w:rPr>
              <w:t>2.35</w:t>
            </w:r>
          </w:p>
        </w:tc>
        <w:tc>
          <w:tcPr>
            <w:tcW w:w="561" w:type="pct"/>
            <w:vAlign w:val="center"/>
          </w:tcPr>
          <w:p w14:paraId="6EB3F1A5">
            <w:pPr>
              <w:widowControl w:val="0"/>
              <w:jc w:val="right"/>
              <w:rPr>
                <w:rFonts w:eastAsiaTheme="minorEastAsia"/>
              </w:rPr>
            </w:pPr>
            <w:r>
              <w:rPr>
                <w:rFonts w:hint="eastAsia" w:eastAsiaTheme="minorEastAsia"/>
              </w:rPr>
              <w:t>405.67</w:t>
            </w:r>
          </w:p>
        </w:tc>
        <w:tc>
          <w:tcPr>
            <w:tcW w:w="1113" w:type="pct"/>
            <w:vAlign w:val="center"/>
          </w:tcPr>
          <w:p w14:paraId="6075A28A">
            <w:pPr>
              <w:widowControl w:val="0"/>
              <w:jc w:val="left"/>
              <w:rPr>
                <w:rFonts w:asciiTheme="minorEastAsia" w:hAnsiTheme="minorEastAsia" w:eastAsiaTheme="minorEastAsia"/>
              </w:rPr>
            </w:pPr>
            <w:r>
              <w:rPr>
                <w:rFonts w:hint="eastAsia" w:asciiTheme="minorEastAsia" w:hAnsiTheme="minorEastAsia" w:eastAsiaTheme="minorEastAsia"/>
              </w:rPr>
              <w:t>主要系增加长期银行贷款所致</w:t>
            </w:r>
          </w:p>
        </w:tc>
      </w:tr>
      <w:sdt>
        <w:sdtPr>
          <w:rPr>
            <w:rStyle w:val="224"/>
            <w:rFonts w:hint="eastAsia" w:asciiTheme="minorEastAsia" w:hAnsiTheme="minorEastAsia" w:eastAsiaTheme="minorEastAsia"/>
            <w:b w:val="0"/>
            <w:color w:val="000000" w:themeColor="text1"/>
            <w:szCs w:val="21"/>
            <w14:textFill>
              <w14:solidFill>
                <w14:schemeClr w14:val="tx1"/>
              </w14:solidFill>
            </w14:textFill>
          </w:rPr>
          <w:alias w:val="资产负债状况分析"/>
          <w:tag w:val="_TUP_5b9451a24cf94bb19fcd924892517ec7"/>
          <w:id w:val="901484969"/>
          <w:placeholder>
            <w:docPart w:val="{92a5aa80-f947-4198-8ac0-c897dab6a615}"/>
          </w:placeholder>
        </w:sdtPr>
        <w:sdtEndPr>
          <w:rPr>
            <w:rStyle w:val="224"/>
            <w:rFonts w:hint="eastAsia" w:asciiTheme="minorEastAsia" w:hAnsiTheme="minorEastAsia" w:eastAsiaTheme="minorEastAsia"/>
            <w:b w:val="0"/>
            <w:color w:val="000000" w:themeColor="text1"/>
            <w:szCs w:val="21"/>
            <w14:textFill>
              <w14:solidFill>
                <w14:schemeClr w14:val="tx1"/>
              </w14:solidFill>
            </w14:textFill>
          </w:rPr>
        </w:sdtEndPr>
        <w:sdtContent>
          <w:tr w14:paraId="639E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27" w:type="pct"/>
                <w:vAlign w:val="center"/>
              </w:tcPr>
              <w:p w14:paraId="4AFAAFEE">
                <w:pPr>
                  <w:widowControl w:val="0"/>
                  <w:jc w:val="center"/>
                  <w:rPr>
                    <w:rFonts w:asciiTheme="minorEastAsia" w:hAnsiTheme="minorEastAsia" w:eastAsiaTheme="minorEastAsia"/>
                  </w:rPr>
                </w:pPr>
                <w:r>
                  <w:rPr>
                    <w:rFonts w:hint="eastAsia" w:asciiTheme="minorEastAsia" w:hAnsiTheme="minorEastAsia" w:eastAsiaTheme="minorEastAsia"/>
                  </w:rPr>
                  <w:t>应收款项融资</w:t>
                </w:r>
              </w:p>
            </w:tc>
            <w:tc>
              <w:tcPr>
                <w:tcW w:w="700" w:type="pct"/>
                <w:vAlign w:val="center"/>
              </w:tcPr>
              <w:p w14:paraId="5E6D4B98">
                <w:pPr>
                  <w:widowControl w:val="0"/>
                  <w:jc w:val="right"/>
                  <w:rPr>
                    <w:rFonts w:eastAsiaTheme="minorEastAsia"/>
                  </w:rPr>
                </w:pPr>
                <w:r>
                  <w:rPr>
                    <w:rFonts w:hint="eastAsia" w:eastAsiaTheme="minorEastAsia"/>
                  </w:rPr>
                  <w:t>70,905,863.88</w:t>
                </w:r>
              </w:p>
            </w:tc>
            <w:tc>
              <w:tcPr>
                <w:tcW w:w="631" w:type="pct"/>
                <w:vAlign w:val="center"/>
              </w:tcPr>
              <w:p w14:paraId="0C14A73E">
                <w:pPr>
                  <w:widowControl w:val="0"/>
                  <w:jc w:val="right"/>
                  <w:rPr>
                    <w:rFonts w:eastAsiaTheme="minorEastAsia"/>
                  </w:rPr>
                </w:pPr>
                <w:r>
                  <w:rPr>
                    <w:rFonts w:hint="eastAsia" w:eastAsiaTheme="minorEastAsia"/>
                  </w:rPr>
                  <w:t>0.33</w:t>
                </w:r>
              </w:p>
            </w:tc>
            <w:tc>
              <w:tcPr>
                <w:tcW w:w="642" w:type="pct"/>
                <w:vAlign w:val="center"/>
              </w:tcPr>
              <w:p w14:paraId="7505E091">
                <w:pPr>
                  <w:widowControl w:val="0"/>
                  <w:jc w:val="right"/>
                  <w:rPr>
                    <w:rFonts w:eastAsiaTheme="minorEastAsia"/>
                  </w:rPr>
                </w:pPr>
                <w:r>
                  <w:rPr>
                    <w:rFonts w:hint="eastAsia" w:eastAsiaTheme="minorEastAsia"/>
                  </w:rPr>
                  <w:t>20,627,331.54</w:t>
                </w:r>
              </w:p>
            </w:tc>
            <w:tc>
              <w:tcPr>
                <w:tcW w:w="623" w:type="pct"/>
                <w:vAlign w:val="center"/>
              </w:tcPr>
              <w:p w14:paraId="7CDD9FD7">
                <w:pPr>
                  <w:widowControl w:val="0"/>
                  <w:jc w:val="right"/>
                  <w:rPr>
                    <w:rFonts w:eastAsiaTheme="minorEastAsia"/>
                  </w:rPr>
                </w:pPr>
                <w:r>
                  <w:rPr>
                    <w:rFonts w:hint="eastAsia" w:eastAsiaTheme="minorEastAsia"/>
                  </w:rPr>
                  <w:t>0.10</w:t>
                </w:r>
              </w:p>
            </w:tc>
            <w:tc>
              <w:tcPr>
                <w:tcW w:w="561" w:type="pct"/>
                <w:vAlign w:val="center"/>
              </w:tcPr>
              <w:p w14:paraId="22161A15">
                <w:pPr>
                  <w:widowControl w:val="0"/>
                  <w:jc w:val="right"/>
                  <w:rPr>
                    <w:rFonts w:eastAsiaTheme="minorEastAsia"/>
                  </w:rPr>
                </w:pPr>
                <w:r>
                  <w:rPr>
                    <w:rFonts w:hint="eastAsia" w:eastAsiaTheme="minorEastAsia"/>
                  </w:rPr>
                  <w:t>243.75</w:t>
                </w:r>
              </w:p>
            </w:tc>
            <w:tc>
              <w:tcPr>
                <w:tcW w:w="1113" w:type="pct"/>
                <w:vAlign w:val="center"/>
              </w:tcPr>
              <w:p w14:paraId="3322FBE5">
                <w:pPr>
                  <w:widowControl w:val="0"/>
                  <w:jc w:val="left"/>
                  <w:rPr>
                    <w:rFonts w:asciiTheme="minorEastAsia" w:hAnsiTheme="minorEastAsia" w:eastAsiaTheme="minorEastAsia"/>
                  </w:rPr>
                </w:pPr>
                <w:r>
                  <w:rPr>
                    <w:rFonts w:hint="eastAsia" w:asciiTheme="minorEastAsia" w:hAnsiTheme="minorEastAsia" w:eastAsiaTheme="minorEastAsia"/>
                  </w:rPr>
                  <w:t>主要系收到的银行承兑汇票增加所致</w:t>
                </w:r>
              </w:p>
            </w:tc>
          </w:tr>
        </w:sdtContent>
      </w:sdt>
      <w:sdt>
        <w:sdtPr>
          <w:rPr>
            <w:rStyle w:val="224"/>
            <w:rFonts w:hint="eastAsia" w:asciiTheme="minorEastAsia" w:hAnsiTheme="minorEastAsia" w:eastAsiaTheme="minorEastAsia"/>
            <w:b w:val="0"/>
            <w:color w:val="000000" w:themeColor="text1"/>
            <w:szCs w:val="21"/>
            <w14:textFill>
              <w14:solidFill>
                <w14:schemeClr w14:val="tx1"/>
              </w14:solidFill>
            </w14:textFill>
          </w:rPr>
          <w:alias w:val="资产负债状况分析"/>
          <w:tag w:val="_TUP_5b9451a24cf94bb19fcd924892517ec7"/>
          <w:id w:val="1922372008"/>
          <w:placeholder>
            <w:docPart w:val="{92a5aa80-f947-4198-8ac0-c897dab6a615}"/>
          </w:placeholder>
        </w:sdtPr>
        <w:sdtEndPr>
          <w:rPr>
            <w:rStyle w:val="224"/>
            <w:rFonts w:hint="eastAsia" w:asciiTheme="minorEastAsia" w:hAnsiTheme="minorEastAsia" w:eastAsiaTheme="minorEastAsia"/>
            <w:b w:val="0"/>
            <w:color w:val="000000" w:themeColor="text1"/>
            <w:szCs w:val="21"/>
            <w14:textFill>
              <w14:solidFill>
                <w14:schemeClr w14:val="tx1"/>
              </w14:solidFill>
            </w14:textFill>
          </w:rPr>
        </w:sdtEndPr>
        <w:sdtContent>
          <w:tr w14:paraId="7D82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727" w:type="pct"/>
                <w:vAlign w:val="center"/>
              </w:tcPr>
              <w:p w14:paraId="6A1717D2">
                <w:pPr>
                  <w:widowControl w:val="0"/>
                  <w:jc w:val="center"/>
                  <w:rPr>
                    <w:rFonts w:asciiTheme="minorEastAsia" w:hAnsiTheme="minorEastAsia" w:eastAsiaTheme="minorEastAsia"/>
                  </w:rPr>
                </w:pPr>
                <w:r>
                  <w:rPr>
                    <w:rFonts w:hint="eastAsia" w:asciiTheme="minorEastAsia" w:hAnsiTheme="minorEastAsia" w:eastAsiaTheme="minorEastAsia"/>
                  </w:rPr>
                  <w:t>应付职工薪酬</w:t>
                </w:r>
              </w:p>
            </w:tc>
            <w:tc>
              <w:tcPr>
                <w:tcW w:w="700" w:type="pct"/>
                <w:vAlign w:val="center"/>
              </w:tcPr>
              <w:p w14:paraId="1DF85F8F">
                <w:pPr>
                  <w:widowControl w:val="0"/>
                  <w:jc w:val="right"/>
                  <w:rPr>
                    <w:rFonts w:eastAsiaTheme="minorEastAsia"/>
                  </w:rPr>
                </w:pPr>
                <w:r>
                  <w:rPr>
                    <w:rFonts w:hint="eastAsia" w:eastAsiaTheme="minorEastAsia"/>
                  </w:rPr>
                  <w:t>160,504,276.21</w:t>
                </w:r>
              </w:p>
            </w:tc>
            <w:tc>
              <w:tcPr>
                <w:tcW w:w="631" w:type="pct"/>
                <w:vAlign w:val="center"/>
              </w:tcPr>
              <w:p w14:paraId="2F107D52">
                <w:pPr>
                  <w:widowControl w:val="0"/>
                  <w:jc w:val="right"/>
                  <w:rPr>
                    <w:rFonts w:eastAsiaTheme="minorEastAsia"/>
                  </w:rPr>
                </w:pPr>
                <w:r>
                  <w:rPr>
                    <w:rFonts w:hint="eastAsia" w:eastAsiaTheme="minorEastAsia"/>
                  </w:rPr>
                  <w:t>0.74</w:t>
                </w:r>
              </w:p>
            </w:tc>
            <w:tc>
              <w:tcPr>
                <w:tcW w:w="642" w:type="pct"/>
                <w:vAlign w:val="center"/>
              </w:tcPr>
              <w:p w14:paraId="2CAD64BD">
                <w:pPr>
                  <w:widowControl w:val="0"/>
                  <w:jc w:val="right"/>
                  <w:rPr>
                    <w:rFonts w:eastAsiaTheme="minorEastAsia"/>
                  </w:rPr>
                </w:pPr>
                <w:r>
                  <w:rPr>
                    <w:rFonts w:hint="eastAsia" w:eastAsiaTheme="minorEastAsia"/>
                  </w:rPr>
                  <w:t>296,149,933.94</w:t>
                </w:r>
              </w:p>
            </w:tc>
            <w:tc>
              <w:tcPr>
                <w:tcW w:w="623" w:type="pct"/>
                <w:vAlign w:val="center"/>
              </w:tcPr>
              <w:p w14:paraId="058BD152">
                <w:pPr>
                  <w:widowControl w:val="0"/>
                  <w:jc w:val="right"/>
                  <w:rPr>
                    <w:rFonts w:eastAsiaTheme="minorEastAsia"/>
                  </w:rPr>
                </w:pPr>
                <w:r>
                  <w:rPr>
                    <w:rFonts w:hint="eastAsia" w:eastAsiaTheme="minorEastAsia"/>
                  </w:rPr>
                  <w:t>1.40</w:t>
                </w:r>
              </w:p>
            </w:tc>
            <w:tc>
              <w:tcPr>
                <w:tcW w:w="561" w:type="pct"/>
                <w:vAlign w:val="center"/>
              </w:tcPr>
              <w:p w14:paraId="7DD408D7">
                <w:pPr>
                  <w:widowControl w:val="0"/>
                  <w:jc w:val="right"/>
                  <w:rPr>
                    <w:rFonts w:eastAsiaTheme="minorEastAsia"/>
                  </w:rPr>
                </w:pPr>
                <w:r>
                  <w:rPr>
                    <w:rFonts w:hint="eastAsia" w:eastAsiaTheme="minorEastAsia"/>
                  </w:rPr>
                  <w:t>-45.80</w:t>
                </w:r>
              </w:p>
            </w:tc>
            <w:tc>
              <w:tcPr>
                <w:tcW w:w="1113" w:type="pct"/>
                <w:vAlign w:val="center"/>
              </w:tcPr>
              <w:p w14:paraId="6189F4B3">
                <w:pPr>
                  <w:widowControl w:val="0"/>
                  <w:jc w:val="left"/>
                  <w:rPr>
                    <w:rFonts w:asciiTheme="minorEastAsia" w:hAnsiTheme="minorEastAsia" w:eastAsiaTheme="minorEastAsia"/>
                  </w:rPr>
                </w:pPr>
                <w:r>
                  <w:rPr>
                    <w:rFonts w:hint="eastAsia" w:asciiTheme="minorEastAsia" w:hAnsiTheme="minorEastAsia" w:eastAsiaTheme="minorEastAsia"/>
                  </w:rPr>
                  <w:t>主要系应付职工工资减少所致</w:t>
                </w:r>
              </w:p>
            </w:tc>
          </w:tr>
        </w:sdtContent>
      </w:sdt>
      <w:sdt>
        <w:sdtPr>
          <w:rPr>
            <w:rStyle w:val="224"/>
            <w:rFonts w:hint="eastAsia" w:asciiTheme="minorEastAsia" w:hAnsiTheme="minorEastAsia" w:eastAsiaTheme="minorEastAsia"/>
            <w:b w:val="0"/>
            <w:color w:val="000000" w:themeColor="text1"/>
            <w:szCs w:val="21"/>
            <w14:textFill>
              <w14:solidFill>
                <w14:schemeClr w14:val="tx1"/>
              </w14:solidFill>
            </w14:textFill>
          </w:rPr>
          <w:alias w:val="资产负债状况分析"/>
          <w:tag w:val="_TUP_5b9451a24cf94bb19fcd924892517ec7"/>
          <w:id w:val="-1624613786"/>
          <w:placeholder>
            <w:docPart w:val="{92a5aa80-f947-4198-8ac0-c897dab6a615}"/>
          </w:placeholder>
        </w:sdtPr>
        <w:sdtEndPr>
          <w:rPr>
            <w:rStyle w:val="224"/>
            <w:rFonts w:hint="eastAsia" w:asciiTheme="minorEastAsia" w:hAnsiTheme="minorEastAsia" w:eastAsiaTheme="minorEastAsia"/>
            <w:b w:val="0"/>
            <w:color w:val="000000" w:themeColor="text1"/>
            <w:szCs w:val="21"/>
            <w14:textFill>
              <w14:solidFill>
                <w14:schemeClr w14:val="tx1"/>
              </w14:solidFill>
            </w14:textFill>
          </w:rPr>
        </w:sdtEndPr>
        <w:sdtContent>
          <w:tr w14:paraId="6E74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27" w:type="pct"/>
                <w:vAlign w:val="center"/>
              </w:tcPr>
              <w:p w14:paraId="3C930CB2">
                <w:pPr>
                  <w:widowControl w:val="0"/>
                  <w:jc w:val="center"/>
                  <w:rPr>
                    <w:rFonts w:asciiTheme="minorEastAsia" w:hAnsiTheme="minorEastAsia" w:eastAsiaTheme="minorEastAsia"/>
                  </w:rPr>
                </w:pPr>
                <w:r>
                  <w:rPr>
                    <w:rFonts w:hint="eastAsia" w:asciiTheme="minorEastAsia" w:hAnsiTheme="minorEastAsia" w:eastAsiaTheme="minorEastAsia"/>
                  </w:rPr>
                  <w:t>一年内到期的非流动负债</w:t>
                </w:r>
              </w:p>
            </w:tc>
            <w:tc>
              <w:tcPr>
                <w:tcW w:w="700" w:type="pct"/>
                <w:vAlign w:val="center"/>
              </w:tcPr>
              <w:p w14:paraId="2BBB5F73">
                <w:pPr>
                  <w:widowControl w:val="0"/>
                  <w:jc w:val="right"/>
                  <w:rPr>
                    <w:rFonts w:eastAsiaTheme="minorEastAsia"/>
                  </w:rPr>
                </w:pPr>
                <w:r>
                  <w:rPr>
                    <w:rFonts w:hint="eastAsia" w:eastAsiaTheme="minorEastAsia"/>
                  </w:rPr>
                  <w:t>516,473,572.61</w:t>
                </w:r>
              </w:p>
            </w:tc>
            <w:tc>
              <w:tcPr>
                <w:tcW w:w="631" w:type="pct"/>
                <w:vAlign w:val="center"/>
              </w:tcPr>
              <w:p w14:paraId="4D58E8D3">
                <w:pPr>
                  <w:widowControl w:val="0"/>
                  <w:jc w:val="right"/>
                  <w:rPr>
                    <w:rFonts w:eastAsiaTheme="minorEastAsia"/>
                  </w:rPr>
                </w:pPr>
                <w:r>
                  <w:rPr>
                    <w:rFonts w:hint="eastAsia" w:eastAsiaTheme="minorEastAsia"/>
                  </w:rPr>
                  <w:t>2.38</w:t>
                </w:r>
              </w:p>
            </w:tc>
            <w:tc>
              <w:tcPr>
                <w:tcW w:w="642" w:type="pct"/>
                <w:vAlign w:val="center"/>
              </w:tcPr>
              <w:p w14:paraId="5F744DD3">
                <w:pPr>
                  <w:widowControl w:val="0"/>
                  <w:jc w:val="right"/>
                  <w:rPr>
                    <w:rFonts w:eastAsiaTheme="minorEastAsia"/>
                  </w:rPr>
                </w:pPr>
                <w:r>
                  <w:rPr>
                    <w:rFonts w:hint="eastAsia" w:eastAsiaTheme="minorEastAsia"/>
                  </w:rPr>
                  <w:t>54,024,318.29</w:t>
                </w:r>
              </w:p>
            </w:tc>
            <w:tc>
              <w:tcPr>
                <w:tcW w:w="623" w:type="pct"/>
                <w:vAlign w:val="center"/>
              </w:tcPr>
              <w:p w14:paraId="6BD545A3">
                <w:pPr>
                  <w:widowControl w:val="0"/>
                  <w:jc w:val="right"/>
                  <w:rPr>
                    <w:rFonts w:eastAsiaTheme="minorEastAsia"/>
                  </w:rPr>
                </w:pPr>
                <w:r>
                  <w:rPr>
                    <w:rFonts w:hint="eastAsia" w:eastAsiaTheme="minorEastAsia"/>
                  </w:rPr>
                  <w:t>0.26</w:t>
                </w:r>
              </w:p>
            </w:tc>
            <w:tc>
              <w:tcPr>
                <w:tcW w:w="561" w:type="pct"/>
                <w:vAlign w:val="center"/>
              </w:tcPr>
              <w:p w14:paraId="6579282C">
                <w:pPr>
                  <w:widowControl w:val="0"/>
                  <w:jc w:val="right"/>
                  <w:rPr>
                    <w:rFonts w:eastAsiaTheme="minorEastAsia"/>
                  </w:rPr>
                </w:pPr>
                <w:r>
                  <w:rPr>
                    <w:rFonts w:hint="eastAsia" w:eastAsiaTheme="minorEastAsia"/>
                  </w:rPr>
                  <w:t>856.00</w:t>
                </w:r>
              </w:p>
            </w:tc>
            <w:tc>
              <w:tcPr>
                <w:tcW w:w="1113" w:type="pct"/>
                <w:vAlign w:val="center"/>
              </w:tcPr>
              <w:p w14:paraId="476A0E06">
                <w:pPr>
                  <w:widowControl w:val="0"/>
                  <w:jc w:val="left"/>
                  <w:rPr>
                    <w:rFonts w:asciiTheme="minorEastAsia" w:hAnsiTheme="minorEastAsia" w:eastAsiaTheme="minorEastAsia"/>
                  </w:rPr>
                </w:pPr>
                <w:r>
                  <w:rPr>
                    <w:rFonts w:hint="eastAsia" w:asciiTheme="minorEastAsia" w:hAnsiTheme="minorEastAsia" w:eastAsiaTheme="minorEastAsia"/>
                  </w:rPr>
                  <w:t>主要系应付债券按照偿还期限重分类至一年内到期的非流动负债所致</w:t>
                </w:r>
              </w:p>
            </w:tc>
          </w:tr>
        </w:sdtContent>
      </w:sdt>
      <w:sdt>
        <w:sdtPr>
          <w:rPr>
            <w:rStyle w:val="224"/>
            <w:rFonts w:hint="eastAsia" w:asciiTheme="minorEastAsia" w:hAnsiTheme="minorEastAsia" w:eastAsiaTheme="minorEastAsia"/>
            <w:b w:val="0"/>
            <w:color w:val="000000" w:themeColor="text1"/>
            <w:szCs w:val="21"/>
            <w14:textFill>
              <w14:solidFill>
                <w14:schemeClr w14:val="tx1"/>
              </w14:solidFill>
            </w14:textFill>
          </w:rPr>
          <w:alias w:val="资产负债状况分析"/>
          <w:tag w:val="_TUP_5b9451a24cf94bb19fcd924892517ec7"/>
          <w:id w:val="142094829"/>
          <w:placeholder>
            <w:docPart w:val="{92a5aa80-f947-4198-8ac0-c897dab6a615}"/>
          </w:placeholder>
        </w:sdtPr>
        <w:sdtEndPr>
          <w:rPr>
            <w:rStyle w:val="224"/>
            <w:rFonts w:hint="eastAsia" w:asciiTheme="minorEastAsia" w:hAnsiTheme="minorEastAsia" w:eastAsiaTheme="minorEastAsia"/>
            <w:b w:val="0"/>
            <w:color w:val="000000" w:themeColor="text1"/>
            <w:szCs w:val="21"/>
            <w14:textFill>
              <w14:solidFill>
                <w14:schemeClr w14:val="tx1"/>
              </w14:solidFill>
            </w14:textFill>
          </w:rPr>
        </w:sdtEndPr>
        <w:sdtContent>
          <w:tr w14:paraId="042E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27" w:type="pct"/>
                <w:vAlign w:val="center"/>
              </w:tcPr>
              <w:p w14:paraId="00AE3872">
                <w:pPr>
                  <w:widowControl w:val="0"/>
                  <w:jc w:val="center"/>
                  <w:rPr>
                    <w:rFonts w:asciiTheme="minorEastAsia" w:hAnsiTheme="minorEastAsia" w:eastAsiaTheme="minorEastAsia"/>
                  </w:rPr>
                </w:pPr>
                <w:r>
                  <w:rPr>
                    <w:rFonts w:hint="eastAsia" w:asciiTheme="minorEastAsia" w:hAnsiTheme="minorEastAsia" w:eastAsiaTheme="minorEastAsia"/>
                  </w:rPr>
                  <w:t>应付债券</w:t>
                </w:r>
              </w:p>
            </w:tc>
            <w:tc>
              <w:tcPr>
                <w:tcW w:w="700" w:type="pct"/>
                <w:vAlign w:val="center"/>
              </w:tcPr>
              <w:p w14:paraId="33F61C92">
                <w:pPr>
                  <w:widowControl w:val="0"/>
                  <w:jc w:val="right"/>
                  <w:rPr>
                    <w:rFonts w:eastAsiaTheme="minorEastAsia"/>
                  </w:rPr>
                </w:pPr>
              </w:p>
            </w:tc>
            <w:tc>
              <w:tcPr>
                <w:tcW w:w="631" w:type="pct"/>
                <w:vAlign w:val="center"/>
              </w:tcPr>
              <w:p w14:paraId="0BBAB17A">
                <w:pPr>
                  <w:widowControl w:val="0"/>
                  <w:jc w:val="right"/>
                  <w:rPr>
                    <w:rFonts w:eastAsiaTheme="minorEastAsia"/>
                  </w:rPr>
                </w:pPr>
              </w:p>
            </w:tc>
            <w:tc>
              <w:tcPr>
                <w:tcW w:w="642" w:type="pct"/>
                <w:vAlign w:val="center"/>
              </w:tcPr>
              <w:p w14:paraId="0562D237">
                <w:pPr>
                  <w:widowControl w:val="0"/>
                  <w:jc w:val="right"/>
                  <w:rPr>
                    <w:rFonts w:eastAsiaTheme="minorEastAsia"/>
                  </w:rPr>
                </w:pPr>
                <w:r>
                  <w:rPr>
                    <w:rFonts w:hint="eastAsia" w:eastAsiaTheme="minorEastAsia"/>
                  </w:rPr>
                  <w:t>508,560,210.28</w:t>
                </w:r>
              </w:p>
            </w:tc>
            <w:tc>
              <w:tcPr>
                <w:tcW w:w="623" w:type="pct"/>
                <w:vAlign w:val="center"/>
              </w:tcPr>
              <w:p w14:paraId="5AFCFFBE">
                <w:pPr>
                  <w:widowControl w:val="0"/>
                  <w:jc w:val="right"/>
                  <w:rPr>
                    <w:rFonts w:eastAsiaTheme="minorEastAsia"/>
                  </w:rPr>
                </w:pPr>
                <w:r>
                  <w:rPr>
                    <w:rFonts w:hint="eastAsia" w:eastAsiaTheme="minorEastAsia"/>
                  </w:rPr>
                  <w:t>2.40</w:t>
                </w:r>
              </w:p>
            </w:tc>
            <w:tc>
              <w:tcPr>
                <w:tcW w:w="561" w:type="pct"/>
                <w:vAlign w:val="center"/>
              </w:tcPr>
              <w:p w14:paraId="0F208016">
                <w:pPr>
                  <w:widowControl w:val="0"/>
                  <w:jc w:val="right"/>
                  <w:rPr>
                    <w:rFonts w:eastAsiaTheme="minorEastAsia"/>
                  </w:rPr>
                </w:pPr>
                <w:r>
                  <w:rPr>
                    <w:rFonts w:hint="eastAsia" w:eastAsiaTheme="minorEastAsia"/>
                  </w:rPr>
                  <w:t>-100.00</w:t>
                </w:r>
              </w:p>
            </w:tc>
            <w:tc>
              <w:tcPr>
                <w:tcW w:w="1113" w:type="pct"/>
                <w:vAlign w:val="center"/>
              </w:tcPr>
              <w:p w14:paraId="69A30761">
                <w:pPr>
                  <w:widowControl w:val="0"/>
                  <w:jc w:val="left"/>
                  <w:rPr>
                    <w:rFonts w:asciiTheme="minorEastAsia" w:hAnsiTheme="minorEastAsia" w:eastAsiaTheme="minorEastAsia"/>
                  </w:rPr>
                </w:pPr>
                <w:r>
                  <w:rPr>
                    <w:rFonts w:hint="eastAsia" w:asciiTheme="minorEastAsia" w:hAnsiTheme="minorEastAsia" w:eastAsiaTheme="minorEastAsia"/>
                  </w:rPr>
                  <w:t>主要系应付债券按照偿还期限重分类至一年内到期的非流动负债所致</w:t>
                </w:r>
              </w:p>
            </w:tc>
          </w:tr>
        </w:sdtContent>
      </w:sdt>
      <w:bookmarkEnd w:id="40"/>
    </w:tbl>
    <w:p w14:paraId="07D83099">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资产及负债状况的其他说明"/>
        <w:tag w:val="_GBC_cb3eda90e3e24589a444c633ca113f7e"/>
        <w:id w:val="-1372449456"/>
      </w:sdtPr>
      <w:sdtEndPr>
        <w:rPr>
          <w:rFonts w:hint="eastAsia"/>
          <w:color w:val="000000" w:themeColor="text1"/>
          <w14:textFill>
            <w14:solidFill>
              <w14:schemeClr w14:val="tx1"/>
            </w14:solidFill>
          </w14:textFill>
        </w:rPr>
      </w:sdtEndPr>
      <w:sdtContent>
        <w:p w14:paraId="23FDA3B6">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31DDA7B">
      <w:pPr>
        <w:rPr>
          <w:color w:val="000000" w:themeColor="text1"/>
          <w14:textFill>
            <w14:solidFill>
              <w14:schemeClr w14:val="tx1"/>
            </w14:solidFill>
          </w14:textFill>
        </w:rPr>
      </w:pPr>
    </w:p>
    <w:p w14:paraId="31E4C71B">
      <w:pPr>
        <w:rPr>
          <w:color w:val="000000" w:themeColor="text1"/>
          <w14:textFill>
            <w14:solidFill>
              <w14:schemeClr w14:val="tx1"/>
            </w14:solidFill>
          </w14:textFill>
        </w:rPr>
      </w:pPr>
    </w:p>
    <w:p w14:paraId="0A9DD0A3">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2CF3B990">
      <w:pPr>
        <w:pStyle w:val="58"/>
        <w:numPr>
          <w:ilvl w:val="0"/>
          <w:numId w:val="9"/>
        </w:numPr>
        <w:rPr>
          <w:rFonts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境外资产情况</w:t>
      </w:r>
    </w:p>
    <w:sdt>
      <w:sdtPr>
        <w:rPr>
          <w:color w:val="000000" w:themeColor="text1"/>
          <w14:textFill>
            <w14:solidFill>
              <w14:schemeClr w14:val="tx1"/>
            </w14:solidFill>
          </w14:textFill>
        </w:rPr>
        <w:alias w:val="是否适用：境外资产情况 [双击切换]"/>
        <w:tag w:val="_GBC_95d71e9a9dcd4966863ba2859a3bf0b7"/>
        <w:id w:val="147470953"/>
        <w:placeholder>
          <w:docPart w:val="GBC22222222222222222222222222222"/>
        </w:placeholder>
      </w:sdtPr>
      <w:sdtEndPr>
        <w:rPr>
          <w:color w:val="000000" w:themeColor="text1"/>
          <w14:textFill>
            <w14:solidFill>
              <w14:schemeClr w14:val="tx1"/>
            </w14:solidFill>
          </w14:textFill>
        </w:rPr>
      </w:sdtEndPr>
      <w:sdtContent>
        <w:p w14:paraId="6512DF4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712DDB5">
      <w:pPr>
        <w:pStyle w:val="59"/>
        <w:numPr>
          <w:ilvl w:val="0"/>
          <w:numId w:val="10"/>
        </w:numPr>
        <w:ind w:left="450" w:hanging="450"/>
        <w:rPr>
          <w:rFonts w:ascii="宋体" w:hAnsi="宋体"/>
          <w:color w:val="000000" w:themeColor="text1"/>
          <w:szCs w:val="21"/>
          <w14:textFill>
            <w14:solidFill>
              <w14:schemeClr w14:val="tx1"/>
            </w14:solidFill>
          </w14:textFill>
        </w:rPr>
      </w:pPr>
      <w:bookmarkStart w:id="41" w:name="_Hlk74646369"/>
      <w:r>
        <w:rPr>
          <w:rFonts w:hint="eastAsia" w:ascii="宋体" w:hAnsi="宋体"/>
          <w:color w:val="000000" w:themeColor="text1"/>
          <w:szCs w:val="21"/>
          <w14:textFill>
            <w14:solidFill>
              <w14:schemeClr w14:val="tx1"/>
            </w14:solidFill>
          </w14:textFill>
        </w:rPr>
        <w:t>资产规模</w:t>
      </w:r>
    </w:p>
    <w:p w14:paraId="68176CB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其中：境外资产</w:t>
      </w:r>
      <w:sdt>
        <w:sdtPr>
          <w:rPr>
            <w:rFonts w:hint="eastAsia"/>
            <w:color w:val="000000" w:themeColor="text1"/>
            <w14:textFill>
              <w14:solidFill>
                <w14:schemeClr w14:val="tx1"/>
              </w14:solidFill>
            </w14:textFill>
          </w:rPr>
          <w:alias w:val="报告期内公司境外资产变化"/>
          <w:tag w:val="_GBC_7edcbeb27a8a4dc89717cd882c719546"/>
          <w:id w:val="147479828"/>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43,993,675.88</w:t>
          </w:r>
        </w:sdtContent>
      </w:sdt>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内公司境外资产变化"/>
          <w:tag w:val="_GBC_5372243019964ba2af35a9061c614f89"/>
          <w:id w:val="1474746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报告期内公司境外资产变化"/>
          <w:tag w:val="_GBC_09b61176994d443a8e1c524c6afd9c93"/>
          <w:id w:val="1474768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），占总资产的比例为</w:t>
      </w:r>
      <w:sdt>
        <w:sdtPr>
          <w:rPr>
            <w:rFonts w:hint="eastAsia"/>
            <w:color w:val="000000" w:themeColor="text1"/>
            <w14:textFill>
              <w14:solidFill>
                <w14:schemeClr w14:val="tx1"/>
              </w14:solidFill>
            </w14:textFill>
          </w:rPr>
          <w:alias w:val="报告期内公司境外资产变化占总资产的比例"/>
          <w:tag w:val="_GBC_c83f06156a574d209e05b2246741ffae"/>
          <w:id w:val="147470476"/>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0.20</w:t>
          </w:r>
        </w:sdtContent>
      </w:sdt>
      <w:r>
        <w:rPr>
          <w:rFonts w:hint="eastAsia"/>
          <w:color w:val="000000" w:themeColor="text1"/>
          <w14:textFill>
            <w14:solidFill>
              <w14:schemeClr w14:val="tx1"/>
            </w14:solidFill>
          </w14:textFill>
        </w:rPr>
        <w:t>%。</w:t>
      </w:r>
    </w:p>
    <w:p w14:paraId="647BF9DA">
      <w:pPr>
        <w:rPr>
          <w:color w:val="000000" w:themeColor="text1"/>
          <w14:textFill>
            <w14:solidFill>
              <w14:schemeClr w14:val="tx1"/>
            </w14:solidFill>
          </w14:textFill>
        </w:rPr>
      </w:pPr>
    </w:p>
    <w:bookmarkEnd w:id="41"/>
    <w:p w14:paraId="3E6845C4">
      <w:pPr>
        <w:pStyle w:val="59"/>
        <w:numPr>
          <w:ilvl w:val="0"/>
          <w:numId w:val="10"/>
        </w:numPr>
        <w:ind w:left="450" w:hanging="450"/>
        <w:rPr>
          <w:rFonts w:ascii="宋体" w:hAnsi="宋体"/>
          <w:color w:val="000000" w:themeColor="text1"/>
          <w:szCs w:val="21"/>
          <w14:textFill>
            <w14:solidFill>
              <w14:schemeClr w14:val="tx1"/>
            </w14:solidFill>
          </w14:textFill>
        </w:rPr>
      </w:pPr>
      <w:bookmarkStart w:id="42" w:name="_Hlk89176028"/>
      <w:bookmarkStart w:id="43" w:name="_Hlk105685192"/>
      <w:r>
        <w:rPr>
          <w:rFonts w:hint="eastAsia" w:ascii="宋体" w:hAnsi="宋体"/>
          <w:color w:val="000000" w:themeColor="text1"/>
          <w:szCs w:val="21"/>
          <w14:textFill>
            <w14:solidFill>
              <w14:schemeClr w14:val="tx1"/>
            </w14:solidFill>
          </w14:textFill>
        </w:rPr>
        <w:t>境外资产占比较高的相关说明</w:t>
      </w:r>
    </w:p>
    <w:sdt>
      <w:sdtPr>
        <w:rPr>
          <w:rFonts w:hint="eastAsia"/>
          <w:color w:val="000000" w:themeColor="text1"/>
          <w14:textFill>
            <w14:solidFill>
              <w14:schemeClr w14:val="tx1"/>
            </w14:solidFill>
          </w14:textFill>
        </w:rPr>
        <w:alias w:val="是否适用：境外资产占比较高的相关说明  [双击切换]"/>
        <w:tag w:val="_GBC_b94481189588466d82a6180c2e304194"/>
        <w:id w:val="147460494"/>
        <w:placeholder>
          <w:docPart w:val="GBC22222222222222222222222222222"/>
        </w:placeholder>
      </w:sdtPr>
      <w:sdtEndPr>
        <w:rPr>
          <w:rFonts w:hint="eastAsia"/>
          <w:color w:val="000000" w:themeColor="text1"/>
          <w14:textFill>
            <w14:solidFill>
              <w14:schemeClr w14:val="tx1"/>
            </w14:solidFill>
          </w14:textFill>
        </w:rPr>
      </w:sdtEndPr>
      <w:sdtContent>
        <w:p w14:paraId="2A8B01C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ECA804">
      <w:pPr>
        <w:rPr>
          <w:color w:val="000000" w:themeColor="text1"/>
          <w14:textFill>
            <w14:solidFill>
              <w14:schemeClr w14:val="tx1"/>
            </w14:solidFill>
          </w14:textFill>
        </w:rPr>
      </w:pPr>
    </w:p>
    <w:bookmarkEnd w:id="42"/>
    <w:p w14:paraId="7E4D8E53">
      <w:pPr>
        <w:rPr>
          <w:color w:val="000000" w:themeColor="text1"/>
          <w14:textFill>
            <w14:solidFill>
              <w14:schemeClr w14:val="tx1"/>
            </w14:solidFill>
          </w14:textFill>
        </w:rPr>
      </w:pPr>
      <w:r>
        <w:rPr>
          <w:color w:val="000000" w:themeColor="text1"/>
          <w14:textFill>
            <w14:solidFill>
              <w14:schemeClr w14:val="tx1"/>
            </w14:solidFill>
          </w14:textFill>
        </w:rPr>
        <w:t>其他说明</w:t>
      </w:r>
    </w:p>
    <w:sdt>
      <w:sdtPr>
        <w:rPr>
          <w:color w:val="000000" w:themeColor="text1"/>
          <w14:textFill>
            <w14:solidFill>
              <w14:schemeClr w14:val="tx1"/>
            </w14:solidFill>
          </w14:textFill>
        </w:rPr>
        <w:alias w:val="境外资产相关说明 "/>
        <w:tag w:val="_GBC_41f1e6e9cf2548bb879088d0ad64be9c"/>
        <w:id w:val="147483635"/>
        <w:placeholder>
          <w:docPart w:val="GBC22222222222222222222222222222"/>
        </w:placeholder>
      </w:sdtPr>
      <w:sdtEndPr>
        <w:rPr>
          <w:color w:val="000000" w:themeColor="text1"/>
          <w14:textFill>
            <w14:solidFill>
              <w14:schemeClr w14:val="tx1"/>
            </w14:solidFill>
          </w14:textFill>
        </w:rPr>
      </w:sdtEndPr>
      <w:sdtContent>
        <w:p w14:paraId="58FB3EB1">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3C295EDF">
      <w:pPr>
        <w:rPr>
          <w:color w:val="000000" w:themeColor="text1"/>
          <w14:textFill>
            <w14:solidFill>
              <w14:schemeClr w14:val="tx1"/>
            </w14:solidFill>
          </w14:textFill>
        </w:rPr>
      </w:pPr>
    </w:p>
    <w:bookmarkEnd w:id="43"/>
    <w:p w14:paraId="4DD65FF1">
      <w:pPr>
        <w:pStyle w:val="58"/>
        <w:numPr>
          <w:ilvl w:val="0"/>
          <w:numId w:val="9"/>
        </w:numPr>
        <w:rPr>
          <w:rFonts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截至报告期末主要资产受限情况</w:t>
      </w:r>
    </w:p>
    <w:sdt>
      <w:sdtPr>
        <w:rPr>
          <w:rFonts w:hint="eastAsia"/>
          <w:color w:val="000000" w:themeColor="text1"/>
          <w14:textFill>
            <w14:solidFill>
              <w14:schemeClr w14:val="tx1"/>
            </w14:solidFill>
          </w14:textFill>
        </w:rPr>
        <w:alias w:val="是否适用：主要资产受限情况[双击切换]"/>
        <w:tag w:val="_GBC_e9f1a2b3f13345eaac848c40837fffbb"/>
        <w:id w:val="147471636"/>
        <w:placeholder>
          <w:docPart w:val="GBC22222222222222222222222222222"/>
        </w:placeholder>
      </w:sdtPr>
      <w:sdtEndPr>
        <w:rPr>
          <w:rFonts w:hint="eastAsia"/>
          <w:color w:val="000000" w:themeColor="text1"/>
          <w14:textFill>
            <w14:solidFill>
              <w14:schemeClr w14:val="tx1"/>
            </w14:solidFill>
          </w14:textFill>
        </w:rPr>
      </w:sdtEndPr>
      <w:sdtContent>
        <w:p w14:paraId="20D3019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主要资产受限情况"/>
        <w:tag w:val="_GBC_a45de9537ca94b758cc1d9c201a60b53"/>
        <w:id w:val="147460954"/>
        <w:placeholder>
          <w:docPart w:val="GBC22222222222222222222222222222"/>
        </w:placeholder>
      </w:sdtPr>
      <w:sdtEndPr>
        <w:rPr>
          <w:color w:val="000000" w:themeColor="text1"/>
          <w14:textFill>
            <w14:solidFill>
              <w14:schemeClr w14:val="tx1"/>
            </w14:solidFill>
          </w14:textFill>
        </w:rPr>
      </w:sdtEndPr>
      <w:sdtContent>
        <w:p w14:paraId="2FDE1B1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境外资产占比较高的相关说明  "/>
              <w:tag w:val="_GBC_bc0a75fd49a3475581a32794bfefe42a"/>
              <w:id w:val="147470101"/>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r>
            <w:rPr>
              <w:color w:val="000000" w:themeColor="text1"/>
              <w14:textFill>
                <w14:solidFill>
                  <w14:schemeClr w14:val="tx1"/>
                </w14:solidFill>
              </w14:textFill>
            </w:rPr>
            <w:t>:</w:t>
          </w:r>
          <w:sdt>
            <w:sdtPr>
              <w:rPr>
                <w:color w:val="000000" w:themeColor="text1"/>
                <w14:textFill>
                  <w14:solidFill>
                    <w14:schemeClr w14:val="tx1"/>
                  </w14:solidFill>
                </w14:textFill>
              </w:rPr>
              <w:alias w:val="币种：境外资产占比较高的相关说明  "/>
              <w:tag w:val="_GBC_c805d93404f6424ca89317cf2193d171"/>
              <w:id w:val="147461627"/>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1"/>
            <w:gridCol w:w="2044"/>
            <w:gridCol w:w="3838"/>
          </w:tblGrid>
          <w:tr w14:paraId="3BBB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41B00361">
                <w:pPr>
                  <w:widowControl w:val="0"/>
                  <w:jc w:val="both"/>
                  <w:rPr>
                    <w:color w:val="000000" w:themeColor="text1"/>
                    <w14:textFill>
                      <w14:solidFill>
                        <w14:schemeClr w14:val="tx1"/>
                      </w14:solidFill>
                    </w14:textFill>
                  </w:rPr>
                </w:pPr>
                <w:r>
                  <w:rPr>
                    <w:rFonts w:hint="eastAsia"/>
                    <w:color w:val="000000"/>
                  </w:rPr>
                  <w:t>项目</w:t>
                </w:r>
              </w:p>
            </w:tc>
            <w:tc>
              <w:tcPr>
                <w:tcW w:w="2044" w:type="dxa"/>
                <w:vAlign w:val="center"/>
              </w:tcPr>
              <w:p w14:paraId="318435F5">
                <w:pPr>
                  <w:widowControl w:val="0"/>
                  <w:jc w:val="both"/>
                  <w:rPr>
                    <w:color w:val="000000" w:themeColor="text1"/>
                    <w14:textFill>
                      <w14:solidFill>
                        <w14:schemeClr w14:val="tx1"/>
                      </w14:solidFill>
                    </w14:textFill>
                  </w:rPr>
                </w:pPr>
                <w:r>
                  <w:rPr>
                    <w:rFonts w:hint="eastAsia"/>
                    <w:color w:val="000000"/>
                  </w:rPr>
                  <w:t>期末账面价值</w:t>
                </w:r>
              </w:p>
            </w:tc>
            <w:tc>
              <w:tcPr>
                <w:tcW w:w="3838" w:type="dxa"/>
                <w:vAlign w:val="center"/>
              </w:tcPr>
              <w:p w14:paraId="3A641BA5">
                <w:pPr>
                  <w:widowControl w:val="0"/>
                  <w:jc w:val="both"/>
                  <w:rPr>
                    <w:color w:val="000000" w:themeColor="text1"/>
                    <w14:textFill>
                      <w14:solidFill>
                        <w14:schemeClr w14:val="tx1"/>
                      </w14:solidFill>
                    </w14:textFill>
                  </w:rPr>
                </w:pPr>
                <w:r>
                  <w:rPr>
                    <w:rFonts w:hint="eastAsia"/>
                    <w:color w:val="000000"/>
                  </w:rPr>
                  <w:t>受限原因</w:t>
                </w:r>
              </w:p>
            </w:tc>
          </w:tr>
          <w:tr w14:paraId="2DE3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5BFF0824">
                <w:pPr>
                  <w:widowControl w:val="0"/>
                  <w:jc w:val="both"/>
                  <w:rPr>
                    <w:color w:val="000000" w:themeColor="text1"/>
                    <w14:textFill>
                      <w14:solidFill>
                        <w14:schemeClr w14:val="tx1"/>
                      </w14:solidFill>
                    </w14:textFill>
                  </w:rPr>
                </w:pPr>
                <w:r>
                  <w:rPr>
                    <w:rFonts w:hint="eastAsia"/>
                    <w:color w:val="000000"/>
                  </w:rPr>
                  <w:t>货币资金</w:t>
                </w:r>
              </w:p>
            </w:tc>
            <w:tc>
              <w:tcPr>
                <w:tcW w:w="2044" w:type="dxa"/>
                <w:vAlign w:val="bottom"/>
              </w:tcPr>
              <w:p w14:paraId="50541E71">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183,950,074.32</w:t>
                </w:r>
              </w:p>
            </w:tc>
            <w:tc>
              <w:tcPr>
                <w:tcW w:w="3838" w:type="dxa"/>
                <w:vAlign w:val="center"/>
              </w:tcPr>
              <w:p w14:paraId="5A109F8F">
                <w:pPr>
                  <w:widowControl w:val="0"/>
                  <w:jc w:val="both"/>
                  <w:rPr>
                    <w:color w:val="000000" w:themeColor="text1"/>
                    <w14:textFill>
                      <w14:solidFill>
                        <w14:schemeClr w14:val="tx1"/>
                      </w14:solidFill>
                    </w14:textFill>
                  </w:rPr>
                </w:pPr>
                <w:r>
                  <w:rPr>
                    <w:bCs w:val="0"/>
                  </w:rPr>
                  <w:t>详见附注“七、注释1”</w:t>
                </w:r>
              </w:p>
            </w:tc>
          </w:tr>
          <w:tr w14:paraId="41F4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6DA900C2">
                <w:pPr>
                  <w:widowControl w:val="0"/>
                  <w:jc w:val="both"/>
                  <w:rPr>
                    <w:color w:val="000000" w:themeColor="text1"/>
                    <w14:textFill>
                      <w14:solidFill>
                        <w14:schemeClr w14:val="tx1"/>
                      </w14:solidFill>
                    </w14:textFill>
                  </w:rPr>
                </w:pPr>
                <w:r>
                  <w:rPr>
                    <w:rFonts w:hint="eastAsia"/>
                    <w:color w:val="000000"/>
                  </w:rPr>
                  <w:t>固定资产</w:t>
                </w:r>
              </w:p>
            </w:tc>
            <w:tc>
              <w:tcPr>
                <w:tcW w:w="2044" w:type="dxa"/>
                <w:vAlign w:val="bottom"/>
              </w:tcPr>
              <w:p w14:paraId="02853513">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55,705,732.10</w:t>
                </w:r>
              </w:p>
            </w:tc>
            <w:tc>
              <w:tcPr>
                <w:tcW w:w="3838" w:type="dxa"/>
                <w:vAlign w:val="center"/>
              </w:tcPr>
              <w:p w14:paraId="4C5AEE29">
                <w:pPr>
                  <w:widowControl w:val="0"/>
                  <w:jc w:val="both"/>
                  <w:rPr>
                    <w:color w:val="000000" w:themeColor="text1"/>
                    <w14:textFill>
                      <w14:solidFill>
                        <w14:schemeClr w14:val="tx1"/>
                      </w14:solidFill>
                    </w14:textFill>
                  </w:rPr>
                </w:pPr>
                <w:r>
                  <w:rPr>
                    <w:rFonts w:hint="eastAsia"/>
                    <w:color w:val="000000"/>
                  </w:rPr>
                  <w:t>抵押借款、</w:t>
                </w:r>
                <w:r>
                  <w:rPr>
                    <w:rFonts w:hint="eastAsia" w:ascii="宋体" w:hAnsi="宋体"/>
                    <w:color w:val="000000"/>
                    <w:lang w:bidi="ar"/>
                  </w:rPr>
                  <w:t>抵押用于开具银行承兑汇票</w:t>
                </w:r>
              </w:p>
            </w:tc>
          </w:tr>
          <w:tr w14:paraId="6919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48CBCDED">
                <w:pPr>
                  <w:widowControl w:val="0"/>
                  <w:jc w:val="both"/>
                  <w:rPr>
                    <w:color w:val="000000" w:themeColor="text1"/>
                    <w14:textFill>
                      <w14:solidFill>
                        <w14:schemeClr w14:val="tx1"/>
                      </w14:solidFill>
                    </w14:textFill>
                  </w:rPr>
                </w:pPr>
                <w:r>
                  <w:rPr>
                    <w:rFonts w:hint="eastAsia"/>
                    <w:color w:val="000000"/>
                  </w:rPr>
                  <w:t>无形资产</w:t>
                </w:r>
              </w:p>
            </w:tc>
            <w:tc>
              <w:tcPr>
                <w:tcW w:w="2044" w:type="dxa"/>
                <w:vAlign w:val="bottom"/>
              </w:tcPr>
              <w:p w14:paraId="3082F955">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42,165,044.32</w:t>
                </w:r>
              </w:p>
            </w:tc>
            <w:tc>
              <w:tcPr>
                <w:tcW w:w="3838" w:type="dxa"/>
                <w:vAlign w:val="center"/>
              </w:tcPr>
              <w:p w14:paraId="0D9C39A4">
                <w:pPr>
                  <w:widowControl/>
                  <w:jc w:val="both"/>
                  <w:textAlignment w:val="center"/>
                  <w:rPr>
                    <w:color w:val="000000" w:themeColor="text1"/>
                    <w14:textFill>
                      <w14:solidFill>
                        <w14:schemeClr w14:val="tx1"/>
                      </w14:solidFill>
                    </w14:textFill>
                  </w:rPr>
                </w:pPr>
                <w:r>
                  <w:rPr>
                    <w:rFonts w:hint="eastAsia" w:ascii="宋体" w:hAnsi="宋体"/>
                    <w:color w:val="000000"/>
                    <w:lang w:bidi="ar"/>
                  </w:rPr>
                  <w:t>抵押用于开具银行承兑汇票</w:t>
                </w:r>
              </w:p>
            </w:tc>
          </w:tr>
          <w:tr w14:paraId="05D7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6FC47CEB">
                <w:pPr>
                  <w:widowControl/>
                  <w:jc w:val="both"/>
                  <w:textAlignment w:val="center"/>
                  <w:rPr>
                    <w:color w:val="000000"/>
                  </w:rPr>
                </w:pPr>
                <w:r>
                  <w:rPr>
                    <w:rFonts w:hint="eastAsia" w:ascii="宋体" w:hAnsi="宋体"/>
                    <w:color w:val="000000"/>
                    <w:lang w:bidi="ar"/>
                  </w:rPr>
                  <w:t>投资性房地产</w:t>
                </w:r>
              </w:p>
            </w:tc>
            <w:tc>
              <w:tcPr>
                <w:tcW w:w="2044" w:type="dxa"/>
                <w:vAlign w:val="bottom"/>
              </w:tcPr>
              <w:p w14:paraId="6A2A2821">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51,806,250.00</w:t>
                </w:r>
              </w:p>
            </w:tc>
            <w:tc>
              <w:tcPr>
                <w:tcW w:w="3838" w:type="dxa"/>
                <w:vAlign w:val="center"/>
              </w:tcPr>
              <w:p w14:paraId="23F652D5">
                <w:pPr>
                  <w:widowControl/>
                  <w:jc w:val="both"/>
                  <w:textAlignment w:val="center"/>
                  <w:rPr>
                    <w:color w:val="000000"/>
                  </w:rPr>
                </w:pPr>
                <w:r>
                  <w:rPr>
                    <w:rFonts w:hint="eastAsia" w:ascii="宋体" w:hAnsi="宋体"/>
                    <w:color w:val="000000"/>
                    <w:lang w:bidi="ar"/>
                  </w:rPr>
                  <w:t>抵押用于开具银行承兑汇票</w:t>
                </w:r>
              </w:p>
            </w:tc>
          </w:tr>
          <w:tr w14:paraId="3BDE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0C2C8548">
                <w:pPr>
                  <w:widowControl w:val="0"/>
                  <w:jc w:val="both"/>
                  <w:rPr>
                    <w:color w:val="000000" w:themeColor="text1"/>
                    <w14:textFill>
                      <w14:solidFill>
                        <w14:schemeClr w14:val="tx1"/>
                      </w14:solidFill>
                    </w14:textFill>
                  </w:rPr>
                </w:pPr>
                <w:r>
                  <w:rPr>
                    <w:rFonts w:hint="eastAsia"/>
                    <w:color w:val="000000"/>
                  </w:rPr>
                  <w:t>合计</w:t>
                </w:r>
              </w:p>
            </w:tc>
            <w:tc>
              <w:tcPr>
                <w:tcW w:w="2044" w:type="dxa"/>
                <w:vAlign w:val="bottom"/>
              </w:tcPr>
              <w:p w14:paraId="3274D9B6">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333,627,100.74</w:t>
                </w:r>
              </w:p>
            </w:tc>
            <w:tc>
              <w:tcPr>
                <w:tcW w:w="3838" w:type="dxa"/>
                <w:vAlign w:val="center"/>
              </w:tcPr>
              <w:p w14:paraId="6D7EFC34">
                <w:pPr>
                  <w:widowControl w:val="0"/>
                  <w:jc w:val="both"/>
                  <w:rPr>
                    <w:color w:val="000000" w:themeColor="text1"/>
                    <w14:textFill>
                      <w14:solidFill>
                        <w14:schemeClr w14:val="tx1"/>
                      </w14:solidFill>
                    </w14:textFill>
                  </w:rPr>
                </w:pPr>
              </w:p>
            </w:tc>
          </w:tr>
        </w:tbl>
        <w:p w14:paraId="5F16B0F7">
          <w:pPr>
            <w:rPr>
              <w:color w:val="000000" w:themeColor="text1"/>
              <w14:textFill>
                <w14:solidFill>
                  <w14:schemeClr w14:val="tx1"/>
                </w14:solidFill>
              </w14:textFill>
            </w:rPr>
          </w:pPr>
        </w:p>
      </w:sdtContent>
    </w:sdt>
    <w:p w14:paraId="199F4270">
      <w:pPr>
        <w:pStyle w:val="58"/>
        <w:numPr>
          <w:ilvl w:val="0"/>
          <w:numId w:val="9"/>
        </w:numPr>
        <w:rPr>
          <w:rFonts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资产及负债状况的其他说明[双击切换]"/>
        <w:tag w:val="_GBC_ba674147d80648fba521aedf33ce0b27"/>
        <w:id w:val="147458711"/>
        <w:placeholder>
          <w:docPart w:val="GBC22222222222222222222222222222"/>
        </w:placeholder>
      </w:sdtPr>
      <w:sdtEndPr>
        <w:rPr>
          <w:rFonts w:hint="eastAsia"/>
          <w:color w:val="000000" w:themeColor="text1"/>
          <w14:textFill>
            <w14:solidFill>
              <w14:schemeClr w14:val="tx1"/>
            </w14:solidFill>
          </w14:textFill>
        </w:rPr>
      </w:sdtEndPr>
      <w:sdtContent>
        <w:p w14:paraId="299DDF0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125E4B">
      <w:pPr>
        <w:rPr>
          <w:color w:val="000000" w:themeColor="text1"/>
          <w14:textFill>
            <w14:solidFill>
              <w14:schemeClr w14:val="tx1"/>
            </w14:solidFill>
          </w14:textFill>
        </w:rPr>
      </w:pPr>
    </w:p>
    <w:p w14:paraId="55A693B9">
      <w:pPr>
        <w:pStyle w:val="57"/>
        <w:numPr>
          <w:ilvl w:val="0"/>
          <w:numId w:val="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投资状况分析</w:t>
      </w:r>
    </w:p>
    <w:p w14:paraId="3DF9DC64">
      <w:pPr>
        <w:pStyle w:val="58"/>
        <w:numPr>
          <w:ilvl w:val="0"/>
          <w:numId w:val="11"/>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对外股权投资总体分析</w:t>
      </w:r>
    </w:p>
    <w:p w14:paraId="6B5E1D8C">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对外股权投资总体分析[双击切换]"/>
          <w:tag w:val="_GBC_d1852fb41d2a420f9f1d78c35235341a"/>
          <w:id w:val="147459901"/>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sdt>
      <w:sdtPr>
        <w:rPr>
          <w:color w:val="000000" w:themeColor="text1"/>
          <w14:textFill>
            <w14:solidFill>
              <w14:schemeClr w14:val="tx1"/>
            </w14:solidFill>
          </w14:textFill>
        </w:rPr>
        <w:alias w:val="对外股权投资总体分析"/>
        <w:tag w:val="_GBC_cef6637b11fc44ed960eb269931b50e8"/>
        <w:id w:val="147462805"/>
        <w:placeholder>
          <w:docPart w:val="GBC22222222222222222222222222222"/>
        </w:placeholder>
      </w:sdtPr>
      <w:sdtEndPr>
        <w:rPr>
          <w:color w:val="000000" w:themeColor="text1"/>
          <w14:textFill>
            <w14:solidFill>
              <w14:schemeClr w14:val="tx1"/>
            </w14:solidFill>
          </w14:textFill>
        </w:rPr>
      </w:sdtEndPr>
      <w:sdtContent>
        <w:p w14:paraId="2CB6F4D3">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报告期末，长期股权投资账面价值4,473.49万元，较年初4,800.97万元，减少327.48万元，降幅6.82%。报告期内，按照权益法核算确认投资收益-327.48万元。</w:t>
          </w:r>
        </w:p>
        <w:p w14:paraId="1719CAF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交易性金融资产账面价值63.00万元，较年初63.00万元未发生变化。</w:t>
          </w:r>
        </w:p>
        <w:p w14:paraId="0C084EC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其他权益工具投资账面价值51,998.16万元，较年初51,998.16万元未发生变化。</w:t>
          </w:r>
        </w:p>
      </w:sdtContent>
    </w:sdt>
    <w:p w14:paraId="04E5925D">
      <w:pPr>
        <w:rPr>
          <w:color w:val="000000" w:themeColor="text1"/>
          <w14:textFill>
            <w14:solidFill>
              <w14:schemeClr w14:val="tx1"/>
            </w14:solidFill>
          </w14:textFill>
        </w:rPr>
      </w:pPr>
    </w:p>
    <w:p w14:paraId="0C736E72">
      <w:pPr>
        <w:pStyle w:val="59"/>
        <w:numPr>
          <w:ilvl w:val="0"/>
          <w:numId w:val="12"/>
        </w:numPr>
        <w:tabs>
          <w:tab w:val="left" w:pos="360"/>
        </w:tabs>
        <w:ind w:left="0" w:firstLine="0"/>
        <w:rPr>
          <w:color w:val="000000" w:themeColor="text1"/>
          <w:szCs w:val="21"/>
          <w14:textFill>
            <w14:solidFill>
              <w14:schemeClr w14:val="tx1"/>
            </w14:solidFill>
          </w14:textFill>
        </w:rPr>
      </w:pPr>
      <w:bookmarkStart w:id="44" w:name="_Hlk137045665"/>
      <w:r>
        <w:rPr>
          <w:rFonts w:hint="eastAsia"/>
          <w:color w:val="000000" w:themeColor="text1"/>
          <w:szCs w:val="21"/>
          <w14:textFill>
            <w14:solidFill>
              <w14:schemeClr w14:val="tx1"/>
            </w14:solidFill>
          </w14:textFill>
        </w:rPr>
        <w:t>重大的股权投资</w:t>
      </w:r>
    </w:p>
    <w:sdt>
      <w:sdtPr>
        <w:rPr>
          <w:rFonts w:hint="eastAsia"/>
          <w:color w:val="000000" w:themeColor="text1"/>
          <w14:textFill>
            <w14:solidFill>
              <w14:schemeClr w14:val="tx1"/>
            </w14:solidFill>
          </w14:textFill>
        </w:rPr>
        <w:alias w:val="是否适用：重大的股权投资[双击切换]"/>
        <w:tag w:val="_GBC_9d4d997d9f994cccbb938afa207cfaf2"/>
        <w:id w:val="147463348"/>
        <w:placeholder>
          <w:docPart w:val="GBC22222222222222222222222222222"/>
        </w:placeholder>
      </w:sdtPr>
      <w:sdtEndPr>
        <w:rPr>
          <w:rFonts w:hint="eastAsia"/>
          <w:color w:val="000000" w:themeColor="text1"/>
          <w14:textFill>
            <w14:solidFill>
              <w14:schemeClr w14:val="tx1"/>
            </w14:solidFill>
          </w14:textFill>
        </w:rPr>
      </w:sdtEndPr>
      <w:sdtContent>
        <w:p w14:paraId="5B00F52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4"/>
    <w:p w14:paraId="22CA63C9">
      <w:pPr>
        <w:rPr>
          <w:color w:val="000000" w:themeColor="text1"/>
          <w14:textFill>
            <w14:solidFill>
              <w14:schemeClr w14:val="tx1"/>
            </w14:solidFill>
          </w14:textFill>
        </w:rPr>
      </w:pPr>
    </w:p>
    <w:p w14:paraId="1D437596">
      <w:pPr>
        <w:pStyle w:val="59"/>
        <w:numPr>
          <w:ilvl w:val="0"/>
          <w:numId w:val="12"/>
        </w:numPr>
        <w:tabs>
          <w:tab w:val="left" w:pos="360"/>
        </w:tabs>
        <w:ind w:left="0" w:firstLine="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重大的非股权投资</w:t>
      </w:r>
    </w:p>
    <w:sdt>
      <w:sdtPr>
        <w:rPr>
          <w:rFonts w:hint="eastAsia"/>
          <w:color w:val="000000" w:themeColor="text1"/>
          <w14:textFill>
            <w14:solidFill>
              <w14:schemeClr w14:val="tx1"/>
            </w14:solidFill>
          </w14:textFill>
        </w:rPr>
        <w:alias w:val="是否适用：重大的非股权投资[双击切换]"/>
        <w:tag w:val="_GBC_ea7fdcb7583549f38c0db41e73af0a8b"/>
        <w:id w:val="147467402"/>
        <w:placeholder>
          <w:docPart w:val="GBC22222222222222222222222222222"/>
        </w:placeholder>
      </w:sdtPr>
      <w:sdtEndPr>
        <w:rPr>
          <w:rFonts w:hint="eastAsia"/>
          <w:color w:val="000000" w:themeColor="text1"/>
          <w14:textFill>
            <w14:solidFill>
              <w14:schemeClr w14:val="tx1"/>
            </w14:solidFill>
          </w14:textFill>
        </w:rPr>
      </w:sdtEndPr>
      <w:sdtContent>
        <w:p w14:paraId="09E80E4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B10DF6">
      <w:pPr>
        <w:rPr>
          <w:color w:val="000000" w:themeColor="text1"/>
          <w14:textFill>
            <w14:solidFill>
              <w14:schemeClr w14:val="tx1"/>
            </w14:solidFill>
          </w14:textFill>
        </w:rPr>
      </w:pPr>
    </w:p>
    <w:p w14:paraId="6E2774AF">
      <w:pPr>
        <w:pStyle w:val="59"/>
        <w:numPr>
          <w:ilvl w:val="0"/>
          <w:numId w:val="12"/>
        </w:numPr>
        <w:tabs>
          <w:tab w:val="left" w:pos="360"/>
        </w:tabs>
        <w:ind w:left="0" w:firstLine="0"/>
        <w:rPr>
          <w:color w:val="000000" w:themeColor="text1"/>
          <w:szCs w:val="21"/>
          <w14:textFill>
            <w14:solidFill>
              <w14:schemeClr w14:val="tx1"/>
            </w14:solidFill>
          </w14:textFill>
        </w:rPr>
      </w:pPr>
      <w:bookmarkStart w:id="45" w:name="_Hlk40532846"/>
      <w:bookmarkStart w:id="46" w:name="_Hlk137045755"/>
      <w:r>
        <w:rPr>
          <w:rFonts w:hint="eastAsia"/>
          <w:color w:val="000000" w:themeColor="text1"/>
          <w:szCs w:val="21"/>
          <w14:textFill>
            <w14:solidFill>
              <w14:schemeClr w14:val="tx1"/>
            </w14:solidFill>
          </w14:textFill>
        </w:rPr>
        <w:t>以公允价值计量的金融资产</w:t>
      </w:r>
    </w:p>
    <w:sdt>
      <w:sdtPr>
        <w:rPr>
          <w:rFonts w:hint="eastAsia"/>
          <w:color w:val="000000" w:themeColor="text1"/>
          <w14:textFill>
            <w14:solidFill>
              <w14:schemeClr w14:val="tx1"/>
            </w14:solidFill>
          </w14:textFill>
        </w:rPr>
        <w:alias w:val="是否适用：以公允价值计量的金融资产[双击切换]"/>
        <w:tag w:val="_GBC_541ff98e64424f46b08f9f3687c1ea7a"/>
        <w:id w:val="147455913"/>
        <w:placeholder>
          <w:docPart w:val="GBC22222222222222222222222222222"/>
        </w:placeholder>
      </w:sdtPr>
      <w:sdtEndPr>
        <w:rPr>
          <w:rFonts w:hint="eastAsia"/>
          <w:color w:val="000000" w:themeColor="text1"/>
          <w14:textFill>
            <w14:solidFill>
              <w14:schemeClr w14:val="tx1"/>
            </w14:solidFill>
          </w14:textFill>
        </w:rPr>
      </w:sdtEndPr>
      <w:sdtContent>
        <w:p w14:paraId="2E68D47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95EDCD2">
      <w:pPr>
        <w:pStyle w:val="68"/>
        <w:wordWrap w:val="0"/>
        <w:ind w:left="36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以公允价值计量的金融资产"/>
          <w:tag w:val="_GBC_1c2aaa623bd0423791ad9edf7fcfb564"/>
          <w:id w:val="1474649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以公允价值计量的金融资产"/>
          <w:tag w:val="_GBC_7946a1d9804e4752a8d28bb04a1c1fe2"/>
          <w:id w:val="1474696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3"/>
        <w:gridCol w:w="3580"/>
        <w:gridCol w:w="3582"/>
      </w:tblGrid>
      <w:tr w14:paraId="5593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4279fe84ffd49f892f0e4236d8485e0"/>
            <w:id w:val="147477196"/>
          </w:sdtPr>
          <w:sdtContent>
            <w:tc>
              <w:tcPr>
                <w:tcW w:w="1041" w:type="pct"/>
                <w:vAlign w:val="center"/>
              </w:tcPr>
              <w:p w14:paraId="7E5C4832">
                <w:pPr>
                  <w:widowControl w:val="0"/>
                  <w:jc w:val="center"/>
                  <w:rPr>
                    <w:color w:val="000000" w:themeColor="text1"/>
                    <w14:textFill>
                      <w14:solidFill>
                        <w14:schemeClr w14:val="tx1"/>
                      </w14:solidFill>
                    </w14:textFill>
                  </w:rPr>
                </w:pPr>
                <w:r>
                  <w:rPr>
                    <w:rFonts w:hint="eastAsia" w:cs="Times New Roman"/>
                    <w:color w:val="000000" w:themeColor="text1"/>
                    <w:kern w:val="2"/>
                    <w:szCs w:val="22"/>
                    <w14:textFill>
                      <w14:solidFill>
                        <w14:schemeClr w14:val="tx1"/>
                      </w14:solidFill>
                    </w14:textFill>
                  </w:rPr>
                  <w:t>资产类别</w:t>
                </w:r>
              </w:p>
            </w:tc>
          </w:sdtContent>
        </w:sdt>
        <w:sdt>
          <w:sdtPr>
            <w:tag w:val="_PLD_8c2e4dc1bb324e79bc03b22ad26f792e"/>
            <w:id w:val="147481084"/>
          </w:sdtPr>
          <w:sdtContent>
            <w:tc>
              <w:tcPr>
                <w:tcW w:w="1978" w:type="pct"/>
                <w:vAlign w:val="center"/>
              </w:tcPr>
              <w:p w14:paraId="75A0AFFF">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期初数</w:t>
                </w:r>
              </w:p>
            </w:tc>
          </w:sdtContent>
        </w:sdt>
        <w:sdt>
          <w:sdtPr>
            <w:tag w:val="_PLD_d765878830274571b732d6e366f7811e"/>
            <w:id w:val="147460059"/>
          </w:sdtPr>
          <w:sdtContent>
            <w:tc>
              <w:tcPr>
                <w:tcW w:w="1979" w:type="pct"/>
                <w:vAlign w:val="center"/>
              </w:tcPr>
              <w:p w14:paraId="1D1FEE3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期末数</w:t>
                </w:r>
              </w:p>
            </w:tc>
          </w:sdtContent>
        </w:sdt>
      </w:tr>
      <w:tr w14:paraId="4CEE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pct"/>
          </w:tcPr>
          <w:p w14:paraId="7695B412">
            <w:pPr>
              <w:widowControl w:val="0"/>
              <w:jc w:val="both"/>
              <w:rPr>
                <w:color w:val="000000" w:themeColor="text1"/>
                <w14:textFill>
                  <w14:solidFill>
                    <w14:schemeClr w14:val="tx1"/>
                  </w14:solidFill>
                </w14:textFill>
              </w:rPr>
            </w:pPr>
            <w:r>
              <w:rPr>
                <w:rFonts w:hint="eastAsia"/>
                <w:color w:val="000000"/>
              </w:rPr>
              <w:t>信托</w:t>
            </w:r>
          </w:p>
        </w:tc>
        <w:tc>
          <w:tcPr>
            <w:tcW w:w="1978" w:type="pct"/>
            <w:vAlign w:val="bottom"/>
          </w:tcPr>
          <w:p w14:paraId="6D9F32CE">
            <w:pPr>
              <w:widowControl w:val="0"/>
              <w:jc w:val="right"/>
              <w:rPr>
                <w:rFonts w:cs="Times New Roman"/>
              </w:rPr>
            </w:pPr>
            <w:r>
              <w:rPr>
                <w:rFonts w:cs="Times New Roman"/>
                <w:color w:val="000000"/>
                <w:sz w:val="22"/>
                <w:szCs w:val="22"/>
              </w:rPr>
              <w:t xml:space="preserve">630,009.80 </w:t>
            </w:r>
          </w:p>
        </w:tc>
        <w:tc>
          <w:tcPr>
            <w:tcW w:w="1979" w:type="pct"/>
            <w:vAlign w:val="bottom"/>
          </w:tcPr>
          <w:p w14:paraId="6E28861A">
            <w:pPr>
              <w:widowControl w:val="0"/>
              <w:jc w:val="right"/>
              <w:rPr>
                <w:rFonts w:cs="Times New Roman"/>
              </w:rPr>
            </w:pPr>
            <w:r>
              <w:rPr>
                <w:rFonts w:cs="Times New Roman"/>
                <w:color w:val="000000"/>
                <w:sz w:val="22"/>
                <w:szCs w:val="22"/>
              </w:rPr>
              <w:t xml:space="preserve">630,009.80 </w:t>
            </w:r>
          </w:p>
        </w:tc>
      </w:tr>
      <w:tr w14:paraId="49A6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pct"/>
          </w:tcPr>
          <w:p w14:paraId="5946497E">
            <w:pPr>
              <w:widowControl w:val="0"/>
              <w:jc w:val="both"/>
              <w:rPr>
                <w:color w:val="000000" w:themeColor="text1"/>
                <w14:textFill>
                  <w14:solidFill>
                    <w14:schemeClr w14:val="tx1"/>
                  </w14:solidFill>
                </w14:textFill>
              </w:rPr>
            </w:pPr>
            <w:r>
              <w:rPr>
                <w:rFonts w:hint="eastAsia"/>
                <w:color w:val="000000"/>
              </w:rPr>
              <w:t>其他</w:t>
            </w:r>
          </w:p>
        </w:tc>
        <w:tc>
          <w:tcPr>
            <w:tcW w:w="1978" w:type="pct"/>
            <w:vAlign w:val="bottom"/>
          </w:tcPr>
          <w:p w14:paraId="0402E74F">
            <w:pPr>
              <w:widowControl w:val="0"/>
              <w:jc w:val="right"/>
              <w:rPr>
                <w:rFonts w:cs="Times New Roman"/>
              </w:rPr>
            </w:pPr>
            <w:r>
              <w:rPr>
                <w:rFonts w:cs="Times New Roman"/>
                <w:color w:val="000000"/>
                <w:sz w:val="22"/>
                <w:szCs w:val="22"/>
              </w:rPr>
              <w:t xml:space="preserve">519,981,620.71 </w:t>
            </w:r>
          </w:p>
        </w:tc>
        <w:tc>
          <w:tcPr>
            <w:tcW w:w="1979" w:type="pct"/>
            <w:vAlign w:val="bottom"/>
          </w:tcPr>
          <w:p w14:paraId="2D9A24AA">
            <w:pPr>
              <w:widowControl w:val="0"/>
              <w:jc w:val="right"/>
              <w:rPr>
                <w:rFonts w:cs="Times New Roman"/>
              </w:rPr>
            </w:pPr>
            <w:r>
              <w:rPr>
                <w:rFonts w:cs="Times New Roman"/>
                <w:color w:val="000000"/>
                <w:sz w:val="22"/>
                <w:szCs w:val="22"/>
              </w:rPr>
              <w:t xml:space="preserve">519,981,620.71 </w:t>
            </w:r>
          </w:p>
        </w:tc>
      </w:tr>
      <w:tr w14:paraId="10B6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pct"/>
          </w:tcPr>
          <w:p w14:paraId="5A778F13">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978" w:type="pct"/>
            <w:vAlign w:val="bottom"/>
          </w:tcPr>
          <w:p w14:paraId="309F0971">
            <w:pPr>
              <w:widowControl w:val="0"/>
              <w:jc w:val="right"/>
              <w:rPr>
                <w:rFonts w:cs="Times New Roman"/>
              </w:rPr>
            </w:pPr>
            <w:r>
              <w:rPr>
                <w:rFonts w:cs="Times New Roman"/>
                <w:color w:val="000000"/>
                <w:sz w:val="22"/>
                <w:szCs w:val="22"/>
              </w:rPr>
              <w:t xml:space="preserve">520,611,630.51 </w:t>
            </w:r>
          </w:p>
        </w:tc>
        <w:tc>
          <w:tcPr>
            <w:tcW w:w="1979" w:type="pct"/>
            <w:vAlign w:val="bottom"/>
          </w:tcPr>
          <w:p w14:paraId="21EFFFF2">
            <w:pPr>
              <w:widowControl w:val="0"/>
              <w:jc w:val="right"/>
              <w:rPr>
                <w:rFonts w:cs="Times New Roman"/>
              </w:rPr>
            </w:pPr>
            <w:r>
              <w:rPr>
                <w:rFonts w:cs="Times New Roman"/>
                <w:color w:val="000000"/>
                <w:sz w:val="22"/>
                <w:szCs w:val="22"/>
              </w:rPr>
              <w:t xml:space="preserve">520,611,630.51 </w:t>
            </w:r>
          </w:p>
        </w:tc>
      </w:tr>
      <w:bookmarkEnd w:id="45"/>
    </w:tbl>
    <w:p w14:paraId="6DDCAAD5">
      <w:pPr>
        <w:rPr>
          <w:color w:val="000000" w:themeColor="text1"/>
          <w14:textFill>
            <w14:solidFill>
              <w14:schemeClr w14:val="tx1"/>
            </w14:solidFill>
          </w14:textFill>
        </w:rPr>
      </w:pPr>
      <w:r>
        <w:rPr>
          <w:rFonts w:hint="eastAsia"/>
          <w:color w:val="000000" w:themeColor="text1"/>
          <w14:textFill>
            <w14:solidFill>
              <w14:schemeClr w14:val="tx1"/>
            </w14:solidFill>
          </w14:textFill>
        </w:rPr>
        <w:t>证券投资情况</w:t>
      </w:r>
    </w:p>
    <w:sdt>
      <w:sdtPr>
        <w:rPr>
          <w:color w:val="000000" w:themeColor="text1"/>
          <w14:textFill>
            <w14:solidFill>
              <w14:schemeClr w14:val="tx1"/>
            </w14:solidFill>
          </w14:textFill>
        </w:rPr>
        <w:alias w:val="是否适用：证券投资情况[双击切换]"/>
        <w:tag w:val="_GBC_5a8828b10b2a437a9b496037ef93ad06"/>
        <w:id w:val="147456459"/>
        <w:placeholder>
          <w:docPart w:val="GBC22222222222222222222222222222"/>
        </w:placeholder>
      </w:sdtPr>
      <w:sdtEndPr>
        <w:rPr>
          <w:color w:val="000000" w:themeColor="text1"/>
          <w14:textFill>
            <w14:solidFill>
              <w14:schemeClr w14:val="tx1"/>
            </w14:solidFill>
          </w14:textFill>
        </w:rPr>
      </w:sdtEndPr>
      <w:sdtContent>
        <w:p w14:paraId="5DB3060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8CC7F6">
      <w:pPr>
        <w:rPr>
          <w:color w:val="000000" w:themeColor="text1"/>
          <w14:textFill>
            <w14:solidFill>
              <w14:schemeClr w14:val="tx1"/>
            </w14:solidFill>
          </w14:textFill>
        </w:rPr>
      </w:pPr>
      <w:bookmarkStart w:id="47" w:name="_Hlk40533881"/>
    </w:p>
    <w:bookmarkEnd w:id="47"/>
    <w:p w14:paraId="2F656A4C">
      <w:pPr>
        <w:rPr>
          <w:color w:val="000000" w:themeColor="text1"/>
          <w14:textFill>
            <w14:solidFill>
              <w14:schemeClr w14:val="tx1"/>
            </w14:solidFill>
          </w14:textFill>
        </w:rPr>
      </w:pPr>
      <w:r>
        <w:rPr>
          <w:rFonts w:hint="eastAsia"/>
          <w:color w:val="000000" w:themeColor="text1"/>
          <w14:textFill>
            <w14:solidFill>
              <w14:schemeClr w14:val="tx1"/>
            </w14:solidFill>
          </w14:textFill>
        </w:rPr>
        <w:t>证券投资情况的说明</w:t>
      </w:r>
    </w:p>
    <w:sdt>
      <w:sdtPr>
        <w:rPr>
          <w:color w:val="000000" w:themeColor="text1"/>
          <w14:textFill>
            <w14:solidFill>
              <w14:schemeClr w14:val="tx1"/>
            </w14:solidFill>
          </w14:textFill>
        </w:rPr>
        <w:alias w:val="是否适用：证券投资情况的说明[双击切换]"/>
        <w:tag w:val="_GBC_8d1fa1a2f7a54e699abfdd630205bd35"/>
        <w:id w:val="147468693"/>
        <w:placeholder>
          <w:docPart w:val="GBC22222222222222222222222222222"/>
        </w:placeholder>
      </w:sdtPr>
      <w:sdtEndPr>
        <w:rPr>
          <w:color w:val="000000" w:themeColor="text1"/>
          <w14:textFill>
            <w14:solidFill>
              <w14:schemeClr w14:val="tx1"/>
            </w14:solidFill>
          </w14:textFill>
        </w:rPr>
      </w:sdtEndPr>
      <w:sdtContent>
        <w:p w14:paraId="14126A1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8AF8C89">
      <w:pPr>
        <w:rPr>
          <w:color w:val="000000" w:themeColor="text1"/>
          <w14:textFill>
            <w14:solidFill>
              <w14:schemeClr w14:val="tx1"/>
            </w14:solidFill>
          </w14:textFill>
        </w:rPr>
      </w:pPr>
    </w:p>
    <w:p w14:paraId="1DD16155">
      <w:pPr>
        <w:rPr>
          <w:color w:val="000000" w:themeColor="text1"/>
          <w14:textFill>
            <w14:solidFill>
              <w14:schemeClr w14:val="tx1"/>
            </w14:solidFill>
          </w14:textFill>
        </w:rPr>
      </w:pPr>
      <w:bookmarkStart w:id="48" w:name="_Hlk40534809"/>
      <w:r>
        <w:rPr>
          <w:rFonts w:hint="eastAsia"/>
          <w:color w:val="000000" w:themeColor="text1"/>
          <w14:textFill>
            <w14:solidFill>
              <w14:schemeClr w14:val="tx1"/>
            </w14:solidFill>
          </w14:textFill>
        </w:rPr>
        <w:t>私募基金投资情况</w:t>
      </w:r>
    </w:p>
    <w:sdt>
      <w:sdtPr>
        <w:rPr>
          <w:color w:val="000000" w:themeColor="text1"/>
          <w14:textFill>
            <w14:solidFill>
              <w14:schemeClr w14:val="tx1"/>
            </w14:solidFill>
          </w14:textFill>
        </w:rPr>
        <w:alias w:val="是否适用：私募基金投资情况[双击切换]"/>
        <w:tag w:val="_GBC_56fccff6af834e4e8e9f8aea6f269d2f"/>
        <w:id w:val="147455670"/>
        <w:placeholder>
          <w:docPart w:val="GBC22222222222222222222222222222"/>
        </w:placeholder>
      </w:sdtPr>
      <w:sdtEndPr>
        <w:rPr>
          <w:color w:val="000000" w:themeColor="text1"/>
          <w14:textFill>
            <w14:solidFill>
              <w14:schemeClr w14:val="tx1"/>
            </w14:solidFill>
          </w14:textFill>
        </w:rPr>
      </w:sdtEndPr>
      <w:sdtContent>
        <w:p w14:paraId="54C06CF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070F8B1">
      <w:pPr>
        <w:rPr>
          <w:color w:val="000000" w:themeColor="text1"/>
          <w14:textFill>
            <w14:solidFill>
              <w14:schemeClr w14:val="tx1"/>
            </w14:solidFill>
          </w14:textFill>
        </w:rPr>
      </w:pPr>
    </w:p>
    <w:bookmarkEnd w:id="48"/>
    <w:p w14:paraId="5AE63DD1">
      <w:pPr>
        <w:rPr>
          <w:color w:val="000000" w:themeColor="text1"/>
          <w14:textFill>
            <w14:solidFill>
              <w14:schemeClr w14:val="tx1"/>
            </w14:solidFill>
          </w14:textFill>
        </w:rPr>
      </w:pPr>
      <w:r>
        <w:rPr>
          <w:rFonts w:hint="eastAsia"/>
          <w:color w:val="000000" w:themeColor="text1"/>
          <w14:textFill>
            <w14:solidFill>
              <w14:schemeClr w14:val="tx1"/>
            </w14:solidFill>
          </w14:textFill>
        </w:rPr>
        <w:t>衍生品投资情况</w:t>
      </w:r>
    </w:p>
    <w:sdt>
      <w:sdtPr>
        <w:rPr>
          <w:rFonts w:hint="eastAsia"/>
          <w:color w:val="000000" w:themeColor="text1"/>
          <w14:textFill>
            <w14:solidFill>
              <w14:schemeClr w14:val="tx1"/>
            </w14:solidFill>
          </w14:textFill>
        </w:rPr>
        <w:alias w:val="是否适用：衍生品投资情况  [双击切换]"/>
        <w:tag w:val="_GBC_bfd154b38b804edbb19ff4896b6b9c42"/>
        <w:id w:val="147454439"/>
        <w:placeholder>
          <w:docPart w:val="GBC22222222222222222222222222222"/>
        </w:placeholder>
      </w:sdtPr>
      <w:sdtEndPr>
        <w:rPr>
          <w:rFonts w:hint="eastAsia"/>
          <w:color w:val="000000" w:themeColor="text1"/>
          <w14:textFill>
            <w14:solidFill>
              <w14:schemeClr w14:val="tx1"/>
            </w14:solidFill>
          </w14:textFill>
        </w:rPr>
      </w:sdtEndPr>
      <w:sdtContent>
        <w:p w14:paraId="73BB447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6"/>
    <w:p w14:paraId="613CA9BF">
      <w:pPr>
        <w:rPr>
          <w:color w:val="000000" w:themeColor="text1"/>
          <w14:textFill>
            <w14:solidFill>
              <w14:schemeClr w14:val="tx1"/>
            </w14:solidFill>
          </w14:textFill>
        </w:rPr>
      </w:pPr>
    </w:p>
    <w:p w14:paraId="182C97C5">
      <w:pPr>
        <w:pStyle w:val="57"/>
        <w:numPr>
          <w:ilvl w:val="0"/>
          <w:numId w:val="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重大资产和股权出售</w:t>
      </w:r>
    </w:p>
    <w:sdt>
      <w:sdtPr>
        <w:rPr>
          <w:rFonts w:hint="eastAsia"/>
          <w:color w:val="000000" w:themeColor="text1"/>
          <w14:textFill>
            <w14:solidFill>
              <w14:schemeClr w14:val="tx1"/>
            </w14:solidFill>
          </w14:textFill>
        </w:rPr>
        <w:alias w:val="是否适用：重大资产和股权出售[双击切换]"/>
        <w:tag w:val="_GBC_f566f251245e49238092032f065852be"/>
        <w:id w:val="147470442"/>
        <w:placeholder>
          <w:docPart w:val="GBC22222222222222222222222222222"/>
        </w:placeholder>
      </w:sdtPr>
      <w:sdtEndPr>
        <w:rPr>
          <w:rFonts w:hint="eastAsia"/>
          <w:color w:val="000000" w:themeColor="text1"/>
          <w14:textFill>
            <w14:solidFill>
              <w14:schemeClr w14:val="tx1"/>
            </w14:solidFill>
          </w14:textFill>
        </w:rPr>
      </w:sdtEndPr>
      <w:sdtContent>
        <w:p w14:paraId="40BD2E9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5B72DA8">
      <w:pPr>
        <w:rPr>
          <w:color w:val="000000" w:themeColor="text1"/>
          <w14:textFill>
            <w14:solidFill>
              <w14:schemeClr w14:val="tx1"/>
            </w14:solidFill>
          </w14:textFill>
        </w:rPr>
      </w:pPr>
    </w:p>
    <w:p w14:paraId="6D908B27">
      <w:pPr>
        <w:pStyle w:val="57"/>
        <w:numPr>
          <w:ilvl w:val="0"/>
          <w:numId w:val="7"/>
        </w:numPr>
        <w:rPr>
          <w:rFonts w:ascii="宋体" w:hAnsi="宋体"/>
          <w:color w:val="000000" w:themeColor="text1"/>
          <w14:textFill>
            <w14:solidFill>
              <w14:schemeClr w14:val="tx1"/>
            </w14:solidFill>
          </w14:textFill>
        </w:rPr>
      </w:pPr>
      <w:bookmarkStart w:id="49" w:name="_Hlk200011206"/>
      <w:r>
        <w:rPr>
          <w:rFonts w:hint="eastAsia" w:ascii="宋体" w:hAnsi="宋体"/>
          <w:color w:val="000000" w:themeColor="text1"/>
          <w14:textFill>
            <w14:solidFill>
              <w14:schemeClr w14:val="tx1"/>
            </w14:solidFill>
          </w14:textFill>
        </w:rPr>
        <w:t>主要控股参股公司分析</w:t>
      </w:r>
    </w:p>
    <w:sdt>
      <w:sdtPr>
        <w:rPr>
          <w:color w:val="000000" w:themeColor="text1"/>
          <w14:textFill>
            <w14:solidFill>
              <w14:schemeClr w14:val="tx1"/>
            </w14:solidFill>
          </w14:textFill>
        </w:rPr>
        <w:alias w:val="是否适用：主要控股参股公司分析[双击切换]"/>
        <w:tag w:val="_GBC_3f3bd67865a44413bcd1143c0df7558d"/>
        <w:id w:val="147465522"/>
        <w:placeholder>
          <w:docPart w:val="GBC22222222222222222222222222222"/>
        </w:placeholder>
      </w:sdtPr>
      <w:sdtEndPr>
        <w:rPr>
          <w:color w:val="000000" w:themeColor="text1"/>
          <w14:textFill>
            <w14:solidFill>
              <w14:schemeClr w14:val="tx1"/>
            </w14:solidFill>
          </w14:textFill>
        </w:rPr>
      </w:sdtEndPr>
      <w:sdtContent>
        <w:p w14:paraId="498E869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9"/>
    <w:p w14:paraId="052A0523">
      <w:pPr>
        <w:rPr>
          <w:color w:val="000000" w:themeColor="text1"/>
          <w14:textFill>
            <w14:solidFill>
              <w14:schemeClr w14:val="tx1"/>
            </w14:solidFill>
          </w14:textFill>
        </w:rPr>
      </w:pPr>
    </w:p>
    <w:p w14:paraId="184DDCD9">
      <w:pPr>
        <w:pStyle w:val="57"/>
        <w:numPr>
          <w:ilvl w:val="0"/>
          <w:numId w:val="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公司控制的结构化主体情况</w:t>
      </w:r>
    </w:p>
    <w:sdt>
      <w:sdtPr>
        <w:rPr>
          <w:rFonts w:hint="eastAsia"/>
          <w:color w:val="000000" w:themeColor="text1"/>
          <w14:textFill>
            <w14:solidFill>
              <w14:schemeClr w14:val="tx1"/>
            </w14:solidFill>
          </w14:textFill>
        </w:rPr>
        <w:alias w:val="是否适用：公司控制的结构化主体情况[双击切换]"/>
        <w:tag w:val="_GBC_6dee8f13bc9a4596ad3e5af6f90f0b8b"/>
        <w:id w:val="147480510"/>
        <w:placeholder>
          <w:docPart w:val="GBC22222222222222222222222222222"/>
        </w:placeholder>
      </w:sdtPr>
      <w:sdtEndPr>
        <w:rPr>
          <w:rFonts w:hint="eastAsia"/>
          <w:color w:val="000000" w:themeColor="text1"/>
          <w14:textFill>
            <w14:solidFill>
              <w14:schemeClr w14:val="tx1"/>
            </w14:solidFill>
          </w14:textFill>
        </w:rPr>
      </w:sdtEndPr>
      <w:sdtContent>
        <w:p w14:paraId="6733EFA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8D8DAE8">
      <w:pPr>
        <w:rPr>
          <w:color w:val="000000" w:themeColor="text1"/>
          <w14:textFill>
            <w14:solidFill>
              <w14:schemeClr w14:val="tx1"/>
            </w14:solidFill>
          </w14:textFill>
        </w:rPr>
      </w:pPr>
    </w:p>
    <w:p w14:paraId="369AC8DB">
      <w:pPr>
        <w:pStyle w:val="3"/>
        <w:numPr>
          <w:ilvl w:val="0"/>
          <w:numId w:val="6"/>
        </w:numPr>
        <w:tabs>
          <w:tab w:val="left" w:pos="426"/>
        </w:tabs>
        <w:ind w:left="0" w:firstLine="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其他披露事项</w:t>
      </w:r>
    </w:p>
    <w:p w14:paraId="4C3567BD">
      <w:pPr>
        <w:pStyle w:val="4"/>
        <w:numPr>
          <w:ilvl w:val="0"/>
          <w:numId w:val="1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可能面对的风险</w:t>
      </w:r>
    </w:p>
    <w:sdt>
      <w:sdtPr>
        <w:rPr>
          <w:rFonts w:hint="eastAsia"/>
          <w:color w:val="000000" w:themeColor="text1"/>
          <w14:textFill>
            <w14:solidFill>
              <w14:schemeClr w14:val="tx1"/>
            </w14:solidFill>
          </w14:textFill>
        </w:rPr>
        <w:alias w:val="是否适用：可能面对的风险[双击切换]"/>
        <w:tag w:val="_GBC_2a971d8ab5884d3eb5547ede4e1e17c9"/>
        <w:id w:val="147480788"/>
        <w:placeholder>
          <w:docPart w:val="GBC22222222222222222222222222222"/>
        </w:placeholder>
      </w:sdtPr>
      <w:sdtEndPr>
        <w:rPr>
          <w:rFonts w:hint="eastAsia"/>
          <w:color w:val="000000" w:themeColor="text1"/>
          <w14:textFill>
            <w14:solidFill>
              <w14:schemeClr w14:val="tx1"/>
            </w14:solidFill>
          </w14:textFill>
        </w:rPr>
      </w:sdtEndPr>
      <w:sdtContent>
        <w:p w14:paraId="6CB6E75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公司可能面对的风险"/>
        <w:tag w:val="_GBC_6e03b01ba4f1453dbc563404b41bfdbc"/>
        <w:id w:val="147473607"/>
        <w:placeholder>
          <w:docPart w:val="GBC22222222222222222222222222222"/>
        </w:placeholder>
      </w:sdtPr>
      <w:sdtEndPr>
        <w:rPr>
          <w:rFonts w:hint="eastAsia"/>
          <w:color w:val="000000" w:themeColor="text1"/>
          <w14:textFill>
            <w14:solidFill>
              <w14:schemeClr w14:val="tx1"/>
            </w14:solidFill>
          </w14:textFill>
        </w:rPr>
      </w:sdtEndPr>
      <w:sdtContent>
        <w:p w14:paraId="77CB6E31">
          <w:pPr>
            <w:rPr>
              <w:color w:val="000000" w:themeColor="text1"/>
              <w14:textFill>
                <w14:solidFill>
                  <w14:schemeClr w14:val="tx1"/>
                </w14:solidFill>
              </w14:textFill>
            </w:rPr>
          </w:pPr>
          <w:r>
            <w:rPr>
              <w:rFonts w:hint="eastAsia"/>
              <w:color w:val="000000" w:themeColor="text1"/>
              <w14:textFill>
                <w14:solidFill>
                  <w14:schemeClr w14:val="tx1"/>
                </w14:solidFill>
              </w14:textFill>
            </w:rPr>
            <w:t>1.宏观环境变化</w:t>
          </w:r>
        </w:p>
        <w:p w14:paraId="4D9BA242">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2025年上半年，全球经贸环境复杂性和不确定性显著上升，对我国纺织服装行业构成多重挑战。国际层面，地缘冲突延宕与贸易保护主义持续发酵，全球终端消费需求整体走弱；美国加征关税政策引发供应链区域性重构，叠加东南亚等地区产能竞争加剧，我国服装出口承压明显。尽管二季度出口降幅呈收窄态势，但高关税成本及订单转移风险仍使外贸环境严峻。国内层面，经济增速放缓与居民收入预期偏弱抑制消费动力，服装类商品零售额增速维持低位，内需市场呈现“温和增长但动能不足”的特征。</w:t>
          </w:r>
        </w:p>
        <w:p w14:paraId="0103B803">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行业同时面临成本刚性压力与结构性转型挑战：能源及国际物流成本高位震荡，叠加国内人力、环保合规成本上升，企业盈利空间持续收窄。与此同时，消费升级趋势加速行业分化，个性化、绿色化需求倒逼企业技术革新与柔性生产转型。当前环境下纺织服装企业普遍面临“外需承压、内需偏弱、成本高企、竞争加剧”的四重考验，行业进入深度调整与转型升级的关键阶段。</w:t>
          </w:r>
        </w:p>
        <w:p w14:paraId="1B6D8846">
          <w:pPr>
            <w:rPr>
              <w:color w:val="000000" w:themeColor="text1"/>
              <w14:textFill>
                <w14:solidFill>
                  <w14:schemeClr w14:val="tx1"/>
                </w14:solidFill>
              </w14:textFill>
            </w:rPr>
          </w:pPr>
          <w:r>
            <w:rPr>
              <w:rFonts w:hint="eastAsia"/>
              <w:color w:val="000000" w:themeColor="text1"/>
              <w14:textFill>
                <w14:solidFill>
                  <w14:schemeClr w14:val="tx1"/>
                </w14:solidFill>
              </w14:textFill>
            </w:rPr>
            <w:t>2.政策及市场风险</w:t>
          </w:r>
        </w:p>
        <w:p w14:paraId="26C6E584">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所面对的军需品市场和行配工装市场受到国家政策和行业规划的影响，相关政策的变化会影响行业的发展空间及市场环境，也会直接影响相关单位的招标采购需求，进而对公司的订单承揽带来影响。在军需品市场，军队被装采购政策和供应模式的变化会进一步影响军需品的市场空间和竞争格局，进而对公司的生产经营带来影响。在行配工装、应急保障市场，因市场容量巨大，近年来随着参与供应商数量的不断增加，竞争也愈发激烈。公司将持续加大科技创新和新产品研发力度，不断提升产品质量，进一步加大服务及品牌投入，不断提高客户粘性，扩大军需应急、行配工装、高定领域的市场份额。</w:t>
          </w:r>
        </w:p>
      </w:sdtContent>
    </w:sdt>
    <w:p w14:paraId="144CC420">
      <w:pPr>
        <w:rPr>
          <w:color w:val="000000" w:themeColor="text1"/>
          <w14:textFill>
            <w14:solidFill>
              <w14:schemeClr w14:val="tx1"/>
            </w14:solidFill>
          </w14:textFill>
        </w:rPr>
      </w:pPr>
    </w:p>
    <w:p w14:paraId="4F14B65C">
      <w:pPr>
        <w:pStyle w:val="4"/>
        <w:numPr>
          <w:ilvl w:val="0"/>
          <w:numId w:val="1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其他披露事项</w:t>
      </w:r>
    </w:p>
    <w:sdt>
      <w:sdtPr>
        <w:rPr>
          <w:rFonts w:hint="eastAsia"/>
          <w:color w:val="000000" w:themeColor="text1"/>
          <w14:textFill>
            <w14:solidFill>
              <w14:schemeClr w14:val="tx1"/>
            </w14:solidFill>
          </w14:textFill>
        </w:rPr>
        <w:alias w:val="是否适用：董事会其他需要披露的事项[双击切换]"/>
        <w:tag w:val="_GBC_4bd5ba6bf4044aee9ecd40a0c2fc29bf"/>
        <w:id w:val="147473644"/>
        <w:placeholder>
          <w:docPart w:val="GBC22222222222222222222222222222"/>
        </w:placeholder>
      </w:sdtPr>
      <w:sdtEndPr>
        <w:rPr>
          <w:rFonts w:hint="eastAsia"/>
          <w:color w:val="000000" w:themeColor="text1"/>
          <w14:textFill>
            <w14:solidFill>
              <w14:schemeClr w14:val="tx1"/>
            </w14:solidFill>
          </w14:textFill>
        </w:rPr>
      </w:sdtEndPr>
      <w:sdtContent>
        <w:p w14:paraId="02F3A1B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董事会其他需要披露的事项"/>
        <w:tag w:val="_GBC_1751869900474e38a4456794ea384b7e"/>
        <w:id w:val="-138424314"/>
        <w:placeholder>
          <w:docPart w:val="{88b7610f-cbf8-4c93-9288-98a85facce58}"/>
        </w:placeholder>
      </w:sdtPr>
      <w:sdtEndPr>
        <w:rPr>
          <w:color w:val="000000" w:themeColor="text1"/>
          <w14:textFill>
            <w14:solidFill>
              <w14:schemeClr w14:val="tx1"/>
            </w14:solidFill>
          </w14:textFill>
        </w:rPr>
      </w:sdtEndPr>
      <w:sdtContent>
        <w:p w14:paraId="2B18A71C">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公司于2025年8月8日收到中国证券监督管理委员会下发的《立案告知书》（证监立案字03720252003号）；具体内容详见上海证券交易所网站（http://www.sse.com.cn/）披露的《际华集团关于收到中国证券监督管理委员会立案告知书的公告》（公告编号：临2025-039）。</w:t>
          </w:r>
        </w:p>
      </w:sdtContent>
    </w:sdt>
    <w:bookmarkEnd w:id="38"/>
    <w:p w14:paraId="3C160A34">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75268A0A">
      <w:pPr>
        <w:pStyle w:val="2"/>
        <w:numPr>
          <w:ilvl w:val="0"/>
          <w:numId w:val="3"/>
        </w:numPr>
        <w:rPr>
          <w:rFonts w:ascii="黑体" w:hAnsi="黑体"/>
          <w:color w:val="000000" w:themeColor="text1"/>
          <w14:textFill>
            <w14:solidFill>
              <w14:schemeClr w14:val="tx1"/>
            </w14:solidFill>
          </w14:textFill>
        </w:rPr>
      </w:pPr>
      <w:bookmarkStart w:id="50" w:name="_Toc200030543"/>
      <w:bookmarkStart w:id="51" w:name="_Toc76114277"/>
      <w:bookmarkStart w:id="52" w:name="_Toc76114275"/>
      <w:bookmarkStart w:id="53" w:name="_Toc200030542"/>
      <w:r>
        <w:rPr>
          <w:rFonts w:hint="eastAsia" w:ascii="黑体" w:hAnsi="黑体"/>
          <w:color w:val="000000" w:themeColor="text1"/>
          <w14:textFill>
            <w14:solidFill>
              <w14:schemeClr w14:val="tx1"/>
            </w14:solidFill>
          </w14:textFill>
        </w:rPr>
        <w:t>重要事项</w:t>
      </w:r>
    </w:p>
    <w:bookmarkEnd w:id="50"/>
    <w:bookmarkEnd w:id="51"/>
    <w:p w14:paraId="014DD616">
      <w:pPr>
        <w:rPr>
          <w:color w:val="000000" w:themeColor="text1"/>
          <w14:textFill>
            <w14:solidFill>
              <w14:schemeClr w14:val="tx1"/>
            </w14:solidFill>
          </w14:textFill>
        </w:rPr>
      </w:pPr>
    </w:p>
    <w:p w14:paraId="110CFBEE">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承诺事项履行情况</w:t>
      </w:r>
    </w:p>
    <w:p w14:paraId="05E0DE33">
      <w:pPr>
        <w:pStyle w:val="4"/>
        <w:numPr>
          <w:ilvl w:val="1"/>
          <w:numId w:val="15"/>
        </w:numPr>
        <w:rPr>
          <w:color w:val="000000" w:themeColor="text1"/>
          <w:szCs w:val="21"/>
          <w14:textFill>
            <w14:solidFill>
              <w14:schemeClr w14:val="tx1"/>
            </w14:solidFill>
          </w14:textFill>
        </w:rPr>
      </w:pPr>
      <w:bookmarkStart w:id="54" w:name="_Hlk167798036"/>
      <w:r>
        <w:rPr>
          <w:rFonts w:hint="eastAsia"/>
          <w:color w:val="000000" w:themeColor="text1"/>
          <w:szCs w:val="21"/>
          <w14:textFill>
            <w14:solidFill>
              <w14:schemeClr w14:val="tx1"/>
            </w14:solidFill>
          </w14:textFill>
        </w:rPr>
        <w:t>公司实际控制人、股东、关联方、收购人以及公司等承诺相关方在报告期内或持续到报告期内的承诺事项</w:t>
      </w:r>
    </w:p>
    <w:sdt>
      <w:sdtPr>
        <w:rPr>
          <w:color w:val="000000" w:themeColor="text1"/>
          <w14:textFill>
            <w14:solidFill>
              <w14:schemeClr w14:val="tx1"/>
            </w14:solidFill>
          </w14:textFill>
        </w:rPr>
        <w:alias w:val="是否适用：公司实际控制人、股东、关联方、收购人以及公司等承诺相关方在报告期内或持续到报告期内的承诺事项 [双击切换]"/>
        <w:tag w:val="_GBC_1b3cd268fdf44711b46a5537ed6234e6"/>
        <w:id w:val="147466500"/>
        <w:placeholder>
          <w:docPart w:val="{d8014d7a-cba5-4a66-9d59-c514dac73ae3}"/>
        </w:placeholder>
      </w:sdtPr>
      <w:sdtEndPr>
        <w:rPr>
          <w:color w:val="000000" w:themeColor="text1"/>
          <w14:textFill>
            <w14:solidFill>
              <w14:schemeClr w14:val="tx1"/>
            </w14:solidFill>
          </w14:textFill>
        </w:rPr>
      </w:sdtEndPr>
      <w:sdtContent>
        <w:p w14:paraId="663D881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4"/>
    <w:p w14:paraId="61E5992D">
      <w:pPr>
        <w:rPr>
          <w:color w:val="000000" w:themeColor="text1"/>
          <w14:textFill>
            <w14:solidFill>
              <w14:schemeClr w14:val="tx1"/>
            </w14:solidFill>
          </w14:textFill>
        </w:rPr>
      </w:pPr>
    </w:p>
    <w:p w14:paraId="5EB35A4D">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报告期内控股股东及其他关联方非经营性占用资金情况</w:t>
      </w:r>
    </w:p>
    <w:sdt>
      <w:sdtPr>
        <w:rPr>
          <w:color w:val="000000" w:themeColor="text1"/>
          <w14:textFill>
            <w14:solidFill>
              <w14:schemeClr w14:val="tx1"/>
            </w14:solidFill>
          </w14:textFill>
        </w:rPr>
        <w:alias w:val="是否适用：资金被占用情况及清欠进展情况[双击切换]"/>
        <w:tag w:val="_GBC_ae82394ae54d49eba71e8d8d6447c499"/>
        <w:id w:val="147482534"/>
        <w:placeholder>
          <w:docPart w:val="{d8014d7a-cba5-4a66-9d59-c514dac73ae3}"/>
        </w:placeholder>
      </w:sdtPr>
      <w:sdtEndPr>
        <w:rPr>
          <w:color w:val="000000" w:themeColor="text1"/>
          <w14:textFill>
            <w14:solidFill>
              <w14:schemeClr w14:val="tx1"/>
            </w14:solidFill>
          </w14:textFill>
        </w:rPr>
      </w:sdtEndPr>
      <w:sdtContent>
        <w:p w14:paraId="15EC4B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41BEC0">
      <w:pPr>
        <w:rPr>
          <w:color w:val="000000" w:themeColor="text1"/>
          <w14:textFill>
            <w14:solidFill>
              <w14:schemeClr w14:val="tx1"/>
            </w14:solidFill>
          </w14:textFill>
        </w:rPr>
      </w:pPr>
      <w:bookmarkStart w:id="55" w:name="_Hlk74646365"/>
    </w:p>
    <w:bookmarkEnd w:id="55"/>
    <w:p w14:paraId="347053E3">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违规担保情况</w:t>
      </w:r>
    </w:p>
    <w:sdt>
      <w:sdtPr>
        <w:rPr>
          <w:color w:val="000000" w:themeColor="text1"/>
          <w14:textFill>
            <w14:solidFill>
              <w14:schemeClr w14:val="tx1"/>
            </w14:solidFill>
          </w14:textFill>
        </w:rPr>
        <w:alias w:val="是否适用：违规担保情况[双击切换]"/>
        <w:tag w:val="_GBC_725722c7a37d40c28caf80b13d948933"/>
        <w:id w:val="147473424"/>
        <w:placeholder>
          <w:docPart w:val="{d8014d7a-cba5-4a66-9d59-c514dac73ae3}"/>
        </w:placeholder>
      </w:sdtPr>
      <w:sdtEndPr>
        <w:rPr>
          <w:color w:val="000000" w:themeColor="text1"/>
          <w14:textFill>
            <w14:solidFill>
              <w14:schemeClr w14:val="tx1"/>
            </w14:solidFill>
          </w14:textFill>
        </w:rPr>
      </w:sdtEndPr>
      <w:sdtContent>
        <w:p w14:paraId="226858BE">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p w14:paraId="3A1C7947">
          <w:pPr>
            <w:rPr>
              <w:color w:val="000000" w:themeColor="text1"/>
              <w14:textFill>
                <w14:solidFill>
                  <w14:schemeClr w14:val="tx1"/>
                </w14:solidFill>
              </w14:textFill>
            </w:rPr>
          </w:pPr>
        </w:p>
      </w:sdtContent>
    </w:sdt>
    <w:p w14:paraId="224DFDA6">
      <w:pPr>
        <w:pStyle w:val="3"/>
        <w:numPr>
          <w:ilvl w:val="0"/>
          <w:numId w:val="14"/>
        </w:numPr>
        <w:tabs>
          <w:tab w:val="left" w:pos="426"/>
        </w:tabs>
        <w:jc w:val="left"/>
        <w:rPr>
          <w:rFonts w:ascii="宋体" w:hAnsi="宋体"/>
          <w:color w:val="000000" w:themeColor="text1"/>
          <w14:textFill>
            <w14:solidFill>
              <w14:schemeClr w14:val="tx1"/>
            </w14:solidFill>
          </w14:textFill>
        </w:rPr>
      </w:pPr>
      <w:bookmarkStart w:id="56" w:name="_Hlk74646368"/>
      <w:bookmarkEnd w:id="56"/>
      <w:r>
        <w:rPr>
          <w:rFonts w:hint="eastAsia" w:ascii="宋体" w:hAnsi="宋体"/>
          <w:color w:val="000000" w:themeColor="text1"/>
          <w14:textFill>
            <w14:solidFill>
              <w14:schemeClr w14:val="tx1"/>
            </w14:solidFill>
          </w14:textFill>
        </w:rPr>
        <w:t>半年报审计情况</w:t>
      </w:r>
    </w:p>
    <w:sdt>
      <w:sdtPr>
        <w:rPr>
          <w:color w:val="000000" w:themeColor="text1"/>
          <w14:textFill>
            <w14:solidFill>
              <w14:schemeClr w14:val="tx1"/>
            </w14:solidFill>
          </w14:textFill>
        </w:rPr>
        <w:alias w:val="是否适用：半年报审计情况  [双击切换]"/>
        <w:tag w:val="_GBC_b2faf86be7fd4060a2a7ad4018aaf033"/>
        <w:id w:val="147469043"/>
        <w:placeholder>
          <w:docPart w:val="{d8014d7a-cba5-4a66-9d59-c514dac73ae3}"/>
        </w:placeholder>
      </w:sdtPr>
      <w:sdtEndPr>
        <w:rPr>
          <w:color w:val="000000" w:themeColor="text1"/>
          <w14:textFill>
            <w14:solidFill>
              <w14:schemeClr w14:val="tx1"/>
            </w14:solidFill>
          </w14:textFill>
        </w:rPr>
      </w:sdtEndPr>
      <w:sdtContent>
        <w:p w14:paraId="165E60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DC890A8">
      <w:pPr>
        <w:rPr>
          <w:color w:val="000000" w:themeColor="text1"/>
          <w14:textFill>
            <w14:solidFill>
              <w14:schemeClr w14:val="tx1"/>
            </w14:solidFill>
          </w14:textFill>
        </w:rPr>
      </w:pPr>
    </w:p>
    <w:p w14:paraId="2561B8FD">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上年年度报告非标准审计意见涉及事项的变化及处理情况</w:t>
      </w:r>
    </w:p>
    <w:sdt>
      <w:sdtPr>
        <w:rPr>
          <w:rFonts w:hint="eastAsia"/>
          <w:color w:val="000000" w:themeColor="text1"/>
          <w14:textFill>
            <w14:solidFill>
              <w14:schemeClr w14:val="tx1"/>
            </w14:solidFill>
          </w14:textFill>
        </w:rPr>
        <w:alias w:val="是否适用：公司对上年年度报告中的财务报告被注册会计师出具“非标准审计报告”的说明 [双击切换]"/>
        <w:tag w:val="_GBC_06e0811c47124b6da79369103f766350"/>
        <w:id w:val="147468985"/>
        <w:placeholder>
          <w:docPart w:val="{d8014d7a-cba5-4a66-9d59-c514dac73ae3}"/>
        </w:placeholder>
      </w:sdtPr>
      <w:sdtEndPr>
        <w:rPr>
          <w:rFonts w:hint="eastAsia"/>
          <w:color w:val="000000" w:themeColor="text1"/>
          <w14:textFill>
            <w14:solidFill>
              <w14:schemeClr w14:val="tx1"/>
            </w14:solidFill>
          </w14:textFill>
        </w:rPr>
      </w:sdtEndPr>
      <w:sdtContent>
        <w:p w14:paraId="09B44F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5DBCBD">
      <w:pPr>
        <w:rPr>
          <w:color w:val="000000" w:themeColor="text1"/>
          <w14:textFill>
            <w14:solidFill>
              <w14:schemeClr w14:val="tx1"/>
            </w14:solidFill>
          </w14:textFill>
        </w:rPr>
      </w:pPr>
    </w:p>
    <w:p w14:paraId="0A248040">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破产重整相关事项</w:t>
      </w:r>
    </w:p>
    <w:sdt>
      <w:sdtPr>
        <w:rPr>
          <w:rFonts w:hint="eastAsia"/>
          <w:color w:val="000000" w:themeColor="text1"/>
          <w14:textFill>
            <w14:solidFill>
              <w14:schemeClr w14:val="tx1"/>
            </w14:solidFill>
          </w14:textFill>
        </w:rPr>
        <w:alias w:val="是否适用：破产重整相关事项[双击切换]"/>
        <w:tag w:val="_GBC_c4fc8890d63b44b19353d2188a5bce59"/>
        <w:id w:val="147456935"/>
        <w:placeholder>
          <w:docPart w:val="{d8014d7a-cba5-4a66-9d59-c514dac73ae3}"/>
        </w:placeholder>
      </w:sdtPr>
      <w:sdtEndPr>
        <w:rPr>
          <w:rFonts w:hint="eastAsia"/>
          <w:color w:val="000000" w:themeColor="text1"/>
          <w14:textFill>
            <w14:solidFill>
              <w14:schemeClr w14:val="tx1"/>
            </w14:solidFill>
          </w14:textFill>
        </w:rPr>
      </w:sdtEndPr>
      <w:sdtContent>
        <w:p w14:paraId="7A32539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破产重整相关事项的说明"/>
        <w:tag w:val="_GBC_f1419a433e274bdfbd6bfe049aa4b256"/>
        <w:id w:val="147472238"/>
        <w:placeholder>
          <w:docPart w:val="{b6b89b44-f7b5-4149-967e-84a1a40ac472}"/>
        </w:placeholder>
      </w:sdtPr>
      <w:sdtEndPr>
        <w:rPr>
          <w:rFonts w:hint="eastAsia"/>
          <w:color w:val="000000" w:themeColor="text1"/>
          <w14:textFill>
            <w14:solidFill>
              <w14:schemeClr w14:val="tx1"/>
            </w14:solidFill>
          </w14:textFill>
        </w:rPr>
      </w:sdtEndPr>
      <w:sdtContent>
        <w:p w14:paraId="11A8DDA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202</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月25日公司召开的第六届董事会第十次会议审议通过了《处置西双版纳南博有限责任公司》的议案，同意</w:t>
          </w:r>
          <w:bookmarkStart w:id="57" w:name="OLE_LINK5"/>
          <w:r>
            <w:rPr>
              <w:rFonts w:hint="eastAsia"/>
              <w:color w:val="000000" w:themeColor="text1"/>
              <w14:textFill>
                <w14:solidFill>
                  <w14:schemeClr w14:val="tx1"/>
                </w14:solidFill>
              </w14:textFill>
            </w:rPr>
            <w:t>西双版纳南博有限责任公司</w:t>
          </w:r>
          <w:bookmarkEnd w:id="57"/>
          <w:r>
            <w:rPr>
              <w:rFonts w:hint="eastAsia"/>
              <w:color w:val="000000" w:themeColor="text1"/>
              <w14:textFill>
                <w14:solidFill>
                  <w14:schemeClr w14:val="tx1"/>
                </w14:solidFill>
              </w14:textFill>
            </w:rPr>
            <w:t>向人民法院申请破产清算。2025年6月，西双版纳南博有限责任公司收到云南省景洪市人民法院民事裁定书（（2025）云2018破申1号），法院受理西双版纳南博有限责任公司的破产清算申请，并指定建纬（昆明）律师事务所担任破产管理人。</w:t>
          </w:r>
        </w:p>
      </w:sdtContent>
    </w:sdt>
    <w:p w14:paraId="287E772F">
      <w:pPr>
        <w:rPr>
          <w:color w:val="000000" w:themeColor="text1"/>
          <w14:textFill>
            <w14:solidFill>
              <w14:schemeClr w14:val="tx1"/>
            </w14:solidFill>
          </w14:textFill>
        </w:rPr>
      </w:pPr>
    </w:p>
    <w:p w14:paraId="2EE74A3F">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重大诉讼、仲裁事项</w:t>
      </w:r>
    </w:p>
    <w:sdt>
      <w:sdtPr>
        <w:rPr>
          <w:rFonts w:asciiTheme="minorEastAsia" w:hAnsiTheme="minorEastAsia" w:eastAsiaTheme="minorEastAsia"/>
          <w:color w:val="000000" w:themeColor="text1"/>
          <w14:textFill>
            <w14:solidFill>
              <w14:schemeClr w14:val="tx1"/>
            </w14:solidFill>
          </w14:textFill>
        </w:rPr>
        <w:alias w:val="本年度公司有无重大诉讼、仲裁事项"/>
        <w:tag w:val="_GBC_0fcf1cd2d0814185bde747855edf5227"/>
        <w:id w:val="147481207"/>
        <w:placeholder>
          <w:docPart w:val="{d8014d7a-cba5-4a66-9d59-c514dac73ae3}"/>
        </w:placeholder>
      </w:sdtPr>
      <w:sdtEndPr>
        <w:rPr>
          <w:rFonts w:asciiTheme="minorEastAsia" w:hAnsiTheme="minorEastAsia" w:eastAsiaTheme="minorEastAsia"/>
          <w:color w:val="000000" w:themeColor="text1"/>
          <w14:textFill>
            <w14:solidFill>
              <w14:schemeClr w14:val="tx1"/>
            </w14:solidFill>
          </w14:textFill>
        </w:rPr>
      </w:sdtEndPr>
      <w:sdtContent>
        <w:p w14:paraId="58857ABA">
          <w:pPr>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√本报告期公司有重大诉讼、仲裁事项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□本报告期公司无重大诉讼、仲裁事项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43FE879D">
      <w:pPr>
        <w:pStyle w:val="4"/>
        <w:numPr>
          <w:ilvl w:val="0"/>
          <w:numId w:val="1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诉讼、仲裁事项已在临时公告披露且无后续进展的</w:t>
      </w:r>
    </w:p>
    <w:sdt>
      <w:sdtPr>
        <w:rPr>
          <w:color w:val="000000" w:themeColor="text1"/>
          <w14:textFill>
            <w14:solidFill>
              <w14:schemeClr w14:val="tx1"/>
            </w14:solidFill>
          </w14:textFill>
        </w:rPr>
        <w:alias w:val="是否适用：诉讼、仲裁事项已在临时公告披露且无后续进展的[双击切换]"/>
        <w:tag w:val="_GBC_1c7697ff89954de38b9736575b9b7dc9"/>
        <w:id w:val="147475331"/>
        <w:placeholder>
          <w:docPart w:val="{d8014d7a-cba5-4a66-9d59-c514dac73ae3}"/>
        </w:placeholder>
      </w:sdtPr>
      <w:sdtEndPr>
        <w:rPr>
          <w:color w:val="000000" w:themeColor="text1"/>
          <w14:textFill>
            <w14:solidFill>
              <w14:schemeClr w14:val="tx1"/>
            </w14:solidFill>
          </w14:textFill>
        </w:rPr>
      </w:sdtEndPr>
      <w:sdtContent>
        <w:p w14:paraId="0EAF200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7"/>
        <w:gridCol w:w="5651"/>
      </w:tblGrid>
      <w:tr w14:paraId="1067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c5dadb725f645e88d02a44ed41a1e46"/>
            <w:id w:val="147467390"/>
          </w:sdtPr>
          <w:sdtContent>
            <w:tc>
              <w:tcPr>
                <w:tcW w:w="3397" w:type="dxa"/>
              </w:tcPr>
              <w:p w14:paraId="6E0E706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事项概述及类型</w:t>
                </w:r>
              </w:p>
            </w:tc>
          </w:sdtContent>
        </w:sdt>
        <w:sdt>
          <w:sdtPr>
            <w:tag w:val="_PLD_13af72da876f4221b2dfc2f0cc421987"/>
            <w:id w:val="147469180"/>
          </w:sdtPr>
          <w:sdtContent>
            <w:tc>
              <w:tcPr>
                <w:tcW w:w="5651" w:type="dxa"/>
              </w:tcPr>
              <w:p w14:paraId="10EFA5BF">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查询索引</w:t>
                </w:r>
              </w:p>
            </w:tc>
          </w:sdtContent>
        </w:sdt>
      </w:tr>
      <w:tr w14:paraId="18E2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tcPr>
          <w:p w14:paraId="6ACEF42A">
            <w:pPr>
              <w:pStyle w:val="55"/>
              <w:widowControl w:val="0"/>
              <w:jc w:val="both"/>
            </w:pPr>
            <w:r>
              <w:rPr>
                <w:rFonts w:hint="eastAsia"/>
              </w:rPr>
              <w:t>子公司新兴际华国际贸易有限公司因贸易业务涉及诉讼</w:t>
            </w:r>
          </w:p>
        </w:tc>
        <w:tc>
          <w:tcPr>
            <w:tcW w:w="5651" w:type="dxa"/>
          </w:tcPr>
          <w:p w14:paraId="4BF67A3C">
            <w:pPr>
              <w:pStyle w:val="55"/>
              <w:widowControl w:val="0"/>
              <w:jc w:val="both"/>
            </w:pPr>
            <w:r>
              <w:rPr>
                <w:rFonts w:hint="eastAsia"/>
              </w:rPr>
              <w:t>详见公司于</w:t>
            </w:r>
            <w:r>
              <w:t>2021年9月15日在上海证券交易所网站披露的《际华集团关于子公司涉及诉讼的公告》</w:t>
            </w:r>
            <w:r>
              <w:rPr>
                <w:rFonts w:hint="eastAsia"/>
              </w:rPr>
              <w:t>，于2023年12月30日披露的《际华集团关于子公司诉讼进展的公告》，于2024年4月17日披露的《际华集团关于子公司诉讼进展的公告》，2025年6月19日披露的《关于子公司诉讼进展的公告》。</w:t>
            </w:r>
          </w:p>
        </w:tc>
      </w:tr>
      <w:tr w14:paraId="2357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tcPr>
          <w:p w14:paraId="2E582611">
            <w:pPr>
              <w:pStyle w:val="55"/>
              <w:widowControl w:val="0"/>
              <w:jc w:val="both"/>
            </w:pPr>
            <w:r>
              <w:rPr>
                <w:rFonts w:hint="eastAsia"/>
              </w:rPr>
              <w:t>子公司新兴际华国际贸易有限公司因贸易业务涉及诉讼</w:t>
            </w:r>
          </w:p>
        </w:tc>
        <w:tc>
          <w:tcPr>
            <w:tcW w:w="5651" w:type="dxa"/>
          </w:tcPr>
          <w:p w14:paraId="02882CBF">
            <w:pPr>
              <w:pStyle w:val="55"/>
              <w:widowControl w:val="0"/>
              <w:jc w:val="both"/>
            </w:pPr>
            <w:r>
              <w:rPr>
                <w:rFonts w:hint="eastAsia"/>
              </w:rPr>
              <w:t>详见公司于</w:t>
            </w:r>
            <w:r>
              <w:t>2019年9月28日在上海证券交易所网站（www.sse.com.cn）披露的《际华集团关于子公司涉及经济合同纠纷的风险提示公告》，于2021年8月27日披露的《际华集团关于子公司诉讼进展的公告》，于2022年1月17日披露的《际华集团关于子公司诉讼进展的公告》</w:t>
            </w:r>
            <w:r>
              <w:rPr>
                <w:rFonts w:hint="eastAsia"/>
              </w:rPr>
              <w:t>。</w:t>
            </w:r>
          </w:p>
        </w:tc>
      </w:tr>
    </w:tbl>
    <w:p w14:paraId="25B156DD">
      <w:pPr>
        <w:rPr>
          <w:color w:val="000000" w:themeColor="text1"/>
          <w14:textFill>
            <w14:solidFill>
              <w14:schemeClr w14:val="tx1"/>
            </w14:solidFill>
          </w14:textFill>
        </w:rPr>
      </w:pPr>
    </w:p>
    <w:p w14:paraId="6831F717">
      <w:pPr>
        <w:pStyle w:val="4"/>
        <w:numPr>
          <w:ilvl w:val="0"/>
          <w:numId w:val="1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临时公告未披露或有后续进展的诉讼、仲裁情况</w:t>
      </w:r>
    </w:p>
    <w:sdt>
      <w:sdtPr>
        <w:rPr>
          <w:color w:val="000000" w:themeColor="text1"/>
          <w14:textFill>
            <w14:solidFill>
              <w14:schemeClr w14:val="tx1"/>
            </w14:solidFill>
          </w14:textFill>
        </w:rPr>
        <w:alias w:val="是否适用：临时公告未披露或有后续进展的诉讼、仲裁情况[双击切换]"/>
        <w:tag w:val="_GBC_3f59cc6ee3354630821313bac686c029"/>
        <w:id w:val="147464706"/>
        <w:placeholder>
          <w:docPart w:val="{d8014d7a-cba5-4a66-9d59-c514dac73ae3}"/>
        </w:placeholder>
      </w:sdtPr>
      <w:sdtEndPr>
        <w:rPr>
          <w:color w:val="000000" w:themeColor="text1"/>
          <w14:textFill>
            <w14:solidFill>
              <w14:schemeClr w14:val="tx1"/>
            </w14:solidFill>
          </w14:textFill>
        </w:rPr>
      </w:sdtEndPr>
      <w:sdtContent>
        <w:p w14:paraId="07F6EE5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E1307C2">
      <w:pPr>
        <w:rPr>
          <w:color w:val="000000" w:themeColor="text1"/>
          <w14:textFill>
            <w14:solidFill>
              <w14:schemeClr w14:val="tx1"/>
            </w14:solidFill>
          </w14:textFill>
        </w:rPr>
      </w:pPr>
    </w:p>
    <w:p w14:paraId="497DD9C8">
      <w:pPr>
        <w:pStyle w:val="4"/>
        <w:numPr>
          <w:ilvl w:val="0"/>
          <w:numId w:val="1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重大诉讼、仲裁事项其他说明[双击切换]"/>
        <w:tag w:val="_GBC_d8d8aef394564199936be6639c0e21a5"/>
        <w:id w:val="147458047"/>
        <w:placeholder>
          <w:docPart w:val="{d8014d7a-cba5-4a66-9d59-c514dac73ae3}"/>
        </w:placeholder>
      </w:sdtPr>
      <w:sdtEndPr>
        <w:rPr>
          <w:rFonts w:hint="eastAsia"/>
          <w:color w:val="000000" w:themeColor="text1"/>
          <w14:textFill>
            <w14:solidFill>
              <w14:schemeClr w14:val="tx1"/>
            </w14:solidFill>
          </w14:textFill>
        </w:rPr>
      </w:sdtEndPr>
      <w:sdtContent>
        <w:p w14:paraId="0CD5CE7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7C6543B">
      <w:pPr>
        <w:rPr>
          <w:color w:val="000000" w:themeColor="text1"/>
          <w14:textFill>
            <w14:solidFill>
              <w14:schemeClr w14:val="tx1"/>
            </w14:solidFill>
          </w14:textFill>
        </w:rPr>
      </w:pPr>
    </w:p>
    <w:p w14:paraId="00537D4B">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上市公司及其董事</w:t>
      </w:r>
      <w:sdt>
        <w:sdtPr>
          <w:tag w:val="_PLD_fa9d0d62b2ad4d128fa74b3ce6ac509f"/>
          <w:id w:val="147475751"/>
        </w:sdtPr>
        <w:sdtContent>
          <w:r>
            <w:rPr>
              <w:rFonts w:hint="eastAsia" w:ascii="宋体" w:hAnsi="宋体"/>
              <w:color w:val="000000" w:themeColor="text1"/>
              <w14:textFill>
                <w14:solidFill>
                  <w14:schemeClr w14:val="tx1"/>
                </w14:solidFill>
              </w14:textFill>
            </w:rPr>
            <w:t>、监事</w:t>
          </w:r>
        </w:sdtContent>
      </w:sdt>
      <w:r>
        <w:rPr>
          <w:rFonts w:hint="eastAsia" w:ascii="宋体" w:hAnsi="宋体"/>
          <w:color w:val="000000" w:themeColor="text1"/>
          <w14:textFill>
            <w14:solidFill>
              <w14:schemeClr w14:val="tx1"/>
            </w14:solidFill>
          </w14:textFill>
        </w:rPr>
        <w:t>、高级管理人员、控股股东、实际控制人涉嫌违法违规、受到处罚及整改情况</w:t>
      </w:r>
    </w:p>
    <w:sdt>
      <w:sdtPr>
        <w:rPr>
          <w:rFonts w:hint="eastAsia"/>
          <w:color w:val="000000" w:themeColor="text1"/>
          <w14:textFill>
            <w14:solidFill>
              <w14:schemeClr w14:val="tx1"/>
            </w14:solidFill>
          </w14:textFill>
        </w:rPr>
        <w:alias w:val="是否适用：上市公司及其董事、监事、高级管理人员、持有5%以上股份的股东、实际控制人、收购人处罚及整改情况[双击切换]"/>
        <w:tag w:val="_GBC_05b097ae59254d13916df227f563a3ed"/>
        <w:id w:val="147469542"/>
        <w:placeholder>
          <w:docPart w:val="{d8014d7a-cba5-4a66-9d59-c514dac73ae3}"/>
        </w:placeholder>
      </w:sdtPr>
      <w:sdtEndPr>
        <w:rPr>
          <w:rFonts w:hint="eastAsia"/>
          <w:color w:val="000000" w:themeColor="text1"/>
          <w14:textFill>
            <w14:solidFill>
              <w14:schemeClr w14:val="tx1"/>
            </w14:solidFill>
          </w14:textFill>
        </w:rPr>
      </w:sdtEndPr>
      <w:sdtContent>
        <w:p w14:paraId="6C74C16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公司、董事会、董事受处罚及整改情况"/>
        <w:tag w:val="_GBC_cddddc4c26704f2a81b9c244e5424777"/>
        <w:id w:val="147472981"/>
        <w:placeholder>
          <w:docPart w:val="{2f0233a8-8d11-4276-9ff6-11cece56d899}"/>
        </w:placeholder>
      </w:sdtPr>
      <w:sdtEndPr>
        <w:rPr>
          <w:color w:val="000000" w:themeColor="text1"/>
          <w14:textFill>
            <w14:solidFill>
              <w14:schemeClr w14:val="tx1"/>
            </w14:solidFill>
          </w14:textFill>
        </w:rPr>
      </w:sdtEndPr>
      <w:sdtContent>
        <w:p w14:paraId="563CDD0D">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于2025年8月8日收到中国证券监督管理委员会下发的《立案告知书》（证监立案字03720252003号）；具体内容详见上海证券交易所网站（http://www.sse.com.cn/）披露的《际华集团关于收到中国证券监督管理委员会立案告知书的公告》（公告编号：临2025-039）。</w:t>
          </w:r>
        </w:p>
      </w:sdtContent>
    </w:sdt>
    <w:p w14:paraId="404FF080">
      <w:pPr>
        <w:rPr>
          <w:color w:val="000000" w:themeColor="text1"/>
          <w14:textFill>
            <w14:solidFill>
              <w14:schemeClr w14:val="tx1"/>
            </w14:solidFill>
          </w14:textFill>
        </w:rPr>
      </w:pPr>
    </w:p>
    <w:p w14:paraId="4331433A">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报告期内公司及其控股股东、实际控制人诚信状况的说明</w:t>
      </w:r>
    </w:p>
    <w:sdt>
      <w:sdtPr>
        <w:rPr>
          <w:rFonts w:hint="eastAsia"/>
          <w:color w:val="000000" w:themeColor="text1"/>
          <w14:textFill>
            <w14:solidFill>
              <w14:schemeClr w14:val="tx1"/>
            </w14:solidFill>
          </w14:textFill>
        </w:rPr>
        <w:alias w:val="是否适用：报告期内公司及其控股股东、实际控制人诚信状况的说明[双击切换]"/>
        <w:tag w:val="_GBC_650ef1e21808426d806ee2024dd14590"/>
        <w:id w:val="147475731"/>
        <w:placeholder>
          <w:docPart w:val="{d8014d7a-cba5-4a66-9d59-c514dac73ae3}"/>
        </w:placeholder>
      </w:sdtPr>
      <w:sdtEndPr>
        <w:rPr>
          <w:rFonts w:hint="eastAsia"/>
          <w:color w:val="000000" w:themeColor="text1"/>
          <w14:textFill>
            <w14:solidFill>
              <w14:schemeClr w14:val="tx1"/>
            </w14:solidFill>
          </w14:textFill>
        </w:rPr>
      </w:sdtEndPr>
      <w:sdtContent>
        <w:p w14:paraId="7A2C8DE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F11E510">
      <w:pPr>
        <w:rPr>
          <w:color w:val="000000" w:themeColor="text1"/>
          <w14:textFill>
            <w14:solidFill>
              <w14:schemeClr w14:val="tx1"/>
            </w14:solidFill>
          </w14:textFill>
        </w:rPr>
      </w:pPr>
    </w:p>
    <w:p w14:paraId="4F78DE9A">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重大关联交易</w:t>
      </w:r>
    </w:p>
    <w:p w14:paraId="276323CC">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与日常经营相关的关联交易</w:t>
      </w:r>
    </w:p>
    <w:p w14:paraId="75975C06">
      <w:pPr>
        <w:pStyle w:val="5"/>
        <w:numPr>
          <w:ilvl w:val="2"/>
          <w:numId w:val="17"/>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与日常经营相关的关联交易[双击切换]"/>
        <w:tag w:val="_GBC_9cce66e2c46445bea6fd259dd8b5277c"/>
        <w:id w:val="147475136"/>
        <w:placeholder>
          <w:docPart w:val="{d8014d7a-cba5-4a66-9d59-c514dac73ae3}"/>
        </w:placeholder>
      </w:sdtPr>
      <w:sdtEndPr>
        <w:rPr>
          <w:color w:val="000000" w:themeColor="text1"/>
          <w14:textFill>
            <w14:solidFill>
              <w14:schemeClr w14:val="tx1"/>
            </w14:solidFill>
          </w14:textFill>
        </w:rPr>
      </w:sdtEndPr>
      <w:sdtContent>
        <w:p w14:paraId="2CD59D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9"/>
        <w:gridCol w:w="4434"/>
      </w:tblGrid>
      <w:tr w14:paraId="045E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3978b66ad729485ab420902ac1d8641a"/>
            <w:id w:val="147455899"/>
          </w:sdtPr>
          <w:sdtContent>
            <w:tc>
              <w:tcPr>
                <w:tcW w:w="4389" w:type="dxa"/>
              </w:tcPr>
              <w:p w14:paraId="08847317">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事项概述</w:t>
                </w:r>
              </w:p>
            </w:tc>
          </w:sdtContent>
        </w:sdt>
        <w:sdt>
          <w:sdtPr>
            <w:tag w:val="_PLD_28c260015cd145a7bdcdc3be1a2f9896"/>
            <w:id w:val="147463399"/>
          </w:sdtPr>
          <w:sdtContent>
            <w:tc>
              <w:tcPr>
                <w:tcW w:w="4434" w:type="dxa"/>
              </w:tcPr>
              <w:p w14:paraId="798E964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查询索引</w:t>
                </w:r>
              </w:p>
            </w:tc>
          </w:sdtContent>
        </w:sdt>
      </w:tr>
      <w:tr w14:paraId="2F04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vAlign w:val="center"/>
          </w:tcPr>
          <w:p w14:paraId="40C997CE">
            <w:pPr>
              <w:pStyle w:val="55"/>
              <w:widowControl w:val="0"/>
              <w:jc w:val="left"/>
            </w:pPr>
            <w:r>
              <w:rPr>
                <w:rFonts w:hint="eastAsia"/>
              </w:rPr>
              <w:t>第六届董事会第十次会议审议通过了关于《</w:t>
            </w:r>
            <w:r>
              <w:t>202</w:t>
            </w:r>
            <w:r>
              <w:rPr>
                <w:rFonts w:hint="eastAsia"/>
              </w:rPr>
              <w:t>4</w:t>
            </w:r>
            <w:r>
              <w:t>年度日常关联交易实际发生额202</w:t>
            </w:r>
            <w:r>
              <w:rPr>
                <w:rFonts w:hint="eastAsia"/>
              </w:rPr>
              <w:t>5</w:t>
            </w:r>
            <w:r>
              <w:t>年度日常关联交易预计发生额》的议案</w:t>
            </w:r>
          </w:p>
        </w:tc>
        <w:tc>
          <w:tcPr>
            <w:tcW w:w="4434" w:type="dxa"/>
          </w:tcPr>
          <w:p w14:paraId="76B3329B">
            <w:pPr>
              <w:pStyle w:val="55"/>
              <w:widowControl w:val="0"/>
              <w:jc w:val="both"/>
            </w:pPr>
            <w:r>
              <w:rPr>
                <w:rFonts w:hint="eastAsia"/>
              </w:rPr>
              <w:t>详见公司于</w:t>
            </w:r>
            <w:r>
              <w:t>202</w:t>
            </w:r>
            <w:r>
              <w:rPr>
                <w:rFonts w:hint="eastAsia"/>
              </w:rPr>
              <w:t>5</w:t>
            </w:r>
            <w:r>
              <w:t>年4月</w:t>
            </w:r>
            <w:r>
              <w:rPr>
                <w:rFonts w:hint="eastAsia"/>
              </w:rPr>
              <w:t>28</w:t>
            </w:r>
            <w:r>
              <w:t>日在上海证券交易所网站（www.sse.com.cn）披露的《际华集团股份有限公司关于202</w:t>
            </w:r>
            <w:r>
              <w:rPr>
                <w:rFonts w:hint="eastAsia"/>
              </w:rPr>
              <w:t>4</w:t>
            </w:r>
            <w:r>
              <w:t>年度日常关联交易情况和</w:t>
            </w:r>
            <w:r>
              <w:rPr>
                <w:rFonts w:hint="eastAsia"/>
              </w:rPr>
              <w:t>2025年日常关联交易预计的公告</w:t>
            </w:r>
            <w:r>
              <w:t>》</w:t>
            </w:r>
          </w:p>
        </w:tc>
      </w:tr>
      <w:tr w14:paraId="1C43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9" w:type="dxa"/>
            <w:vAlign w:val="center"/>
          </w:tcPr>
          <w:p w14:paraId="4DFB6160">
            <w:pPr>
              <w:pStyle w:val="55"/>
              <w:widowControl w:val="0"/>
              <w:jc w:val="left"/>
            </w:pPr>
            <w:r>
              <w:rPr>
                <w:rFonts w:hint="eastAsia"/>
              </w:rPr>
              <w:t>第六届董事会第十次会议审议通过了关于《与财务公司签订金融服务协议》的议案</w:t>
            </w:r>
          </w:p>
        </w:tc>
        <w:tc>
          <w:tcPr>
            <w:tcW w:w="4434" w:type="dxa"/>
          </w:tcPr>
          <w:p w14:paraId="03E231E5">
            <w:pPr>
              <w:pStyle w:val="55"/>
              <w:widowControl w:val="0"/>
              <w:jc w:val="both"/>
            </w:pPr>
            <w:r>
              <w:rPr>
                <w:rFonts w:hint="eastAsia"/>
              </w:rPr>
              <w:t>详见公司于2025年4月28日在上海证券交易所网站（www.sse.com.cn）披露的《际华集团关于与新兴际华集团财务有限公司签订金融服务协议暨关联交易的公告》</w:t>
            </w:r>
          </w:p>
        </w:tc>
      </w:tr>
    </w:tbl>
    <w:p w14:paraId="039442E6">
      <w:pPr>
        <w:rPr>
          <w:color w:val="000000" w:themeColor="text1"/>
          <w14:textFill>
            <w14:solidFill>
              <w14:schemeClr w14:val="tx1"/>
            </w14:solidFill>
          </w14:textFill>
        </w:rPr>
      </w:pPr>
    </w:p>
    <w:p w14:paraId="01E65EFA">
      <w:pPr>
        <w:pStyle w:val="5"/>
        <w:numPr>
          <w:ilvl w:val="2"/>
          <w:numId w:val="17"/>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与日常经营相关的关联交易[双击切换]"/>
        <w:tag w:val="_GBC_3d236e76c44140259dd09a3aed77ca15"/>
        <w:id w:val="147471799"/>
        <w:placeholder>
          <w:docPart w:val="{d8014d7a-cba5-4a66-9d59-c514dac73ae3}"/>
        </w:placeholder>
      </w:sdtPr>
      <w:sdtEndPr>
        <w:rPr>
          <w:color w:val="000000" w:themeColor="text1"/>
          <w14:textFill>
            <w14:solidFill>
              <w14:schemeClr w14:val="tx1"/>
            </w14:solidFill>
          </w14:textFill>
        </w:rPr>
      </w:sdtEndPr>
      <w:sdtContent>
        <w:p w14:paraId="467B2177">
          <w:pPr>
            <w:ind w:firstLine="420" w:firstLineChars="20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004417C">
      <w:pPr>
        <w:rPr>
          <w:color w:val="000000" w:themeColor="text1"/>
          <w14:textFill>
            <w14:solidFill>
              <w14:schemeClr w14:val="tx1"/>
            </w14:solidFill>
          </w14:textFill>
        </w:rPr>
      </w:pPr>
    </w:p>
    <w:p w14:paraId="326136C2">
      <w:pPr>
        <w:pStyle w:val="5"/>
        <w:numPr>
          <w:ilvl w:val="2"/>
          <w:numId w:val="17"/>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与日常经营相关的关联交易_临时公告未披露的事项[双击切换]"/>
        <w:tag w:val="_GBC_91ad548daaa84603a8faa6c0ce358499"/>
        <w:id w:val="147475269"/>
        <w:placeholder>
          <w:docPart w:val="{d8014d7a-cba5-4a66-9d59-c514dac73ae3}"/>
        </w:placeholder>
      </w:sdtPr>
      <w:sdtEndPr>
        <w:rPr>
          <w:color w:val="000000" w:themeColor="text1"/>
          <w14:textFill>
            <w14:solidFill>
              <w14:schemeClr w14:val="tx1"/>
            </w14:solidFill>
          </w14:textFill>
        </w:rPr>
      </w:sdtEndPr>
      <w:sdtContent>
        <w:p w14:paraId="2BD11C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2E2C1F">
      <w:pPr>
        <w:rPr>
          <w:color w:val="000000" w:themeColor="text1"/>
          <w14:textFill>
            <w14:solidFill>
              <w14:schemeClr w14:val="tx1"/>
            </w14:solidFill>
          </w14:textFill>
        </w:rPr>
      </w:pPr>
    </w:p>
    <w:p w14:paraId="433CF394">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资产收购或股权收购、出售发生的关联交易</w:t>
      </w:r>
    </w:p>
    <w:p w14:paraId="5956B0B4">
      <w:pPr>
        <w:pStyle w:val="5"/>
        <w:numPr>
          <w:ilvl w:val="0"/>
          <w:numId w:val="18"/>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资产或股权收购、出售发生的关联交易[双击切换]"/>
        <w:tag w:val="_GBC_208b69178a984ade8f4f4dd7a3362ae3"/>
        <w:id w:val="147461612"/>
        <w:placeholder>
          <w:docPart w:val="{d8014d7a-cba5-4a66-9d59-c514dac73ae3}"/>
        </w:placeholder>
      </w:sdtPr>
      <w:sdtEndPr>
        <w:rPr>
          <w:color w:val="000000" w:themeColor="text1"/>
          <w14:textFill>
            <w14:solidFill>
              <w14:schemeClr w14:val="tx1"/>
            </w14:solidFill>
          </w14:textFill>
        </w:rPr>
      </w:sdtEndPr>
      <w:sdtContent>
        <w:p w14:paraId="2C8D1D2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B0C29E">
      <w:pPr>
        <w:rPr>
          <w:color w:val="000000" w:themeColor="text1"/>
          <w14:textFill>
            <w14:solidFill>
              <w14:schemeClr w14:val="tx1"/>
            </w14:solidFill>
          </w14:textFill>
        </w:rPr>
      </w:pPr>
    </w:p>
    <w:p w14:paraId="5D4A611A">
      <w:pPr>
        <w:pStyle w:val="5"/>
        <w:numPr>
          <w:ilvl w:val="0"/>
          <w:numId w:val="18"/>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资产或股权收购、出售发生的关联交易[双击切换]"/>
        <w:tag w:val="_GBC_b72de17637e74020b42aa0636b393f25"/>
        <w:id w:val="147458809"/>
        <w:placeholder>
          <w:docPart w:val="{d8014d7a-cba5-4a66-9d59-c514dac73ae3}"/>
        </w:placeholder>
      </w:sdtPr>
      <w:sdtEndPr>
        <w:rPr>
          <w:color w:val="000000" w:themeColor="text1"/>
          <w14:textFill>
            <w14:solidFill>
              <w14:schemeClr w14:val="tx1"/>
            </w14:solidFill>
          </w14:textFill>
        </w:rPr>
      </w:sdtEndPr>
      <w:sdtContent>
        <w:p w14:paraId="378541F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BDE6573">
      <w:pPr>
        <w:rPr>
          <w:color w:val="000000" w:themeColor="text1"/>
          <w14:textFill>
            <w14:solidFill>
              <w14:schemeClr w14:val="tx1"/>
            </w14:solidFill>
          </w14:textFill>
        </w:rPr>
      </w:pPr>
    </w:p>
    <w:p w14:paraId="40636915">
      <w:pPr>
        <w:pStyle w:val="5"/>
        <w:numPr>
          <w:ilvl w:val="0"/>
          <w:numId w:val="18"/>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资产收购、出售发生的关联交易_临时公告未披露的事项[双击切换]"/>
        <w:tag w:val="_GBC_d3f1f3f5ce564209aee49197432643af"/>
        <w:id w:val="147470086"/>
        <w:placeholder>
          <w:docPart w:val="{d8014d7a-cba5-4a66-9d59-c514dac73ae3}"/>
        </w:placeholder>
      </w:sdtPr>
      <w:sdtEndPr>
        <w:rPr>
          <w:color w:val="000000" w:themeColor="text1"/>
          <w14:textFill>
            <w14:solidFill>
              <w14:schemeClr w14:val="tx1"/>
            </w14:solidFill>
          </w14:textFill>
        </w:rPr>
      </w:sdtEndPr>
      <w:sdtContent>
        <w:p w14:paraId="21C296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A29923E">
      <w:pPr>
        <w:rPr>
          <w:color w:val="000000" w:themeColor="text1"/>
          <w14:textFill>
            <w14:solidFill>
              <w14:schemeClr w14:val="tx1"/>
            </w14:solidFill>
          </w14:textFill>
        </w:rPr>
      </w:pPr>
    </w:p>
    <w:p w14:paraId="58414BE5">
      <w:pPr>
        <w:pStyle w:val="5"/>
        <w:numPr>
          <w:ilvl w:val="0"/>
          <w:numId w:val="18"/>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涉及业绩约定的，应当披露报告期内的业绩实现情况</w:t>
      </w:r>
    </w:p>
    <w:sdt>
      <w:sdtPr>
        <w:rPr>
          <w:color w:val="000000" w:themeColor="text1"/>
          <w14:textFill>
            <w14:solidFill>
              <w14:schemeClr w14:val="tx1"/>
            </w14:solidFill>
          </w14:textFill>
        </w:rPr>
        <w:alias w:val="是否适用：涉及业绩约定的，应当披露报告期内的业绩实现情况[双击切换]"/>
        <w:tag w:val="_GBC_0640a8fc3526461ca1eed7810b087c23"/>
        <w:id w:val="147468823"/>
        <w:placeholder>
          <w:docPart w:val="{d8014d7a-cba5-4a66-9d59-c514dac73ae3}"/>
        </w:placeholder>
      </w:sdtPr>
      <w:sdtEndPr>
        <w:rPr>
          <w:color w:val="000000" w:themeColor="text1"/>
          <w14:textFill>
            <w14:solidFill>
              <w14:schemeClr w14:val="tx1"/>
            </w14:solidFill>
          </w14:textFill>
        </w:rPr>
      </w:sdtEndPr>
      <w:sdtContent>
        <w:p w14:paraId="5B0579A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06EDE9">
      <w:pPr>
        <w:rPr>
          <w:color w:val="000000" w:themeColor="text1"/>
          <w14:textFill>
            <w14:solidFill>
              <w14:schemeClr w14:val="tx1"/>
            </w14:solidFill>
          </w14:textFill>
        </w:rPr>
      </w:pPr>
    </w:p>
    <w:p w14:paraId="08ACA359">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共同对外投资的重大关联交易</w:t>
      </w:r>
    </w:p>
    <w:p w14:paraId="121A07AB">
      <w:pPr>
        <w:pStyle w:val="5"/>
        <w:numPr>
          <w:ilvl w:val="0"/>
          <w:numId w:val="1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共同对外投资的重大关联交易[双击切换]"/>
        <w:tag w:val="_GBC_dda9192a67f44f8698afb5d0b3e3c767"/>
        <w:id w:val="147465403"/>
        <w:placeholder>
          <w:docPart w:val="{d8014d7a-cba5-4a66-9d59-c514dac73ae3}"/>
        </w:placeholder>
      </w:sdtPr>
      <w:sdtEndPr>
        <w:rPr>
          <w:color w:val="000000" w:themeColor="text1"/>
          <w14:textFill>
            <w14:solidFill>
              <w14:schemeClr w14:val="tx1"/>
            </w14:solidFill>
          </w14:textFill>
        </w:rPr>
      </w:sdtEndPr>
      <w:sdtContent>
        <w:p w14:paraId="6CEB3D6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9CE467F">
      <w:pPr>
        <w:rPr>
          <w:color w:val="000000" w:themeColor="text1"/>
          <w14:textFill>
            <w14:solidFill>
              <w14:schemeClr w14:val="tx1"/>
            </w14:solidFill>
          </w14:textFill>
        </w:rPr>
      </w:pPr>
    </w:p>
    <w:p w14:paraId="28D20F6B">
      <w:pPr>
        <w:pStyle w:val="5"/>
        <w:numPr>
          <w:ilvl w:val="0"/>
          <w:numId w:val="1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共同对外投资的重大关联交易[双击切换]"/>
        <w:tag w:val="_GBC_f5354c189ecd4cad9ef1e263c325c0db"/>
        <w:id w:val="147459288"/>
        <w:placeholder>
          <w:docPart w:val="{d8014d7a-cba5-4a66-9d59-c514dac73ae3}"/>
        </w:placeholder>
      </w:sdtPr>
      <w:sdtEndPr>
        <w:rPr>
          <w:color w:val="000000" w:themeColor="text1"/>
          <w14:textFill>
            <w14:solidFill>
              <w14:schemeClr w14:val="tx1"/>
            </w14:solidFill>
          </w14:textFill>
        </w:rPr>
      </w:sdtEndPr>
      <w:sdtContent>
        <w:p w14:paraId="1975E261">
          <w:pPr>
            <w:pStyle w:val="55"/>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A452E6C">
      <w:pPr>
        <w:rPr>
          <w:color w:val="000000" w:themeColor="text1"/>
          <w14:textFill>
            <w14:solidFill>
              <w14:schemeClr w14:val="tx1"/>
            </w14:solidFill>
          </w14:textFill>
        </w:rPr>
      </w:pPr>
    </w:p>
    <w:p w14:paraId="1D1C6E72">
      <w:pPr>
        <w:pStyle w:val="5"/>
        <w:numPr>
          <w:ilvl w:val="0"/>
          <w:numId w:val="19"/>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rFonts w:hint="eastAsia"/>
          <w:color w:val="000000" w:themeColor="text1"/>
          <w14:textFill>
            <w14:solidFill>
              <w14:schemeClr w14:val="tx1"/>
            </w14:solidFill>
          </w14:textFill>
        </w:rPr>
        <w:alias w:val="是否适用：共同对外投资的重大关联交易_临时公告未披露的事项[双击切换]"/>
        <w:tag w:val="_GBC_3ac28148c3754202ba544078ad581a24"/>
        <w:id w:val="147456756"/>
        <w:placeholder>
          <w:docPart w:val="{d8014d7a-cba5-4a66-9d59-c514dac73ae3}"/>
        </w:placeholder>
      </w:sdtPr>
      <w:sdtEndPr>
        <w:rPr>
          <w:rFonts w:hint="eastAsia"/>
          <w:color w:val="000000" w:themeColor="text1"/>
          <w14:textFill>
            <w14:solidFill>
              <w14:schemeClr w14:val="tx1"/>
            </w14:solidFill>
          </w14:textFill>
        </w:rPr>
      </w:sdtEndPr>
      <w:sdtContent>
        <w:p w14:paraId="5184DE3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A7428B">
      <w:pPr>
        <w:rPr>
          <w:color w:val="000000" w:themeColor="text1"/>
          <w14:textFill>
            <w14:solidFill>
              <w14:schemeClr w14:val="tx1"/>
            </w14:solidFill>
          </w14:textFill>
        </w:rPr>
      </w:pPr>
    </w:p>
    <w:p w14:paraId="0863D125">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关联债权债务往来</w:t>
      </w:r>
    </w:p>
    <w:p w14:paraId="337FB98F">
      <w:pPr>
        <w:pStyle w:val="58"/>
        <w:numPr>
          <w:ilvl w:val="0"/>
          <w:numId w:val="20"/>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关联债权债务往来[双击切换]"/>
        <w:tag w:val="_GBC_480ccdae6247445ca78cf6327eb0e24f"/>
        <w:id w:val="147457118"/>
        <w:placeholder>
          <w:docPart w:val="{d8014d7a-cba5-4a66-9d59-c514dac73ae3}"/>
        </w:placeholder>
      </w:sdtPr>
      <w:sdtEndPr>
        <w:rPr>
          <w:color w:val="000000" w:themeColor="text1"/>
          <w14:textFill>
            <w14:solidFill>
              <w14:schemeClr w14:val="tx1"/>
            </w14:solidFill>
          </w14:textFill>
        </w:rPr>
      </w:sdtEndPr>
      <w:sdtContent>
        <w:p w14:paraId="5EDE81A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B56A725">
      <w:pPr>
        <w:rPr>
          <w:color w:val="000000" w:themeColor="text1"/>
          <w14:textFill>
            <w14:solidFill>
              <w14:schemeClr w14:val="tx1"/>
            </w14:solidFill>
          </w14:textFill>
        </w:rPr>
      </w:pPr>
    </w:p>
    <w:p w14:paraId="2997614A">
      <w:pPr>
        <w:pStyle w:val="58"/>
        <w:numPr>
          <w:ilvl w:val="0"/>
          <w:numId w:val="20"/>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关联债权债务往来[双击切换]"/>
        <w:tag w:val="_GBC_06dcfbbd6aed49aa878ab07a09b2270b"/>
        <w:id w:val="147474354"/>
        <w:placeholder>
          <w:docPart w:val="{d8014d7a-cba5-4a66-9d59-c514dac73ae3}"/>
        </w:placeholder>
      </w:sdtPr>
      <w:sdtEndPr>
        <w:rPr>
          <w:color w:val="000000" w:themeColor="text1"/>
          <w14:textFill>
            <w14:solidFill>
              <w14:schemeClr w14:val="tx1"/>
            </w14:solidFill>
          </w14:textFill>
        </w:rPr>
      </w:sdtEndPr>
      <w:sdtContent>
        <w:p w14:paraId="4973083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1F175B">
      <w:pPr>
        <w:rPr>
          <w:color w:val="000000" w:themeColor="text1"/>
          <w14:textFill>
            <w14:solidFill>
              <w14:schemeClr w14:val="tx1"/>
            </w14:solidFill>
          </w14:textFill>
        </w:rPr>
      </w:pPr>
    </w:p>
    <w:p w14:paraId="43E0F04A">
      <w:pPr>
        <w:pStyle w:val="58"/>
        <w:numPr>
          <w:ilvl w:val="0"/>
          <w:numId w:val="20"/>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关联债权债务往来_临时公告未披露的事项[双击切换]"/>
        <w:tag w:val="_GBC_0f4a6802ca704b49a413888379a91f0b"/>
        <w:id w:val="147459721"/>
        <w:placeholder>
          <w:docPart w:val="{d8014d7a-cba5-4a66-9d59-c514dac73ae3}"/>
        </w:placeholder>
      </w:sdtPr>
      <w:sdtEndPr>
        <w:rPr>
          <w:color w:val="000000" w:themeColor="text1"/>
          <w14:textFill>
            <w14:solidFill>
              <w14:schemeClr w14:val="tx1"/>
            </w14:solidFill>
          </w14:textFill>
        </w:rPr>
      </w:sdtEndPr>
      <w:sdtContent>
        <w:p w14:paraId="59E33CA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505B95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关联债权债务往来"/>
          <w:tag w:val="_GBC_3d4746bf1eac4cb78b4d5e8f638c58a7"/>
          <w:id w:val="147460318"/>
          <w:placeholder>
            <w:docPart w:val="{d8014d7a-cba5-4a66-9d59-c514dac73ae3}"/>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关联债权债务往来"/>
          <w:tag w:val="_GBC_5091a378d0114c298e9441456458f056"/>
          <w:id w:val="147466593"/>
          <w:placeholder>
            <w:docPart w:val="{d8014d7a-cba5-4a66-9d59-c514dac73ae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386"/>
        <w:gridCol w:w="1323"/>
        <w:gridCol w:w="1142"/>
        <w:gridCol w:w="857"/>
        <w:gridCol w:w="1001"/>
        <w:gridCol w:w="1144"/>
        <w:gridCol w:w="1001"/>
        <w:gridCol w:w="1039"/>
      </w:tblGrid>
      <w:tr w14:paraId="7A8D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a03ab7dba8d64a3988ed93cc7ea7faec"/>
            <w:id w:val="147477794"/>
          </w:sdtPr>
          <w:sdtContent>
            <w:tc>
              <w:tcPr>
                <w:tcW w:w="779" w:type="pct"/>
                <w:vMerge w:val="restart"/>
                <w:vAlign w:val="center"/>
              </w:tcPr>
              <w:p w14:paraId="487C842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w:t>
                </w:r>
              </w:p>
            </w:tc>
          </w:sdtContent>
        </w:sdt>
        <w:sdt>
          <w:sdtPr>
            <w:tag w:val="_PLD_fd7d9e6d29544e1f819ac61e5ffc7800"/>
            <w:id w:val="147469975"/>
          </w:sdtPr>
          <w:sdtContent>
            <w:tc>
              <w:tcPr>
                <w:tcW w:w="744" w:type="pct"/>
                <w:vMerge w:val="restart"/>
                <w:vAlign w:val="center"/>
              </w:tcPr>
              <w:p w14:paraId="6DDA3A41">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关联关系</w:t>
                </w:r>
              </w:p>
            </w:tc>
          </w:sdtContent>
        </w:sdt>
        <w:sdt>
          <w:sdtPr>
            <w:tag w:val="_PLD_ab475f26ae1346059edb39a2aa01b7a0"/>
            <w:id w:val="147478110"/>
          </w:sdtPr>
          <w:sdtContent>
            <w:tc>
              <w:tcPr>
                <w:tcW w:w="1687" w:type="pct"/>
                <w:gridSpan w:val="3"/>
                <w:vAlign w:val="center"/>
              </w:tcPr>
              <w:p w14:paraId="267BD586">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向关联方提供资金</w:t>
                </w:r>
              </w:p>
            </w:tc>
          </w:sdtContent>
        </w:sdt>
        <w:sdt>
          <w:sdtPr>
            <w:tag w:val="_PLD_563c35dec57c48f3b46f1f62e335b927"/>
            <w:id w:val="147461027"/>
          </w:sdtPr>
          <w:sdtContent>
            <w:tc>
              <w:tcPr>
                <w:tcW w:w="1790" w:type="pct"/>
                <w:gridSpan w:val="3"/>
                <w:vAlign w:val="center"/>
              </w:tcPr>
              <w:p w14:paraId="04C00810">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关联方向上市公司提供资金</w:t>
                </w:r>
              </w:p>
            </w:tc>
          </w:sdtContent>
        </w:sdt>
      </w:tr>
      <w:tr w14:paraId="10E7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79" w:type="pct"/>
            <w:vMerge w:val="continue"/>
            <w:vAlign w:val="center"/>
          </w:tcPr>
          <w:p w14:paraId="0B716528">
            <w:pPr>
              <w:autoSpaceDE w:val="0"/>
              <w:autoSpaceDN w:val="0"/>
              <w:adjustRightInd w:val="0"/>
              <w:jc w:val="center"/>
              <w:rPr>
                <w:color w:val="000000" w:themeColor="text1"/>
                <w14:textFill>
                  <w14:solidFill>
                    <w14:schemeClr w14:val="tx1"/>
                  </w14:solidFill>
                </w14:textFill>
              </w:rPr>
            </w:pPr>
          </w:p>
        </w:tc>
        <w:tc>
          <w:tcPr>
            <w:tcW w:w="744" w:type="pct"/>
            <w:vMerge w:val="continue"/>
            <w:vAlign w:val="center"/>
          </w:tcPr>
          <w:p w14:paraId="66D4A2FB">
            <w:pPr>
              <w:autoSpaceDE w:val="0"/>
              <w:autoSpaceDN w:val="0"/>
              <w:adjustRightInd w:val="0"/>
              <w:jc w:val="center"/>
              <w:rPr>
                <w:color w:val="000000" w:themeColor="text1"/>
                <w14:textFill>
                  <w14:solidFill>
                    <w14:schemeClr w14:val="tx1"/>
                  </w14:solidFill>
                </w14:textFill>
              </w:rPr>
            </w:pPr>
          </w:p>
        </w:tc>
        <w:sdt>
          <w:sdtPr>
            <w:tag w:val="_PLD_84c4eb576c0841edbba1a279db4bece5"/>
            <w:id w:val="147458772"/>
          </w:sdtPr>
          <w:sdtContent>
            <w:tc>
              <w:tcPr>
                <w:tcW w:w="642" w:type="pct"/>
                <w:vAlign w:val="center"/>
              </w:tcPr>
              <w:p w14:paraId="101F1F6E">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a0465b18c711498aacc6643f88ec2071"/>
            <w:id w:val="147474900"/>
          </w:sdtPr>
          <w:sdtContent>
            <w:tc>
              <w:tcPr>
                <w:tcW w:w="482" w:type="pct"/>
                <w:vAlign w:val="center"/>
              </w:tcPr>
              <w:p w14:paraId="47EAB4C4">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发生额</w:t>
                </w:r>
              </w:p>
            </w:tc>
          </w:sdtContent>
        </w:sdt>
        <w:sdt>
          <w:sdtPr>
            <w:tag w:val="_PLD_50c7dd7dd5804b108bed028ac898954a"/>
            <w:id w:val="147475051"/>
          </w:sdtPr>
          <w:sdtContent>
            <w:tc>
              <w:tcPr>
                <w:tcW w:w="563" w:type="pct"/>
                <w:vAlign w:val="center"/>
              </w:tcPr>
              <w:p w14:paraId="0B3AECD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6512bddd9054caeb41c5dab753be8c6"/>
            <w:id w:val="147475949"/>
          </w:sdtPr>
          <w:sdtContent>
            <w:tc>
              <w:tcPr>
                <w:tcW w:w="643" w:type="pct"/>
                <w:vAlign w:val="center"/>
              </w:tcPr>
              <w:p w14:paraId="7B47729F">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121e88852b0f4d04b04977cd52578513"/>
            <w:id w:val="147470690"/>
          </w:sdtPr>
          <w:sdtContent>
            <w:tc>
              <w:tcPr>
                <w:tcW w:w="563" w:type="pct"/>
                <w:vAlign w:val="center"/>
              </w:tcPr>
              <w:p w14:paraId="2BD50D1A">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发生额</w:t>
                </w:r>
              </w:p>
            </w:tc>
          </w:sdtContent>
        </w:sdt>
        <w:sdt>
          <w:sdtPr>
            <w:tag w:val="_PLD_656f31b560d642bdb30b1a1db50f1150"/>
            <w:id w:val="147473316"/>
          </w:sdtPr>
          <w:sdtContent>
            <w:tc>
              <w:tcPr>
                <w:tcW w:w="584" w:type="pct"/>
                <w:vAlign w:val="center"/>
              </w:tcPr>
              <w:p w14:paraId="4D0C0788">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3DA3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79" w:type="pct"/>
            <w:vAlign w:val="center"/>
          </w:tcPr>
          <w:p w14:paraId="2AC853FE">
            <w:pPr>
              <w:autoSpaceDE w:val="0"/>
              <w:autoSpaceDN w:val="0"/>
              <w:adjustRightInd w:val="0"/>
            </w:pPr>
            <w:r>
              <w:rPr>
                <w:rFonts w:ascii="Arial Narrow" w:hAnsi="Arial Narrow"/>
                <w:color w:val="000000"/>
              </w:rPr>
              <w:t>新兴际华投资有限公司</w:t>
            </w:r>
          </w:p>
        </w:tc>
        <w:tc>
          <w:tcPr>
            <w:tcW w:w="744" w:type="pct"/>
            <w:vAlign w:val="center"/>
          </w:tcPr>
          <w:p w14:paraId="6D94806F">
            <w:pPr>
              <w:autoSpaceDE w:val="0"/>
              <w:autoSpaceDN w:val="0"/>
              <w:adjustRightInd w:val="0"/>
              <w:rPr>
                <w:color w:val="000000" w:themeColor="text1"/>
                <w14:textFill>
                  <w14:solidFill>
                    <w14:schemeClr w14:val="tx1"/>
                  </w14:solidFill>
                </w14:textFill>
              </w:rPr>
            </w:pPr>
            <w:r>
              <w:rPr>
                <w:rFonts w:ascii="Arial Narrow" w:hAnsi="Arial Narrow"/>
                <w:color w:val="000000"/>
              </w:rPr>
              <w:t>母公司的控股子公司</w:t>
            </w:r>
          </w:p>
        </w:tc>
        <w:tc>
          <w:tcPr>
            <w:tcW w:w="642" w:type="pct"/>
            <w:vAlign w:val="center"/>
          </w:tcPr>
          <w:p w14:paraId="39ABDFF3">
            <w:pPr>
              <w:autoSpaceDE w:val="0"/>
              <w:autoSpaceDN w:val="0"/>
              <w:adjustRightInd w:val="0"/>
              <w:jc w:val="right"/>
              <w:rPr>
                <w:rFonts w:cs="Times New Roman"/>
              </w:rPr>
            </w:pPr>
          </w:p>
        </w:tc>
        <w:tc>
          <w:tcPr>
            <w:tcW w:w="482" w:type="pct"/>
            <w:vAlign w:val="center"/>
          </w:tcPr>
          <w:p w14:paraId="79917A89">
            <w:pPr>
              <w:autoSpaceDE w:val="0"/>
              <w:autoSpaceDN w:val="0"/>
              <w:adjustRightInd w:val="0"/>
              <w:jc w:val="right"/>
              <w:rPr>
                <w:rFonts w:cs="Times New Roman"/>
              </w:rPr>
            </w:pPr>
          </w:p>
        </w:tc>
        <w:tc>
          <w:tcPr>
            <w:tcW w:w="563" w:type="pct"/>
            <w:vAlign w:val="center"/>
          </w:tcPr>
          <w:p w14:paraId="3C2E2889">
            <w:pPr>
              <w:autoSpaceDE w:val="0"/>
              <w:autoSpaceDN w:val="0"/>
              <w:adjustRightInd w:val="0"/>
              <w:jc w:val="right"/>
              <w:rPr>
                <w:rFonts w:cs="Times New Roman"/>
              </w:rPr>
            </w:pPr>
          </w:p>
        </w:tc>
        <w:tc>
          <w:tcPr>
            <w:tcW w:w="1144" w:type="dxa"/>
            <w:vAlign w:val="center"/>
          </w:tcPr>
          <w:p w14:paraId="094629EA">
            <w:pPr>
              <w:jc w:val="right"/>
              <w:textAlignment w:val="center"/>
              <w:rPr>
                <w:rFonts w:cs="Times New Roman"/>
              </w:rPr>
            </w:pPr>
            <w:r>
              <w:rPr>
                <w:rFonts w:eastAsia="Arial Narrow" w:cs="Times New Roman"/>
                <w:color w:val="000000"/>
                <w:lang w:bidi="ar"/>
              </w:rPr>
              <w:t>3,615.76</w:t>
            </w:r>
          </w:p>
        </w:tc>
        <w:tc>
          <w:tcPr>
            <w:tcW w:w="1001" w:type="dxa"/>
            <w:vAlign w:val="center"/>
          </w:tcPr>
          <w:p w14:paraId="68F43B22">
            <w:pPr>
              <w:jc w:val="right"/>
              <w:rPr>
                <w:rFonts w:cs="Times New Roman"/>
              </w:rPr>
            </w:pPr>
          </w:p>
        </w:tc>
        <w:tc>
          <w:tcPr>
            <w:tcW w:w="1039" w:type="dxa"/>
            <w:vAlign w:val="center"/>
          </w:tcPr>
          <w:p w14:paraId="409A2BE8">
            <w:pPr>
              <w:jc w:val="right"/>
              <w:textAlignment w:val="center"/>
              <w:rPr>
                <w:rFonts w:cs="Times New Roman"/>
              </w:rPr>
            </w:pPr>
            <w:r>
              <w:rPr>
                <w:rFonts w:eastAsia="Arial Narrow" w:cs="Times New Roman"/>
                <w:color w:val="000000"/>
                <w:lang w:bidi="ar"/>
              </w:rPr>
              <w:t>3,615.76</w:t>
            </w:r>
          </w:p>
        </w:tc>
      </w:tr>
      <w:tr w14:paraId="58D3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79" w:type="pct"/>
            <w:vAlign w:val="center"/>
          </w:tcPr>
          <w:p w14:paraId="294696FB">
            <w:pPr>
              <w:autoSpaceDE w:val="0"/>
              <w:autoSpaceDN w:val="0"/>
              <w:adjustRightInd w:val="0"/>
            </w:pPr>
            <w:r>
              <w:rPr>
                <w:rFonts w:ascii="Arial Narrow" w:hAnsi="Arial Narrow"/>
                <w:color w:val="000000"/>
              </w:rPr>
              <w:t>咸阳际华投资发展有限公司</w:t>
            </w:r>
          </w:p>
        </w:tc>
        <w:tc>
          <w:tcPr>
            <w:tcW w:w="744" w:type="pct"/>
            <w:vAlign w:val="center"/>
          </w:tcPr>
          <w:p w14:paraId="3FCE64A7">
            <w:pPr>
              <w:autoSpaceDE w:val="0"/>
              <w:autoSpaceDN w:val="0"/>
              <w:adjustRightInd w:val="0"/>
              <w:rPr>
                <w:color w:val="000000" w:themeColor="text1"/>
                <w14:textFill>
                  <w14:solidFill>
                    <w14:schemeClr w14:val="tx1"/>
                  </w14:solidFill>
                </w14:textFill>
              </w:rPr>
            </w:pPr>
            <w:r>
              <w:rPr>
                <w:rFonts w:ascii="Arial Narrow" w:hAnsi="Arial Narrow"/>
                <w:color w:val="000000"/>
              </w:rPr>
              <w:t>母公司的控股子公司</w:t>
            </w:r>
          </w:p>
        </w:tc>
        <w:tc>
          <w:tcPr>
            <w:tcW w:w="642" w:type="pct"/>
            <w:vAlign w:val="center"/>
          </w:tcPr>
          <w:p w14:paraId="48F5471B">
            <w:pPr>
              <w:autoSpaceDE w:val="0"/>
              <w:autoSpaceDN w:val="0"/>
              <w:adjustRightInd w:val="0"/>
              <w:jc w:val="right"/>
              <w:rPr>
                <w:rFonts w:cs="Times New Roman"/>
              </w:rPr>
            </w:pPr>
          </w:p>
        </w:tc>
        <w:tc>
          <w:tcPr>
            <w:tcW w:w="482" w:type="pct"/>
            <w:vAlign w:val="center"/>
          </w:tcPr>
          <w:p w14:paraId="74228C49">
            <w:pPr>
              <w:autoSpaceDE w:val="0"/>
              <w:autoSpaceDN w:val="0"/>
              <w:adjustRightInd w:val="0"/>
              <w:jc w:val="right"/>
              <w:rPr>
                <w:rFonts w:cs="Times New Roman"/>
              </w:rPr>
            </w:pPr>
          </w:p>
        </w:tc>
        <w:tc>
          <w:tcPr>
            <w:tcW w:w="563" w:type="pct"/>
            <w:vAlign w:val="center"/>
          </w:tcPr>
          <w:p w14:paraId="1A14BAD1">
            <w:pPr>
              <w:autoSpaceDE w:val="0"/>
              <w:autoSpaceDN w:val="0"/>
              <w:adjustRightInd w:val="0"/>
              <w:jc w:val="right"/>
              <w:rPr>
                <w:rFonts w:cs="Times New Roman"/>
              </w:rPr>
            </w:pPr>
          </w:p>
        </w:tc>
        <w:tc>
          <w:tcPr>
            <w:tcW w:w="1144" w:type="dxa"/>
            <w:vAlign w:val="center"/>
          </w:tcPr>
          <w:p w14:paraId="3B7B47A4">
            <w:pPr>
              <w:jc w:val="right"/>
              <w:textAlignment w:val="center"/>
              <w:rPr>
                <w:rFonts w:cs="Times New Roman"/>
              </w:rPr>
            </w:pPr>
            <w:r>
              <w:rPr>
                <w:rFonts w:eastAsia="Arial Narrow" w:cs="Times New Roman"/>
                <w:color w:val="000000"/>
                <w:lang w:bidi="ar"/>
              </w:rPr>
              <w:t>350.00</w:t>
            </w:r>
          </w:p>
        </w:tc>
        <w:tc>
          <w:tcPr>
            <w:tcW w:w="1001" w:type="dxa"/>
            <w:vAlign w:val="center"/>
          </w:tcPr>
          <w:p w14:paraId="4E28A1AD">
            <w:pPr>
              <w:jc w:val="right"/>
              <w:rPr>
                <w:rFonts w:cs="Times New Roman"/>
              </w:rPr>
            </w:pPr>
          </w:p>
        </w:tc>
        <w:tc>
          <w:tcPr>
            <w:tcW w:w="1039" w:type="dxa"/>
            <w:vAlign w:val="center"/>
          </w:tcPr>
          <w:p w14:paraId="016F4E82">
            <w:pPr>
              <w:jc w:val="right"/>
              <w:textAlignment w:val="center"/>
              <w:rPr>
                <w:rFonts w:cs="Times New Roman"/>
              </w:rPr>
            </w:pPr>
            <w:r>
              <w:rPr>
                <w:rFonts w:eastAsia="Arial Narrow" w:cs="Times New Roman"/>
                <w:color w:val="000000"/>
                <w:lang w:bidi="ar"/>
              </w:rPr>
              <w:t>350.00</w:t>
            </w:r>
          </w:p>
        </w:tc>
      </w:tr>
      <w:tr w14:paraId="54B6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79" w:type="pct"/>
            <w:vAlign w:val="center"/>
          </w:tcPr>
          <w:p w14:paraId="6C17781E">
            <w:pPr>
              <w:autoSpaceDE w:val="0"/>
              <w:autoSpaceDN w:val="0"/>
              <w:adjustRightInd w:val="0"/>
            </w:pPr>
            <w:r>
              <w:rPr>
                <w:rFonts w:ascii="Arial Narrow" w:hAnsi="Arial Narrow"/>
                <w:color w:val="000000"/>
              </w:rPr>
              <w:t>新兴际华集团财务有限公司</w:t>
            </w:r>
          </w:p>
        </w:tc>
        <w:tc>
          <w:tcPr>
            <w:tcW w:w="744" w:type="pct"/>
            <w:vAlign w:val="center"/>
          </w:tcPr>
          <w:p w14:paraId="239D73FB">
            <w:pPr>
              <w:autoSpaceDE w:val="0"/>
              <w:autoSpaceDN w:val="0"/>
              <w:adjustRightInd w:val="0"/>
              <w:rPr>
                <w:color w:val="000000" w:themeColor="text1"/>
                <w14:textFill>
                  <w14:solidFill>
                    <w14:schemeClr w14:val="tx1"/>
                  </w14:solidFill>
                </w14:textFill>
              </w:rPr>
            </w:pPr>
            <w:r>
              <w:rPr>
                <w:rFonts w:ascii="Arial Narrow" w:hAnsi="Arial Narrow"/>
                <w:color w:val="000000"/>
              </w:rPr>
              <w:t>母公司的全资子公司</w:t>
            </w:r>
          </w:p>
        </w:tc>
        <w:tc>
          <w:tcPr>
            <w:tcW w:w="642" w:type="pct"/>
            <w:vAlign w:val="center"/>
          </w:tcPr>
          <w:p w14:paraId="5AB545E4">
            <w:pPr>
              <w:autoSpaceDE w:val="0"/>
              <w:autoSpaceDN w:val="0"/>
              <w:adjustRightInd w:val="0"/>
              <w:jc w:val="right"/>
              <w:rPr>
                <w:rFonts w:cs="Times New Roman"/>
              </w:rPr>
            </w:pPr>
          </w:p>
        </w:tc>
        <w:tc>
          <w:tcPr>
            <w:tcW w:w="482" w:type="pct"/>
            <w:vAlign w:val="center"/>
          </w:tcPr>
          <w:p w14:paraId="3C05AD19">
            <w:pPr>
              <w:autoSpaceDE w:val="0"/>
              <w:autoSpaceDN w:val="0"/>
              <w:adjustRightInd w:val="0"/>
              <w:jc w:val="right"/>
              <w:rPr>
                <w:rFonts w:cs="Times New Roman"/>
              </w:rPr>
            </w:pPr>
          </w:p>
        </w:tc>
        <w:tc>
          <w:tcPr>
            <w:tcW w:w="563" w:type="pct"/>
            <w:vAlign w:val="center"/>
          </w:tcPr>
          <w:p w14:paraId="552EA401">
            <w:pPr>
              <w:autoSpaceDE w:val="0"/>
              <w:autoSpaceDN w:val="0"/>
              <w:adjustRightInd w:val="0"/>
              <w:jc w:val="right"/>
              <w:rPr>
                <w:rFonts w:cs="Times New Roman"/>
              </w:rPr>
            </w:pPr>
          </w:p>
        </w:tc>
        <w:tc>
          <w:tcPr>
            <w:tcW w:w="1144" w:type="dxa"/>
            <w:vAlign w:val="center"/>
          </w:tcPr>
          <w:p w14:paraId="76573601">
            <w:pPr>
              <w:jc w:val="right"/>
              <w:textAlignment w:val="center"/>
              <w:rPr>
                <w:rFonts w:cs="Times New Roman"/>
              </w:rPr>
            </w:pPr>
            <w:r>
              <w:rPr>
                <w:rFonts w:eastAsia="Arial Narrow" w:cs="Times New Roman"/>
                <w:color w:val="000000"/>
                <w:lang w:bidi="ar"/>
              </w:rPr>
              <w:t>62,900.00</w:t>
            </w:r>
          </w:p>
        </w:tc>
        <w:tc>
          <w:tcPr>
            <w:tcW w:w="1001" w:type="dxa"/>
            <w:vAlign w:val="center"/>
          </w:tcPr>
          <w:p w14:paraId="71F1327E">
            <w:pPr>
              <w:jc w:val="right"/>
              <w:textAlignment w:val="center"/>
              <w:rPr>
                <w:rFonts w:cs="Times New Roman"/>
              </w:rPr>
            </w:pPr>
            <w:r>
              <w:rPr>
                <w:rFonts w:eastAsia="Arial Narrow" w:cs="Times New Roman"/>
                <w:color w:val="000000"/>
                <w:lang w:bidi="ar"/>
              </w:rPr>
              <w:t>-12,400.00</w:t>
            </w:r>
          </w:p>
        </w:tc>
        <w:tc>
          <w:tcPr>
            <w:tcW w:w="1039" w:type="dxa"/>
            <w:vAlign w:val="center"/>
          </w:tcPr>
          <w:p w14:paraId="05761DD7">
            <w:pPr>
              <w:jc w:val="right"/>
              <w:textAlignment w:val="center"/>
              <w:rPr>
                <w:rFonts w:cs="Times New Roman"/>
              </w:rPr>
            </w:pPr>
            <w:r>
              <w:rPr>
                <w:rFonts w:eastAsia="Arial Narrow" w:cs="Times New Roman"/>
                <w:color w:val="000000"/>
                <w:lang w:bidi="ar"/>
              </w:rPr>
              <w:t>50,500.00</w:t>
            </w:r>
          </w:p>
        </w:tc>
      </w:tr>
      <w:tr w14:paraId="021E6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79" w:type="pct"/>
            <w:vAlign w:val="center"/>
          </w:tcPr>
          <w:p w14:paraId="42B5CF04">
            <w:pPr>
              <w:autoSpaceDE w:val="0"/>
              <w:autoSpaceDN w:val="0"/>
              <w:adjustRightInd w:val="0"/>
            </w:pPr>
            <w:r>
              <w:rPr>
                <w:rFonts w:ascii="Arial Narrow" w:hAnsi="Arial Narrow"/>
                <w:color w:val="000000"/>
              </w:rPr>
              <w:t>新兴际华集团有限公司</w:t>
            </w:r>
          </w:p>
        </w:tc>
        <w:tc>
          <w:tcPr>
            <w:tcW w:w="744" w:type="pct"/>
            <w:vAlign w:val="center"/>
          </w:tcPr>
          <w:p w14:paraId="3A8CED4C">
            <w:pPr>
              <w:autoSpaceDE w:val="0"/>
              <w:autoSpaceDN w:val="0"/>
              <w:adjustRightInd w:val="0"/>
              <w:rPr>
                <w:color w:val="000000" w:themeColor="text1"/>
                <w14:textFill>
                  <w14:solidFill>
                    <w14:schemeClr w14:val="tx1"/>
                  </w14:solidFill>
                </w14:textFill>
              </w:rPr>
            </w:pPr>
            <w:r>
              <w:rPr>
                <w:rFonts w:ascii="Arial Narrow" w:hAnsi="Arial Narrow"/>
                <w:color w:val="000000"/>
              </w:rPr>
              <w:t>母公司</w:t>
            </w:r>
          </w:p>
        </w:tc>
        <w:tc>
          <w:tcPr>
            <w:tcW w:w="642" w:type="pct"/>
            <w:vAlign w:val="center"/>
          </w:tcPr>
          <w:p w14:paraId="2635A293">
            <w:pPr>
              <w:autoSpaceDE w:val="0"/>
              <w:autoSpaceDN w:val="0"/>
              <w:adjustRightInd w:val="0"/>
              <w:jc w:val="right"/>
              <w:rPr>
                <w:rFonts w:cs="Times New Roman"/>
              </w:rPr>
            </w:pPr>
          </w:p>
        </w:tc>
        <w:tc>
          <w:tcPr>
            <w:tcW w:w="482" w:type="pct"/>
            <w:vAlign w:val="center"/>
          </w:tcPr>
          <w:p w14:paraId="6177A4E1">
            <w:pPr>
              <w:autoSpaceDE w:val="0"/>
              <w:autoSpaceDN w:val="0"/>
              <w:adjustRightInd w:val="0"/>
              <w:jc w:val="right"/>
              <w:rPr>
                <w:rFonts w:cs="Times New Roman"/>
              </w:rPr>
            </w:pPr>
          </w:p>
        </w:tc>
        <w:tc>
          <w:tcPr>
            <w:tcW w:w="563" w:type="pct"/>
            <w:vAlign w:val="center"/>
          </w:tcPr>
          <w:p w14:paraId="22064965">
            <w:pPr>
              <w:autoSpaceDE w:val="0"/>
              <w:autoSpaceDN w:val="0"/>
              <w:adjustRightInd w:val="0"/>
              <w:jc w:val="right"/>
              <w:rPr>
                <w:rFonts w:cs="Times New Roman"/>
              </w:rPr>
            </w:pPr>
          </w:p>
        </w:tc>
        <w:tc>
          <w:tcPr>
            <w:tcW w:w="1144" w:type="dxa"/>
            <w:vAlign w:val="center"/>
          </w:tcPr>
          <w:p w14:paraId="2228313F">
            <w:pPr>
              <w:jc w:val="right"/>
              <w:textAlignment w:val="center"/>
              <w:rPr>
                <w:rFonts w:cs="Times New Roman"/>
              </w:rPr>
            </w:pPr>
            <w:r>
              <w:rPr>
                <w:rFonts w:eastAsia="Arial Narrow" w:cs="Times New Roman"/>
                <w:color w:val="000000"/>
                <w:lang w:bidi="ar"/>
              </w:rPr>
              <w:t>21,500.00</w:t>
            </w:r>
          </w:p>
        </w:tc>
        <w:tc>
          <w:tcPr>
            <w:tcW w:w="1001" w:type="dxa"/>
            <w:vAlign w:val="center"/>
          </w:tcPr>
          <w:p w14:paraId="4F92E9AF">
            <w:pPr>
              <w:jc w:val="right"/>
              <w:rPr>
                <w:rFonts w:cs="Times New Roman"/>
              </w:rPr>
            </w:pPr>
          </w:p>
        </w:tc>
        <w:tc>
          <w:tcPr>
            <w:tcW w:w="1039" w:type="dxa"/>
            <w:vAlign w:val="center"/>
          </w:tcPr>
          <w:p w14:paraId="05786799">
            <w:pPr>
              <w:jc w:val="right"/>
              <w:textAlignment w:val="center"/>
              <w:rPr>
                <w:rFonts w:cs="Times New Roman"/>
              </w:rPr>
            </w:pPr>
            <w:r>
              <w:rPr>
                <w:rFonts w:eastAsia="Arial Narrow" w:cs="Times New Roman"/>
                <w:color w:val="000000"/>
                <w:lang w:bidi="ar"/>
              </w:rPr>
              <w:t>21,500.00</w:t>
            </w:r>
          </w:p>
        </w:tc>
      </w:tr>
      <w:tr w14:paraId="3DD1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779" w:type="pct"/>
            <w:vAlign w:val="center"/>
          </w:tcPr>
          <w:p w14:paraId="47F88DF8">
            <w:pPr>
              <w:autoSpaceDE w:val="0"/>
              <w:autoSpaceDN w:val="0"/>
              <w:adjustRightInd w:val="0"/>
            </w:pPr>
            <w:r>
              <w:rPr>
                <w:rFonts w:ascii="Arial Narrow" w:hAnsi="Arial Narrow"/>
                <w:color w:val="000000"/>
              </w:rPr>
              <w:t>新兴际华资产经营有限公司</w:t>
            </w:r>
          </w:p>
        </w:tc>
        <w:tc>
          <w:tcPr>
            <w:tcW w:w="744" w:type="pct"/>
            <w:vAlign w:val="center"/>
          </w:tcPr>
          <w:p w14:paraId="1B4E736D">
            <w:pPr>
              <w:autoSpaceDE w:val="0"/>
              <w:autoSpaceDN w:val="0"/>
              <w:adjustRightInd w:val="0"/>
              <w:rPr>
                <w:color w:val="000000" w:themeColor="text1"/>
                <w14:textFill>
                  <w14:solidFill>
                    <w14:schemeClr w14:val="tx1"/>
                  </w14:solidFill>
                </w14:textFill>
              </w:rPr>
            </w:pPr>
            <w:r>
              <w:rPr>
                <w:rFonts w:ascii="Arial Narrow" w:hAnsi="Arial Narrow"/>
                <w:color w:val="000000"/>
              </w:rPr>
              <w:t>母公司的全资子公司</w:t>
            </w:r>
          </w:p>
        </w:tc>
        <w:tc>
          <w:tcPr>
            <w:tcW w:w="642" w:type="pct"/>
            <w:vAlign w:val="center"/>
          </w:tcPr>
          <w:p w14:paraId="13277752">
            <w:pPr>
              <w:autoSpaceDE w:val="0"/>
              <w:autoSpaceDN w:val="0"/>
              <w:adjustRightInd w:val="0"/>
              <w:jc w:val="right"/>
              <w:rPr>
                <w:rFonts w:cs="Times New Roman"/>
              </w:rPr>
            </w:pPr>
          </w:p>
        </w:tc>
        <w:tc>
          <w:tcPr>
            <w:tcW w:w="482" w:type="pct"/>
            <w:vAlign w:val="center"/>
          </w:tcPr>
          <w:p w14:paraId="2FC07179">
            <w:pPr>
              <w:autoSpaceDE w:val="0"/>
              <w:autoSpaceDN w:val="0"/>
              <w:adjustRightInd w:val="0"/>
              <w:jc w:val="right"/>
              <w:rPr>
                <w:rFonts w:cs="Times New Roman"/>
              </w:rPr>
            </w:pPr>
          </w:p>
        </w:tc>
        <w:tc>
          <w:tcPr>
            <w:tcW w:w="563" w:type="pct"/>
            <w:vAlign w:val="center"/>
          </w:tcPr>
          <w:p w14:paraId="196BBAE4">
            <w:pPr>
              <w:autoSpaceDE w:val="0"/>
              <w:autoSpaceDN w:val="0"/>
              <w:adjustRightInd w:val="0"/>
              <w:jc w:val="right"/>
              <w:rPr>
                <w:rFonts w:cs="Times New Roman"/>
              </w:rPr>
            </w:pPr>
          </w:p>
        </w:tc>
        <w:tc>
          <w:tcPr>
            <w:tcW w:w="1144" w:type="dxa"/>
            <w:vAlign w:val="center"/>
          </w:tcPr>
          <w:p w14:paraId="58F4E7CB">
            <w:pPr>
              <w:jc w:val="right"/>
              <w:textAlignment w:val="center"/>
              <w:rPr>
                <w:rFonts w:cs="Times New Roman"/>
              </w:rPr>
            </w:pPr>
            <w:r>
              <w:rPr>
                <w:rFonts w:eastAsia="Arial Narrow" w:cs="Times New Roman"/>
                <w:color w:val="000000"/>
                <w:lang w:bidi="ar"/>
              </w:rPr>
              <w:t>1,500.00</w:t>
            </w:r>
          </w:p>
        </w:tc>
        <w:tc>
          <w:tcPr>
            <w:tcW w:w="1001" w:type="dxa"/>
            <w:vAlign w:val="center"/>
          </w:tcPr>
          <w:p w14:paraId="202046C8">
            <w:pPr>
              <w:jc w:val="right"/>
              <w:textAlignment w:val="center"/>
              <w:rPr>
                <w:rFonts w:cs="Times New Roman"/>
              </w:rPr>
            </w:pPr>
            <w:r>
              <w:rPr>
                <w:rFonts w:eastAsia="Arial Narrow" w:cs="Times New Roman"/>
                <w:color w:val="000000"/>
                <w:lang w:bidi="ar"/>
              </w:rPr>
              <w:t>521.00</w:t>
            </w:r>
          </w:p>
        </w:tc>
        <w:tc>
          <w:tcPr>
            <w:tcW w:w="1039" w:type="dxa"/>
            <w:vAlign w:val="center"/>
          </w:tcPr>
          <w:p w14:paraId="0F0F2595">
            <w:pPr>
              <w:jc w:val="right"/>
              <w:textAlignment w:val="center"/>
              <w:rPr>
                <w:rFonts w:cs="Times New Roman"/>
              </w:rPr>
            </w:pPr>
            <w:r>
              <w:rPr>
                <w:rFonts w:eastAsia="Arial Narrow" w:cs="Times New Roman"/>
                <w:color w:val="000000"/>
                <w:lang w:bidi="ar"/>
              </w:rPr>
              <w:t>2,021.00</w:t>
            </w:r>
          </w:p>
        </w:tc>
      </w:tr>
      <w:tr w14:paraId="0F0E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523" w:type="pct"/>
            <w:gridSpan w:val="2"/>
            <w:vAlign w:val="center"/>
          </w:tcPr>
          <w:p w14:paraId="68865A1D">
            <w:pPr>
              <w:pStyle w:val="62"/>
              <w:autoSpaceDE w:val="0"/>
              <w:autoSpaceDN w:val="0"/>
              <w:adjustRightInd w:val="0"/>
              <w:jc w:val="center"/>
              <w:rPr>
                <w:rFonts w:ascii="宋体" w:hAnsi="宋体"/>
                <w:color w:val="000000" w:themeColor="text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合计</w:t>
            </w:r>
          </w:p>
        </w:tc>
        <w:tc>
          <w:tcPr>
            <w:tcW w:w="642" w:type="pct"/>
            <w:tcBorders>
              <w:bottom w:val="nil"/>
            </w:tcBorders>
            <w:vAlign w:val="center"/>
          </w:tcPr>
          <w:p w14:paraId="34CF7E7D">
            <w:pPr>
              <w:autoSpaceDE w:val="0"/>
              <w:autoSpaceDN w:val="0"/>
              <w:adjustRightInd w:val="0"/>
              <w:jc w:val="right"/>
              <w:rPr>
                <w:rFonts w:cs="Times New Roman"/>
              </w:rPr>
            </w:pPr>
          </w:p>
        </w:tc>
        <w:tc>
          <w:tcPr>
            <w:tcW w:w="482" w:type="pct"/>
            <w:tcBorders>
              <w:bottom w:val="nil"/>
            </w:tcBorders>
            <w:vAlign w:val="center"/>
          </w:tcPr>
          <w:p w14:paraId="1696F76A">
            <w:pPr>
              <w:autoSpaceDE w:val="0"/>
              <w:autoSpaceDN w:val="0"/>
              <w:adjustRightInd w:val="0"/>
              <w:jc w:val="right"/>
              <w:rPr>
                <w:rFonts w:cs="Times New Roman"/>
              </w:rPr>
            </w:pPr>
          </w:p>
        </w:tc>
        <w:tc>
          <w:tcPr>
            <w:tcW w:w="563" w:type="pct"/>
            <w:tcBorders>
              <w:bottom w:val="nil"/>
            </w:tcBorders>
            <w:vAlign w:val="center"/>
          </w:tcPr>
          <w:p w14:paraId="0E7A4267">
            <w:pPr>
              <w:jc w:val="right"/>
              <w:rPr>
                <w:rFonts w:cs="Times New Roman"/>
              </w:rPr>
            </w:pPr>
          </w:p>
        </w:tc>
        <w:tc>
          <w:tcPr>
            <w:tcW w:w="1144" w:type="dxa"/>
            <w:tcBorders>
              <w:bottom w:val="nil"/>
            </w:tcBorders>
            <w:vAlign w:val="center"/>
          </w:tcPr>
          <w:p w14:paraId="39363D7F">
            <w:pPr>
              <w:jc w:val="right"/>
              <w:textAlignment w:val="center"/>
              <w:rPr>
                <w:rFonts w:cs="Times New Roman"/>
              </w:rPr>
            </w:pPr>
            <w:r>
              <w:rPr>
                <w:rFonts w:eastAsia="Arial Narrow" w:cs="Times New Roman"/>
                <w:color w:val="000000"/>
                <w:lang w:bidi="ar"/>
              </w:rPr>
              <w:t>89,865.76</w:t>
            </w:r>
          </w:p>
        </w:tc>
        <w:tc>
          <w:tcPr>
            <w:tcW w:w="1001" w:type="dxa"/>
            <w:tcBorders>
              <w:bottom w:val="nil"/>
            </w:tcBorders>
            <w:vAlign w:val="center"/>
          </w:tcPr>
          <w:p w14:paraId="77DA654E">
            <w:pPr>
              <w:jc w:val="right"/>
              <w:textAlignment w:val="center"/>
              <w:rPr>
                <w:rFonts w:cs="Times New Roman"/>
              </w:rPr>
            </w:pPr>
            <w:r>
              <w:rPr>
                <w:rFonts w:eastAsia="Arial Narrow" w:cs="Times New Roman"/>
                <w:color w:val="000000"/>
                <w:lang w:bidi="ar"/>
              </w:rPr>
              <w:t>-11,879.00</w:t>
            </w:r>
          </w:p>
        </w:tc>
        <w:tc>
          <w:tcPr>
            <w:tcW w:w="1039" w:type="dxa"/>
            <w:tcBorders>
              <w:bottom w:val="nil"/>
            </w:tcBorders>
            <w:vAlign w:val="center"/>
          </w:tcPr>
          <w:p w14:paraId="3C75EA13">
            <w:pPr>
              <w:jc w:val="right"/>
              <w:textAlignment w:val="center"/>
              <w:rPr>
                <w:rFonts w:cs="Times New Roman"/>
              </w:rPr>
            </w:pPr>
            <w:r>
              <w:rPr>
                <w:rFonts w:eastAsia="Arial Narrow" w:cs="Times New Roman"/>
                <w:color w:val="000000"/>
                <w:lang w:bidi="ar"/>
              </w:rPr>
              <w:t>77,986.76</w:t>
            </w:r>
          </w:p>
        </w:tc>
      </w:tr>
      <w:tr w14:paraId="1A5E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c>
          <w:tcPr>
            <w:tcW w:w="1523" w:type="pct"/>
            <w:gridSpan w:val="2"/>
            <w:tcBorders>
              <w:top w:val="single" w:color="auto" w:sz="4" w:space="0"/>
              <w:left w:val="single" w:color="auto" w:sz="4" w:space="0"/>
              <w:bottom w:val="single" w:color="auto" w:sz="4" w:space="0"/>
              <w:right w:val="single" w:color="auto" w:sz="4" w:space="0"/>
            </w:tcBorders>
            <w:vAlign w:val="center"/>
          </w:tcPr>
          <w:p w14:paraId="0AC93710">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关联债权债务形成原因</w:t>
            </w:r>
          </w:p>
        </w:tc>
        <w:tc>
          <w:tcPr>
            <w:tcW w:w="3477" w:type="pct"/>
            <w:gridSpan w:val="6"/>
            <w:tcBorders>
              <w:top w:val="single" w:color="auto" w:sz="4" w:space="0"/>
              <w:left w:val="single" w:color="auto" w:sz="4" w:space="0"/>
              <w:bottom w:val="single" w:color="auto" w:sz="4" w:space="0"/>
              <w:right w:val="single" w:color="auto" w:sz="4" w:space="0"/>
            </w:tcBorders>
            <w:vAlign w:val="center"/>
          </w:tcPr>
          <w:p w14:paraId="45DA0193">
            <w:pPr>
              <w:pStyle w:val="55"/>
            </w:pPr>
            <w:r>
              <w:rPr>
                <w:rFonts w:hint="eastAsia"/>
              </w:rPr>
              <w:t>公司子公司向少数股东或关联方拆入的生产经营借款；公司向母公司及财务公司取得借款。</w:t>
            </w:r>
          </w:p>
        </w:tc>
      </w:tr>
      <w:tr w14:paraId="551F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30" w:type="dxa"/>
            <w:bottom w:w="0" w:type="dxa"/>
            <w:right w:w="30" w:type="dxa"/>
          </w:tblCellMar>
        </w:tblPrEx>
        <w:tc>
          <w:tcPr>
            <w:tcW w:w="1523" w:type="pct"/>
            <w:gridSpan w:val="2"/>
            <w:tcBorders>
              <w:top w:val="single" w:color="auto" w:sz="4" w:space="0"/>
              <w:left w:val="single" w:color="auto" w:sz="4" w:space="0"/>
              <w:bottom w:val="single" w:color="auto" w:sz="4" w:space="0"/>
              <w:right w:val="single" w:color="auto" w:sz="4" w:space="0"/>
            </w:tcBorders>
            <w:vAlign w:val="center"/>
          </w:tcPr>
          <w:p w14:paraId="1AF9512F">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关联债权债务对公司经营成果及财务状况的影响</w:t>
            </w:r>
          </w:p>
        </w:tc>
        <w:tc>
          <w:tcPr>
            <w:tcW w:w="3477" w:type="pct"/>
            <w:gridSpan w:val="6"/>
            <w:tcBorders>
              <w:top w:val="single" w:color="auto" w:sz="4" w:space="0"/>
              <w:left w:val="single" w:color="auto" w:sz="4" w:space="0"/>
              <w:bottom w:val="single" w:color="auto" w:sz="4" w:space="0"/>
              <w:right w:val="single" w:color="auto" w:sz="4" w:space="0"/>
            </w:tcBorders>
            <w:vAlign w:val="center"/>
          </w:tcPr>
          <w:p w14:paraId="7D9C06D1">
            <w:pPr>
              <w:pStyle w:val="55"/>
            </w:pPr>
            <w:r>
              <w:rPr>
                <w:rFonts w:hint="eastAsia"/>
              </w:rPr>
              <w:t>根据双方协议按期偿还。</w:t>
            </w:r>
          </w:p>
        </w:tc>
      </w:tr>
    </w:tbl>
    <w:p w14:paraId="2E9B3F9C">
      <w:pPr>
        <w:rPr>
          <w:color w:val="000000" w:themeColor="text1"/>
          <w14:textFill>
            <w14:solidFill>
              <w14:schemeClr w14:val="tx1"/>
            </w14:solidFill>
          </w14:textFill>
        </w:rPr>
      </w:pPr>
    </w:p>
    <w:p w14:paraId="03DC22D2">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公司与存在关联关系的财务公司、公司控股财务公司与关联方之间的金融业务</w:t>
      </w:r>
    </w:p>
    <w:sdt>
      <w:sdtPr>
        <w:rPr>
          <w:color w:val="000000" w:themeColor="text1"/>
          <w14:textFill>
            <w14:solidFill>
              <w14:schemeClr w14:val="tx1"/>
            </w14:solidFill>
          </w14:textFill>
        </w:rPr>
        <w:alias w:val="是否适用：公司与存在关联关系的财务公司、公司控股财务公司与关联方之间的金融业务 [双击切换]"/>
        <w:tag w:val="_GBC_918ef76103ad41b4a79075b59fdb8bf4"/>
        <w:id w:val="147452748"/>
        <w:lock w:val="contentLocked"/>
        <w:placeholder>
          <w:docPart w:val="{d8014d7a-cba5-4a66-9d59-c514dac73ae3}"/>
        </w:placeholder>
      </w:sdtPr>
      <w:sdtEndPr>
        <w:rPr>
          <w:color w:val="000000" w:themeColor="text1"/>
          <w14:textFill>
            <w14:solidFill>
              <w14:schemeClr w14:val="tx1"/>
            </w14:solidFill>
          </w14:textFill>
        </w:rPr>
      </w:sdtEndPr>
      <w:sdtContent>
        <w:p w14:paraId="4FF9BBD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88F59A">
      <w:pPr>
        <w:pStyle w:val="58"/>
        <w:numPr>
          <w:ilvl w:val="0"/>
          <w:numId w:val="21"/>
        </w:numPr>
        <w:rPr>
          <w:rFonts w:ascii="宋体" w:hAnsi="宋体"/>
          <w:color w:val="000000" w:themeColor="text1"/>
          <w14:textFill>
            <w14:solidFill>
              <w14:schemeClr w14:val="tx1"/>
            </w14:solidFill>
          </w14:textFill>
        </w:rPr>
      </w:pPr>
      <w:bookmarkStart w:id="58" w:name="_Hlk106875230"/>
      <w:r>
        <w:rPr>
          <w:rFonts w:hint="eastAsia" w:ascii="宋体" w:hAnsi="宋体"/>
          <w:color w:val="000000" w:themeColor="text1"/>
          <w14:textFill>
            <w14:solidFill>
              <w14:schemeClr w14:val="tx1"/>
            </w14:solidFill>
          </w14:textFill>
        </w:rPr>
        <w:t>存款业务</w:t>
      </w:r>
    </w:p>
    <w:sdt>
      <w:sdtPr>
        <w:rPr>
          <w:color w:val="000000" w:themeColor="text1"/>
          <w14:textFill>
            <w14:solidFill>
              <w14:schemeClr w14:val="tx1"/>
            </w14:solidFill>
          </w14:textFill>
        </w:rPr>
        <w:alias w:val="是否适用：存款业务[双击切换]"/>
        <w:tag w:val="_GBC_f9224e59e79e4e7f90861dc9c88bbaf5"/>
        <w:id w:val="147471070"/>
        <w:placeholder>
          <w:docPart w:val="{d8014d7a-cba5-4a66-9d59-c514dac73ae3}"/>
        </w:placeholder>
      </w:sdtPr>
      <w:sdtEndPr>
        <w:rPr>
          <w:color w:val="000000" w:themeColor="text1"/>
          <w14:textFill>
            <w14:solidFill>
              <w14:schemeClr w14:val="tx1"/>
            </w14:solidFill>
          </w14:textFill>
        </w:rPr>
      </w:sdtEndPr>
      <w:sdtContent>
        <w:p w14:paraId="760C41E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67D92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存款业务情况"/>
          <w:tag w:val="_GBC_9ecd65a8331e452c98309d736d6493e0"/>
          <w:id w:val="147467844"/>
          <w:placeholder>
            <w:docPart w:val="{d8014d7a-cba5-4a66-9d59-c514dac73ae3}"/>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存款业务情况"/>
          <w:tag w:val="_GBC_28238db17bf94957b134a53203001b6c"/>
          <w:id w:val="147470544"/>
          <w:placeholder>
            <w:docPart w:val="{d8014d7a-cba5-4a66-9d59-c514dac73ae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837"/>
        <w:gridCol w:w="935"/>
        <w:gridCol w:w="1371"/>
        <w:gridCol w:w="1161"/>
        <w:gridCol w:w="1319"/>
        <w:gridCol w:w="1319"/>
        <w:gridCol w:w="1161"/>
      </w:tblGrid>
      <w:tr w14:paraId="1336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fba45c0a60d4a5eaefab3b7e513ac6f"/>
            <w:id w:val="147473285"/>
          </w:sdtPr>
          <w:sdtContent>
            <w:tc>
              <w:tcPr>
                <w:tcW w:w="617" w:type="pct"/>
                <w:vMerge w:val="restart"/>
                <w:vAlign w:val="center"/>
              </w:tcPr>
              <w:p w14:paraId="55D7E1DF">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w:t>
                </w:r>
              </w:p>
            </w:tc>
          </w:sdtContent>
        </w:sdt>
        <w:sdt>
          <w:sdtPr>
            <w:tag w:val="_PLD_e0c38f9a2c974c4fbf8f3797e658b580"/>
            <w:id w:val="147479209"/>
          </w:sdtPr>
          <w:sdtContent>
            <w:tc>
              <w:tcPr>
                <w:tcW w:w="557" w:type="pct"/>
                <w:vMerge w:val="restart"/>
                <w:vAlign w:val="center"/>
              </w:tcPr>
              <w:p w14:paraId="756F343D">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关联关系</w:t>
                </w:r>
              </w:p>
            </w:tc>
          </w:sdtContent>
        </w:sdt>
        <w:sdt>
          <w:sdtPr>
            <w:tag w:val="_PLD_98e3b28dc1a04a5988e28b76ce9f4d2f"/>
            <w:id w:val="147459201"/>
          </w:sdtPr>
          <w:sdtContent>
            <w:tc>
              <w:tcPr>
                <w:tcW w:w="611" w:type="pct"/>
                <w:vMerge w:val="restart"/>
                <w:vAlign w:val="center"/>
              </w:tcPr>
              <w:p w14:paraId="0C6A4EE7">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每日最高存款限额</w:t>
                </w:r>
              </w:p>
            </w:tc>
          </w:sdtContent>
        </w:sdt>
        <w:sdt>
          <w:sdtPr>
            <w:tag w:val="_PLD_53344796359b4d568d3a4496aae806b2"/>
            <w:id w:val="147467789"/>
          </w:sdtPr>
          <w:sdtContent>
            <w:tc>
              <w:tcPr>
                <w:tcW w:w="437" w:type="pct"/>
                <w:vMerge w:val="restart"/>
                <w:vAlign w:val="center"/>
              </w:tcPr>
              <w:p w14:paraId="3F62EAB1">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存款利率范围</w:t>
                </w:r>
              </w:p>
            </w:tc>
          </w:sdtContent>
        </w:sdt>
        <w:sdt>
          <w:sdtPr>
            <w:tag w:val="_PLD_6cab16c6c91b47ceb56c93e75218443e"/>
            <w:id w:val="147475364"/>
          </w:sdtPr>
          <w:sdtContent>
            <w:tc>
              <w:tcPr>
                <w:tcW w:w="628" w:type="pct"/>
                <w:vMerge w:val="restart"/>
                <w:vAlign w:val="center"/>
              </w:tcPr>
              <w:p w14:paraId="7C445F74">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81041006ec3648d191df952d3dd35ca2"/>
            <w:id w:val="147453856"/>
          </w:sdtPr>
          <w:sdtContent>
            <w:tc>
              <w:tcPr>
                <w:tcW w:w="1499" w:type="pct"/>
                <w:gridSpan w:val="2"/>
                <w:vAlign w:val="center"/>
              </w:tcPr>
              <w:p w14:paraId="29728E83">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本期发生额</w:t>
                </w:r>
              </w:p>
            </w:tc>
          </w:sdtContent>
        </w:sdt>
        <w:sdt>
          <w:sdtPr>
            <w:tag w:val="_PLD_aa27139c32114925a8a34de1276d74de"/>
            <w:id w:val="147459899"/>
          </w:sdtPr>
          <w:sdtContent>
            <w:tc>
              <w:tcPr>
                <w:tcW w:w="651" w:type="pct"/>
                <w:vMerge w:val="restart"/>
                <w:vAlign w:val="center"/>
              </w:tcPr>
              <w:p w14:paraId="6AA905BA">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078E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vMerge w:val="continue"/>
            <w:vAlign w:val="center"/>
          </w:tcPr>
          <w:p w14:paraId="64CBD699">
            <w:pPr>
              <w:widowControl w:val="0"/>
              <w:autoSpaceDE w:val="0"/>
              <w:autoSpaceDN w:val="0"/>
              <w:adjustRightInd w:val="0"/>
              <w:jc w:val="center"/>
              <w:rPr>
                <w:color w:val="000000" w:themeColor="text1"/>
                <w14:textFill>
                  <w14:solidFill>
                    <w14:schemeClr w14:val="tx1"/>
                  </w14:solidFill>
                </w14:textFill>
              </w:rPr>
            </w:pPr>
          </w:p>
        </w:tc>
        <w:tc>
          <w:tcPr>
            <w:tcW w:w="557" w:type="pct"/>
            <w:vMerge w:val="continue"/>
            <w:vAlign w:val="center"/>
          </w:tcPr>
          <w:p w14:paraId="1A3CB5BB">
            <w:pPr>
              <w:widowControl w:val="0"/>
              <w:autoSpaceDE w:val="0"/>
              <w:autoSpaceDN w:val="0"/>
              <w:adjustRightInd w:val="0"/>
              <w:jc w:val="center"/>
              <w:rPr>
                <w:color w:val="000000" w:themeColor="text1"/>
                <w14:textFill>
                  <w14:solidFill>
                    <w14:schemeClr w14:val="tx1"/>
                  </w14:solidFill>
                </w14:textFill>
              </w:rPr>
            </w:pPr>
          </w:p>
        </w:tc>
        <w:tc>
          <w:tcPr>
            <w:tcW w:w="611" w:type="pct"/>
            <w:vMerge w:val="continue"/>
            <w:vAlign w:val="center"/>
          </w:tcPr>
          <w:p w14:paraId="09FABE5F">
            <w:pPr>
              <w:widowControl w:val="0"/>
              <w:autoSpaceDE w:val="0"/>
              <w:autoSpaceDN w:val="0"/>
              <w:adjustRightInd w:val="0"/>
              <w:jc w:val="center"/>
              <w:rPr>
                <w:color w:val="000000" w:themeColor="text1"/>
                <w14:textFill>
                  <w14:solidFill>
                    <w14:schemeClr w14:val="tx1"/>
                  </w14:solidFill>
                </w14:textFill>
              </w:rPr>
            </w:pPr>
          </w:p>
        </w:tc>
        <w:tc>
          <w:tcPr>
            <w:tcW w:w="437" w:type="pct"/>
            <w:vMerge w:val="continue"/>
            <w:vAlign w:val="center"/>
          </w:tcPr>
          <w:p w14:paraId="489842F5">
            <w:pPr>
              <w:widowControl w:val="0"/>
              <w:autoSpaceDE w:val="0"/>
              <w:autoSpaceDN w:val="0"/>
              <w:adjustRightInd w:val="0"/>
              <w:jc w:val="center"/>
              <w:rPr>
                <w:color w:val="000000" w:themeColor="text1"/>
                <w14:textFill>
                  <w14:solidFill>
                    <w14:schemeClr w14:val="tx1"/>
                  </w14:solidFill>
                </w14:textFill>
              </w:rPr>
            </w:pPr>
          </w:p>
        </w:tc>
        <w:tc>
          <w:tcPr>
            <w:tcW w:w="628" w:type="pct"/>
            <w:vMerge w:val="continue"/>
            <w:vAlign w:val="center"/>
          </w:tcPr>
          <w:p w14:paraId="3CAF221C">
            <w:pPr>
              <w:widowControl w:val="0"/>
              <w:autoSpaceDE w:val="0"/>
              <w:autoSpaceDN w:val="0"/>
              <w:adjustRightInd w:val="0"/>
              <w:jc w:val="center"/>
              <w:rPr>
                <w:color w:val="000000" w:themeColor="text1"/>
                <w14:textFill>
                  <w14:solidFill>
                    <w14:schemeClr w14:val="tx1"/>
                  </w14:solidFill>
                </w14:textFill>
              </w:rPr>
            </w:pPr>
          </w:p>
        </w:tc>
        <w:sdt>
          <w:sdtPr>
            <w:tag w:val="_PLD_a2f6b5773eb24bb8a29fbf18bb7113a5"/>
            <w:id w:val="147470412"/>
          </w:sdtPr>
          <w:sdtContent>
            <w:tc>
              <w:tcPr>
                <w:tcW w:w="710" w:type="pct"/>
                <w:vAlign w:val="center"/>
              </w:tcPr>
              <w:p w14:paraId="591FA05C">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本期合计存入金额</w:t>
                </w:r>
              </w:p>
            </w:tc>
          </w:sdtContent>
        </w:sdt>
        <w:sdt>
          <w:sdtPr>
            <w:tag w:val="_PLD_20c568f382ae46968ad4e263923079b1"/>
            <w:id w:val="147482050"/>
          </w:sdtPr>
          <w:sdtContent>
            <w:tc>
              <w:tcPr>
                <w:tcW w:w="789" w:type="pct"/>
              </w:tcPr>
              <w:p w14:paraId="6AAD701F">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本期合计取出金额</w:t>
                </w:r>
              </w:p>
            </w:tc>
          </w:sdtContent>
        </w:sdt>
        <w:tc>
          <w:tcPr>
            <w:tcW w:w="651" w:type="pct"/>
            <w:vMerge w:val="continue"/>
            <w:vAlign w:val="center"/>
          </w:tcPr>
          <w:p w14:paraId="4BEEEC38">
            <w:pPr>
              <w:widowControl w:val="0"/>
              <w:autoSpaceDE w:val="0"/>
              <w:autoSpaceDN w:val="0"/>
              <w:adjustRightInd w:val="0"/>
              <w:jc w:val="center"/>
              <w:rPr>
                <w:color w:val="000000" w:themeColor="text1"/>
                <w14:textFill>
                  <w14:solidFill>
                    <w14:schemeClr w14:val="tx1"/>
                  </w14:solidFill>
                </w14:textFill>
              </w:rPr>
            </w:pPr>
          </w:p>
        </w:tc>
      </w:tr>
      <w:tr w14:paraId="6BED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vAlign w:val="center"/>
          </w:tcPr>
          <w:p w14:paraId="61095593">
            <w:pPr>
              <w:widowControl w:val="0"/>
              <w:autoSpaceDE w:val="0"/>
              <w:autoSpaceDN w:val="0"/>
              <w:adjustRightInd w:val="0"/>
              <w:jc w:val="center"/>
            </w:pPr>
            <w:r>
              <w:rPr>
                <w:rFonts w:ascii="Arial Narrow" w:hAnsi="Arial Narrow"/>
                <w:color w:val="000000"/>
              </w:rPr>
              <w:t>新兴际华集团财务有限公司</w:t>
            </w:r>
          </w:p>
        </w:tc>
        <w:tc>
          <w:tcPr>
            <w:tcW w:w="557" w:type="pct"/>
            <w:vAlign w:val="center"/>
          </w:tcPr>
          <w:p w14:paraId="0F01A725">
            <w:pPr>
              <w:widowControl w:val="0"/>
              <w:autoSpaceDE w:val="0"/>
              <w:autoSpaceDN w:val="0"/>
              <w:adjustRightInd w:val="0"/>
              <w:jc w:val="center"/>
            </w:pPr>
            <w:r>
              <w:rPr>
                <w:rFonts w:ascii="Arial Narrow" w:hAnsi="Arial Narrow"/>
                <w:color w:val="000000"/>
              </w:rPr>
              <w:t>母公司的全资子公司</w:t>
            </w:r>
          </w:p>
        </w:tc>
        <w:tc>
          <w:tcPr>
            <w:tcW w:w="611" w:type="pct"/>
            <w:vAlign w:val="center"/>
          </w:tcPr>
          <w:p w14:paraId="0A10B6D2">
            <w:pPr>
              <w:widowControl w:val="0"/>
              <w:autoSpaceDE w:val="0"/>
              <w:autoSpaceDN w:val="0"/>
              <w:adjustRightInd w:val="0"/>
              <w:jc w:val="right"/>
              <w:rPr>
                <w:rFonts w:cs="Times New Roman"/>
              </w:rPr>
            </w:pPr>
            <w:r>
              <w:rPr>
                <w:rFonts w:cs="Times New Roman"/>
                <w:color w:val="000000"/>
              </w:rPr>
              <w:t>800,000</w:t>
            </w:r>
          </w:p>
        </w:tc>
        <w:tc>
          <w:tcPr>
            <w:tcW w:w="437" w:type="pct"/>
            <w:vAlign w:val="center"/>
          </w:tcPr>
          <w:p w14:paraId="54BF77DB">
            <w:pPr>
              <w:widowControl w:val="0"/>
              <w:autoSpaceDE w:val="0"/>
              <w:autoSpaceDN w:val="0"/>
              <w:adjustRightInd w:val="0"/>
              <w:jc w:val="right"/>
              <w:rPr>
                <w:rFonts w:cs="Times New Roman"/>
              </w:rPr>
            </w:pPr>
            <w:r>
              <w:rPr>
                <w:rFonts w:cs="Times New Roman"/>
                <w:color w:val="000000"/>
              </w:rPr>
              <w:t>0.35%-1.85%</w:t>
            </w:r>
          </w:p>
        </w:tc>
        <w:tc>
          <w:tcPr>
            <w:tcW w:w="1078" w:type="dxa"/>
            <w:vAlign w:val="center"/>
          </w:tcPr>
          <w:p w14:paraId="48D3482F">
            <w:pPr>
              <w:jc w:val="right"/>
              <w:textAlignment w:val="center"/>
              <w:rPr>
                <w:rFonts w:cs="Times New Roman"/>
              </w:rPr>
            </w:pPr>
            <w:r>
              <w:rPr>
                <w:rFonts w:eastAsia="Arial Narrow" w:cs="Times New Roman"/>
                <w:color w:val="000000"/>
                <w:lang w:bidi="ar"/>
              </w:rPr>
              <w:t>335,173.67</w:t>
            </w:r>
          </w:p>
        </w:tc>
        <w:tc>
          <w:tcPr>
            <w:tcW w:w="1174" w:type="dxa"/>
            <w:vAlign w:val="center"/>
          </w:tcPr>
          <w:p w14:paraId="64BF84AE">
            <w:pPr>
              <w:jc w:val="right"/>
              <w:textAlignment w:val="center"/>
              <w:rPr>
                <w:rFonts w:cs="Times New Roman"/>
              </w:rPr>
            </w:pPr>
            <w:r>
              <w:rPr>
                <w:rFonts w:eastAsia="Arial Narrow" w:cs="Times New Roman"/>
                <w:color w:val="000000"/>
                <w:lang w:bidi="ar"/>
              </w:rPr>
              <w:t>1,404,382.00</w:t>
            </w:r>
          </w:p>
        </w:tc>
        <w:tc>
          <w:tcPr>
            <w:tcW w:w="1363" w:type="dxa"/>
            <w:vAlign w:val="center"/>
          </w:tcPr>
          <w:p w14:paraId="0D0D51BA">
            <w:pPr>
              <w:jc w:val="right"/>
              <w:textAlignment w:val="center"/>
              <w:rPr>
                <w:rFonts w:cs="Times New Roman"/>
              </w:rPr>
            </w:pPr>
            <w:r>
              <w:rPr>
                <w:rFonts w:eastAsia="Arial Narrow" w:cs="Times New Roman"/>
                <w:color w:val="000000"/>
                <w:lang w:bidi="ar"/>
              </w:rPr>
              <w:t>1,302,459.61</w:t>
            </w:r>
          </w:p>
        </w:tc>
        <w:tc>
          <w:tcPr>
            <w:tcW w:w="1113" w:type="dxa"/>
            <w:vAlign w:val="center"/>
          </w:tcPr>
          <w:p w14:paraId="3AD466E7">
            <w:pPr>
              <w:jc w:val="right"/>
              <w:textAlignment w:val="center"/>
              <w:rPr>
                <w:rFonts w:cs="Times New Roman"/>
              </w:rPr>
            </w:pPr>
            <w:r>
              <w:rPr>
                <w:rFonts w:eastAsia="Arial Narrow" w:cs="Times New Roman"/>
                <w:color w:val="000000"/>
                <w:lang w:bidi="ar"/>
              </w:rPr>
              <w:t>437,096.06</w:t>
            </w:r>
          </w:p>
        </w:tc>
      </w:tr>
      <w:tr w14:paraId="3A7E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17" w:type="pct"/>
            <w:vAlign w:val="center"/>
          </w:tcPr>
          <w:p w14:paraId="26C9FEB4">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557" w:type="pct"/>
            <w:vAlign w:val="center"/>
          </w:tcPr>
          <w:p w14:paraId="617A1408">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11" w:type="pct"/>
            <w:vAlign w:val="center"/>
          </w:tcPr>
          <w:p w14:paraId="6EFE1759">
            <w:pPr>
              <w:widowControl w:val="0"/>
              <w:autoSpaceDE w:val="0"/>
              <w:autoSpaceDN w:val="0"/>
              <w:adjustRightInd w:val="0"/>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437" w:type="pct"/>
            <w:vAlign w:val="center"/>
          </w:tcPr>
          <w:p w14:paraId="79C539CA">
            <w:pPr>
              <w:widowControl w:val="0"/>
              <w:autoSpaceDE w:val="0"/>
              <w:autoSpaceDN w:val="0"/>
              <w:adjustRightInd w:val="0"/>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1078" w:type="dxa"/>
            <w:vAlign w:val="center"/>
          </w:tcPr>
          <w:p w14:paraId="4EA10038">
            <w:pPr>
              <w:jc w:val="right"/>
              <w:textAlignment w:val="center"/>
              <w:rPr>
                <w:rFonts w:cs="Times New Roman"/>
              </w:rPr>
            </w:pPr>
            <w:r>
              <w:rPr>
                <w:rFonts w:eastAsia="Arial Narrow" w:cs="Times New Roman"/>
                <w:color w:val="000000"/>
                <w:lang w:bidi="ar"/>
              </w:rPr>
              <w:t>335,173.67</w:t>
            </w:r>
          </w:p>
        </w:tc>
        <w:tc>
          <w:tcPr>
            <w:tcW w:w="1174" w:type="dxa"/>
            <w:vAlign w:val="center"/>
          </w:tcPr>
          <w:p w14:paraId="4426CE01">
            <w:pPr>
              <w:jc w:val="right"/>
              <w:textAlignment w:val="center"/>
              <w:rPr>
                <w:rFonts w:cs="Times New Roman"/>
              </w:rPr>
            </w:pPr>
            <w:r>
              <w:rPr>
                <w:rFonts w:eastAsia="Arial Narrow" w:cs="Times New Roman"/>
                <w:color w:val="000000"/>
                <w:lang w:bidi="ar"/>
              </w:rPr>
              <w:t>1,404,382.00</w:t>
            </w:r>
          </w:p>
        </w:tc>
        <w:tc>
          <w:tcPr>
            <w:tcW w:w="1363" w:type="dxa"/>
            <w:vAlign w:val="center"/>
          </w:tcPr>
          <w:p w14:paraId="7DA26762">
            <w:pPr>
              <w:jc w:val="right"/>
              <w:textAlignment w:val="center"/>
              <w:rPr>
                <w:rFonts w:cs="Times New Roman"/>
              </w:rPr>
            </w:pPr>
            <w:r>
              <w:rPr>
                <w:rFonts w:eastAsia="Arial Narrow" w:cs="Times New Roman"/>
                <w:color w:val="000000"/>
                <w:lang w:bidi="ar"/>
              </w:rPr>
              <w:t>1,302,459.61</w:t>
            </w:r>
          </w:p>
        </w:tc>
        <w:tc>
          <w:tcPr>
            <w:tcW w:w="1113" w:type="dxa"/>
            <w:vAlign w:val="center"/>
          </w:tcPr>
          <w:p w14:paraId="6A771615">
            <w:pPr>
              <w:jc w:val="right"/>
              <w:textAlignment w:val="center"/>
              <w:rPr>
                <w:rFonts w:cs="Times New Roman"/>
              </w:rPr>
            </w:pPr>
            <w:r>
              <w:rPr>
                <w:rFonts w:eastAsia="Arial Narrow" w:cs="Times New Roman"/>
                <w:color w:val="000000"/>
                <w:lang w:bidi="ar"/>
              </w:rPr>
              <w:t>437,096.06</w:t>
            </w:r>
          </w:p>
        </w:tc>
      </w:tr>
    </w:tbl>
    <w:p w14:paraId="612705A5">
      <w:pPr>
        <w:rPr>
          <w:color w:val="000000" w:themeColor="text1"/>
          <w14:textFill>
            <w14:solidFill>
              <w14:schemeClr w14:val="tx1"/>
            </w14:solidFill>
          </w14:textFill>
        </w:rPr>
      </w:pPr>
    </w:p>
    <w:bookmarkEnd w:id="58"/>
    <w:p w14:paraId="548C1F08">
      <w:pPr>
        <w:pStyle w:val="58"/>
        <w:numPr>
          <w:ilvl w:val="0"/>
          <w:numId w:val="21"/>
        </w:numPr>
        <w:rPr>
          <w:rFonts w:ascii="宋体" w:hAnsi="宋体"/>
          <w:color w:val="000000" w:themeColor="text1"/>
          <w14:textFill>
            <w14:solidFill>
              <w14:schemeClr w14:val="tx1"/>
            </w14:solidFill>
          </w14:textFill>
        </w:rPr>
      </w:pPr>
      <w:bookmarkStart w:id="59" w:name="_Hlk106875255"/>
      <w:r>
        <w:rPr>
          <w:rFonts w:hint="eastAsia" w:ascii="宋体" w:hAnsi="宋体"/>
          <w:color w:val="000000" w:themeColor="text1"/>
          <w14:textFill>
            <w14:solidFill>
              <w14:schemeClr w14:val="tx1"/>
            </w14:solidFill>
          </w14:textFill>
        </w:rPr>
        <w:t>贷款业务</w:t>
      </w:r>
    </w:p>
    <w:sdt>
      <w:sdtPr>
        <w:rPr>
          <w:color w:val="000000" w:themeColor="text1"/>
          <w14:textFill>
            <w14:solidFill>
              <w14:schemeClr w14:val="tx1"/>
            </w14:solidFill>
          </w14:textFill>
        </w:rPr>
        <w:alias w:val="是否适用：贷款业务[双击切换]"/>
        <w:tag w:val="_GBC_15b9ec2cfd26471eb84f966164f4e1fa"/>
        <w:id w:val="147470960"/>
        <w:placeholder>
          <w:docPart w:val="{d8014d7a-cba5-4a66-9d59-c514dac73ae3}"/>
        </w:placeholder>
      </w:sdtPr>
      <w:sdtEndPr>
        <w:rPr>
          <w:color w:val="000000" w:themeColor="text1"/>
          <w14:textFill>
            <w14:solidFill>
              <w14:schemeClr w14:val="tx1"/>
            </w14:solidFill>
          </w14:textFill>
        </w:rPr>
      </w:sdtEndPr>
      <w:sdtContent>
        <w:p w14:paraId="16A1048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66DEDA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贷款业务情况"/>
          <w:tag w:val="_GBC_00ad76cd7031486d9c7b9a4a4ddf886c"/>
          <w:id w:val="147480580"/>
          <w:placeholder>
            <w:docPart w:val="{d8014d7a-cba5-4a66-9d59-c514dac73ae3}"/>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贷款业务情况"/>
          <w:tag w:val="_GBC_2346ac86af354eb19e43f4e9b28e4376"/>
          <w:id w:val="147461118"/>
          <w:placeholder>
            <w:docPart w:val="{d8014d7a-cba5-4a66-9d59-c514dac73ae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947"/>
        <w:gridCol w:w="1184"/>
        <w:gridCol w:w="1161"/>
        <w:gridCol w:w="1057"/>
        <w:gridCol w:w="1095"/>
        <w:gridCol w:w="1386"/>
        <w:gridCol w:w="1133"/>
      </w:tblGrid>
      <w:tr w14:paraId="4098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ccdec2bb6f94443b7713c1c56ae19fd"/>
            <w:id w:val="147462979"/>
          </w:sdtPr>
          <w:sdtContent>
            <w:tc>
              <w:tcPr>
                <w:tcW w:w="639" w:type="pct"/>
                <w:vMerge w:val="restart"/>
                <w:vAlign w:val="center"/>
              </w:tcPr>
              <w:p w14:paraId="220C65AE">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w:t>
                </w:r>
              </w:p>
            </w:tc>
          </w:sdtContent>
        </w:sdt>
        <w:sdt>
          <w:sdtPr>
            <w:tag w:val="_PLD_34800de0a23746a9808d2abc3c4b5f1c"/>
            <w:id w:val="147466215"/>
          </w:sdtPr>
          <w:sdtContent>
            <w:tc>
              <w:tcPr>
                <w:tcW w:w="562" w:type="pct"/>
                <w:vMerge w:val="restart"/>
                <w:vAlign w:val="center"/>
              </w:tcPr>
              <w:p w14:paraId="37FDAC7D">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关联关系</w:t>
                </w:r>
              </w:p>
            </w:tc>
          </w:sdtContent>
        </w:sdt>
        <w:sdt>
          <w:sdtPr>
            <w:tag w:val="_PLD_dfb92dc18b4943a2b8e0637ac8e976a9"/>
            <w:id w:val="147469933"/>
          </w:sdtPr>
          <w:sdtContent>
            <w:tc>
              <w:tcPr>
                <w:tcW w:w="693" w:type="pct"/>
                <w:vMerge w:val="restart"/>
                <w:vAlign w:val="center"/>
              </w:tcPr>
              <w:p w14:paraId="0A05DD38">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贷款额度</w:t>
                </w:r>
              </w:p>
            </w:tc>
          </w:sdtContent>
        </w:sdt>
        <w:sdt>
          <w:sdtPr>
            <w:tag w:val="_PLD_37830bab3f184d6f885fa2d04676b78a"/>
            <w:id w:val="147479062"/>
          </w:sdtPr>
          <w:sdtContent>
            <w:tc>
              <w:tcPr>
                <w:tcW w:w="434" w:type="pct"/>
                <w:vMerge w:val="restart"/>
                <w:vAlign w:val="center"/>
              </w:tcPr>
              <w:p w14:paraId="04C367C6">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贷款利率范围</w:t>
                </w:r>
              </w:p>
            </w:tc>
          </w:sdtContent>
        </w:sdt>
        <w:sdt>
          <w:sdtPr>
            <w:tag w:val="_PLD_5cad7812dfed4700b1fd6b6b0d481d68"/>
            <w:id w:val="147454908"/>
          </w:sdtPr>
          <w:sdtContent>
            <w:tc>
              <w:tcPr>
                <w:tcW w:w="561" w:type="pct"/>
                <w:vMerge w:val="restart"/>
                <w:vAlign w:val="center"/>
              </w:tcPr>
              <w:p w14:paraId="3884093A">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cd7f045054244bbf9758d1f15eae221c"/>
            <w:id w:val="147472887"/>
          </w:sdtPr>
          <w:sdtContent>
            <w:tc>
              <w:tcPr>
                <w:tcW w:w="1447" w:type="pct"/>
                <w:gridSpan w:val="2"/>
                <w:vAlign w:val="center"/>
              </w:tcPr>
              <w:p w14:paraId="1699BFAF">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本期发生额</w:t>
                </w:r>
              </w:p>
            </w:tc>
          </w:sdtContent>
        </w:sdt>
        <w:sdt>
          <w:sdtPr>
            <w:tag w:val="_PLD_5057306024d64be48c625625af4ed37b"/>
            <w:id w:val="147470991"/>
          </w:sdtPr>
          <w:sdtContent>
            <w:tc>
              <w:tcPr>
                <w:tcW w:w="664" w:type="pct"/>
                <w:vMerge w:val="restart"/>
                <w:vAlign w:val="center"/>
              </w:tcPr>
              <w:p w14:paraId="74ABEA0A">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75DE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Merge w:val="continue"/>
            <w:vAlign w:val="center"/>
          </w:tcPr>
          <w:p w14:paraId="30C32891">
            <w:pPr>
              <w:widowControl w:val="0"/>
              <w:autoSpaceDE w:val="0"/>
              <w:autoSpaceDN w:val="0"/>
              <w:adjustRightInd w:val="0"/>
              <w:jc w:val="center"/>
              <w:rPr>
                <w:color w:val="000000" w:themeColor="text1"/>
                <w14:textFill>
                  <w14:solidFill>
                    <w14:schemeClr w14:val="tx1"/>
                  </w14:solidFill>
                </w14:textFill>
              </w:rPr>
            </w:pPr>
          </w:p>
        </w:tc>
        <w:tc>
          <w:tcPr>
            <w:tcW w:w="562" w:type="pct"/>
            <w:vMerge w:val="continue"/>
            <w:vAlign w:val="center"/>
          </w:tcPr>
          <w:p w14:paraId="2DBACA42">
            <w:pPr>
              <w:widowControl w:val="0"/>
              <w:autoSpaceDE w:val="0"/>
              <w:autoSpaceDN w:val="0"/>
              <w:adjustRightInd w:val="0"/>
              <w:jc w:val="center"/>
              <w:rPr>
                <w:color w:val="000000" w:themeColor="text1"/>
                <w14:textFill>
                  <w14:solidFill>
                    <w14:schemeClr w14:val="tx1"/>
                  </w14:solidFill>
                </w14:textFill>
              </w:rPr>
            </w:pPr>
          </w:p>
        </w:tc>
        <w:tc>
          <w:tcPr>
            <w:tcW w:w="693" w:type="pct"/>
            <w:vMerge w:val="continue"/>
            <w:vAlign w:val="center"/>
          </w:tcPr>
          <w:p w14:paraId="03E3D22A">
            <w:pPr>
              <w:widowControl w:val="0"/>
              <w:autoSpaceDE w:val="0"/>
              <w:autoSpaceDN w:val="0"/>
              <w:adjustRightInd w:val="0"/>
              <w:jc w:val="center"/>
              <w:rPr>
                <w:color w:val="000000" w:themeColor="text1"/>
                <w14:textFill>
                  <w14:solidFill>
                    <w14:schemeClr w14:val="tx1"/>
                  </w14:solidFill>
                </w14:textFill>
              </w:rPr>
            </w:pPr>
          </w:p>
        </w:tc>
        <w:tc>
          <w:tcPr>
            <w:tcW w:w="434" w:type="pct"/>
            <w:vMerge w:val="continue"/>
            <w:vAlign w:val="center"/>
          </w:tcPr>
          <w:p w14:paraId="309B3D09">
            <w:pPr>
              <w:widowControl w:val="0"/>
              <w:autoSpaceDE w:val="0"/>
              <w:autoSpaceDN w:val="0"/>
              <w:adjustRightInd w:val="0"/>
              <w:jc w:val="center"/>
              <w:rPr>
                <w:color w:val="000000" w:themeColor="text1"/>
                <w14:textFill>
                  <w14:solidFill>
                    <w14:schemeClr w14:val="tx1"/>
                  </w14:solidFill>
                </w14:textFill>
              </w:rPr>
            </w:pPr>
          </w:p>
        </w:tc>
        <w:tc>
          <w:tcPr>
            <w:tcW w:w="561" w:type="pct"/>
            <w:vMerge w:val="continue"/>
            <w:vAlign w:val="center"/>
          </w:tcPr>
          <w:p w14:paraId="47103B2D">
            <w:pPr>
              <w:widowControl w:val="0"/>
              <w:autoSpaceDE w:val="0"/>
              <w:autoSpaceDN w:val="0"/>
              <w:adjustRightInd w:val="0"/>
              <w:jc w:val="center"/>
              <w:rPr>
                <w:color w:val="000000" w:themeColor="text1"/>
                <w14:textFill>
                  <w14:solidFill>
                    <w14:schemeClr w14:val="tx1"/>
                  </w14:solidFill>
                </w14:textFill>
              </w:rPr>
            </w:pPr>
          </w:p>
        </w:tc>
        <w:sdt>
          <w:sdtPr>
            <w:tag w:val="_PLD_5e696e51a65f4c20a7cd76e58adf2d7e"/>
            <w:id w:val="147474558"/>
          </w:sdtPr>
          <w:sdtContent>
            <w:tc>
              <w:tcPr>
                <w:tcW w:w="643" w:type="pct"/>
                <w:vAlign w:val="center"/>
              </w:tcPr>
              <w:p w14:paraId="0F648C75">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本期合计贷款金额</w:t>
                </w:r>
              </w:p>
            </w:tc>
          </w:sdtContent>
        </w:sdt>
        <w:sdt>
          <w:sdtPr>
            <w:tag w:val="_PLD_1e91155a2791417ba8957ae6050af745"/>
            <w:id w:val="147483362"/>
          </w:sdtPr>
          <w:sdtContent>
            <w:tc>
              <w:tcPr>
                <w:tcW w:w="804" w:type="pct"/>
              </w:tcPr>
              <w:p w14:paraId="45CB03B9">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本期合计还款金额</w:t>
                </w:r>
              </w:p>
            </w:tc>
          </w:sdtContent>
        </w:sdt>
        <w:tc>
          <w:tcPr>
            <w:tcW w:w="664" w:type="pct"/>
            <w:vMerge w:val="continue"/>
            <w:vAlign w:val="center"/>
          </w:tcPr>
          <w:p w14:paraId="39064EFF">
            <w:pPr>
              <w:widowControl w:val="0"/>
              <w:autoSpaceDE w:val="0"/>
              <w:autoSpaceDN w:val="0"/>
              <w:adjustRightInd w:val="0"/>
              <w:jc w:val="center"/>
              <w:rPr>
                <w:color w:val="000000" w:themeColor="text1"/>
                <w14:textFill>
                  <w14:solidFill>
                    <w14:schemeClr w14:val="tx1"/>
                  </w14:solidFill>
                </w14:textFill>
              </w:rPr>
            </w:pPr>
          </w:p>
        </w:tc>
      </w:tr>
      <w:tr w14:paraId="22E9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pct"/>
            <w:vAlign w:val="center"/>
          </w:tcPr>
          <w:p w14:paraId="55D048E0">
            <w:pPr>
              <w:widowControl w:val="0"/>
              <w:autoSpaceDE w:val="0"/>
              <w:autoSpaceDN w:val="0"/>
              <w:adjustRightInd w:val="0"/>
              <w:jc w:val="center"/>
            </w:pPr>
            <w:r>
              <w:rPr>
                <w:rFonts w:hint="eastAsia"/>
                <w:color w:val="000000"/>
              </w:rPr>
              <w:t>新兴际华集团财务有限公司</w:t>
            </w:r>
          </w:p>
        </w:tc>
        <w:tc>
          <w:tcPr>
            <w:tcW w:w="562" w:type="pct"/>
            <w:vAlign w:val="center"/>
          </w:tcPr>
          <w:p w14:paraId="352AF1F7">
            <w:pPr>
              <w:widowControl w:val="0"/>
              <w:autoSpaceDE w:val="0"/>
              <w:autoSpaceDN w:val="0"/>
              <w:adjustRightInd w:val="0"/>
              <w:jc w:val="center"/>
            </w:pPr>
            <w:r>
              <w:rPr>
                <w:rFonts w:hint="eastAsia"/>
                <w:color w:val="000000"/>
              </w:rPr>
              <w:t>母公司的全资子公司</w:t>
            </w:r>
          </w:p>
        </w:tc>
        <w:tc>
          <w:tcPr>
            <w:tcW w:w="693" w:type="pct"/>
            <w:vAlign w:val="center"/>
          </w:tcPr>
          <w:p w14:paraId="288403BC">
            <w:pPr>
              <w:widowControl w:val="0"/>
              <w:autoSpaceDE w:val="0"/>
              <w:autoSpaceDN w:val="0"/>
              <w:adjustRightInd w:val="0"/>
              <w:jc w:val="right"/>
              <w:rPr>
                <w:rFonts w:cs="Times New Roman"/>
              </w:rPr>
            </w:pPr>
            <w:r>
              <w:rPr>
                <w:rFonts w:cs="Times New Roman"/>
                <w:color w:val="000000"/>
              </w:rPr>
              <w:t>1,000,000</w:t>
            </w:r>
          </w:p>
        </w:tc>
        <w:tc>
          <w:tcPr>
            <w:tcW w:w="434" w:type="pct"/>
            <w:vAlign w:val="center"/>
          </w:tcPr>
          <w:p w14:paraId="75466261">
            <w:pPr>
              <w:widowControl w:val="0"/>
              <w:autoSpaceDE w:val="0"/>
              <w:autoSpaceDN w:val="0"/>
              <w:adjustRightInd w:val="0"/>
              <w:jc w:val="right"/>
              <w:rPr>
                <w:rFonts w:cs="Times New Roman"/>
              </w:rPr>
            </w:pPr>
            <w:r>
              <w:rPr>
                <w:rFonts w:cs="Times New Roman"/>
                <w:color w:val="000000"/>
              </w:rPr>
              <w:t>2.2%-2.3%</w:t>
            </w:r>
          </w:p>
        </w:tc>
        <w:tc>
          <w:tcPr>
            <w:tcW w:w="983" w:type="dxa"/>
            <w:vAlign w:val="center"/>
          </w:tcPr>
          <w:p w14:paraId="2B84E2FF">
            <w:pPr>
              <w:jc w:val="right"/>
              <w:textAlignment w:val="center"/>
              <w:rPr>
                <w:rFonts w:cs="Times New Roman"/>
              </w:rPr>
            </w:pPr>
            <w:r>
              <w:rPr>
                <w:rFonts w:eastAsia="Arial Narrow" w:cs="Times New Roman"/>
                <w:color w:val="000000"/>
                <w:lang w:bidi="ar"/>
              </w:rPr>
              <w:t>62,900.00</w:t>
            </w:r>
          </w:p>
        </w:tc>
        <w:tc>
          <w:tcPr>
            <w:tcW w:w="1111" w:type="dxa"/>
            <w:vAlign w:val="center"/>
          </w:tcPr>
          <w:p w14:paraId="6FBB023D">
            <w:pPr>
              <w:jc w:val="right"/>
              <w:rPr>
                <w:rFonts w:cs="Times New Roman"/>
              </w:rPr>
            </w:pPr>
          </w:p>
        </w:tc>
        <w:tc>
          <w:tcPr>
            <w:tcW w:w="1416" w:type="dxa"/>
            <w:vAlign w:val="center"/>
          </w:tcPr>
          <w:p w14:paraId="50ED879B">
            <w:pPr>
              <w:jc w:val="right"/>
              <w:textAlignment w:val="center"/>
              <w:rPr>
                <w:rFonts w:cs="Times New Roman"/>
              </w:rPr>
            </w:pPr>
            <w:r>
              <w:rPr>
                <w:rFonts w:eastAsia="Arial Narrow" w:cs="Times New Roman"/>
                <w:color w:val="000000"/>
                <w:lang w:bidi="ar"/>
              </w:rPr>
              <w:t>12,400.00</w:t>
            </w:r>
          </w:p>
        </w:tc>
        <w:tc>
          <w:tcPr>
            <w:tcW w:w="1163" w:type="dxa"/>
            <w:vAlign w:val="center"/>
          </w:tcPr>
          <w:p w14:paraId="797011EB">
            <w:pPr>
              <w:jc w:val="right"/>
              <w:textAlignment w:val="center"/>
              <w:rPr>
                <w:rFonts w:cs="Times New Roman"/>
              </w:rPr>
            </w:pPr>
            <w:r>
              <w:rPr>
                <w:rFonts w:eastAsia="Arial Narrow" w:cs="Times New Roman"/>
                <w:color w:val="000000"/>
                <w:lang w:bidi="ar"/>
              </w:rPr>
              <w:t>50,500.00</w:t>
            </w:r>
          </w:p>
        </w:tc>
      </w:tr>
      <w:tr w14:paraId="5005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39" w:type="pct"/>
            <w:vAlign w:val="center"/>
          </w:tcPr>
          <w:p w14:paraId="31AFFF6D">
            <w:pPr>
              <w:widowControl w:val="0"/>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562" w:type="pct"/>
            <w:vAlign w:val="center"/>
          </w:tcPr>
          <w:p w14:paraId="5909A758">
            <w:pPr>
              <w:widowControl w:val="0"/>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693" w:type="pct"/>
            <w:vAlign w:val="center"/>
          </w:tcPr>
          <w:p w14:paraId="06DC27E0">
            <w:pPr>
              <w:widowControl w:val="0"/>
              <w:autoSpaceDE w:val="0"/>
              <w:autoSpaceDN w:val="0"/>
              <w:adjustRightInd w:val="0"/>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434" w:type="pct"/>
            <w:vAlign w:val="center"/>
          </w:tcPr>
          <w:p w14:paraId="74FF0443">
            <w:pPr>
              <w:widowControl w:val="0"/>
              <w:autoSpaceDE w:val="0"/>
              <w:autoSpaceDN w:val="0"/>
              <w:adjustRightInd w:val="0"/>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983" w:type="dxa"/>
            <w:vAlign w:val="center"/>
          </w:tcPr>
          <w:p w14:paraId="01B69E62">
            <w:pPr>
              <w:jc w:val="right"/>
              <w:textAlignment w:val="center"/>
              <w:rPr>
                <w:rFonts w:cs="Times New Roman"/>
              </w:rPr>
            </w:pPr>
            <w:r>
              <w:rPr>
                <w:rFonts w:eastAsia="Arial Narrow" w:cs="Times New Roman"/>
                <w:color w:val="000000"/>
                <w:lang w:bidi="ar"/>
              </w:rPr>
              <w:t>62,900.00</w:t>
            </w:r>
          </w:p>
        </w:tc>
        <w:tc>
          <w:tcPr>
            <w:tcW w:w="1111" w:type="dxa"/>
            <w:vAlign w:val="center"/>
          </w:tcPr>
          <w:p w14:paraId="60667776">
            <w:pPr>
              <w:jc w:val="right"/>
              <w:rPr>
                <w:rFonts w:cs="Times New Roman"/>
              </w:rPr>
            </w:pPr>
          </w:p>
        </w:tc>
        <w:tc>
          <w:tcPr>
            <w:tcW w:w="1416" w:type="dxa"/>
            <w:vAlign w:val="center"/>
          </w:tcPr>
          <w:p w14:paraId="56CE14BA">
            <w:pPr>
              <w:jc w:val="right"/>
              <w:textAlignment w:val="center"/>
              <w:rPr>
                <w:rFonts w:cs="Times New Roman"/>
              </w:rPr>
            </w:pPr>
            <w:r>
              <w:rPr>
                <w:rFonts w:eastAsia="Arial Narrow" w:cs="Times New Roman"/>
                <w:color w:val="000000"/>
                <w:lang w:bidi="ar"/>
              </w:rPr>
              <w:t>12,400.00</w:t>
            </w:r>
          </w:p>
        </w:tc>
        <w:tc>
          <w:tcPr>
            <w:tcW w:w="1163" w:type="dxa"/>
            <w:vAlign w:val="center"/>
          </w:tcPr>
          <w:p w14:paraId="576EBAE6">
            <w:pPr>
              <w:jc w:val="right"/>
              <w:textAlignment w:val="center"/>
              <w:rPr>
                <w:rFonts w:cs="Times New Roman"/>
              </w:rPr>
            </w:pPr>
            <w:r>
              <w:rPr>
                <w:rFonts w:eastAsia="Arial Narrow" w:cs="Times New Roman"/>
                <w:color w:val="000000"/>
                <w:lang w:bidi="ar"/>
              </w:rPr>
              <w:t>50,500.00</w:t>
            </w:r>
          </w:p>
        </w:tc>
      </w:tr>
    </w:tbl>
    <w:p w14:paraId="629A58A8">
      <w:pPr>
        <w:rPr>
          <w:color w:val="000000" w:themeColor="text1"/>
          <w14:textFill>
            <w14:solidFill>
              <w14:schemeClr w14:val="tx1"/>
            </w14:solidFill>
          </w14:textFill>
        </w:rPr>
      </w:pPr>
    </w:p>
    <w:bookmarkEnd w:id="59"/>
    <w:p w14:paraId="603849A0">
      <w:pPr>
        <w:pStyle w:val="58"/>
        <w:numPr>
          <w:ilvl w:val="0"/>
          <w:numId w:val="21"/>
        </w:numPr>
        <w:rPr>
          <w:rFonts w:ascii="宋体" w:hAnsi="宋体"/>
          <w:color w:val="000000" w:themeColor="text1"/>
          <w14:textFill>
            <w14:solidFill>
              <w14:schemeClr w14:val="tx1"/>
            </w14:solidFill>
          </w14:textFill>
        </w:rPr>
      </w:pPr>
      <w:bookmarkStart w:id="60" w:name="_Hlk41316014"/>
      <w:r>
        <w:rPr>
          <w:rFonts w:hint="eastAsia" w:ascii="宋体" w:hAnsi="宋体"/>
          <w:color w:val="000000" w:themeColor="text1"/>
          <w14:textFill>
            <w14:solidFill>
              <w14:schemeClr w14:val="tx1"/>
            </w14:solidFill>
          </w14:textFill>
        </w:rPr>
        <w:t>授信业务或其他金融业务</w:t>
      </w:r>
    </w:p>
    <w:sdt>
      <w:sdtPr>
        <w:rPr>
          <w:rFonts w:hint="eastAsia"/>
          <w:color w:val="000000" w:themeColor="text1"/>
          <w14:textFill>
            <w14:solidFill>
              <w14:schemeClr w14:val="tx1"/>
            </w14:solidFill>
          </w14:textFill>
        </w:rPr>
        <w:alias w:val="是否适用：授信业务或其他金融业务[双击切换]"/>
        <w:tag w:val="_GBC_ed4458effe044108a44d95a5ced67408"/>
        <w:id w:val="147473710"/>
        <w:placeholder>
          <w:docPart w:val="{d8014d7a-cba5-4a66-9d59-c514dac73ae3}"/>
        </w:placeholder>
      </w:sdtPr>
      <w:sdtEndPr>
        <w:rPr>
          <w:rFonts w:hint="eastAsia"/>
          <w:color w:val="000000" w:themeColor="text1"/>
          <w14:textFill>
            <w14:solidFill>
              <w14:schemeClr w14:val="tx1"/>
            </w14:solidFill>
          </w14:textFill>
        </w:rPr>
      </w:sdtEndPr>
      <w:sdtContent>
        <w:p w14:paraId="550A7BD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EB93C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授信业务或其他金融业务"/>
          <w:tag w:val="_GBC_3d95de16365941ad9622303ec2c7f3f6"/>
          <w:id w:val="147472303"/>
          <w:placeholder>
            <w:docPart w:val="{d8014d7a-cba5-4a66-9d59-c514dac73ae3}"/>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授信业务或其他金融业务"/>
          <w:tag w:val="_GBC_ef34172f59714fa1aefa7b929c79d8bb"/>
          <w:id w:val="147458702"/>
          <w:placeholder>
            <w:docPart w:val="{d8014d7a-cba5-4a66-9d59-c514dac73ae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307"/>
        <w:gridCol w:w="3342"/>
        <w:gridCol w:w="1569"/>
        <w:gridCol w:w="1660"/>
      </w:tblGrid>
      <w:tr w14:paraId="51E3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1b48b1b7e60432da307374faf9e8683"/>
            <w:id w:val="147470106"/>
          </w:sdtPr>
          <w:sdtContent>
            <w:tc>
              <w:tcPr>
                <w:tcW w:w="642" w:type="pct"/>
                <w:vAlign w:val="center"/>
              </w:tcPr>
              <w:p w14:paraId="4FDD685C">
                <w:pPr>
                  <w:pStyle w:val="66"/>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w:t>
                </w:r>
              </w:p>
            </w:tc>
          </w:sdtContent>
        </w:sdt>
        <w:sdt>
          <w:sdtPr>
            <w:tag w:val="_PLD_b86a8753f83845749c8d70762f62d625"/>
            <w:id w:val="147461391"/>
          </w:sdtPr>
          <w:sdtContent>
            <w:tc>
              <w:tcPr>
                <w:tcW w:w="723" w:type="pct"/>
                <w:vAlign w:val="center"/>
              </w:tcPr>
              <w:p w14:paraId="5FCA110F">
                <w:pPr>
                  <w:pStyle w:val="66"/>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关联关系</w:t>
                </w:r>
              </w:p>
            </w:tc>
          </w:sdtContent>
        </w:sdt>
        <w:sdt>
          <w:sdtPr>
            <w:tag w:val="_PLD_a803596e70994f4b8d0abc41b05df444"/>
            <w:id w:val="147451699"/>
          </w:sdtPr>
          <w:sdtContent>
            <w:tc>
              <w:tcPr>
                <w:tcW w:w="1849" w:type="pct"/>
                <w:vAlign w:val="center"/>
              </w:tcPr>
              <w:p w14:paraId="5ADD1E61">
                <w:pPr>
                  <w:pStyle w:val="66"/>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业务类型</w:t>
                </w:r>
              </w:p>
            </w:tc>
          </w:sdtContent>
        </w:sdt>
        <w:sdt>
          <w:sdtPr>
            <w:tag w:val="_PLD_8b121a0dc9a44d87928d154453b446f7"/>
            <w:id w:val="147482701"/>
          </w:sdtPr>
          <w:sdtContent>
            <w:tc>
              <w:tcPr>
                <w:tcW w:w="868" w:type="pct"/>
                <w:vAlign w:val="center"/>
              </w:tcPr>
              <w:p w14:paraId="705F0ACD">
                <w:pPr>
                  <w:pStyle w:val="66"/>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总额</w:t>
                </w:r>
              </w:p>
            </w:tc>
          </w:sdtContent>
        </w:sdt>
        <w:sdt>
          <w:sdtPr>
            <w:tag w:val="_PLD_c5506f4356ee44cdb9eaf0a1bef214c1"/>
            <w:id w:val="147454913"/>
          </w:sdtPr>
          <w:sdtContent>
            <w:tc>
              <w:tcPr>
                <w:tcW w:w="918" w:type="pct"/>
                <w:vAlign w:val="center"/>
              </w:tcPr>
              <w:p w14:paraId="73687F43">
                <w:pPr>
                  <w:pStyle w:val="66"/>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实际发生额</w:t>
                </w:r>
              </w:p>
            </w:tc>
          </w:sdtContent>
        </w:sdt>
      </w:tr>
      <w:tr w14:paraId="15F2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pct"/>
            <w:vAlign w:val="center"/>
          </w:tcPr>
          <w:p w14:paraId="5F2E4607">
            <w:pPr>
              <w:widowControl w:val="0"/>
              <w:autoSpaceDE w:val="0"/>
              <w:autoSpaceDN w:val="0"/>
              <w:adjustRightInd w:val="0"/>
            </w:pPr>
            <w:r>
              <w:rPr>
                <w:rFonts w:hint="eastAsia"/>
                <w:color w:val="000000"/>
              </w:rPr>
              <w:t>新兴际华集团财务有限公司</w:t>
            </w:r>
          </w:p>
        </w:tc>
        <w:tc>
          <w:tcPr>
            <w:tcW w:w="723" w:type="pct"/>
            <w:vAlign w:val="center"/>
          </w:tcPr>
          <w:p w14:paraId="144F8EEF">
            <w:pPr>
              <w:widowControl w:val="0"/>
              <w:autoSpaceDE w:val="0"/>
              <w:autoSpaceDN w:val="0"/>
              <w:adjustRightInd w:val="0"/>
            </w:pPr>
            <w:r>
              <w:rPr>
                <w:rFonts w:hint="eastAsia"/>
                <w:color w:val="000000"/>
              </w:rPr>
              <w:t>母公司的全资子公司</w:t>
            </w:r>
          </w:p>
        </w:tc>
        <w:tc>
          <w:tcPr>
            <w:tcW w:w="1849" w:type="pct"/>
            <w:vAlign w:val="center"/>
          </w:tcPr>
          <w:p w14:paraId="0BCD3658">
            <w:pPr>
              <w:widowControl w:val="0"/>
              <w:autoSpaceDE w:val="0"/>
              <w:autoSpaceDN w:val="0"/>
              <w:adjustRightInd w:val="0"/>
            </w:pPr>
            <w:r>
              <w:rPr>
                <w:rFonts w:hint="eastAsia"/>
                <w:color w:val="000000"/>
              </w:rPr>
              <w:t>用于贷款、票据承兑与贴现、担保及其他形式的资金融通业务</w:t>
            </w:r>
          </w:p>
        </w:tc>
        <w:tc>
          <w:tcPr>
            <w:tcW w:w="868" w:type="pct"/>
            <w:vAlign w:val="center"/>
          </w:tcPr>
          <w:p w14:paraId="67E2EC03">
            <w:pPr>
              <w:widowControl w:val="0"/>
              <w:autoSpaceDE w:val="0"/>
              <w:autoSpaceDN w:val="0"/>
              <w:adjustRightInd w:val="0"/>
              <w:jc w:val="right"/>
              <w:rPr>
                <w:rFonts w:cs="Times New Roman"/>
              </w:rPr>
            </w:pPr>
            <w:r>
              <w:rPr>
                <w:rFonts w:cs="Times New Roman"/>
                <w:color w:val="000000"/>
              </w:rPr>
              <w:t>350,000.00</w:t>
            </w:r>
          </w:p>
        </w:tc>
        <w:tc>
          <w:tcPr>
            <w:tcW w:w="918" w:type="pct"/>
            <w:vAlign w:val="center"/>
          </w:tcPr>
          <w:p w14:paraId="7CE7F509">
            <w:pPr>
              <w:widowControl w:val="0"/>
              <w:autoSpaceDE w:val="0"/>
              <w:autoSpaceDN w:val="0"/>
              <w:adjustRightInd w:val="0"/>
              <w:jc w:val="right"/>
              <w:rPr>
                <w:rFonts w:cs="Times New Roman"/>
              </w:rPr>
            </w:pPr>
            <w:r>
              <w:rPr>
                <w:rFonts w:cs="Times New Roman"/>
              </w:rPr>
              <w:t>1,627.61</w:t>
            </w:r>
          </w:p>
        </w:tc>
      </w:tr>
    </w:tbl>
    <w:p w14:paraId="78A69C5E">
      <w:pPr>
        <w:rPr>
          <w:color w:val="000000" w:themeColor="text1"/>
          <w14:textFill>
            <w14:solidFill>
              <w14:schemeClr w14:val="tx1"/>
            </w14:solidFill>
          </w14:textFill>
        </w:rPr>
      </w:pPr>
    </w:p>
    <w:bookmarkEnd w:id="60"/>
    <w:p w14:paraId="54D0363F">
      <w:pPr>
        <w:pStyle w:val="58"/>
        <w:numPr>
          <w:ilvl w:val="0"/>
          <w:numId w:val="21"/>
        </w:numPr>
        <w:rPr>
          <w:rFonts w:ascii="宋体" w:hAnsi="宋体"/>
          <w:color w:val="000000" w:themeColor="text1"/>
          <w14:textFill>
            <w14:solidFill>
              <w14:schemeClr w14:val="tx1"/>
            </w14:solidFill>
          </w14:textFill>
        </w:rPr>
      </w:pPr>
      <w:bookmarkStart w:id="61" w:name="_Hlk41316022"/>
      <w:r>
        <w:rPr>
          <w:rFonts w:hint="eastAsia" w:ascii="宋体" w:hAnsi="宋体"/>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与存在关联关系的财务公司、公司控股财务公司与关联方之间的金融业务的其他说明[双击切换]"/>
        <w:tag w:val="_GBC_784bbb2dab8c4fa58a94c1deef51e2c9"/>
        <w:id w:val="147473714"/>
        <w:placeholder>
          <w:docPart w:val="{d8014d7a-cba5-4a66-9d59-c514dac73ae3}"/>
        </w:placeholder>
      </w:sdtPr>
      <w:sdtEndPr>
        <w:rPr>
          <w:color w:val="000000" w:themeColor="text1"/>
          <w14:textFill>
            <w14:solidFill>
              <w14:schemeClr w14:val="tx1"/>
            </w14:solidFill>
          </w14:textFill>
        </w:rPr>
      </w:sdtEndPr>
      <w:sdtContent>
        <w:p w14:paraId="302A997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B6E5315">
      <w:pPr>
        <w:rPr>
          <w:color w:val="000000" w:themeColor="text1"/>
          <w14:textFill>
            <w14:solidFill>
              <w14:schemeClr w14:val="tx1"/>
            </w14:solidFill>
          </w14:textFill>
        </w:rPr>
      </w:pPr>
    </w:p>
    <w:bookmarkEnd w:id="61"/>
    <w:p w14:paraId="07131589">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其他重大关联交易</w:t>
      </w:r>
    </w:p>
    <w:sdt>
      <w:sdtPr>
        <w:rPr>
          <w:rFonts w:hint="eastAsia"/>
          <w:color w:val="000000" w:themeColor="text1"/>
          <w14:textFill>
            <w14:solidFill>
              <w14:schemeClr w14:val="tx1"/>
            </w14:solidFill>
          </w14:textFill>
        </w:rPr>
        <w:alias w:val="是否适用：重大关联交易其他说明[双击切换]"/>
        <w:tag w:val="_GBC_7dd39ac420a244dcb8ea88c29ac07190"/>
        <w:id w:val="147463493"/>
        <w:placeholder>
          <w:docPart w:val="{d8014d7a-cba5-4a66-9d59-c514dac73ae3}"/>
        </w:placeholder>
      </w:sdtPr>
      <w:sdtEndPr>
        <w:rPr>
          <w:rFonts w:hint="eastAsia"/>
          <w:color w:val="000000" w:themeColor="text1"/>
          <w14:textFill>
            <w14:solidFill>
              <w14:schemeClr w14:val="tx1"/>
            </w14:solidFill>
          </w14:textFill>
        </w:rPr>
      </w:sdtEndPr>
      <w:sdtContent>
        <w:p w14:paraId="71AACFE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7861BE">
      <w:pPr>
        <w:rPr>
          <w:color w:val="000000" w:themeColor="text1"/>
          <w14:textFill>
            <w14:solidFill>
              <w14:schemeClr w14:val="tx1"/>
            </w14:solidFill>
          </w14:textFill>
        </w:rPr>
      </w:pPr>
    </w:p>
    <w:p w14:paraId="3268EDAF">
      <w:pPr>
        <w:pStyle w:val="4"/>
        <w:numPr>
          <w:ilvl w:val="2"/>
          <w:numId w:val="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重大关联交易事项其他补充说明[双击切换]"/>
        <w:tag w:val="_GBC_272061194cde466a9c566f0881c76d0d"/>
        <w:id w:val="147454057"/>
        <w:placeholder>
          <w:docPart w:val="{d8014d7a-cba5-4a66-9d59-c514dac73ae3}"/>
        </w:placeholder>
      </w:sdtPr>
      <w:sdtEndPr>
        <w:rPr>
          <w:rFonts w:hint="eastAsia"/>
          <w:color w:val="000000" w:themeColor="text1"/>
          <w14:textFill>
            <w14:solidFill>
              <w14:schemeClr w14:val="tx1"/>
            </w14:solidFill>
          </w14:textFill>
        </w:rPr>
      </w:sdtEndPr>
      <w:sdtContent>
        <w:p w14:paraId="790E6D5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3EDA35">
      <w:pPr>
        <w:rPr>
          <w:color w:val="000000" w:themeColor="text1"/>
          <w14:textFill>
            <w14:solidFill>
              <w14:schemeClr w14:val="tx1"/>
            </w14:solidFill>
          </w14:textFill>
        </w:rPr>
        <w:sectPr>
          <w:pgSz w:w="11906" w:h="16838"/>
          <w:pgMar w:top="1525" w:right="1276" w:bottom="1440" w:left="1797" w:header="855" w:footer="992" w:gutter="0"/>
          <w:cols w:space="425" w:num="1"/>
          <w:docGrid w:linePitch="312" w:charSpace="0"/>
        </w:sectPr>
      </w:pPr>
    </w:p>
    <w:p w14:paraId="5E38E26D">
      <w:pPr>
        <w:rPr>
          <w:color w:val="000000" w:themeColor="text1"/>
          <w14:textFill>
            <w14:solidFill>
              <w14:schemeClr w14:val="tx1"/>
            </w14:solidFill>
          </w14:textFill>
        </w:rPr>
      </w:pPr>
    </w:p>
    <w:p w14:paraId="56A8B6BF">
      <w:pPr>
        <w:pStyle w:val="3"/>
        <w:numPr>
          <w:ilvl w:val="0"/>
          <w:numId w:val="14"/>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重大合同及其履行情况</w:t>
      </w:r>
    </w:p>
    <w:p w14:paraId="137F1854">
      <w:pPr>
        <w:pStyle w:val="57"/>
        <w:numPr>
          <w:ilvl w:val="0"/>
          <w:numId w:val="22"/>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托管、承包、租赁事项</w:t>
      </w:r>
    </w:p>
    <w:p w14:paraId="6C3A6FC1">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托管、承包、租赁事项[双击切换]"/>
          <w:tag w:val="_GBC_daed561e68674d828a348a97bffbc154"/>
          <w:id w:val="147468534"/>
          <w:lock w:val="contentLocked"/>
          <w:placeholder>
            <w:docPart w:val="{d8014d7a-cba5-4a66-9d59-c514dac73ae3}"/>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1CBACAA5">
      <w:pPr>
        <w:pStyle w:val="5"/>
        <w:numPr>
          <w:ilvl w:val="0"/>
          <w:numId w:val="2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托管情况</w:t>
      </w:r>
    </w:p>
    <w:sdt>
      <w:sdtPr>
        <w:rPr>
          <w:color w:val="000000" w:themeColor="text1"/>
          <w14:textFill>
            <w14:solidFill>
              <w14:schemeClr w14:val="tx1"/>
            </w14:solidFill>
          </w14:textFill>
        </w:rPr>
        <w:alias w:val="是否适用：托管情况[双击切换]"/>
        <w:tag w:val="_GBC_5f311928e67641ecb22c63cf8ecda62c"/>
        <w:id w:val="147452649"/>
        <w:placeholder>
          <w:docPart w:val="{d8014d7a-cba5-4a66-9d59-c514dac73ae3}"/>
        </w:placeholder>
      </w:sdtPr>
      <w:sdtEndPr>
        <w:rPr>
          <w:color w:val="000000" w:themeColor="text1"/>
          <w14:textFill>
            <w14:solidFill>
              <w14:schemeClr w14:val="tx1"/>
            </w14:solidFill>
          </w14:textFill>
        </w:rPr>
      </w:sdtEndPr>
      <w:sdtContent>
        <w:p w14:paraId="0990C50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072A4C">
      <w:pPr>
        <w:wordWrap w:val="0"/>
        <w:ind w:left="239" w:leftChars="114" w:firstLine="5325" w:firstLineChars="2536"/>
        <w:jc w:val="right"/>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托管情况"/>
          <w:tag w:val="_GBC_074fed5597514114ab85d136245235ba"/>
          <w:id w:val="147454422"/>
          <w:placeholder>
            <w:docPart w:val="{d8014d7a-cba5-4a66-9d59-c514dac73ae3}"/>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r>
        <w:rPr>
          <w:color w:val="000000" w:themeColor="text1"/>
          <w14:textFill>
            <w14:solidFill>
              <w14:schemeClr w14:val="tx1"/>
            </w14:solidFill>
          </w14:textFill>
        </w:rPr>
        <w:t>：</w:t>
      </w:r>
      <w:sdt>
        <w:sdtPr>
          <w:rPr>
            <w:color w:val="000000" w:themeColor="text1"/>
            <w14:textFill>
              <w14:solidFill>
                <w14:schemeClr w14:val="tx1"/>
              </w14:solidFill>
            </w14:textFill>
          </w:rPr>
          <w:alias w:val="币种：托管情况"/>
          <w:tag w:val="_GBC_152c8298ced347eb9e48f1314b94ca0f"/>
          <w:id w:val="147472497"/>
          <w:placeholder>
            <w:docPart w:val="{d8014d7a-cba5-4a66-9d59-c514dac73ae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4"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73"/>
        <w:gridCol w:w="1269"/>
        <w:gridCol w:w="1269"/>
        <w:gridCol w:w="1367"/>
        <w:gridCol w:w="1392"/>
        <w:gridCol w:w="1285"/>
        <w:gridCol w:w="1029"/>
        <w:gridCol w:w="1804"/>
        <w:gridCol w:w="1224"/>
        <w:gridCol w:w="775"/>
        <w:gridCol w:w="1255"/>
      </w:tblGrid>
      <w:tr w14:paraId="1CCF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fcd07b9b2b194ebba67dfcab4ee60ab1"/>
            <w:id w:val="147479883"/>
          </w:sdtPr>
          <w:sdtContent>
            <w:tc>
              <w:tcPr>
                <w:tcW w:w="457" w:type="pct"/>
                <w:vAlign w:val="center"/>
              </w:tcPr>
              <w:p w14:paraId="650D9DEE">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委托方名称</w:t>
                </w:r>
              </w:p>
            </w:tc>
          </w:sdtContent>
        </w:sdt>
        <w:sdt>
          <w:sdtPr>
            <w:tag w:val="_PLD_81ac11c89b33491cbeda1bd793e0422d"/>
            <w:id w:val="147450962"/>
          </w:sdtPr>
          <w:sdtContent>
            <w:tc>
              <w:tcPr>
                <w:tcW w:w="455" w:type="pct"/>
                <w:vAlign w:val="center"/>
              </w:tcPr>
              <w:p w14:paraId="2AA6724D">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受托方名称</w:t>
                </w:r>
              </w:p>
            </w:tc>
          </w:sdtContent>
        </w:sdt>
        <w:sdt>
          <w:sdtPr>
            <w:tag w:val="_PLD_68bd90f498ee4185aa81bf3f8706f2f6"/>
            <w:id w:val="147466185"/>
          </w:sdtPr>
          <w:sdtContent>
            <w:tc>
              <w:tcPr>
                <w:tcW w:w="455" w:type="pct"/>
                <w:vAlign w:val="center"/>
              </w:tcPr>
              <w:p w14:paraId="2C180A81">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托管资产情况</w:t>
                </w:r>
              </w:p>
            </w:tc>
          </w:sdtContent>
        </w:sdt>
        <w:sdt>
          <w:sdtPr>
            <w:tag w:val="_PLD_a41ab99ae2b84bc381cbf3f2aeffae9e"/>
            <w:id w:val="147468235"/>
          </w:sdtPr>
          <w:sdtContent>
            <w:tc>
              <w:tcPr>
                <w:tcW w:w="490" w:type="pct"/>
                <w:vAlign w:val="center"/>
              </w:tcPr>
              <w:p w14:paraId="3A6BB192">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托管资产涉及金额</w:t>
                </w:r>
              </w:p>
            </w:tc>
          </w:sdtContent>
        </w:sdt>
        <w:sdt>
          <w:sdtPr>
            <w:tag w:val="_PLD_83e56192e6fb4063ac6daeca59f07ecf"/>
            <w:id w:val="147475553"/>
          </w:sdtPr>
          <w:sdtContent>
            <w:tc>
              <w:tcPr>
                <w:tcW w:w="499" w:type="pct"/>
                <w:vAlign w:val="center"/>
              </w:tcPr>
              <w:p w14:paraId="4DA8146E">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托管起始日</w:t>
                </w:r>
              </w:p>
            </w:tc>
          </w:sdtContent>
        </w:sdt>
        <w:sdt>
          <w:sdtPr>
            <w:tag w:val="_PLD_f4fd4bca8a404904844f88fe93aa433d"/>
            <w:id w:val="147451228"/>
          </w:sdtPr>
          <w:sdtContent>
            <w:tc>
              <w:tcPr>
                <w:tcW w:w="461" w:type="pct"/>
                <w:vAlign w:val="center"/>
              </w:tcPr>
              <w:p w14:paraId="4E6E3867">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托管终止日</w:t>
                </w:r>
              </w:p>
            </w:tc>
          </w:sdtContent>
        </w:sdt>
        <w:sdt>
          <w:sdtPr>
            <w:tag w:val="_PLD_e17e764bd7324555a25f89003e7bafdb"/>
            <w:id w:val="147466374"/>
          </w:sdtPr>
          <w:sdtContent>
            <w:tc>
              <w:tcPr>
                <w:tcW w:w="369" w:type="pct"/>
                <w:vAlign w:val="center"/>
              </w:tcPr>
              <w:p w14:paraId="7EA78A2E">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托管收益</w:t>
                </w:r>
              </w:p>
            </w:tc>
          </w:sdtContent>
        </w:sdt>
        <w:sdt>
          <w:sdtPr>
            <w:tag w:val="_PLD_10470f65493b4afba8cdee6138d52e9b"/>
            <w:id w:val="147477960"/>
          </w:sdtPr>
          <w:sdtContent>
            <w:tc>
              <w:tcPr>
                <w:tcW w:w="647" w:type="pct"/>
                <w:vAlign w:val="center"/>
              </w:tcPr>
              <w:p w14:paraId="14240F4D">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托管收益确定依据</w:t>
                </w:r>
              </w:p>
            </w:tc>
          </w:sdtContent>
        </w:sdt>
        <w:sdt>
          <w:sdtPr>
            <w:tag w:val="_PLD_6c27ebfece354472b693a7011dcc34c0"/>
            <w:id w:val="147474069"/>
          </w:sdtPr>
          <w:sdtContent>
            <w:tc>
              <w:tcPr>
                <w:tcW w:w="439" w:type="pct"/>
                <w:vAlign w:val="center"/>
              </w:tcPr>
              <w:p w14:paraId="04080910">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托管收益对公司影响</w:t>
                </w:r>
              </w:p>
            </w:tc>
          </w:sdtContent>
        </w:sdt>
        <w:sdt>
          <w:sdtPr>
            <w:tag w:val="_PLD_c9564edabc8b44b8a95cde135adf232b"/>
            <w:id w:val="147459077"/>
          </w:sdtPr>
          <w:sdtContent>
            <w:tc>
              <w:tcPr>
                <w:tcW w:w="278" w:type="pct"/>
                <w:vAlign w:val="center"/>
              </w:tcPr>
              <w:p w14:paraId="18F4E8CD">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是否关联交易</w:t>
                </w:r>
              </w:p>
            </w:tc>
          </w:sdtContent>
        </w:sdt>
        <w:sdt>
          <w:sdtPr>
            <w:tag w:val="_PLD_014683419e4546998e86b66fb4ced004"/>
            <w:id w:val="147468160"/>
          </w:sdtPr>
          <w:sdtContent>
            <w:tc>
              <w:tcPr>
                <w:tcW w:w="452" w:type="pct"/>
                <w:vAlign w:val="center"/>
              </w:tcPr>
              <w:p w14:paraId="4450F630">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关联关系</w:t>
                </w:r>
              </w:p>
            </w:tc>
          </w:sdtContent>
        </w:sdt>
      </w:tr>
      <w:tr w14:paraId="0014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457" w:type="pct"/>
            <w:vAlign w:val="center"/>
          </w:tcPr>
          <w:p w14:paraId="17B2C1DD">
            <w:pPr>
              <w:autoSpaceDE w:val="0"/>
              <w:autoSpaceDN w:val="0"/>
              <w:adjustRightInd w:val="0"/>
              <w:jc w:val="center"/>
            </w:pPr>
            <w:r>
              <w:rPr>
                <w:rFonts w:hint="eastAsia"/>
              </w:rPr>
              <w:t>际华集团股份有限公司</w:t>
            </w:r>
          </w:p>
        </w:tc>
        <w:tc>
          <w:tcPr>
            <w:tcW w:w="455" w:type="pct"/>
            <w:vAlign w:val="center"/>
          </w:tcPr>
          <w:p w14:paraId="23BC077B">
            <w:pPr>
              <w:pStyle w:val="15"/>
              <w:autoSpaceDE w:val="0"/>
              <w:autoSpaceDN w:val="0"/>
              <w:adjustRightInd w:val="0"/>
              <w:jc w:val="center"/>
              <w:rPr>
                <w:rFonts w:ascii="宋体" w:hAnsi="宋体"/>
              </w:rPr>
            </w:pPr>
            <w:r>
              <w:rPr>
                <w:rFonts w:hint="eastAsia"/>
              </w:rPr>
              <w:t>新兴际华资产经营管理有限公司</w:t>
            </w:r>
          </w:p>
        </w:tc>
        <w:tc>
          <w:tcPr>
            <w:tcW w:w="455" w:type="pct"/>
            <w:vAlign w:val="center"/>
          </w:tcPr>
          <w:p w14:paraId="6DF5494C">
            <w:pPr>
              <w:autoSpaceDE w:val="0"/>
              <w:autoSpaceDN w:val="0"/>
              <w:adjustRightInd w:val="0"/>
              <w:jc w:val="center"/>
            </w:pPr>
            <w:r>
              <w:rPr>
                <w:rFonts w:hint="eastAsia"/>
              </w:rPr>
              <w:t>重庆际华目的地中心实业有限公司</w:t>
            </w:r>
          </w:p>
        </w:tc>
        <w:tc>
          <w:tcPr>
            <w:tcW w:w="490" w:type="pct"/>
            <w:vAlign w:val="center"/>
          </w:tcPr>
          <w:p w14:paraId="6463E733">
            <w:pPr>
              <w:jc w:val="right"/>
              <w:textAlignment w:val="center"/>
              <w:rPr>
                <w:rFonts w:cs="Times New Roman"/>
              </w:rPr>
            </w:pPr>
            <w:r>
              <w:rPr>
                <w:rFonts w:eastAsia="Arial Narrow" w:cs="Times New Roman"/>
                <w:color w:val="000000"/>
                <w:lang w:bidi="ar"/>
              </w:rPr>
              <w:t>62,630.41</w:t>
            </w:r>
          </w:p>
        </w:tc>
        <w:tc>
          <w:tcPr>
            <w:tcW w:w="499" w:type="pct"/>
            <w:vAlign w:val="center"/>
          </w:tcPr>
          <w:p w14:paraId="02F877BF">
            <w:pPr>
              <w:autoSpaceDE w:val="0"/>
              <w:autoSpaceDN w:val="0"/>
              <w:adjustRightInd w:val="0"/>
              <w:jc w:val="center"/>
            </w:pPr>
            <w:r>
              <w:rPr>
                <w:rFonts w:hint="eastAsia"/>
              </w:rPr>
              <w:t>2022-10-01</w:t>
            </w:r>
          </w:p>
        </w:tc>
        <w:tc>
          <w:tcPr>
            <w:tcW w:w="461" w:type="pct"/>
            <w:vAlign w:val="center"/>
          </w:tcPr>
          <w:p w14:paraId="2AD18E7A">
            <w:pPr>
              <w:autoSpaceDE w:val="0"/>
              <w:autoSpaceDN w:val="0"/>
              <w:adjustRightInd w:val="0"/>
              <w:jc w:val="center"/>
            </w:pPr>
            <w:r>
              <w:rPr>
                <w:rFonts w:hint="eastAsia"/>
              </w:rPr>
              <w:t>2025-12-31</w:t>
            </w:r>
          </w:p>
        </w:tc>
        <w:tc>
          <w:tcPr>
            <w:tcW w:w="369" w:type="pct"/>
            <w:vAlign w:val="center"/>
          </w:tcPr>
          <w:p w14:paraId="6F1BF34C">
            <w:pPr>
              <w:autoSpaceDE w:val="0"/>
              <w:autoSpaceDN w:val="0"/>
              <w:adjustRightInd w:val="0"/>
              <w:jc w:val="center"/>
            </w:pPr>
            <w:r>
              <w:rPr>
                <w:rFonts w:hint="eastAsia"/>
              </w:rPr>
              <w:t>0</w:t>
            </w:r>
          </w:p>
        </w:tc>
        <w:tc>
          <w:tcPr>
            <w:tcW w:w="647" w:type="pct"/>
            <w:vAlign w:val="center"/>
          </w:tcPr>
          <w:p w14:paraId="7AC9C352">
            <w:pPr>
              <w:autoSpaceDE w:val="0"/>
              <w:autoSpaceDN w:val="0"/>
              <w:adjustRightInd w:val="0"/>
              <w:jc w:val="center"/>
            </w:pPr>
            <w:r>
              <w:rPr>
                <w:rFonts w:hint="eastAsia"/>
              </w:rPr>
              <w:t>《际华园委托经营管理协议》</w:t>
            </w:r>
          </w:p>
        </w:tc>
        <w:tc>
          <w:tcPr>
            <w:tcW w:w="439" w:type="pct"/>
            <w:vAlign w:val="center"/>
          </w:tcPr>
          <w:p w14:paraId="3BDB895F">
            <w:pPr>
              <w:autoSpaceDE w:val="0"/>
              <w:autoSpaceDN w:val="0"/>
              <w:adjustRightInd w:val="0"/>
              <w:jc w:val="center"/>
            </w:pPr>
            <w:r>
              <w:rPr>
                <w:rFonts w:hint="eastAsia"/>
              </w:rPr>
              <w:t>无</w:t>
            </w:r>
          </w:p>
        </w:tc>
        <w:tc>
          <w:tcPr>
            <w:tcW w:w="278" w:type="pct"/>
            <w:vAlign w:val="center"/>
          </w:tcPr>
          <w:p w14:paraId="5940B9A3">
            <w:pPr>
              <w:autoSpaceDE w:val="0"/>
              <w:autoSpaceDN w:val="0"/>
              <w:adjustRightInd w:val="0"/>
              <w:jc w:val="center"/>
              <w:rPr>
                <w:color w:val="000000" w:themeColor="text1"/>
                <w14:textFill>
                  <w14:solidFill>
                    <w14:schemeClr w14:val="tx1"/>
                  </w14:solidFill>
                </w14:textFill>
              </w:rPr>
            </w:pPr>
            <w:r>
              <w:rPr>
                <w:rFonts w:hint="eastAsia"/>
              </w:rPr>
              <w:t>是</w:t>
            </w:r>
          </w:p>
        </w:tc>
        <w:tc>
          <w:tcPr>
            <w:tcW w:w="452" w:type="pct"/>
            <w:vAlign w:val="center"/>
          </w:tcPr>
          <w:p w14:paraId="48CC8F19">
            <w:pPr>
              <w:autoSpaceDE w:val="0"/>
              <w:autoSpaceDN w:val="0"/>
              <w:adjustRightInd w:val="0"/>
              <w:jc w:val="center"/>
              <w:rPr>
                <w:color w:val="000000" w:themeColor="text1"/>
                <w14:textFill>
                  <w14:solidFill>
                    <w14:schemeClr w14:val="tx1"/>
                  </w14:solidFill>
                </w14:textFill>
              </w:rPr>
            </w:pPr>
            <w:r>
              <w:rPr>
                <w:rFonts w:hint="eastAsia"/>
              </w:rPr>
              <w:t>母公司的全资子公司</w:t>
            </w:r>
          </w:p>
        </w:tc>
      </w:tr>
      <w:tr w14:paraId="39FE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457" w:type="pct"/>
            <w:vAlign w:val="center"/>
          </w:tcPr>
          <w:p w14:paraId="5D459A7E">
            <w:pPr>
              <w:autoSpaceDE w:val="0"/>
              <w:autoSpaceDN w:val="0"/>
              <w:adjustRightInd w:val="0"/>
              <w:jc w:val="center"/>
            </w:pPr>
            <w:r>
              <w:rPr>
                <w:rFonts w:hint="eastAsia"/>
              </w:rPr>
              <w:t>际华集团股份有限公司</w:t>
            </w:r>
          </w:p>
        </w:tc>
        <w:tc>
          <w:tcPr>
            <w:tcW w:w="455" w:type="pct"/>
            <w:vAlign w:val="center"/>
          </w:tcPr>
          <w:p w14:paraId="76904238">
            <w:pPr>
              <w:pStyle w:val="15"/>
              <w:autoSpaceDE w:val="0"/>
              <w:autoSpaceDN w:val="0"/>
              <w:adjustRightInd w:val="0"/>
              <w:jc w:val="center"/>
              <w:rPr>
                <w:rFonts w:ascii="宋体" w:hAnsi="宋体"/>
              </w:rPr>
            </w:pPr>
            <w:r>
              <w:rPr>
                <w:rFonts w:hint="eastAsia"/>
              </w:rPr>
              <w:t>新兴际华资产经营管理有限公司</w:t>
            </w:r>
          </w:p>
        </w:tc>
        <w:tc>
          <w:tcPr>
            <w:tcW w:w="455" w:type="pct"/>
            <w:vAlign w:val="center"/>
          </w:tcPr>
          <w:p w14:paraId="4CBB6EBF">
            <w:pPr>
              <w:autoSpaceDE w:val="0"/>
              <w:autoSpaceDN w:val="0"/>
              <w:adjustRightInd w:val="0"/>
              <w:jc w:val="center"/>
            </w:pPr>
            <w:r>
              <w:rPr>
                <w:rFonts w:hint="eastAsia"/>
              </w:rPr>
              <w:t>长春际华投资建设有限公司</w:t>
            </w:r>
          </w:p>
        </w:tc>
        <w:tc>
          <w:tcPr>
            <w:tcW w:w="490" w:type="pct"/>
            <w:vAlign w:val="center"/>
          </w:tcPr>
          <w:p w14:paraId="33FE9D8A">
            <w:pPr>
              <w:jc w:val="right"/>
              <w:textAlignment w:val="center"/>
              <w:rPr>
                <w:rFonts w:cs="Times New Roman"/>
              </w:rPr>
            </w:pPr>
            <w:r>
              <w:rPr>
                <w:rFonts w:eastAsia="Arial Narrow" w:cs="Times New Roman"/>
                <w:color w:val="000000"/>
                <w:lang w:bidi="ar"/>
              </w:rPr>
              <w:t>28,696.27</w:t>
            </w:r>
          </w:p>
        </w:tc>
        <w:tc>
          <w:tcPr>
            <w:tcW w:w="499" w:type="pct"/>
            <w:vAlign w:val="center"/>
          </w:tcPr>
          <w:p w14:paraId="636FB5F5">
            <w:pPr>
              <w:autoSpaceDE w:val="0"/>
              <w:autoSpaceDN w:val="0"/>
              <w:adjustRightInd w:val="0"/>
              <w:jc w:val="center"/>
            </w:pPr>
            <w:r>
              <w:rPr>
                <w:rFonts w:hint="eastAsia"/>
              </w:rPr>
              <w:t>2022-10-01</w:t>
            </w:r>
          </w:p>
        </w:tc>
        <w:tc>
          <w:tcPr>
            <w:tcW w:w="461" w:type="pct"/>
            <w:vAlign w:val="center"/>
          </w:tcPr>
          <w:p w14:paraId="37D39068">
            <w:pPr>
              <w:autoSpaceDE w:val="0"/>
              <w:autoSpaceDN w:val="0"/>
              <w:adjustRightInd w:val="0"/>
              <w:jc w:val="center"/>
            </w:pPr>
            <w:r>
              <w:rPr>
                <w:rFonts w:hint="eastAsia"/>
              </w:rPr>
              <w:t>2025-12-31</w:t>
            </w:r>
          </w:p>
        </w:tc>
        <w:tc>
          <w:tcPr>
            <w:tcW w:w="369" w:type="pct"/>
            <w:vAlign w:val="center"/>
          </w:tcPr>
          <w:p w14:paraId="62C155F2">
            <w:pPr>
              <w:autoSpaceDE w:val="0"/>
              <w:autoSpaceDN w:val="0"/>
              <w:adjustRightInd w:val="0"/>
              <w:jc w:val="center"/>
            </w:pPr>
            <w:r>
              <w:rPr>
                <w:rFonts w:hint="eastAsia"/>
              </w:rPr>
              <w:t>0</w:t>
            </w:r>
          </w:p>
        </w:tc>
        <w:tc>
          <w:tcPr>
            <w:tcW w:w="647" w:type="pct"/>
            <w:vAlign w:val="center"/>
          </w:tcPr>
          <w:p w14:paraId="1070F7FC">
            <w:pPr>
              <w:autoSpaceDE w:val="0"/>
              <w:autoSpaceDN w:val="0"/>
              <w:adjustRightInd w:val="0"/>
              <w:jc w:val="center"/>
            </w:pPr>
            <w:r>
              <w:rPr>
                <w:rFonts w:hint="eastAsia"/>
              </w:rPr>
              <w:t>《际华园委托经营管理协议》</w:t>
            </w:r>
          </w:p>
        </w:tc>
        <w:tc>
          <w:tcPr>
            <w:tcW w:w="439" w:type="pct"/>
            <w:vAlign w:val="center"/>
          </w:tcPr>
          <w:p w14:paraId="7C218849">
            <w:pPr>
              <w:autoSpaceDE w:val="0"/>
              <w:autoSpaceDN w:val="0"/>
              <w:adjustRightInd w:val="0"/>
              <w:jc w:val="center"/>
            </w:pPr>
            <w:r>
              <w:rPr>
                <w:rFonts w:hint="eastAsia"/>
              </w:rPr>
              <w:t>无</w:t>
            </w:r>
          </w:p>
        </w:tc>
        <w:tc>
          <w:tcPr>
            <w:tcW w:w="278" w:type="pct"/>
            <w:vAlign w:val="center"/>
          </w:tcPr>
          <w:p w14:paraId="17B3E8BB">
            <w:pPr>
              <w:autoSpaceDE w:val="0"/>
              <w:autoSpaceDN w:val="0"/>
              <w:adjustRightInd w:val="0"/>
              <w:jc w:val="center"/>
              <w:rPr>
                <w:color w:val="000000" w:themeColor="text1"/>
                <w14:textFill>
                  <w14:solidFill>
                    <w14:schemeClr w14:val="tx1"/>
                  </w14:solidFill>
                </w14:textFill>
              </w:rPr>
            </w:pPr>
            <w:r>
              <w:rPr>
                <w:rFonts w:hint="eastAsia"/>
              </w:rPr>
              <w:t>是</w:t>
            </w:r>
          </w:p>
        </w:tc>
        <w:tc>
          <w:tcPr>
            <w:tcW w:w="452" w:type="pct"/>
            <w:vAlign w:val="center"/>
          </w:tcPr>
          <w:p w14:paraId="60742191">
            <w:pPr>
              <w:autoSpaceDE w:val="0"/>
              <w:autoSpaceDN w:val="0"/>
              <w:adjustRightInd w:val="0"/>
              <w:jc w:val="center"/>
              <w:rPr>
                <w:color w:val="000000" w:themeColor="text1"/>
                <w14:textFill>
                  <w14:solidFill>
                    <w14:schemeClr w14:val="tx1"/>
                  </w14:solidFill>
                </w14:textFill>
              </w:rPr>
            </w:pPr>
            <w:r>
              <w:rPr>
                <w:rFonts w:hint="eastAsia"/>
              </w:rPr>
              <w:t>母公司的全资子公司</w:t>
            </w:r>
          </w:p>
        </w:tc>
      </w:tr>
      <w:tr w14:paraId="5AC1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457" w:type="pct"/>
            <w:vAlign w:val="center"/>
          </w:tcPr>
          <w:p w14:paraId="306CA74D">
            <w:pPr>
              <w:autoSpaceDE w:val="0"/>
              <w:autoSpaceDN w:val="0"/>
              <w:adjustRightInd w:val="0"/>
              <w:jc w:val="center"/>
            </w:pPr>
            <w:r>
              <w:rPr>
                <w:rFonts w:hint="eastAsia"/>
              </w:rPr>
              <w:t>际华三五三六实业有限公司</w:t>
            </w:r>
          </w:p>
        </w:tc>
        <w:tc>
          <w:tcPr>
            <w:tcW w:w="455" w:type="pct"/>
            <w:vAlign w:val="center"/>
          </w:tcPr>
          <w:p w14:paraId="3E012041">
            <w:pPr>
              <w:pStyle w:val="15"/>
              <w:autoSpaceDE w:val="0"/>
              <w:autoSpaceDN w:val="0"/>
              <w:adjustRightInd w:val="0"/>
              <w:jc w:val="center"/>
              <w:rPr>
                <w:rFonts w:ascii="宋体" w:hAnsi="宋体"/>
              </w:rPr>
            </w:pPr>
            <w:r>
              <w:rPr>
                <w:rFonts w:hint="eastAsia" w:ascii="宋体" w:hAnsi="宋体"/>
              </w:rPr>
              <w:t>荷原置地控股有限公司</w:t>
            </w:r>
          </w:p>
        </w:tc>
        <w:tc>
          <w:tcPr>
            <w:tcW w:w="455" w:type="pct"/>
            <w:vAlign w:val="center"/>
          </w:tcPr>
          <w:p w14:paraId="12C35DA7">
            <w:pPr>
              <w:autoSpaceDE w:val="0"/>
              <w:autoSpaceDN w:val="0"/>
              <w:adjustRightInd w:val="0"/>
              <w:jc w:val="center"/>
            </w:pPr>
            <w:r>
              <w:rPr>
                <w:rFonts w:hint="eastAsia"/>
              </w:rPr>
              <w:t>3536公司所持有的位于绵阳市棉兴路东段62号地块</w:t>
            </w:r>
          </w:p>
        </w:tc>
        <w:tc>
          <w:tcPr>
            <w:tcW w:w="490" w:type="pct"/>
            <w:vAlign w:val="center"/>
          </w:tcPr>
          <w:p w14:paraId="02316439">
            <w:pPr>
              <w:jc w:val="right"/>
              <w:textAlignment w:val="center"/>
              <w:rPr>
                <w:rFonts w:cs="Times New Roman"/>
              </w:rPr>
            </w:pPr>
            <w:r>
              <w:rPr>
                <w:rFonts w:eastAsia="Arial Narrow" w:cs="Times New Roman"/>
                <w:color w:val="000000"/>
                <w:lang w:bidi="ar"/>
              </w:rPr>
              <w:t>42,592.79</w:t>
            </w:r>
          </w:p>
        </w:tc>
        <w:tc>
          <w:tcPr>
            <w:tcW w:w="499" w:type="pct"/>
            <w:vAlign w:val="center"/>
          </w:tcPr>
          <w:p w14:paraId="4DA9B814">
            <w:pPr>
              <w:autoSpaceDE w:val="0"/>
              <w:autoSpaceDN w:val="0"/>
              <w:adjustRightInd w:val="0"/>
              <w:jc w:val="center"/>
            </w:pPr>
            <w:r>
              <w:rPr>
                <w:rFonts w:hint="eastAsia"/>
              </w:rPr>
              <w:t>2022-09-30</w:t>
            </w:r>
          </w:p>
        </w:tc>
        <w:tc>
          <w:tcPr>
            <w:tcW w:w="461" w:type="pct"/>
            <w:vAlign w:val="center"/>
          </w:tcPr>
          <w:p w14:paraId="6BA8E9A5">
            <w:pPr>
              <w:autoSpaceDE w:val="0"/>
              <w:autoSpaceDN w:val="0"/>
              <w:adjustRightInd w:val="0"/>
              <w:jc w:val="center"/>
            </w:pPr>
            <w:r>
              <w:rPr>
                <w:rFonts w:hint="eastAsia"/>
              </w:rPr>
              <w:t>项目最后一期销售物业交付满1个月为止</w:t>
            </w:r>
          </w:p>
        </w:tc>
        <w:tc>
          <w:tcPr>
            <w:tcW w:w="369" w:type="pct"/>
            <w:vAlign w:val="center"/>
          </w:tcPr>
          <w:p w14:paraId="0500BACE">
            <w:pPr>
              <w:autoSpaceDE w:val="0"/>
              <w:autoSpaceDN w:val="0"/>
              <w:adjustRightInd w:val="0"/>
              <w:jc w:val="center"/>
            </w:pPr>
            <w:r>
              <w:rPr>
                <w:rFonts w:hint="eastAsia"/>
              </w:rPr>
              <w:t>0</w:t>
            </w:r>
          </w:p>
        </w:tc>
        <w:tc>
          <w:tcPr>
            <w:tcW w:w="647" w:type="pct"/>
            <w:vAlign w:val="center"/>
          </w:tcPr>
          <w:p w14:paraId="0816C85C">
            <w:pPr>
              <w:autoSpaceDE w:val="0"/>
              <w:autoSpaceDN w:val="0"/>
              <w:adjustRightInd w:val="0"/>
              <w:jc w:val="center"/>
            </w:pPr>
            <w:r>
              <w:rPr>
                <w:rFonts w:hint="eastAsia"/>
              </w:rPr>
              <w:t>《3536公司与新兴建新公司之带资代建协议》</w:t>
            </w:r>
          </w:p>
        </w:tc>
        <w:tc>
          <w:tcPr>
            <w:tcW w:w="439" w:type="pct"/>
            <w:vAlign w:val="center"/>
          </w:tcPr>
          <w:p w14:paraId="790C328A">
            <w:pPr>
              <w:autoSpaceDE w:val="0"/>
              <w:autoSpaceDN w:val="0"/>
              <w:adjustRightInd w:val="0"/>
              <w:jc w:val="center"/>
            </w:pPr>
            <w:r>
              <w:rPr>
                <w:rFonts w:hint="eastAsia"/>
              </w:rPr>
              <w:t>无</w:t>
            </w:r>
          </w:p>
        </w:tc>
        <w:tc>
          <w:tcPr>
            <w:tcW w:w="278" w:type="pct"/>
            <w:vAlign w:val="center"/>
          </w:tcPr>
          <w:p w14:paraId="304B9974">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w:t>
            </w:r>
          </w:p>
        </w:tc>
        <w:tc>
          <w:tcPr>
            <w:tcW w:w="452" w:type="pct"/>
            <w:vAlign w:val="center"/>
          </w:tcPr>
          <w:p w14:paraId="4650CA2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母公司的控股子公司</w:t>
            </w:r>
          </w:p>
        </w:tc>
      </w:tr>
    </w:tbl>
    <w:p w14:paraId="61FA2CAC">
      <w:pPr>
        <w:rPr>
          <w:color w:val="000000" w:themeColor="text1"/>
          <w14:textFill>
            <w14:solidFill>
              <w14:schemeClr w14:val="tx1"/>
            </w14:solidFill>
          </w14:textFill>
        </w:rPr>
      </w:pPr>
      <w:r>
        <w:rPr>
          <w:color w:val="000000" w:themeColor="text1"/>
          <w14:textFill>
            <w14:solidFill>
              <w14:schemeClr w14:val="tx1"/>
            </w14:solidFill>
          </w14:textFill>
        </w:rPr>
        <w:t>托管情况说明</w:t>
      </w:r>
    </w:p>
    <w:sdt>
      <w:sdtPr>
        <w:rPr>
          <w:rFonts w:hint="eastAsia"/>
          <w:color w:val="000000" w:themeColor="text1"/>
          <w14:textFill>
            <w14:solidFill>
              <w14:schemeClr w14:val="tx1"/>
            </w14:solidFill>
          </w14:textFill>
        </w:rPr>
        <w:alias w:val="托管情况说明"/>
        <w:tag w:val="_GBC_5eed16ec393348da89b5ea8bfec68130"/>
        <w:id w:val="147453882"/>
        <w:placeholder>
          <w:docPart w:val="{d8014d7a-cba5-4a66-9d59-c514dac73ae3}"/>
        </w:placeholder>
      </w:sdtPr>
      <w:sdtEndPr>
        <w:rPr>
          <w:rFonts w:hint="eastAsia"/>
          <w:color w:val="000000" w:themeColor="text1"/>
          <w14:textFill>
            <w14:solidFill>
              <w14:schemeClr w14:val="tx1"/>
            </w14:solidFill>
          </w14:textFill>
        </w:rPr>
      </w:sdtEndPr>
      <w:sdtContent>
        <w:p w14:paraId="4B159FF2">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与新兴际华资产经营管理有限公司于2022年9月30日在北京签署了《际华园委托经营管理协议》。根据协议约定，公司委托新兴际华资产经营管理有限公司对公司下属全资子公司重庆际华目的地中心实业有限公司、长春际华投资建设有限公司进行经营管理，委托管理期限至2025年12月31日。详见公司于2022年10月10日在上海证券交易所网站（www.sse.com.cn）披露的《关于委托管理际华园项目暨关联交易的公告》。</w:t>
          </w:r>
        </w:p>
        <w:p w14:paraId="67D85C4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之子公司际华三五三六实业有限公司（以下简称“际华3536公司”）与新兴建新（深圳）开发控股有限公司（现已更名为“荷原置地控股有限公司”）于2022年9月30日在北京签署了《3536公司与新兴建新公司之带资代建协议》，委托新兴建新（深圳）开发控股有限公司对际华3536公司所持有的位于绵阳市棉兴路东段62号地块（以下简称“项目地块”）进行开发建设管理，由新兴建新公司负责项目融资、开发建设管理、销售管理等相关经营管理事宜，并收取融资利息以及代建服务费等相关费用。委托管理期限至项目最后一期销售物业交付满一个月为止。详见公司于2022年10月10日在上海证券交易所网站（www.sse.com.cn）披露的《关于全资子公司委托管理资产和业务暨关联交易的公告》。</w:t>
          </w:r>
        </w:p>
      </w:sdtContent>
    </w:sdt>
    <w:p w14:paraId="47DE5779">
      <w:pPr>
        <w:rPr>
          <w:color w:val="000000" w:themeColor="text1"/>
          <w14:textFill>
            <w14:solidFill>
              <w14:schemeClr w14:val="tx1"/>
            </w14:solidFill>
          </w14:textFill>
        </w:rPr>
      </w:pPr>
    </w:p>
    <w:p w14:paraId="36E85C0D">
      <w:pPr>
        <w:pStyle w:val="5"/>
        <w:numPr>
          <w:ilvl w:val="0"/>
          <w:numId w:val="2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承包情况</w:t>
      </w:r>
    </w:p>
    <w:sdt>
      <w:sdtPr>
        <w:rPr>
          <w:color w:val="000000" w:themeColor="text1"/>
          <w14:textFill>
            <w14:solidFill>
              <w14:schemeClr w14:val="tx1"/>
            </w14:solidFill>
          </w14:textFill>
        </w:rPr>
        <w:alias w:val="是否适用：承包情况[双击切换]"/>
        <w:tag w:val="_GBC_6780ba385e1b4167bc4be5b432f0a825"/>
        <w:id w:val="147463387"/>
        <w:placeholder>
          <w:docPart w:val="{d8014d7a-cba5-4a66-9d59-c514dac73ae3}"/>
        </w:placeholder>
      </w:sdtPr>
      <w:sdtEndPr>
        <w:rPr>
          <w:color w:val="000000" w:themeColor="text1"/>
          <w14:textFill>
            <w14:solidFill>
              <w14:schemeClr w14:val="tx1"/>
            </w14:solidFill>
          </w14:textFill>
        </w:rPr>
      </w:sdtEndPr>
      <w:sdtContent>
        <w:p w14:paraId="7F8F419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DA66F5">
      <w:pPr>
        <w:rPr>
          <w:color w:val="000000" w:themeColor="text1"/>
          <w14:textFill>
            <w14:solidFill>
              <w14:schemeClr w14:val="tx1"/>
            </w14:solidFill>
          </w14:textFill>
        </w:rPr>
      </w:pPr>
    </w:p>
    <w:p w14:paraId="74852E95">
      <w:pPr>
        <w:rPr>
          <w:color w:val="000000" w:themeColor="text1"/>
          <w14:textFill>
            <w14:solidFill>
              <w14:schemeClr w14:val="tx1"/>
            </w14:solidFill>
          </w14:textFill>
        </w:rPr>
      </w:pPr>
    </w:p>
    <w:p w14:paraId="6438C3FA">
      <w:pPr>
        <w:pStyle w:val="5"/>
        <w:numPr>
          <w:ilvl w:val="0"/>
          <w:numId w:val="2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租赁情况</w:t>
      </w:r>
    </w:p>
    <w:sdt>
      <w:sdtPr>
        <w:rPr>
          <w:color w:val="000000" w:themeColor="text1"/>
          <w14:textFill>
            <w14:solidFill>
              <w14:schemeClr w14:val="tx1"/>
            </w14:solidFill>
          </w14:textFill>
        </w:rPr>
        <w:alias w:val="是否适用：租赁情况[双击切换]"/>
        <w:tag w:val="_GBC_0f311154c0f24dc687b16bed59ae8dd2"/>
        <w:id w:val="147468956"/>
        <w:placeholder>
          <w:docPart w:val="{d8014d7a-cba5-4a66-9d59-c514dac73ae3}"/>
        </w:placeholder>
      </w:sdtPr>
      <w:sdtEndPr>
        <w:rPr>
          <w:color w:val="000000" w:themeColor="text1"/>
          <w14:textFill>
            <w14:solidFill>
              <w14:schemeClr w14:val="tx1"/>
            </w14:solidFill>
          </w14:textFill>
        </w:rPr>
      </w:sdtEndPr>
      <w:sdtContent>
        <w:p w14:paraId="219A2BCE">
          <w:pPr>
            <w:rPr>
              <w:color w:val="000000" w:themeColor="text1"/>
              <w:shd w:val="pct10" w:color="auto" w:fill="FFFFFF"/>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0626C0">
      <w:pPr>
        <w:rPr>
          <w:color w:val="000000" w:themeColor="text1"/>
          <w:shd w:val="pct10" w:color="auto" w:fill="FFFFFF"/>
          <w14:textFill>
            <w14:solidFill>
              <w14:schemeClr w14:val="tx1"/>
            </w14:solidFill>
          </w14:textFill>
        </w:rPr>
      </w:pPr>
    </w:p>
    <w:p w14:paraId="264719B8">
      <w:pPr>
        <w:pStyle w:val="57"/>
        <w:numPr>
          <w:ilvl w:val="0"/>
          <w:numId w:val="22"/>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报告期内履行的及尚未履行完毕的重大担保情况</w:t>
      </w:r>
    </w:p>
    <w:sdt>
      <w:sdtPr>
        <w:rPr>
          <w:color w:val="000000" w:themeColor="text1"/>
          <w14:textFill>
            <w14:solidFill>
              <w14:schemeClr w14:val="tx1"/>
            </w14:solidFill>
          </w14:textFill>
        </w:rPr>
        <w:alias w:val="是否适用：担保情况[双击切换]"/>
        <w:tag w:val="_GBC_aae98b3e30bd49e4b2e1d2643f200047"/>
        <w:id w:val="147465786"/>
        <w:placeholder>
          <w:docPart w:val="{d8014d7a-cba5-4a66-9d59-c514dac73ae3}"/>
        </w:placeholder>
      </w:sdtPr>
      <w:sdtEndPr>
        <w:rPr>
          <w:color w:val="000000" w:themeColor="text1"/>
          <w14:textFill>
            <w14:solidFill>
              <w14:schemeClr w14:val="tx1"/>
            </w14:solidFill>
          </w14:textFill>
        </w:rPr>
      </w:sdtEndPr>
      <w:sdtContent>
        <w:p w14:paraId="6C4890C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427ABD">
      <w:pPr>
        <w:pStyle w:val="57"/>
        <w:numPr>
          <w:ilvl w:val="0"/>
          <w:numId w:val="22"/>
        </w:numPr>
        <w:rPr>
          <w:rFonts w:ascii="宋体" w:hAnsi="宋体"/>
          <w:color w:val="000000" w:themeColor="text1"/>
          <w14:textFill>
            <w14:solidFill>
              <w14:schemeClr w14:val="tx1"/>
            </w14:solidFill>
          </w14:textFill>
        </w:rPr>
      </w:pPr>
      <w:bookmarkStart w:id="62" w:name="_Hlk42868045"/>
      <w:bookmarkEnd w:id="62"/>
      <w:r>
        <w:rPr>
          <w:rFonts w:ascii="宋体" w:hAnsi="宋体"/>
          <w:color w:val="000000" w:themeColor="text1"/>
          <w14:textFill>
            <w14:solidFill>
              <w14:schemeClr w14:val="tx1"/>
            </w14:solidFill>
          </w14:textFill>
        </w:rPr>
        <w:t>其他重大合同</w:t>
      </w:r>
    </w:p>
    <w:sdt>
      <w:sdtPr>
        <w:rPr>
          <w:color w:val="000000" w:themeColor="text1"/>
          <w14:textFill>
            <w14:solidFill>
              <w14:schemeClr w14:val="tx1"/>
            </w14:solidFill>
          </w14:textFill>
        </w:rPr>
        <w:alias w:val="是否适用：其他重大合同[双击切换]"/>
        <w:tag w:val="_GBC_23289ac36e3b4aeeaff6a4f1df0c3165"/>
        <w:id w:val="147464140"/>
        <w:placeholder>
          <w:docPart w:val="{d8014d7a-cba5-4a66-9d59-c514dac73ae3}"/>
        </w:placeholder>
      </w:sdtPr>
      <w:sdtEndPr>
        <w:rPr>
          <w:color w:val="000000" w:themeColor="text1"/>
          <w14:textFill>
            <w14:solidFill>
              <w14:schemeClr w14:val="tx1"/>
            </w14:solidFill>
          </w14:textFill>
        </w:rPr>
      </w:sdtEndPr>
      <w:sdtContent>
        <w:p w14:paraId="34A3C79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DE3780">
      <w:pPr>
        <w:rPr>
          <w:color w:val="000000" w:themeColor="text1"/>
          <w14:textFill>
            <w14:solidFill>
              <w14:schemeClr w14:val="tx1"/>
            </w14:solidFill>
          </w14:textFill>
        </w:rPr>
      </w:pPr>
    </w:p>
    <w:p w14:paraId="19C6D61C">
      <w:pPr>
        <w:pStyle w:val="56"/>
        <w:numPr>
          <w:ilvl w:val="0"/>
          <w:numId w:val="24"/>
        </w:numPr>
        <w:tabs>
          <w:tab w:val="left" w:pos="426"/>
        </w:tabs>
        <w:ind w:left="422" w:hanging="422"/>
        <w:jc w:val="left"/>
        <w:rPr>
          <w:rFonts w:ascii="宋体" w:hAnsi="宋体"/>
          <w:color w:val="000000" w:themeColor="text1"/>
          <w14:textFill>
            <w14:solidFill>
              <w14:schemeClr w14:val="tx1"/>
            </w14:solidFill>
          </w14:textFill>
        </w:rPr>
        <w:sectPr>
          <w:pgSz w:w="16838" w:h="11906" w:orient="landscape"/>
          <w:pgMar w:top="1797" w:right="1525" w:bottom="1276" w:left="1440" w:header="855" w:footer="992" w:gutter="0"/>
          <w:cols w:space="425" w:num="1"/>
          <w:docGrid w:linePitch="312" w:charSpace="0"/>
        </w:sectPr>
      </w:pPr>
    </w:p>
    <w:p w14:paraId="27491A24">
      <w:pPr>
        <w:pStyle w:val="3"/>
        <w:numPr>
          <w:ilvl w:val="0"/>
          <w:numId w:val="14"/>
        </w:numPr>
        <w:tabs>
          <w:tab w:val="left" w:pos="426"/>
        </w:tabs>
        <w:jc w:val="left"/>
        <w:rPr>
          <w:rFonts w:ascii="宋体" w:hAnsi="宋体"/>
          <w:color w:val="000000" w:themeColor="text1"/>
          <w14:textFill>
            <w14:solidFill>
              <w14:schemeClr w14:val="tx1"/>
            </w14:solidFill>
          </w14:textFill>
        </w:rPr>
      </w:pPr>
      <w:bookmarkStart w:id="63" w:name="_Hlk72846301"/>
      <w:bookmarkStart w:id="64" w:name="_Hlk170206295"/>
      <w:bookmarkStart w:id="65" w:name="_Hlk170215658"/>
      <w:r>
        <w:rPr>
          <w:rFonts w:hint="eastAsia" w:ascii="宋体" w:hAnsi="宋体"/>
          <w:color w:val="000000" w:themeColor="text1"/>
          <w14:textFill>
            <w14:solidFill>
              <w14:schemeClr w14:val="tx1"/>
            </w14:solidFill>
          </w14:textFill>
        </w:rPr>
        <w:t>募集资金使用进展说明</w:t>
      </w:r>
    </w:p>
    <w:sdt>
      <w:sdtPr>
        <w:rPr>
          <w:color w:val="000000" w:themeColor="text1"/>
          <w14:textFill>
            <w14:solidFill>
              <w14:schemeClr w14:val="tx1"/>
            </w14:solidFill>
          </w14:textFill>
        </w:rPr>
        <w:alias w:val="是否适用：募集资金使用进展说明[双击切换]"/>
        <w:tag w:val="_GBC_680b9390780e4e2096adf48e91fa95ca"/>
        <w:id w:val="147455002"/>
        <w:lock w:val="contentLocked"/>
        <w:placeholder>
          <w:docPart w:val="{d8014d7a-cba5-4a66-9d59-c514dac73ae3}"/>
        </w:placeholder>
      </w:sdtPr>
      <w:sdtEndPr>
        <w:rPr>
          <w:color w:val="000000" w:themeColor="text1"/>
          <w14:textFill>
            <w14:solidFill>
              <w14:schemeClr w14:val="tx1"/>
            </w14:solidFill>
          </w14:textFill>
        </w:rPr>
      </w:sdtEndPr>
      <w:sdtContent>
        <w:p w14:paraId="3180B5C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81AF7F3">
      <w:pPr>
        <w:pStyle w:val="4"/>
        <w:numPr>
          <w:ilvl w:val="0"/>
          <w:numId w:val="25"/>
        </w:numPr>
        <w:tabs>
          <w:tab w:val="left" w:pos="360"/>
        </w:tabs>
        <w:ind w:left="450" w:hanging="450"/>
        <w:rPr>
          <w:rFonts w:ascii="宋体" w:hAnsi="宋体"/>
          <w:color w:val="000000" w:themeColor="text1"/>
          <w14:textFill>
            <w14:solidFill>
              <w14:schemeClr w14:val="tx1"/>
            </w14:solidFill>
          </w14:textFill>
        </w:rPr>
      </w:pPr>
      <w:bookmarkStart w:id="66" w:name="_Hlk90391863"/>
      <w:bookmarkStart w:id="67" w:name="_Hlk151129531"/>
      <w:bookmarkStart w:id="68" w:name="_Hlk168575638"/>
      <w:bookmarkStart w:id="69" w:name="_Hlk106290436"/>
      <w:r>
        <w:rPr>
          <w:rFonts w:hint="eastAsia" w:ascii="宋体" w:hAnsi="宋体"/>
          <w:color w:val="000000" w:themeColor="text1"/>
          <w14:textFill>
            <w14:solidFill>
              <w14:schemeClr w14:val="tx1"/>
            </w14:solidFill>
          </w14:textFill>
        </w:rPr>
        <w:t>募集资金整体使用情况</w:t>
      </w:r>
    </w:p>
    <w:sdt>
      <w:sdtPr>
        <w:rPr>
          <w:color w:val="000000" w:themeColor="text1"/>
          <w14:textFill>
            <w14:solidFill>
              <w14:schemeClr w14:val="tx1"/>
            </w14:solidFill>
          </w14:textFill>
        </w:rPr>
        <w:alias w:val="是否适用：募集资金整体使用情况[双击切换]"/>
        <w:tag w:val="_GBC_affe1942e3224d96a0ead0c0fea90bed"/>
        <w:id w:val="-744412825"/>
      </w:sdtPr>
      <w:sdtEndPr>
        <w:rPr>
          <w:color w:val="000000" w:themeColor="text1"/>
          <w14:textFill>
            <w14:solidFill>
              <w14:schemeClr w14:val="tx1"/>
            </w14:solidFill>
          </w14:textFill>
        </w:rPr>
      </w:sdtEndPr>
      <w:sdtContent>
        <w:p w14:paraId="395E927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5D6840D1">
      <w:pPr>
        <w:ind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募集资金总体使用情况"/>
          <w:tag w:val="_GBC_26eaa9e5fa464eaa9da9ac4c42fc263a"/>
          <w:id w:val="-1775545524"/>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059"/>
        <w:gridCol w:w="1161"/>
        <w:gridCol w:w="1161"/>
        <w:gridCol w:w="1057"/>
        <w:gridCol w:w="1057"/>
        <w:gridCol w:w="1161"/>
        <w:gridCol w:w="1056"/>
        <w:gridCol w:w="1052"/>
        <w:gridCol w:w="1054"/>
        <w:gridCol w:w="1056"/>
        <w:gridCol w:w="995"/>
        <w:gridCol w:w="1161"/>
      </w:tblGrid>
      <w:tr w14:paraId="7F7E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sdt>
          <w:sdtPr>
            <w:tag w:val="_PLD_c6a2050ecf4545f2bfc43d4ad52b51c1"/>
            <w:id w:val="-574512116"/>
          </w:sdtPr>
          <w:sdtContent>
            <w:tc>
              <w:tcPr>
                <w:tcW w:w="389" w:type="pct"/>
                <w:vAlign w:val="center"/>
              </w:tcPr>
              <w:p w14:paraId="3EB7DCF9">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募集资金</w:t>
                </w:r>
                <w:r>
                  <w:rPr>
                    <w:color w:val="000000" w:themeColor="text1"/>
                    <w14:textFill>
                      <w14:solidFill>
                        <w14:schemeClr w14:val="tx1"/>
                      </w14:solidFill>
                    </w14:textFill>
                  </w:rPr>
                  <w:t>来源</w:t>
                </w:r>
              </w:p>
            </w:tc>
          </w:sdtContent>
        </w:sdt>
        <w:tc>
          <w:tcPr>
            <w:tcW w:w="389" w:type="pct"/>
            <w:vAlign w:val="center"/>
          </w:tcPr>
          <w:sdt>
            <w:sdtPr>
              <w:tag w:val="_PLD_4411287f2aa0421c9bfeffa92dc4cb47"/>
              <w:id w:val="-1195609802"/>
            </w:sdtPr>
            <w:sdtContent>
              <w:p w14:paraId="739A9BAD">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募集资金到位时间</w:t>
                </w:r>
              </w:p>
            </w:sdtContent>
          </w:sdt>
        </w:tc>
        <w:sdt>
          <w:sdtPr>
            <w:tag w:val="_PLD_656190b7a5dc4b4cb1384a69abbe92b5"/>
            <w:id w:val="2086254331"/>
          </w:sdtPr>
          <w:sdtContent>
            <w:tc>
              <w:tcPr>
                <w:tcW w:w="389" w:type="pct"/>
                <w:vAlign w:val="center"/>
              </w:tcPr>
              <w:p w14:paraId="3E6AB2BE">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募集资金总额</w:t>
                </w:r>
              </w:p>
            </w:tc>
          </w:sdtContent>
        </w:sdt>
        <w:sdt>
          <w:sdtPr>
            <w:tag w:val="_PLD_63af71134e514c03bfc82b3cf3959fc0"/>
            <w:id w:val="562528809"/>
          </w:sdtPr>
          <w:sdtContent>
            <w:tc>
              <w:tcPr>
                <w:tcW w:w="389" w:type="pct"/>
                <w:vAlign w:val="center"/>
              </w:tcPr>
              <w:p w14:paraId="4E1507F7">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募集资金净额（1）</w:t>
                </w:r>
              </w:p>
            </w:tc>
          </w:sdtContent>
        </w:sdt>
        <w:sdt>
          <w:sdtPr>
            <w:tag w:val="_PLD_8463ec4fd51b4edaacd95b275603317e"/>
            <w:id w:val="-969587264"/>
          </w:sdtPr>
          <w:sdtContent>
            <w:tc>
              <w:tcPr>
                <w:tcW w:w="388" w:type="pct"/>
                <w:vAlign w:val="center"/>
              </w:tcPr>
              <w:p w14:paraId="3BB09C3A">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招股书或募集说明书中募集资金承诺投资总额（2</w:t>
                </w:r>
                <w:r>
                  <w:rPr>
                    <w:color w:val="000000" w:themeColor="text1"/>
                    <w14:textFill>
                      <w14:solidFill>
                        <w14:schemeClr w14:val="tx1"/>
                      </w14:solidFill>
                    </w14:textFill>
                  </w:rPr>
                  <w:t>）</w:t>
                </w:r>
              </w:p>
            </w:tc>
          </w:sdtContent>
        </w:sdt>
        <w:sdt>
          <w:sdtPr>
            <w:tag w:val="_PLD_07e8896197174c55be1e6f916192bead"/>
            <w:id w:val="511270343"/>
          </w:sdtPr>
          <w:sdtContent>
            <w:tc>
              <w:tcPr>
                <w:tcW w:w="388" w:type="pct"/>
                <w:vAlign w:val="center"/>
              </w:tcPr>
              <w:p w14:paraId="204436C8">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超募资金总额（</w:t>
                </w:r>
                <w:r>
                  <w:rPr>
                    <w:color w:val="000000" w:themeColor="text1"/>
                    <w14:textFill>
                      <w14:solidFill>
                        <w14:schemeClr w14:val="tx1"/>
                      </w14:solidFill>
                    </w14:textFill>
                  </w:rPr>
                  <w:t>3）=（1）-（2）</w:t>
                </w:r>
              </w:p>
            </w:tc>
          </w:sdtContent>
        </w:sdt>
        <w:sdt>
          <w:sdtPr>
            <w:tag w:val="_PLD_92bfc250c83d4aea9d2b49165150ce49"/>
            <w:id w:val="-245347685"/>
          </w:sdtPr>
          <w:sdtContent>
            <w:tc>
              <w:tcPr>
                <w:tcW w:w="387" w:type="pct"/>
                <w:vAlign w:val="center"/>
              </w:tcPr>
              <w:p w14:paraId="3BC6A39B">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截至</w:t>
                </w:r>
                <w:r>
                  <w:rPr>
                    <w:color w:val="000000" w:themeColor="text1"/>
                    <w14:textFill>
                      <w14:solidFill>
                        <w14:schemeClr w14:val="tx1"/>
                      </w14:solidFill>
                    </w14:textFill>
                  </w:rPr>
                  <w:t>报告期末</w:t>
                </w:r>
                <w:r>
                  <w:rPr>
                    <w:rFonts w:hint="eastAsia"/>
                    <w:color w:val="000000" w:themeColor="text1"/>
                    <w14:textFill>
                      <w14:solidFill>
                        <w14:schemeClr w14:val="tx1"/>
                      </w14:solidFill>
                    </w14:textFill>
                  </w:rPr>
                  <w:t>累计投入募集资金总额（4）</w:t>
                </w:r>
              </w:p>
            </w:tc>
          </w:sdtContent>
        </w:sdt>
        <w:sdt>
          <w:sdtPr>
            <w:tag w:val="_PLD_cb256178110b4d5dbfb10922f68015a3"/>
            <w:id w:val="1610540153"/>
          </w:sdtPr>
          <w:sdtContent>
            <w:tc>
              <w:tcPr>
                <w:tcW w:w="387" w:type="pct"/>
                <w:vAlign w:val="center"/>
              </w:tcPr>
              <w:p w14:paraId="53C40BC9">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其中：截至报告期末超募资金累计投入总额</w:t>
                </w:r>
                <w:r>
                  <w:rPr>
                    <w:color w:val="000000" w:themeColor="text1"/>
                    <w14:textFill>
                      <w14:solidFill>
                        <w14:schemeClr w14:val="tx1"/>
                      </w14:solidFill>
                    </w14:textFill>
                  </w:rPr>
                  <w:t xml:space="preserve"> （5）</w:t>
                </w:r>
              </w:p>
            </w:tc>
          </w:sdtContent>
        </w:sdt>
        <w:sdt>
          <w:sdtPr>
            <w:tag w:val="_PLD_a2c09288f6984c8db92752ba2d47150b"/>
            <w:id w:val="1846592225"/>
          </w:sdtPr>
          <w:sdtContent>
            <w:tc>
              <w:tcPr>
                <w:tcW w:w="387" w:type="pct"/>
                <w:vAlign w:val="center"/>
              </w:tcPr>
              <w:p w14:paraId="612EFC42">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截至报告期末募集资金累计投入进度（</w:t>
                </w:r>
                <w:r>
                  <w:rPr>
                    <w:color w:val="000000" w:themeColor="text1"/>
                    <w14:textFill>
                      <w14:solidFill>
                        <w14:schemeClr w14:val="tx1"/>
                      </w14:solidFill>
                    </w14:textFill>
                  </w:rPr>
                  <w:t>%）(6)＝(4)/(1)</w:t>
                </w:r>
              </w:p>
            </w:tc>
          </w:sdtContent>
        </w:sdt>
        <w:sdt>
          <w:sdtPr>
            <w:tag w:val="_PLD_76e6c02d9b5440b8b20238cb6124ceb2"/>
            <w:id w:val="-1664463477"/>
          </w:sdtPr>
          <w:sdtContent>
            <w:tc>
              <w:tcPr>
                <w:tcW w:w="387" w:type="pct"/>
                <w:vAlign w:val="center"/>
              </w:tcPr>
              <w:p w14:paraId="7EC42F23">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截至报告期末超募资金累计投入进度（</w:t>
                </w:r>
                <w:r>
                  <w:rPr>
                    <w:color w:val="000000" w:themeColor="text1"/>
                    <w14:textFill>
                      <w14:solidFill>
                        <w14:schemeClr w14:val="tx1"/>
                      </w14:solidFill>
                    </w14:textFill>
                  </w:rPr>
                  <w:t>%）(7)＝(5)/(3)</w:t>
                </w:r>
              </w:p>
            </w:tc>
          </w:sdtContent>
        </w:sdt>
        <w:sdt>
          <w:sdtPr>
            <w:tag w:val="_PLD_8603bc96c0364f298dd5b07119c8edfa"/>
            <w:id w:val="315843893"/>
          </w:sdtPr>
          <w:sdtContent>
            <w:tc>
              <w:tcPr>
                <w:tcW w:w="387" w:type="pct"/>
                <w:vAlign w:val="center"/>
              </w:tcPr>
              <w:p w14:paraId="7DB857B4">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本年度投入金额（8）</w:t>
                </w:r>
              </w:p>
            </w:tc>
          </w:sdtContent>
        </w:sdt>
        <w:sdt>
          <w:sdtPr>
            <w:tag w:val="_PLD_36a372b435c74a038172885bf9c04359"/>
            <w:id w:val="142939302"/>
          </w:sdtPr>
          <w:sdtContent>
            <w:tc>
              <w:tcPr>
                <w:tcW w:w="367" w:type="pct"/>
                <w:vAlign w:val="center"/>
              </w:tcPr>
              <w:p w14:paraId="1853E8D1">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本年度投入金额占比（%）（</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)/(1)</w:t>
                </w:r>
              </w:p>
            </w:tc>
          </w:sdtContent>
        </w:sdt>
        <w:tc>
          <w:tcPr>
            <w:tcW w:w="365" w:type="pct"/>
            <w:vAlign w:val="center"/>
          </w:tcPr>
          <w:sdt>
            <w:sdtPr>
              <w:tag w:val="_PLD_55537c41dda84483a860ccba3abf175d"/>
              <w:id w:val="1570372712"/>
            </w:sdtPr>
            <w:sdtContent>
              <w:p w14:paraId="7D535D61">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变更用途的募集资金总额</w:t>
                </w:r>
              </w:p>
            </w:sdtContent>
          </w:sdt>
        </w:tc>
      </w:tr>
      <w:sdt>
        <w:sdtPr>
          <w:rPr>
            <w:bCs w:val="0"/>
            <w:color w:val="000000" w:themeColor="text1"/>
            <w14:textFill>
              <w14:solidFill>
                <w14:schemeClr w14:val="tx1"/>
              </w14:solidFill>
            </w14:textFill>
          </w:rPr>
          <w:alias w:val="募集资金整体使用情况"/>
          <w:tag w:val="_TUP_6e0f620f9afb4f5eb5a70e0d51a25675"/>
          <w:id w:val="-119544920"/>
          <w:placeholder>
            <w:docPart w:val="{161db290-63b3-4a2f-a767-44253e066c48}"/>
          </w:placeholder>
        </w:sdtPr>
        <w:sdtEndPr>
          <w:rPr>
            <w:bCs w:val="0"/>
            <w:color w:val="000000" w:themeColor="text1"/>
            <w14:textFill>
              <w14:solidFill>
                <w14:schemeClr w14:val="tx1"/>
              </w14:solidFill>
            </w14:textFill>
          </w:rPr>
        </w:sdtEndPr>
        <w:sdtContent>
          <w:tr w14:paraId="2E99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sdt>
              <w:sdtPr>
                <w:rPr>
                  <w:bCs w:val="0"/>
                  <w:color w:val="000000" w:themeColor="text1"/>
                  <w14:textFill>
                    <w14:solidFill>
                      <w14:schemeClr w14:val="tx1"/>
                    </w14:solidFill>
                  </w14:textFill>
                </w:rPr>
                <w:alias w:val="募集资金整体使用情况_募集资金来源"/>
                <w:tag w:val="_GBC_fdbe627844564cbd920c54fa6f3e99f6"/>
                <w:id w:val="-1771467208"/>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val="0"/>
                  <w:color w:val="000000" w:themeColor="text1"/>
                  <w14:textFill>
                    <w14:solidFill>
                      <w14:schemeClr w14:val="tx1"/>
                    </w14:solidFill>
                  </w14:textFill>
                </w:rPr>
              </w:sdtEndPr>
              <w:sdtContent>
                <w:tc>
                  <w:tcPr>
                    <w:tcW w:w="389" w:type="pct"/>
                    <w:vAlign w:val="center"/>
                  </w:tcPr>
                  <w:p w14:paraId="171AA41A">
                    <w:pPr>
                      <w:rPr>
                        <w:bCs w:val="0"/>
                        <w:color w:val="000000" w:themeColor="text1"/>
                        <w14:textFill>
                          <w14:solidFill>
                            <w14:schemeClr w14:val="tx1"/>
                          </w14:solidFill>
                        </w14:textFill>
                      </w:rPr>
                    </w:pPr>
                    <w:bookmarkStart w:id="70" w:name="_Hlk169881517"/>
                    <w:r>
                      <w:rPr>
                        <w:bCs w:val="0"/>
                        <w:color w:val="000000" w:themeColor="text1"/>
                        <w14:textFill>
                          <w14:solidFill>
                            <w14:schemeClr w14:val="tx1"/>
                          </w14:solidFill>
                        </w14:textFill>
                      </w:rPr>
                      <w:t>首次公开发行股票</w:t>
                    </w:r>
                  </w:p>
                </w:tc>
              </w:sdtContent>
            </w:sdt>
            <w:sdt>
              <w:sdtPr>
                <w:rPr>
                  <w:bCs w:val="0"/>
                  <w:color w:val="000000" w:themeColor="text1"/>
                  <w14:textFill>
                    <w14:solidFill>
                      <w14:schemeClr w14:val="tx1"/>
                    </w14:solidFill>
                  </w14:textFill>
                </w:rPr>
                <w:alias w:val="募集资金整体使用情况_募集资金到位时间"/>
                <w:tag w:val="_GBC_5cbdf31237894881b54b48da0d19e2ee"/>
                <w:id w:val="1211921064"/>
                <w:date w:fullDate="2010-08-04T00:00:00Z">
                  <w:dateFormat w:val="yyyy'年'M'月'd'日'"/>
                  <w:lid w:val="zh-CN"/>
                  <w:storeMappedDataAs w:val="datetime"/>
                  <w:calendar w:val="gregorian"/>
                </w:date>
              </w:sdtPr>
              <w:sdtEndPr>
                <w:rPr>
                  <w:bCs w:val="0"/>
                  <w:color w:val="000000" w:themeColor="text1"/>
                  <w14:textFill>
                    <w14:solidFill>
                      <w14:schemeClr w14:val="tx1"/>
                    </w14:solidFill>
                  </w14:textFill>
                </w:rPr>
              </w:sdtEndPr>
              <w:sdtContent>
                <w:tc>
                  <w:tcPr>
                    <w:tcW w:w="389" w:type="pct"/>
                    <w:vAlign w:val="center"/>
                  </w:tcPr>
                  <w:p w14:paraId="050B0B30">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2010年8月4日</w:t>
                    </w:r>
                  </w:p>
                </w:tc>
              </w:sdtContent>
            </w:sdt>
            <w:tc>
              <w:tcPr>
                <w:tcW w:w="389" w:type="pct"/>
                <w:vAlign w:val="center"/>
              </w:tcPr>
              <w:p w14:paraId="6A59892D">
                <w:pPr>
                  <w:jc w:val="right"/>
                  <w:rPr>
                    <w:bCs w:val="0"/>
                  </w:rPr>
                </w:pPr>
                <w:r>
                  <w:rPr>
                    <w:rFonts w:hint="eastAsia"/>
                  </w:rPr>
                  <w:t>404,950</w:t>
                </w:r>
              </w:p>
            </w:tc>
            <w:tc>
              <w:tcPr>
                <w:tcW w:w="389" w:type="pct"/>
                <w:vAlign w:val="center"/>
              </w:tcPr>
              <w:p w14:paraId="67F2E655">
                <w:pPr>
                  <w:jc w:val="right"/>
                  <w:rPr>
                    <w:bCs w:val="0"/>
                  </w:rPr>
                </w:pPr>
                <w:r>
                  <w:rPr>
                    <w:rFonts w:hint="eastAsia"/>
                  </w:rPr>
                  <w:t>391,377.59</w:t>
                </w:r>
              </w:p>
            </w:tc>
            <w:tc>
              <w:tcPr>
                <w:tcW w:w="388" w:type="pct"/>
                <w:vAlign w:val="center"/>
              </w:tcPr>
              <w:p w14:paraId="51A441B6">
                <w:pPr>
                  <w:jc w:val="right"/>
                  <w:rPr>
                    <w:bCs w:val="0"/>
                  </w:rPr>
                </w:pPr>
                <w:r>
                  <w:rPr>
                    <w:rFonts w:hint="eastAsia"/>
                  </w:rPr>
                  <w:t>324,799</w:t>
                </w:r>
              </w:p>
            </w:tc>
            <w:tc>
              <w:tcPr>
                <w:tcW w:w="388" w:type="pct"/>
                <w:vAlign w:val="center"/>
              </w:tcPr>
              <w:p w14:paraId="4BD1E1F0">
                <w:pPr>
                  <w:jc w:val="right"/>
                  <w:rPr>
                    <w:bCs w:val="0"/>
                  </w:rPr>
                </w:pPr>
                <w:r>
                  <w:rPr>
                    <w:rFonts w:hint="eastAsia"/>
                  </w:rPr>
                  <w:t>66,578.59</w:t>
                </w:r>
              </w:p>
            </w:tc>
            <w:tc>
              <w:tcPr>
                <w:tcW w:w="387" w:type="pct"/>
                <w:vAlign w:val="center"/>
              </w:tcPr>
              <w:p w14:paraId="68DFBCB4">
                <w:pPr>
                  <w:jc w:val="right"/>
                  <w:rPr>
                    <w:bCs w:val="0"/>
                  </w:rPr>
                </w:pPr>
                <w:r>
                  <w:rPr>
                    <w:rFonts w:hint="eastAsia"/>
                  </w:rPr>
                  <w:t>408,279.56</w:t>
                </w:r>
              </w:p>
            </w:tc>
            <w:tc>
              <w:tcPr>
                <w:tcW w:w="387" w:type="pct"/>
                <w:vAlign w:val="center"/>
              </w:tcPr>
              <w:p w14:paraId="70C55C6B">
                <w:pPr>
                  <w:jc w:val="right"/>
                  <w:rPr>
                    <w:bCs w:val="0"/>
                  </w:rPr>
                </w:pPr>
                <w:r>
                  <w:rPr>
                    <w:rFonts w:hint="eastAsia"/>
                  </w:rPr>
                  <w:t>66,578.59</w:t>
                </w:r>
              </w:p>
            </w:tc>
            <w:tc>
              <w:tcPr>
                <w:tcW w:w="387" w:type="pct"/>
                <w:vAlign w:val="center"/>
              </w:tcPr>
              <w:p w14:paraId="6895A605">
                <w:pPr>
                  <w:jc w:val="right"/>
                  <w:rPr>
                    <w:bCs w:val="0"/>
                  </w:rPr>
                </w:pPr>
                <w:r>
                  <w:rPr>
                    <w:rFonts w:hint="eastAsia"/>
                  </w:rPr>
                  <w:t>104.32</w:t>
                </w:r>
              </w:p>
            </w:tc>
            <w:tc>
              <w:tcPr>
                <w:tcW w:w="387" w:type="pct"/>
                <w:vAlign w:val="center"/>
              </w:tcPr>
              <w:p w14:paraId="7C87928E">
                <w:pPr>
                  <w:jc w:val="right"/>
                  <w:rPr>
                    <w:bCs w:val="0"/>
                  </w:rPr>
                </w:pPr>
                <w:r>
                  <w:rPr>
                    <w:rFonts w:hint="eastAsia"/>
                  </w:rPr>
                  <w:t>100.00</w:t>
                </w:r>
              </w:p>
            </w:tc>
            <w:tc>
              <w:tcPr>
                <w:tcW w:w="387" w:type="pct"/>
                <w:vAlign w:val="center"/>
              </w:tcPr>
              <w:p w14:paraId="383F95A3">
                <w:pPr>
                  <w:jc w:val="right"/>
                  <w:rPr>
                    <w:bCs w:val="0"/>
                  </w:rPr>
                </w:pPr>
                <w:r>
                  <w:rPr>
                    <w:rFonts w:hint="eastAsia"/>
                  </w:rPr>
                  <w:t>3,373.97</w:t>
                </w:r>
              </w:p>
            </w:tc>
            <w:tc>
              <w:tcPr>
                <w:tcW w:w="367" w:type="pct"/>
                <w:vAlign w:val="center"/>
              </w:tcPr>
              <w:p w14:paraId="03E17C5D">
                <w:pPr>
                  <w:jc w:val="right"/>
                  <w:rPr>
                    <w:bCs w:val="0"/>
                  </w:rPr>
                </w:pPr>
                <w:r>
                  <w:rPr>
                    <w:rFonts w:hint="eastAsia"/>
                  </w:rPr>
                  <w:t>0.86</w:t>
                </w:r>
              </w:p>
            </w:tc>
            <w:tc>
              <w:tcPr>
                <w:tcW w:w="365" w:type="pct"/>
                <w:vAlign w:val="center"/>
              </w:tcPr>
              <w:p w14:paraId="18CAD021">
                <w:pPr>
                  <w:jc w:val="right"/>
                  <w:rPr>
                    <w:bCs w:val="0"/>
                  </w:rPr>
                </w:pPr>
                <w:r>
                  <w:rPr>
                    <w:rFonts w:hint="eastAsia"/>
                  </w:rPr>
                  <w:t>188,704.92</w:t>
                </w:r>
              </w:p>
            </w:tc>
          </w:tr>
        </w:sdtContent>
      </w:sdt>
      <w:sdt>
        <w:sdtPr>
          <w:rPr>
            <w:bCs w:val="0"/>
            <w:color w:val="000000" w:themeColor="text1"/>
            <w14:textFill>
              <w14:solidFill>
                <w14:schemeClr w14:val="tx1"/>
              </w14:solidFill>
            </w14:textFill>
          </w:rPr>
          <w:alias w:val="募集资金整体使用情况"/>
          <w:tag w:val="_TUP_6e0f620f9afb4f5eb5a70e0d51a25675"/>
          <w:id w:val="900255523"/>
          <w:placeholder>
            <w:docPart w:val="{161db290-63b3-4a2f-a767-44253e066c48}"/>
          </w:placeholder>
        </w:sdtPr>
        <w:sdtEndPr>
          <w:rPr>
            <w:bCs w:val="0"/>
            <w:color w:val="000000" w:themeColor="text1"/>
            <w14:textFill>
              <w14:solidFill>
                <w14:schemeClr w14:val="tx1"/>
              </w14:solidFill>
            </w14:textFill>
          </w:rPr>
        </w:sdtEndPr>
        <w:sdtContent>
          <w:tr w14:paraId="46D9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sdt>
              <w:sdtPr>
                <w:rPr>
                  <w:bCs w:val="0"/>
                  <w:color w:val="000000" w:themeColor="text1"/>
                  <w14:textFill>
                    <w14:solidFill>
                      <w14:schemeClr w14:val="tx1"/>
                    </w14:solidFill>
                  </w14:textFill>
                </w:rPr>
                <w:alias w:val="募集资金整体使用情况_募集资金来源"/>
                <w:tag w:val="_GBC_fdbe627844564cbd920c54fa6f3e99f6"/>
                <w:id w:val="67544187"/>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bCs w:val="0"/>
                  <w:color w:val="000000" w:themeColor="text1"/>
                  <w14:textFill>
                    <w14:solidFill>
                      <w14:schemeClr w14:val="tx1"/>
                    </w14:solidFill>
                  </w14:textFill>
                </w:rPr>
              </w:sdtEndPr>
              <w:sdtContent>
                <w:tc>
                  <w:tcPr>
                    <w:tcW w:w="389" w:type="pct"/>
                    <w:vAlign w:val="center"/>
                  </w:tcPr>
                  <w:p w14:paraId="182290AD">
                    <w:pPr>
                      <w:rPr>
                        <w:bCs w:val="0"/>
                        <w:color w:val="000000" w:themeColor="text1"/>
                        <w14:textFill>
                          <w14:solidFill>
                            <w14:schemeClr w14:val="tx1"/>
                          </w14:solidFill>
                        </w14:textFill>
                      </w:rPr>
                    </w:pPr>
                    <w:r>
                      <w:rPr>
                        <w:bCs w:val="0"/>
                        <w:color w:val="000000" w:themeColor="text1"/>
                        <w14:textFill>
                          <w14:solidFill>
                            <w14:schemeClr w14:val="tx1"/>
                          </w14:solidFill>
                        </w14:textFill>
                      </w:rPr>
                      <w:t>向特定对象发行股票</w:t>
                    </w:r>
                  </w:p>
                </w:tc>
              </w:sdtContent>
            </w:sdt>
            <w:sdt>
              <w:sdtPr>
                <w:rPr>
                  <w:bCs w:val="0"/>
                  <w:color w:val="000000" w:themeColor="text1"/>
                  <w14:textFill>
                    <w14:solidFill>
                      <w14:schemeClr w14:val="tx1"/>
                    </w14:solidFill>
                  </w14:textFill>
                </w:rPr>
                <w:alias w:val="募集资金整体使用情况_募集资金到位时间"/>
                <w:tag w:val="_GBC_5cbdf31237894881b54b48da0d19e2ee"/>
                <w:id w:val="1431319459"/>
                <w:date w:fullDate="2017-04-18T00:00:00Z">
                  <w:dateFormat w:val="yyyy'年'M'月'd'日'"/>
                  <w:lid w:val="zh-CN"/>
                  <w:storeMappedDataAs w:val="datetime"/>
                  <w:calendar w:val="gregorian"/>
                </w:date>
              </w:sdtPr>
              <w:sdtEndPr>
                <w:rPr>
                  <w:bCs w:val="0"/>
                  <w:color w:val="000000" w:themeColor="text1"/>
                  <w14:textFill>
                    <w14:solidFill>
                      <w14:schemeClr w14:val="tx1"/>
                    </w14:solidFill>
                  </w14:textFill>
                </w:rPr>
              </w:sdtEndPr>
              <w:sdtContent>
                <w:tc>
                  <w:tcPr>
                    <w:tcW w:w="389" w:type="pct"/>
                    <w:vAlign w:val="center"/>
                  </w:tcPr>
                  <w:p w14:paraId="1F2CAAB5">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2017年4月18日</w:t>
                    </w:r>
                  </w:p>
                </w:tc>
              </w:sdtContent>
            </w:sdt>
            <w:tc>
              <w:tcPr>
                <w:tcW w:w="389" w:type="pct"/>
                <w:vAlign w:val="center"/>
              </w:tcPr>
              <w:p w14:paraId="15204F2A">
                <w:pPr>
                  <w:jc w:val="right"/>
                  <w:rPr>
                    <w:bCs w:val="0"/>
                  </w:rPr>
                </w:pPr>
                <w:r>
                  <w:rPr>
                    <w:rFonts w:hint="eastAsia"/>
                  </w:rPr>
                  <w:t>437,861.48</w:t>
                </w:r>
              </w:p>
            </w:tc>
            <w:tc>
              <w:tcPr>
                <w:tcW w:w="389" w:type="pct"/>
                <w:vAlign w:val="center"/>
              </w:tcPr>
              <w:p w14:paraId="75E90D8B">
                <w:pPr>
                  <w:jc w:val="right"/>
                  <w:rPr>
                    <w:bCs w:val="0"/>
                  </w:rPr>
                </w:pPr>
                <w:r>
                  <w:rPr>
                    <w:rFonts w:hint="eastAsia"/>
                  </w:rPr>
                  <w:t>431,291.5</w:t>
                </w:r>
              </w:p>
            </w:tc>
            <w:tc>
              <w:tcPr>
                <w:tcW w:w="388" w:type="pct"/>
                <w:vAlign w:val="center"/>
              </w:tcPr>
              <w:p w14:paraId="4316044B">
                <w:pPr>
                  <w:jc w:val="right"/>
                  <w:rPr>
                    <w:bCs w:val="0"/>
                  </w:rPr>
                </w:pPr>
                <w:r>
                  <w:rPr>
                    <w:rFonts w:hint="eastAsia"/>
                  </w:rPr>
                  <w:t>440,000</w:t>
                </w:r>
              </w:p>
            </w:tc>
            <w:tc>
              <w:tcPr>
                <w:tcW w:w="388" w:type="pct"/>
                <w:vAlign w:val="center"/>
              </w:tcPr>
              <w:p w14:paraId="704FF655">
                <w:pPr>
                  <w:jc w:val="right"/>
                  <w:rPr>
                    <w:bCs w:val="0"/>
                  </w:rPr>
                </w:pPr>
                <w:r>
                  <w:rPr>
                    <w:rFonts w:hint="eastAsia"/>
                    <w:bCs w:val="0"/>
                  </w:rPr>
                  <w:t>不适用</w:t>
                </w:r>
              </w:p>
            </w:tc>
            <w:tc>
              <w:tcPr>
                <w:tcW w:w="387" w:type="pct"/>
                <w:vAlign w:val="center"/>
              </w:tcPr>
              <w:p w14:paraId="7661D610">
                <w:pPr>
                  <w:jc w:val="right"/>
                  <w:rPr>
                    <w:bCs w:val="0"/>
                  </w:rPr>
                </w:pPr>
                <w:r>
                  <w:rPr>
                    <w:rFonts w:hint="eastAsia"/>
                  </w:rPr>
                  <w:t>374,801.41</w:t>
                </w:r>
              </w:p>
            </w:tc>
            <w:tc>
              <w:tcPr>
                <w:tcW w:w="387" w:type="pct"/>
                <w:vAlign w:val="center"/>
              </w:tcPr>
              <w:p w14:paraId="023B6783">
                <w:pPr>
                  <w:jc w:val="right"/>
                  <w:rPr>
                    <w:bCs w:val="0"/>
                  </w:rPr>
                </w:pPr>
                <w:r>
                  <w:rPr>
                    <w:rFonts w:hint="eastAsia"/>
                    <w:bCs w:val="0"/>
                  </w:rPr>
                  <w:t>不适用</w:t>
                </w:r>
              </w:p>
            </w:tc>
            <w:tc>
              <w:tcPr>
                <w:tcW w:w="387" w:type="pct"/>
                <w:vAlign w:val="center"/>
              </w:tcPr>
              <w:p w14:paraId="14EA4DA3">
                <w:pPr>
                  <w:jc w:val="right"/>
                  <w:rPr>
                    <w:bCs w:val="0"/>
                  </w:rPr>
                </w:pPr>
                <w:r>
                  <w:rPr>
                    <w:rFonts w:hint="eastAsia"/>
                  </w:rPr>
                  <w:t>86.90</w:t>
                </w:r>
              </w:p>
            </w:tc>
            <w:tc>
              <w:tcPr>
                <w:tcW w:w="387" w:type="pct"/>
                <w:vAlign w:val="center"/>
              </w:tcPr>
              <w:p w14:paraId="75FE70A0">
                <w:pPr>
                  <w:jc w:val="right"/>
                  <w:rPr>
                    <w:bCs w:val="0"/>
                  </w:rPr>
                </w:pPr>
                <w:r>
                  <w:rPr>
                    <w:rFonts w:hint="eastAsia"/>
                    <w:bCs w:val="0"/>
                  </w:rPr>
                  <w:t>不适用</w:t>
                </w:r>
              </w:p>
            </w:tc>
            <w:tc>
              <w:tcPr>
                <w:tcW w:w="387" w:type="pct"/>
                <w:vAlign w:val="center"/>
              </w:tcPr>
              <w:p w14:paraId="61641B8F">
                <w:pPr>
                  <w:jc w:val="right"/>
                  <w:rPr>
                    <w:bCs w:val="0"/>
                  </w:rPr>
                </w:pPr>
                <w:r>
                  <w:rPr>
                    <w:rFonts w:hint="eastAsia"/>
                  </w:rPr>
                  <w:t>46,593.23</w:t>
                </w:r>
              </w:p>
            </w:tc>
            <w:tc>
              <w:tcPr>
                <w:tcW w:w="367" w:type="pct"/>
                <w:vAlign w:val="center"/>
              </w:tcPr>
              <w:p w14:paraId="1C7510A2">
                <w:pPr>
                  <w:jc w:val="right"/>
                  <w:rPr>
                    <w:bCs w:val="0"/>
                  </w:rPr>
                </w:pPr>
                <w:r>
                  <w:rPr>
                    <w:rFonts w:hint="eastAsia"/>
                  </w:rPr>
                  <w:t>10.80</w:t>
                </w:r>
              </w:p>
            </w:tc>
            <w:tc>
              <w:tcPr>
                <w:tcW w:w="365" w:type="pct"/>
                <w:vAlign w:val="center"/>
              </w:tcPr>
              <w:p w14:paraId="31C40F83">
                <w:pPr>
                  <w:jc w:val="right"/>
                  <w:rPr>
                    <w:bCs w:val="0"/>
                  </w:rPr>
                </w:pPr>
                <w:r>
                  <w:rPr>
                    <w:rFonts w:hint="eastAsia"/>
                  </w:rPr>
                  <w:t>234,387.87</w:t>
                </w:r>
              </w:p>
            </w:tc>
          </w:tr>
        </w:sdtContent>
      </w:sdt>
      <w:bookmarkEnd w:id="70"/>
      <w:tr w14:paraId="1C87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89" w:type="pct"/>
            <w:vAlign w:val="center"/>
          </w:tcPr>
          <w:sdt>
            <w:sdtPr>
              <w:tag w:val="_PLD_29482579bd234cecb104befde6ee53f7"/>
              <w:id w:val="-368386401"/>
            </w:sdtPr>
            <w:sdtContent>
              <w:p w14:paraId="3C6126E1">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sdtContent>
          </w:sdt>
        </w:tc>
        <w:tc>
          <w:tcPr>
            <w:tcW w:w="389" w:type="pct"/>
            <w:vAlign w:val="center"/>
          </w:tcPr>
          <w:p w14:paraId="55F06F79">
            <w:pPr>
              <w:jc w:val="right"/>
              <w:rPr>
                <w:bCs w:val="0"/>
                <w:color w:val="000000" w:themeColor="text1"/>
                <w14:textFill>
                  <w14:solidFill>
                    <w14:schemeClr w14:val="tx1"/>
                  </w14:solidFill>
                </w14:textFill>
              </w:rPr>
            </w:pPr>
            <w:r>
              <w:rPr>
                <w:color w:val="000000" w:themeColor="text1"/>
                <w14:textFill>
                  <w14:solidFill>
                    <w14:schemeClr w14:val="tx1"/>
                  </w14:solidFill>
                </w14:textFill>
              </w:rPr>
              <w:t>/</w:t>
            </w:r>
          </w:p>
        </w:tc>
        <w:tc>
          <w:tcPr>
            <w:tcW w:w="389" w:type="pct"/>
            <w:vAlign w:val="center"/>
          </w:tcPr>
          <w:p w14:paraId="42CF9EDB">
            <w:pPr>
              <w:jc w:val="right"/>
              <w:rPr>
                <w:bCs w:val="0"/>
              </w:rPr>
            </w:pPr>
            <w:r>
              <w:rPr>
                <w:rFonts w:hint="eastAsia"/>
              </w:rPr>
              <w:t>842,811.48</w:t>
            </w:r>
          </w:p>
        </w:tc>
        <w:tc>
          <w:tcPr>
            <w:tcW w:w="389" w:type="pct"/>
            <w:vAlign w:val="center"/>
          </w:tcPr>
          <w:p w14:paraId="61124AC9">
            <w:pPr>
              <w:jc w:val="right"/>
              <w:rPr>
                <w:bCs w:val="0"/>
              </w:rPr>
            </w:pPr>
            <w:r>
              <w:rPr>
                <w:rFonts w:hint="eastAsia"/>
              </w:rPr>
              <w:t>822,669.09</w:t>
            </w:r>
          </w:p>
        </w:tc>
        <w:tc>
          <w:tcPr>
            <w:tcW w:w="388" w:type="pct"/>
            <w:vAlign w:val="center"/>
          </w:tcPr>
          <w:p w14:paraId="3A641EE2">
            <w:pPr>
              <w:jc w:val="right"/>
              <w:rPr>
                <w:bCs w:val="0"/>
              </w:rPr>
            </w:pPr>
            <w:r>
              <w:rPr>
                <w:rFonts w:hint="eastAsia"/>
              </w:rPr>
              <w:t>764,799</w:t>
            </w:r>
          </w:p>
        </w:tc>
        <w:tc>
          <w:tcPr>
            <w:tcW w:w="388" w:type="pct"/>
            <w:vAlign w:val="center"/>
          </w:tcPr>
          <w:p w14:paraId="6A725B32">
            <w:pPr>
              <w:jc w:val="right"/>
              <w:rPr>
                <w:bCs w:val="0"/>
              </w:rPr>
            </w:pPr>
            <w:r>
              <w:rPr>
                <w:rFonts w:hint="eastAsia"/>
              </w:rPr>
              <w:t>66,578.59</w:t>
            </w:r>
          </w:p>
        </w:tc>
        <w:tc>
          <w:tcPr>
            <w:tcW w:w="387" w:type="pct"/>
            <w:vAlign w:val="center"/>
          </w:tcPr>
          <w:p w14:paraId="2BFBDAC5">
            <w:pPr>
              <w:jc w:val="right"/>
              <w:rPr>
                <w:bCs w:val="0"/>
              </w:rPr>
            </w:pPr>
            <w:r>
              <w:rPr>
                <w:rFonts w:hint="eastAsia"/>
              </w:rPr>
              <w:t>783,080.97</w:t>
            </w:r>
          </w:p>
        </w:tc>
        <w:tc>
          <w:tcPr>
            <w:tcW w:w="387" w:type="pct"/>
            <w:vAlign w:val="center"/>
          </w:tcPr>
          <w:p w14:paraId="1551F14D">
            <w:pPr>
              <w:jc w:val="right"/>
              <w:rPr>
                <w:bCs w:val="0"/>
              </w:rPr>
            </w:pPr>
            <w:r>
              <w:rPr>
                <w:rFonts w:hint="eastAsia"/>
              </w:rPr>
              <w:t>66,578.59</w:t>
            </w:r>
          </w:p>
        </w:tc>
        <w:tc>
          <w:tcPr>
            <w:tcW w:w="387" w:type="pct"/>
            <w:vAlign w:val="center"/>
          </w:tcPr>
          <w:p w14:paraId="5A2EE5A7">
            <w:pPr>
              <w:jc w:val="right"/>
              <w:rPr>
                <w:bCs w:val="0"/>
                <w:color w:val="000000" w:themeColor="text1"/>
                <w14:textFill>
                  <w14:solidFill>
                    <w14:schemeClr w14:val="tx1"/>
                  </w14:solidFill>
                </w14:textFill>
              </w:rPr>
            </w:pPr>
            <w:r>
              <w:rPr>
                <w:color w:val="000000" w:themeColor="text1"/>
                <w14:textFill>
                  <w14:solidFill>
                    <w14:schemeClr w14:val="tx1"/>
                  </w14:solidFill>
                </w14:textFill>
              </w:rPr>
              <w:t>/</w:t>
            </w:r>
          </w:p>
        </w:tc>
        <w:tc>
          <w:tcPr>
            <w:tcW w:w="387" w:type="pct"/>
            <w:vAlign w:val="center"/>
          </w:tcPr>
          <w:p w14:paraId="39CEDB94">
            <w:pPr>
              <w:jc w:val="right"/>
              <w:rPr>
                <w:bCs w:val="0"/>
                <w:color w:val="000000" w:themeColor="text1"/>
                <w14:textFill>
                  <w14:solidFill>
                    <w14:schemeClr w14:val="tx1"/>
                  </w14:solidFill>
                </w14:textFill>
              </w:rPr>
            </w:pPr>
            <w:r>
              <w:rPr>
                <w:color w:val="000000" w:themeColor="text1"/>
                <w14:textFill>
                  <w14:solidFill>
                    <w14:schemeClr w14:val="tx1"/>
                  </w14:solidFill>
                </w14:textFill>
              </w:rPr>
              <w:t>/</w:t>
            </w:r>
          </w:p>
        </w:tc>
        <w:tc>
          <w:tcPr>
            <w:tcW w:w="387" w:type="pct"/>
            <w:vAlign w:val="center"/>
          </w:tcPr>
          <w:p w14:paraId="4FCCB9D8">
            <w:pPr>
              <w:jc w:val="right"/>
              <w:rPr>
                <w:bCs w:val="0"/>
              </w:rPr>
            </w:pPr>
            <w:r>
              <w:rPr>
                <w:rFonts w:hint="eastAsia"/>
              </w:rPr>
              <w:t>49,967.2</w:t>
            </w:r>
          </w:p>
        </w:tc>
        <w:tc>
          <w:tcPr>
            <w:tcW w:w="367" w:type="pct"/>
            <w:vAlign w:val="center"/>
          </w:tcPr>
          <w:p w14:paraId="76B8BDA4">
            <w:pPr>
              <w:jc w:val="right"/>
              <w:rPr>
                <w:bCs w:val="0"/>
                <w:color w:val="000000" w:themeColor="text1"/>
                <w14:textFill>
                  <w14:solidFill>
                    <w14:schemeClr w14:val="tx1"/>
                  </w14:solidFill>
                </w14:textFill>
              </w:rPr>
            </w:pPr>
            <w:r>
              <w:rPr>
                <w:color w:val="000000" w:themeColor="text1"/>
                <w14:textFill>
                  <w14:solidFill>
                    <w14:schemeClr w14:val="tx1"/>
                  </w14:solidFill>
                </w14:textFill>
              </w:rPr>
              <w:t>/</w:t>
            </w:r>
          </w:p>
        </w:tc>
        <w:tc>
          <w:tcPr>
            <w:tcW w:w="365" w:type="pct"/>
            <w:vAlign w:val="center"/>
          </w:tcPr>
          <w:p w14:paraId="6CD020E2">
            <w:pPr>
              <w:jc w:val="right"/>
              <w:rPr>
                <w:bCs w:val="0"/>
              </w:rPr>
            </w:pPr>
            <w:r>
              <w:rPr>
                <w:rFonts w:hint="eastAsia"/>
              </w:rPr>
              <w:t>423,092.79</w:t>
            </w:r>
          </w:p>
        </w:tc>
      </w:tr>
    </w:tbl>
    <w:p w14:paraId="7521F384">
      <w:pPr>
        <w:rPr>
          <w:color w:val="000000" w:themeColor="text1"/>
          <w14:textFill>
            <w14:solidFill>
              <w14:schemeClr w14:val="tx1"/>
            </w14:solidFill>
          </w14:textFill>
        </w:rPr>
      </w:pPr>
    </w:p>
    <w:p w14:paraId="70B0A1D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募集资金整体使用情况的其他说明[双击切换]"/>
        <w:tag w:val="_GBC_472dfe8b312b442ca54bdef220b253ad"/>
        <w:id w:val="-586691756"/>
      </w:sdtPr>
      <w:sdtEndPr>
        <w:rPr>
          <w:rFonts w:hint="eastAsia"/>
          <w:color w:val="000000" w:themeColor="text1"/>
          <w14:textFill>
            <w14:solidFill>
              <w14:schemeClr w14:val="tx1"/>
            </w14:solidFill>
          </w14:textFill>
        </w:rPr>
      </w:sdtEndPr>
      <w:sdtContent>
        <w:p w14:paraId="4C05FA4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ABDE0B2">
      <w:pPr>
        <w:rPr>
          <w:color w:val="000000" w:themeColor="text1"/>
          <w14:textFill>
            <w14:solidFill>
              <w14:schemeClr w14:val="tx1"/>
            </w14:solidFill>
          </w14:textFill>
        </w:rPr>
      </w:pPr>
    </w:p>
    <w:bookmarkEnd w:id="66"/>
    <w:p w14:paraId="1EAB411C">
      <w:pPr>
        <w:pStyle w:val="4"/>
        <w:numPr>
          <w:ilvl w:val="0"/>
          <w:numId w:val="25"/>
        </w:numPr>
        <w:tabs>
          <w:tab w:val="left" w:pos="360"/>
        </w:tabs>
        <w:ind w:left="450" w:hanging="45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募投项目明细</w:t>
      </w:r>
    </w:p>
    <w:sdt>
      <w:sdtPr>
        <w:rPr>
          <w:color w:val="000000" w:themeColor="text1"/>
          <w14:textFill>
            <w14:solidFill>
              <w14:schemeClr w14:val="tx1"/>
            </w14:solidFill>
          </w14:textFill>
        </w:rPr>
        <w:alias w:val="是否适用：募投项目明细[双击切换]"/>
        <w:tag w:val="_GBC_d62426eab3014f178b7d8906e6ab8d2c"/>
        <w:id w:val="147459042"/>
        <w:placeholder>
          <w:docPart w:val="{d8014d7a-cba5-4a66-9d59-c514dac73ae3}"/>
        </w:placeholder>
      </w:sdtPr>
      <w:sdtEndPr>
        <w:rPr>
          <w:color w:val="000000" w:themeColor="text1"/>
          <w14:textFill>
            <w14:solidFill>
              <w14:schemeClr w14:val="tx1"/>
            </w14:solidFill>
          </w14:textFill>
        </w:rPr>
      </w:sdtEndPr>
      <w:sdtContent>
        <w:p w14:paraId="4A6C6643">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p w14:paraId="5EC768E9">
          <w:pPr>
            <w:rPr>
              <w:color w:val="000000" w:themeColor="text1"/>
              <w14:textFill>
                <w14:solidFill>
                  <w14:schemeClr w14:val="tx1"/>
                </w14:solidFill>
              </w14:textFill>
            </w:rPr>
          </w:pPr>
        </w:p>
      </w:sdtContent>
    </w:sdt>
    <w:p w14:paraId="28010029">
      <w:pPr>
        <w:pStyle w:val="5"/>
        <w:numPr>
          <w:ilvl w:val="0"/>
          <w:numId w:val="26"/>
        </w:numPr>
      </w:pPr>
      <w:bookmarkStart w:id="71" w:name="_Hlk90391869"/>
      <w:r>
        <w:rPr>
          <w:rFonts w:hint="eastAsia"/>
        </w:rPr>
        <w:t>募集资金明细使用情况</w:t>
      </w:r>
    </w:p>
    <w:sdt>
      <w:sdtPr>
        <w:rPr>
          <w:color w:val="000000" w:themeColor="text1"/>
          <w14:textFill>
            <w14:solidFill>
              <w14:schemeClr w14:val="tx1"/>
            </w14:solidFill>
          </w14:textFill>
        </w:rPr>
        <w:alias w:val="是否适用：募集资金明细使用情况[双击切换]"/>
        <w:tag w:val="_GBC_48d6f3756d1b47deab1d995ea0c46336"/>
        <w:id w:val="147458247"/>
        <w:placeholder>
          <w:docPart w:val="{d8014d7a-cba5-4a66-9d59-c514dac73ae3}"/>
        </w:placeholder>
      </w:sdtPr>
      <w:sdtEndPr>
        <w:rPr>
          <w:color w:val="000000" w:themeColor="text1"/>
          <w14:textFill>
            <w14:solidFill>
              <w14:schemeClr w14:val="tx1"/>
            </w14:solidFill>
          </w14:textFill>
        </w:rPr>
      </w:sdtEndPr>
      <w:sdtContent>
        <w:p w14:paraId="0582B51D">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p w14:paraId="7F8038BD">
          <w:pPr>
            <w:rPr>
              <w:color w:val="000000" w:themeColor="text1"/>
              <w14:textFill>
                <w14:solidFill>
                  <w14:schemeClr w14:val="tx1"/>
                </w14:solidFill>
              </w14:textFill>
            </w:rPr>
          </w:pPr>
        </w:p>
      </w:sdtContent>
    </w:sdt>
    <w:p w14:paraId="3B40D573">
      <w:pPr>
        <w:ind w:right="105"/>
        <w:jc w:val="right"/>
        <w:rPr>
          <w:color w:val="000000" w:themeColor="text1"/>
          <w14:textFill>
            <w14:solidFill>
              <w14:schemeClr w14:val="tx1"/>
            </w14:solidFill>
          </w14:textFill>
        </w:rPr>
      </w:pPr>
    </w:p>
    <w:p w14:paraId="00EB411E">
      <w:pPr>
        <w:ind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募集资金承诺项目情况"/>
          <w:tag w:val="_GBC_1ea65ddb72f7416ebfabefd4f6fde236"/>
          <w:id w:val="147470789"/>
          <w:placeholder>
            <w:docPart w:val="{d8014d7a-cba5-4a66-9d59-c514dac73ae3}"/>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p>
    <w:bookmarkEnd w:id="67"/>
    <w:bookmarkEnd w:id="71"/>
    <w:tbl>
      <w:tblPr>
        <w:tblStyle w:val="37"/>
        <w:tblW w:w="5000" w:type="pct"/>
        <w:jc w:val="center"/>
        <w:tblLayout w:type="fixed"/>
        <w:tblCellMar>
          <w:top w:w="0" w:type="dxa"/>
          <w:left w:w="108" w:type="dxa"/>
          <w:bottom w:w="0" w:type="dxa"/>
          <w:right w:w="108" w:type="dxa"/>
        </w:tblCellMar>
      </w:tblPr>
      <w:tblGrid>
        <w:gridCol w:w="713"/>
        <w:gridCol w:w="917"/>
        <w:gridCol w:w="553"/>
        <w:gridCol w:w="839"/>
        <w:gridCol w:w="992"/>
        <w:gridCol w:w="933"/>
        <w:gridCol w:w="887"/>
        <w:gridCol w:w="916"/>
        <w:gridCol w:w="823"/>
        <w:gridCol w:w="795"/>
        <w:gridCol w:w="674"/>
        <w:gridCol w:w="839"/>
        <w:gridCol w:w="784"/>
        <w:gridCol w:w="938"/>
        <w:gridCol w:w="913"/>
        <w:gridCol w:w="787"/>
        <w:gridCol w:w="787"/>
      </w:tblGrid>
      <w:tr w14:paraId="2D3228B9">
        <w:tblPrEx>
          <w:tblCellMar>
            <w:top w:w="0" w:type="dxa"/>
            <w:left w:w="108" w:type="dxa"/>
            <w:bottom w:w="0" w:type="dxa"/>
            <w:right w:w="108" w:type="dxa"/>
          </w:tblCellMar>
        </w:tblPrEx>
        <w:trPr>
          <w:trHeight w:val="800" w:hRule="atLeast"/>
          <w:tblHeader/>
          <w:jc w:val="center"/>
        </w:trPr>
        <w:sdt>
          <w:sdtPr>
            <w:rPr>
              <w:rFonts w:cs="Times New Roman"/>
              <w:sz w:val="18"/>
              <w:szCs w:val="18"/>
            </w:rPr>
            <w:tag w:val="_PLD_ecc6f6cfd8d64c22abb3fa8a39189bf7"/>
            <w:id w:val="147468554"/>
          </w:sdtPr>
          <w:sdtEndPr>
            <w:rPr>
              <w:rFonts w:cs="Times New Roman"/>
              <w:sz w:val="18"/>
              <w:szCs w:val="18"/>
            </w:rPr>
          </w:sdtEndPr>
          <w:sdtContent>
            <w:tc>
              <w:tcPr>
                <w:tcW w:w="253" w:type="pct"/>
                <w:tcBorders>
                  <w:top w:val="single" w:color="auto" w:sz="4" w:space="0"/>
                  <w:left w:val="single" w:color="auto" w:sz="4" w:space="0"/>
                  <w:bottom w:val="single" w:color="auto" w:sz="4" w:space="0"/>
                  <w:right w:val="single" w:color="auto" w:sz="4" w:space="0"/>
                </w:tcBorders>
                <w:vAlign w:val="center"/>
              </w:tcPr>
              <w:p w14:paraId="6532B0FD">
                <w:pPr>
                  <w:jc w:val="center"/>
                  <w:rPr>
                    <w:rFonts w:cs="Times New Roman"/>
                    <w:bCs w:val="0"/>
                    <w:color w:val="000000" w:themeColor="text1"/>
                    <w:sz w:val="18"/>
                    <w:szCs w:val="18"/>
                    <w14:textFill>
                      <w14:solidFill>
                        <w14:schemeClr w14:val="tx1"/>
                      </w14:solidFill>
                    </w14:textFill>
                  </w:rPr>
                </w:pPr>
                <w:bookmarkStart w:id="72" w:name="_Hlk169882642"/>
                <w:r>
                  <w:rPr>
                    <w:rFonts w:cs="Times New Roman"/>
                    <w:color w:val="000000" w:themeColor="text1"/>
                    <w:sz w:val="18"/>
                    <w:szCs w:val="18"/>
                    <w14:textFill>
                      <w14:solidFill>
                        <w14:schemeClr w14:val="tx1"/>
                      </w14:solidFill>
                    </w14:textFill>
                  </w:rPr>
                  <w:t>募集资金来源</w:t>
                </w:r>
              </w:p>
            </w:tc>
          </w:sdtContent>
        </w:sdt>
        <w:sdt>
          <w:sdtPr>
            <w:rPr>
              <w:rFonts w:cs="Times New Roman"/>
              <w:sz w:val="18"/>
              <w:szCs w:val="18"/>
            </w:rPr>
            <w:tag w:val="_PLD_761d189c80d14526a263d362eda71ece"/>
            <w:id w:val="147479378"/>
          </w:sdtPr>
          <w:sdtEndPr>
            <w:rPr>
              <w:rFonts w:cs="Times New Roman"/>
              <w:sz w:val="18"/>
              <w:szCs w:val="18"/>
            </w:rPr>
          </w:sdtEndPr>
          <w:sdtContent>
            <w:tc>
              <w:tcPr>
                <w:tcW w:w="324" w:type="pct"/>
                <w:tcBorders>
                  <w:top w:val="single" w:color="auto" w:sz="4" w:space="0"/>
                  <w:left w:val="single" w:color="auto" w:sz="4" w:space="0"/>
                  <w:bottom w:val="single" w:color="auto" w:sz="4" w:space="0"/>
                  <w:right w:val="single" w:color="auto" w:sz="4" w:space="0"/>
                </w:tcBorders>
                <w:vAlign w:val="center"/>
              </w:tcPr>
              <w:p w14:paraId="1E8B0286">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项目名称</w:t>
                </w:r>
              </w:p>
            </w:tc>
          </w:sdtContent>
        </w:sdt>
        <w:tc>
          <w:tcPr>
            <w:tcW w:w="196" w:type="pct"/>
            <w:tcBorders>
              <w:top w:val="single" w:color="auto" w:sz="4" w:space="0"/>
              <w:left w:val="single" w:color="auto" w:sz="4" w:space="0"/>
              <w:bottom w:val="single" w:color="auto" w:sz="4" w:space="0"/>
              <w:right w:val="single" w:color="auto" w:sz="4" w:space="0"/>
            </w:tcBorders>
            <w:vAlign w:val="center"/>
          </w:tcPr>
          <w:sdt>
            <w:sdtPr>
              <w:rPr>
                <w:rFonts w:cs="Times New Roman"/>
                <w:sz w:val="18"/>
                <w:szCs w:val="18"/>
              </w:rPr>
              <w:tag w:val="_PLD_e9fb103224e24bc78010fc698d0d0d6e"/>
              <w:id w:val="147480515"/>
            </w:sdtPr>
            <w:sdtEndPr>
              <w:rPr>
                <w:rFonts w:cs="Times New Roman"/>
                <w:sz w:val="18"/>
                <w:szCs w:val="18"/>
              </w:rPr>
            </w:sdtEndPr>
            <w:sdtContent>
              <w:p w14:paraId="4B87D462">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项目性质</w:t>
                </w:r>
              </w:p>
            </w:sdtContent>
          </w:sdt>
        </w:tc>
        <w:tc>
          <w:tcPr>
            <w:tcW w:w="298" w:type="pct"/>
            <w:tcBorders>
              <w:top w:val="single" w:color="auto" w:sz="4" w:space="0"/>
              <w:left w:val="single" w:color="auto" w:sz="4" w:space="0"/>
              <w:bottom w:val="single" w:color="auto" w:sz="4" w:space="0"/>
              <w:right w:val="single" w:color="auto" w:sz="4" w:space="0"/>
            </w:tcBorders>
            <w:vAlign w:val="center"/>
          </w:tcPr>
          <w:sdt>
            <w:sdtPr>
              <w:rPr>
                <w:rFonts w:cs="Times New Roman"/>
                <w:sz w:val="18"/>
                <w:szCs w:val="18"/>
              </w:rPr>
              <w:tag w:val="_PLD_779903899f624d7e90d0b5905b454a25"/>
              <w:id w:val="147451364"/>
            </w:sdtPr>
            <w:sdtEndPr>
              <w:rPr>
                <w:rFonts w:cs="Times New Roman"/>
                <w:sz w:val="18"/>
                <w:szCs w:val="18"/>
              </w:rPr>
            </w:sdtEndPr>
            <w:sdtContent>
              <w:p w14:paraId="140DD9F7">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是否为招股书或者募集说明书中的承诺投资项目</w:t>
                </w:r>
              </w:p>
            </w:sdtContent>
          </w:sdt>
        </w:tc>
        <w:sdt>
          <w:sdtPr>
            <w:rPr>
              <w:rFonts w:cs="Times New Roman"/>
              <w:sz w:val="18"/>
              <w:szCs w:val="18"/>
            </w:rPr>
            <w:tag w:val="_PLD_fb2d6d9915e449a092fe4c2b051d5573"/>
            <w:id w:val="147472690"/>
          </w:sdtPr>
          <w:sdtEndPr>
            <w:rPr>
              <w:rFonts w:cs="Times New Roman"/>
              <w:sz w:val="18"/>
              <w:szCs w:val="18"/>
            </w:rPr>
          </w:sdtEndPr>
          <w:sdtContent>
            <w:tc>
              <w:tcPr>
                <w:tcW w:w="351" w:type="pct"/>
                <w:tcBorders>
                  <w:top w:val="single" w:color="auto" w:sz="4" w:space="0"/>
                  <w:left w:val="single" w:color="auto" w:sz="4" w:space="0"/>
                  <w:bottom w:val="single" w:color="auto" w:sz="4" w:space="0"/>
                  <w:right w:val="single" w:color="auto" w:sz="4" w:space="0"/>
                </w:tcBorders>
                <w:vAlign w:val="center"/>
              </w:tcPr>
              <w:p w14:paraId="363F1971">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是否涉及变更投向</w:t>
                </w:r>
              </w:p>
            </w:tc>
          </w:sdtContent>
        </w:sdt>
        <w:tc>
          <w:tcPr>
            <w:tcW w:w="330" w:type="pct"/>
            <w:tcBorders>
              <w:top w:val="single" w:color="auto" w:sz="4" w:space="0"/>
              <w:left w:val="nil"/>
              <w:bottom w:val="single" w:color="auto" w:sz="4" w:space="0"/>
              <w:right w:val="single" w:color="auto" w:sz="4" w:space="0"/>
            </w:tcBorders>
            <w:vAlign w:val="center"/>
          </w:tcPr>
          <w:sdt>
            <w:sdtPr>
              <w:rPr>
                <w:rFonts w:cs="Times New Roman"/>
                <w:sz w:val="18"/>
                <w:szCs w:val="18"/>
              </w:rPr>
              <w:tag w:val="_PLD_ecfc5a28e36143e79a5b25687b226292"/>
              <w:id w:val="147463683"/>
            </w:sdtPr>
            <w:sdtEndPr>
              <w:rPr>
                <w:rFonts w:cs="Times New Roman"/>
                <w:sz w:val="18"/>
                <w:szCs w:val="18"/>
              </w:rPr>
            </w:sdtEndPr>
            <w:sdtContent>
              <w:p w14:paraId="2D6FE912">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募集资金计划投资总额  (1)</w:t>
                </w:r>
              </w:p>
            </w:sdtContent>
          </w:sdt>
        </w:tc>
        <w:sdt>
          <w:sdtPr>
            <w:rPr>
              <w:rFonts w:cs="Times New Roman"/>
              <w:sz w:val="18"/>
              <w:szCs w:val="18"/>
            </w:rPr>
            <w:tag w:val="_PLD_0298947df8014f3caa51b18d7ccb2eee"/>
            <w:id w:val="147477488"/>
          </w:sdtPr>
          <w:sdtEndPr>
            <w:rPr>
              <w:rFonts w:cs="Times New Roman"/>
              <w:sz w:val="18"/>
              <w:szCs w:val="18"/>
            </w:rPr>
          </w:sdtEndPr>
          <w:sdtContent>
            <w:tc>
              <w:tcPr>
                <w:tcW w:w="314" w:type="pct"/>
                <w:tcBorders>
                  <w:top w:val="single" w:color="auto" w:sz="4" w:space="0"/>
                  <w:left w:val="single" w:color="auto" w:sz="4" w:space="0"/>
                  <w:bottom w:val="single" w:color="auto" w:sz="4" w:space="0"/>
                  <w:right w:val="single" w:color="auto" w:sz="4" w:space="0"/>
                </w:tcBorders>
                <w:vAlign w:val="center"/>
              </w:tcPr>
              <w:p w14:paraId="76708054">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本年投入金额</w:t>
                </w:r>
              </w:p>
            </w:tc>
          </w:sdtContent>
        </w:sdt>
        <w:sdt>
          <w:sdtPr>
            <w:rPr>
              <w:rFonts w:cs="Times New Roman"/>
              <w:sz w:val="18"/>
              <w:szCs w:val="18"/>
            </w:rPr>
            <w:tag w:val="_PLD_dc2849e9008d4ae484b729fce1b8183c"/>
            <w:id w:val="147463003"/>
          </w:sdtPr>
          <w:sdtEndPr>
            <w:rPr>
              <w:rFonts w:cs="Times New Roman"/>
              <w:sz w:val="18"/>
              <w:szCs w:val="18"/>
            </w:rPr>
          </w:sdtEndPr>
          <w:sdtContent>
            <w:tc>
              <w:tcPr>
                <w:tcW w:w="324" w:type="pct"/>
                <w:tcBorders>
                  <w:top w:val="single" w:color="auto" w:sz="4" w:space="0"/>
                  <w:left w:val="single" w:color="auto" w:sz="4" w:space="0"/>
                  <w:bottom w:val="single" w:color="auto" w:sz="4" w:space="0"/>
                  <w:right w:val="single" w:color="auto" w:sz="4" w:space="0"/>
                </w:tcBorders>
                <w:vAlign w:val="center"/>
              </w:tcPr>
              <w:p w14:paraId="2B78BAF4">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截至报告期末累计投入募集资金总额（2）</w:t>
                </w:r>
              </w:p>
            </w:tc>
          </w:sdtContent>
        </w:sdt>
        <w:sdt>
          <w:sdtPr>
            <w:rPr>
              <w:rFonts w:cs="Times New Roman"/>
              <w:sz w:val="18"/>
              <w:szCs w:val="18"/>
            </w:rPr>
            <w:tag w:val="_PLD_59e643f837534f6ead9a2e2416f3979e"/>
            <w:id w:val="147480212"/>
          </w:sdtPr>
          <w:sdtEndPr>
            <w:rPr>
              <w:rFonts w:cs="Times New Roman"/>
              <w:sz w:val="18"/>
              <w:szCs w:val="18"/>
            </w:rPr>
          </w:sdtEndPr>
          <w:sdtContent>
            <w:tc>
              <w:tcPr>
                <w:tcW w:w="292" w:type="pct"/>
                <w:tcBorders>
                  <w:top w:val="single" w:color="auto" w:sz="4" w:space="0"/>
                  <w:left w:val="nil"/>
                  <w:bottom w:val="single" w:color="auto" w:sz="4" w:space="0"/>
                  <w:right w:val="single" w:color="auto" w:sz="4" w:space="0"/>
                </w:tcBorders>
                <w:vAlign w:val="center"/>
              </w:tcPr>
              <w:p w14:paraId="053F12CC">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截至报告期末累计投入进度（%）</w:t>
                </w:r>
              </w:p>
              <w:p w14:paraId="00AF56DF">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(3)＝(2)/(1)</w:t>
                </w:r>
              </w:p>
            </w:tc>
          </w:sdtContent>
        </w:sdt>
        <w:sdt>
          <w:sdtPr>
            <w:rPr>
              <w:rFonts w:cs="Times New Roman"/>
              <w:sz w:val="18"/>
              <w:szCs w:val="18"/>
            </w:rPr>
            <w:tag w:val="_PLD_01e8e5e4ca3d4d3aaaa7086276c1bc5c"/>
            <w:id w:val="147458380"/>
          </w:sdtPr>
          <w:sdtEndPr>
            <w:rPr>
              <w:rFonts w:cs="Times New Roman"/>
              <w:sz w:val="18"/>
              <w:szCs w:val="18"/>
            </w:rPr>
          </w:sdtEndPr>
          <w:sdtContent>
            <w:tc>
              <w:tcPr>
                <w:tcW w:w="282" w:type="pct"/>
                <w:tcBorders>
                  <w:top w:val="single" w:color="auto" w:sz="4" w:space="0"/>
                  <w:left w:val="nil"/>
                  <w:bottom w:val="single" w:color="auto" w:sz="4" w:space="0"/>
                  <w:right w:val="single" w:color="auto" w:sz="4" w:space="0"/>
                </w:tcBorders>
                <w:vAlign w:val="center"/>
              </w:tcPr>
              <w:p w14:paraId="63C8CE37">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项目达到预定可使用状态日期</w:t>
                </w:r>
              </w:p>
            </w:tc>
          </w:sdtContent>
        </w:sdt>
        <w:sdt>
          <w:sdtPr>
            <w:rPr>
              <w:rFonts w:cs="Times New Roman"/>
              <w:sz w:val="18"/>
              <w:szCs w:val="18"/>
            </w:rPr>
            <w:tag w:val="_PLD_5eddbee536aa4e52892af95cd659d94b"/>
            <w:id w:val="147466638"/>
          </w:sdtPr>
          <w:sdtEndPr>
            <w:rPr>
              <w:rFonts w:cs="Times New Roman"/>
              <w:sz w:val="18"/>
              <w:szCs w:val="18"/>
            </w:rPr>
          </w:sdtEndPr>
          <w:sdtContent>
            <w:tc>
              <w:tcPr>
                <w:tcW w:w="239" w:type="pct"/>
                <w:tcBorders>
                  <w:top w:val="single" w:color="auto" w:sz="4" w:space="0"/>
                  <w:left w:val="nil"/>
                  <w:bottom w:val="single" w:color="auto" w:sz="4" w:space="0"/>
                  <w:right w:val="single" w:color="auto" w:sz="4" w:space="0"/>
                </w:tcBorders>
                <w:vAlign w:val="center"/>
              </w:tcPr>
              <w:p w14:paraId="2C92C3C9">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是否已结项</w:t>
                </w:r>
              </w:p>
            </w:tc>
          </w:sdtContent>
        </w:sdt>
        <w:sdt>
          <w:sdtPr>
            <w:rPr>
              <w:rFonts w:cs="Times New Roman"/>
              <w:sz w:val="18"/>
              <w:szCs w:val="18"/>
            </w:rPr>
            <w:tag w:val="_PLD_8467465a96b74acaab331c5d90e9ce0b"/>
            <w:id w:val="147467995"/>
          </w:sdtPr>
          <w:sdtEndPr>
            <w:rPr>
              <w:rFonts w:cs="Times New Roman"/>
              <w:sz w:val="18"/>
              <w:szCs w:val="18"/>
            </w:rPr>
          </w:sdtEndPr>
          <w:sdtContent>
            <w:tc>
              <w:tcPr>
                <w:tcW w:w="298" w:type="pct"/>
                <w:tcBorders>
                  <w:top w:val="single" w:color="auto" w:sz="4" w:space="0"/>
                  <w:left w:val="nil"/>
                  <w:bottom w:val="single" w:color="auto" w:sz="4" w:space="0"/>
                  <w:right w:val="single" w:color="auto" w:sz="4" w:space="0"/>
                </w:tcBorders>
                <w:vAlign w:val="center"/>
              </w:tcPr>
              <w:p w14:paraId="3A891563">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投入进度是否符合计划的进度</w:t>
                </w:r>
              </w:p>
            </w:tc>
          </w:sdtContent>
        </w:sdt>
        <w:sdt>
          <w:sdtPr>
            <w:rPr>
              <w:rFonts w:cs="Times New Roman"/>
              <w:sz w:val="18"/>
              <w:szCs w:val="18"/>
            </w:rPr>
            <w:tag w:val="_PLD_1b7bf5771de14bcc9dd65c6fd485f737"/>
            <w:id w:val="147478219"/>
          </w:sdtPr>
          <w:sdtEndPr>
            <w:rPr>
              <w:rFonts w:cs="Times New Roman"/>
              <w:sz w:val="18"/>
              <w:szCs w:val="18"/>
            </w:rPr>
          </w:sdtEndPr>
          <w:sdtContent>
            <w:tc>
              <w:tcPr>
                <w:tcW w:w="278" w:type="pct"/>
                <w:tcBorders>
                  <w:top w:val="single" w:color="auto" w:sz="4" w:space="0"/>
                  <w:left w:val="nil"/>
                  <w:bottom w:val="single" w:color="auto" w:sz="4" w:space="0"/>
                  <w:right w:val="single" w:color="auto" w:sz="4" w:space="0"/>
                </w:tcBorders>
                <w:vAlign w:val="center"/>
              </w:tcPr>
              <w:p w14:paraId="3A427F70">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投入进度未达计划的具体原因</w:t>
                </w:r>
              </w:p>
            </w:tc>
          </w:sdtContent>
        </w:sdt>
        <w:sdt>
          <w:sdtPr>
            <w:rPr>
              <w:rFonts w:cs="Times New Roman"/>
              <w:sz w:val="18"/>
              <w:szCs w:val="18"/>
            </w:rPr>
            <w:tag w:val="_PLD_fbb430167f3547579a7577fe949992b0"/>
            <w:id w:val="147470662"/>
          </w:sdtPr>
          <w:sdtEndPr>
            <w:rPr>
              <w:rFonts w:cs="Times New Roman"/>
              <w:sz w:val="18"/>
              <w:szCs w:val="18"/>
            </w:rPr>
          </w:sdtEndPr>
          <w:sdtContent>
            <w:tc>
              <w:tcPr>
                <w:tcW w:w="332" w:type="pct"/>
                <w:tcBorders>
                  <w:top w:val="single" w:color="auto" w:sz="4" w:space="0"/>
                  <w:left w:val="single" w:color="auto" w:sz="4" w:space="0"/>
                  <w:bottom w:val="single" w:color="auto" w:sz="4" w:space="0"/>
                  <w:right w:val="single" w:color="auto" w:sz="4" w:space="0"/>
                </w:tcBorders>
                <w:vAlign w:val="center"/>
              </w:tcPr>
              <w:p w14:paraId="2D588183">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本年实现的效益</w:t>
                </w:r>
              </w:p>
            </w:tc>
          </w:sdtContent>
        </w:sdt>
        <w:sdt>
          <w:sdtPr>
            <w:rPr>
              <w:rFonts w:cs="Times New Roman"/>
              <w:sz w:val="18"/>
              <w:szCs w:val="18"/>
            </w:rPr>
            <w:tag w:val="_PLD_6f9a466456034ce1b5c52e7b5f84118e"/>
            <w:id w:val="147471741"/>
          </w:sdtPr>
          <w:sdtEndPr>
            <w:rPr>
              <w:rFonts w:cs="Times New Roman"/>
              <w:sz w:val="18"/>
              <w:szCs w:val="18"/>
            </w:rPr>
          </w:sdtEndPr>
          <w:sdtContent>
            <w:tc>
              <w:tcPr>
                <w:tcW w:w="323" w:type="pct"/>
                <w:tcBorders>
                  <w:top w:val="single" w:color="auto" w:sz="4" w:space="0"/>
                  <w:left w:val="single" w:color="auto" w:sz="4" w:space="0"/>
                  <w:bottom w:val="single" w:color="auto" w:sz="4" w:space="0"/>
                  <w:right w:val="single" w:color="auto" w:sz="4" w:space="0"/>
                </w:tcBorders>
                <w:vAlign w:val="center"/>
              </w:tcPr>
              <w:p w14:paraId="29A7516A">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本项目已实现的效益或者研发成果</w:t>
                </w:r>
              </w:p>
            </w:tc>
          </w:sdtContent>
        </w:sdt>
        <w:sdt>
          <w:sdtPr>
            <w:rPr>
              <w:rFonts w:cs="Times New Roman"/>
              <w:sz w:val="18"/>
              <w:szCs w:val="18"/>
            </w:rPr>
            <w:tag w:val="_PLD_a2bfc6b5def44414b3ea17747d5098bb"/>
            <w:id w:val="147471921"/>
          </w:sdtPr>
          <w:sdtEndPr>
            <w:rPr>
              <w:rFonts w:cs="Times New Roman"/>
              <w:sz w:val="18"/>
              <w:szCs w:val="18"/>
            </w:rPr>
          </w:sdtEndPr>
          <w:sdtContent>
            <w:tc>
              <w:tcPr>
                <w:tcW w:w="279" w:type="pct"/>
                <w:tcBorders>
                  <w:top w:val="single" w:color="auto" w:sz="4" w:space="0"/>
                  <w:left w:val="nil"/>
                  <w:bottom w:val="single" w:color="auto" w:sz="4" w:space="0"/>
                  <w:right w:val="single" w:color="auto" w:sz="4" w:space="0"/>
                </w:tcBorders>
                <w:vAlign w:val="center"/>
              </w:tcPr>
              <w:p w14:paraId="696F2065">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项目可行性是否发生重大变化，如是，请说明具体情况</w:t>
                </w:r>
              </w:p>
            </w:tc>
          </w:sdtContent>
        </w:sdt>
        <w:sdt>
          <w:sdtPr>
            <w:rPr>
              <w:rFonts w:cs="Times New Roman"/>
              <w:sz w:val="18"/>
              <w:szCs w:val="18"/>
            </w:rPr>
            <w:tag w:val="_PLD_88cf0da5d9e243a788faa7cae609a675"/>
            <w:id w:val="147464988"/>
          </w:sdtPr>
          <w:sdtEndPr>
            <w:rPr>
              <w:rFonts w:cs="Times New Roman"/>
              <w:sz w:val="18"/>
              <w:szCs w:val="18"/>
            </w:rPr>
          </w:sdtEndPr>
          <w:sdtContent>
            <w:tc>
              <w:tcPr>
                <w:tcW w:w="279" w:type="pct"/>
                <w:tcBorders>
                  <w:top w:val="single" w:color="auto" w:sz="4" w:space="0"/>
                  <w:left w:val="nil"/>
                  <w:bottom w:val="single" w:color="auto" w:sz="4" w:space="0"/>
                  <w:right w:val="single" w:color="auto" w:sz="4" w:space="0"/>
                </w:tcBorders>
                <w:vAlign w:val="center"/>
              </w:tcPr>
              <w:p w14:paraId="34BCF9FD">
                <w:pPr>
                  <w:jc w:val="center"/>
                  <w:rPr>
                    <w:rFonts w:cs="Times New Roman"/>
                    <w:bCs w:val="0"/>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节余金额</w:t>
                </w:r>
              </w:p>
            </w:tc>
          </w:sdtContent>
        </w:sdt>
      </w:tr>
      <w:tr w14:paraId="3C01D7D7">
        <w:tblPrEx>
          <w:tblCellMar>
            <w:top w:w="0" w:type="dxa"/>
            <w:left w:w="108" w:type="dxa"/>
            <w:bottom w:w="0" w:type="dxa"/>
            <w:right w:w="108" w:type="dxa"/>
          </w:tblCellMar>
        </w:tblPrEx>
        <w:trPr>
          <w:trHeight w:val="160" w:hRule="atLeast"/>
          <w:jc w:val="center"/>
        </w:trPr>
        <w:sdt>
          <w:sdtPr>
            <w:rPr>
              <w:rFonts w:cs="Times New Roman"/>
              <w:bCs w:val="0"/>
              <w:color w:val="000000" w:themeColor="text1"/>
              <w:sz w:val="15"/>
              <w:szCs w:val="15"/>
              <w14:textFill>
                <w14:solidFill>
                  <w14:schemeClr w14:val="tx1"/>
                </w14:solidFill>
              </w14:textFill>
            </w:rPr>
            <w:alias w:val="募集资金使用进展明细_募集资金来源"/>
            <w:tag w:val="_GBC_638a92b01f424b558305ec2f2f71a9f3"/>
            <w:id w:val="147477017"/>
            <w:comboBox>
              <w:listItem w:displayText="首次公开发行股票" w:value="首次公开发行股票"/>
              <w:listItem w:displayText="向特定对象发行股票" w:value="向特定对象发行股票"/>
              <w:listItem w:displayText="发行可转换债券" w:value="发行可转换债券"/>
              <w:listItem w:displayText="其他" w:value="其他"/>
            </w:comboBox>
          </w:sdtPr>
          <w:sdtEndPr>
            <w:rPr>
              <w:rFonts w:cs="Times New Roman"/>
              <w:bCs w:val="0"/>
              <w:color w:val="000000" w:themeColor="text1"/>
              <w:sz w:val="15"/>
              <w:szCs w:val="15"/>
              <w14:textFill>
                <w14:solidFill>
                  <w14:schemeClr w14:val="tx1"/>
                </w14:solidFill>
              </w14:textFill>
            </w:rPr>
          </w:sdtEndPr>
          <w:sdtContent>
            <w:tc>
              <w:tcPr>
                <w:tcW w:w="253" w:type="pct"/>
                <w:tcBorders>
                  <w:top w:val="single" w:color="auto" w:sz="4" w:space="0"/>
                  <w:left w:val="single" w:color="auto" w:sz="4" w:space="0"/>
                  <w:bottom w:val="single" w:color="auto" w:sz="4" w:space="0"/>
                  <w:right w:val="single" w:color="auto" w:sz="4" w:space="0"/>
                </w:tcBorders>
                <w:vAlign w:val="center"/>
              </w:tcPr>
              <w:p w14:paraId="51CC80EA">
                <w:pPr>
                  <w:jc w:val="center"/>
                  <w:rPr>
                    <w:rFonts w:cs="Times New Roman"/>
                    <w:bCs w:val="0"/>
                    <w:color w:val="000000" w:themeColor="text1"/>
                    <w:sz w:val="15"/>
                    <w:szCs w:val="15"/>
                    <w14:textFill>
                      <w14:solidFill>
                        <w14:schemeClr w14:val="tx1"/>
                      </w14:solidFill>
                    </w14:textFill>
                  </w:rPr>
                </w:pPr>
                <w:r>
                  <w:rPr>
                    <w:rFonts w:cs="Times New Roman"/>
                    <w:bCs w:val="0"/>
                    <w:color w:val="000000" w:themeColor="text1"/>
                    <w:sz w:val="15"/>
                    <w:szCs w:val="15"/>
                    <w14:textFill>
                      <w14:solidFill>
                        <w14:schemeClr w14:val="tx1"/>
                      </w14:solidFill>
                    </w14:textFill>
                  </w:rPr>
                  <w:t>首次公开发行股票</w:t>
                </w:r>
              </w:p>
            </w:tc>
          </w:sdtContent>
        </w:sdt>
        <w:tc>
          <w:tcPr>
            <w:tcW w:w="324" w:type="pct"/>
            <w:tcBorders>
              <w:top w:val="single" w:color="auto" w:sz="4" w:space="0"/>
              <w:left w:val="single" w:color="auto" w:sz="4" w:space="0"/>
              <w:bottom w:val="single" w:color="auto" w:sz="4" w:space="0"/>
              <w:right w:val="single" w:color="auto" w:sz="4" w:space="0"/>
            </w:tcBorders>
            <w:vAlign w:val="center"/>
          </w:tcPr>
          <w:p w14:paraId="2EF48AA8">
            <w:pPr>
              <w:jc w:val="center"/>
              <w:rPr>
                <w:rFonts w:cs="Times New Roman"/>
                <w:bCs w:val="0"/>
                <w:sz w:val="15"/>
                <w:szCs w:val="15"/>
              </w:rPr>
            </w:pPr>
            <w:r>
              <w:rPr>
                <w:rFonts w:cs="Times New Roman"/>
                <w:bCs w:val="0"/>
                <w:sz w:val="15"/>
                <w:szCs w:val="15"/>
              </w:rPr>
              <w:t>智能化中高档职业装生产线技改项目</w:t>
            </w:r>
          </w:p>
        </w:tc>
        <w:sdt>
          <w:sdtPr>
            <w:rPr>
              <w:rFonts w:cs="Times New Roman"/>
              <w:bCs w:val="0"/>
              <w:color w:val="000000" w:themeColor="text1"/>
              <w:sz w:val="15"/>
              <w:szCs w:val="15"/>
              <w14:textFill>
                <w14:solidFill>
                  <w14:schemeClr w14:val="tx1"/>
                </w14:solidFill>
              </w14:textFill>
            </w:rPr>
            <w:alias w:val="募集资金使用进展明细_项目性质"/>
            <w:tag w:val="_GBC_59ad4f31295148cbb106b37f0b7af58a"/>
            <w:id w:val="147469179"/>
            <w:comboBox>
              <w:listItem w:displayText="研发" w:value="研发"/>
              <w:listItem w:displayText="生产建设" w:value="生产建设"/>
              <w:listItem w:displayText="运营管理" w:value="运营管理"/>
              <w:listItem w:displayText="补流还贷" w:value="补流还贷"/>
              <w:listItem w:displayText="其他" w:value="其他"/>
            </w:comboBox>
          </w:sdtPr>
          <w:sdtEndPr>
            <w:rPr>
              <w:rFonts w:cs="Times New Roman"/>
              <w:bCs w:val="0"/>
              <w:color w:val="000000" w:themeColor="text1"/>
              <w:sz w:val="15"/>
              <w:szCs w:val="15"/>
              <w14:textFill>
                <w14:solidFill>
                  <w14:schemeClr w14:val="tx1"/>
                </w14:solidFill>
              </w14:textFill>
            </w:rPr>
          </w:sdtEndPr>
          <w:sdtContent>
            <w:tc>
              <w:tcPr>
                <w:tcW w:w="196" w:type="pct"/>
                <w:tcBorders>
                  <w:top w:val="single" w:color="auto" w:sz="4" w:space="0"/>
                  <w:left w:val="single" w:color="auto" w:sz="4" w:space="0"/>
                  <w:bottom w:val="single" w:color="auto" w:sz="4" w:space="0"/>
                  <w:right w:val="single" w:color="auto" w:sz="4" w:space="0"/>
                </w:tcBorders>
                <w:vAlign w:val="center"/>
              </w:tcPr>
              <w:p w14:paraId="0C5EA947">
                <w:pPr>
                  <w:rPr>
                    <w:rFonts w:cs="Times New Roman"/>
                    <w:bCs w:val="0"/>
                    <w:color w:val="000000" w:themeColor="text1"/>
                    <w:sz w:val="15"/>
                    <w:szCs w:val="15"/>
                    <w14:textFill>
                      <w14:solidFill>
                        <w14:schemeClr w14:val="tx1"/>
                      </w14:solidFill>
                    </w14:textFill>
                  </w:rPr>
                </w:pPr>
                <w:r>
                  <w:rPr>
                    <w:rFonts w:cs="Times New Roman"/>
                    <w:bCs w:val="0"/>
                    <w:color w:val="000000" w:themeColor="text1"/>
                    <w:sz w:val="15"/>
                    <w:szCs w:val="15"/>
                    <w14:textFill>
                      <w14:solidFill>
                        <w14:schemeClr w14:val="tx1"/>
                      </w14:solidFill>
                    </w14:textFill>
                  </w:rPr>
                  <w:t>生产建设</w:t>
                </w:r>
              </w:p>
            </w:tc>
          </w:sdtContent>
        </w:sdt>
        <w:sdt>
          <w:sdtPr>
            <w:rPr>
              <w:rFonts w:cs="Times New Roman"/>
              <w:bCs w:val="0"/>
              <w:color w:val="000000" w:themeColor="text1"/>
              <w:sz w:val="15"/>
              <w:szCs w:val="15"/>
              <w14:textFill>
                <w14:solidFill>
                  <w14:schemeClr w14:val="tx1"/>
                </w14:solidFill>
              </w14:textFill>
            </w:rPr>
            <w:alias w:val="募集资金使用进展明细_是否为招股书或者募集说明书中的承诺投资项目"/>
            <w:tag w:val="_GBC_00067f3661ee4f19b4a8e3025ebbbfc4"/>
            <w:id w:val="147451288"/>
            <w:comboBox>
              <w:listItem w:displayText="是" w:value="是"/>
              <w:listItem w:displayText="否" w:value="否"/>
            </w:comboBox>
          </w:sdtPr>
          <w:sdtEndPr>
            <w:rPr>
              <w:rFonts w:cs="Times New Roman"/>
              <w:bCs w:val="0"/>
              <w:color w:val="000000" w:themeColor="text1"/>
              <w:sz w:val="15"/>
              <w:szCs w:val="15"/>
              <w14:textFill>
                <w14:solidFill>
                  <w14:schemeClr w14:val="tx1"/>
                </w14:solidFill>
              </w14:textFill>
            </w:rPr>
          </w:sdtEndPr>
          <w:sdtContent>
            <w:tc>
              <w:tcPr>
                <w:tcW w:w="298" w:type="pct"/>
                <w:tcBorders>
                  <w:top w:val="single" w:color="auto" w:sz="4" w:space="0"/>
                  <w:left w:val="single" w:color="auto" w:sz="4" w:space="0"/>
                  <w:bottom w:val="single" w:color="auto" w:sz="4" w:space="0"/>
                  <w:right w:val="single" w:color="auto" w:sz="4" w:space="0"/>
                </w:tcBorders>
                <w:vAlign w:val="center"/>
              </w:tcPr>
              <w:p w14:paraId="4226E938">
                <w:pPr>
                  <w:jc w:val="center"/>
                  <w:rPr>
                    <w:rFonts w:cs="Times New Roman"/>
                    <w:bCs w:val="0"/>
                    <w:color w:val="000000" w:themeColor="text1"/>
                    <w:sz w:val="15"/>
                    <w:szCs w:val="15"/>
                    <w14:textFill>
                      <w14:solidFill>
                        <w14:schemeClr w14:val="tx1"/>
                      </w14:solidFill>
                    </w14:textFill>
                  </w:rPr>
                </w:pPr>
                <w:r>
                  <w:rPr>
                    <w:rFonts w:cs="Times New Roman"/>
                    <w:bCs w:val="0"/>
                    <w:color w:val="000000" w:themeColor="text1"/>
                    <w:sz w:val="15"/>
                    <w:szCs w:val="15"/>
                    <w14:textFill>
                      <w14:solidFill>
                        <w14:schemeClr w14:val="tx1"/>
                      </w14:solidFill>
                    </w14:textFill>
                  </w:rPr>
                  <w:t>是</w:t>
                </w:r>
              </w:p>
            </w:tc>
          </w:sdtContent>
        </w:sdt>
        <w:sdt>
          <w:sdtPr>
            <w:rPr>
              <w:rFonts w:cs="Times New Roman"/>
              <w:bCs w:val="0"/>
              <w:color w:val="000000" w:themeColor="text1"/>
              <w:sz w:val="15"/>
              <w:szCs w:val="15"/>
              <w14:textFill>
                <w14:solidFill>
                  <w14:schemeClr w14:val="tx1"/>
                </w14:solidFill>
              </w14:textFill>
            </w:rPr>
            <w:alias w:val="募集资金使用进展明细_是否涉及变更投向"/>
            <w:tag w:val="_GBC_fb2f3e0df64f4401964e002c0f204923"/>
            <w:id w:val="147482763"/>
            <w:comboBox>
              <w:listItem w:displayText="是，此项目取消" w:value="是，此项目取消"/>
              <w:listItem w:displayText="是，此项目为新项目" w:value="是，此项目为新项目"/>
              <w:listItem w:displayText="是，此项目未取消，调整募集资金投资总额" w:value="是，此项目未取消，调整募集资金投资总额"/>
              <w:listItem w:displayText="否" w:value="否"/>
            </w:comboBox>
          </w:sdtPr>
          <w:sdtEndPr>
            <w:rPr>
              <w:rFonts w:cs="Times New Roman"/>
              <w:bCs w:val="0"/>
              <w:color w:val="000000" w:themeColor="text1"/>
              <w:sz w:val="15"/>
              <w:szCs w:val="15"/>
              <w14:textFill>
                <w14:solidFill>
                  <w14:schemeClr w14:val="tx1"/>
                </w14:solidFill>
              </w14:textFill>
            </w:rPr>
          </w:sdtEndPr>
          <w:sdtContent>
            <w:tc>
              <w:tcPr>
                <w:tcW w:w="351" w:type="pct"/>
                <w:tcBorders>
                  <w:top w:val="single" w:color="auto" w:sz="4" w:space="0"/>
                  <w:left w:val="single" w:color="auto" w:sz="4" w:space="0"/>
                  <w:bottom w:val="single" w:color="auto" w:sz="4" w:space="0"/>
                  <w:right w:val="single" w:color="auto" w:sz="4" w:space="0"/>
                </w:tcBorders>
                <w:vAlign w:val="center"/>
              </w:tcPr>
              <w:p w14:paraId="23E07EBD">
                <w:pPr>
                  <w:rPr>
                    <w:rFonts w:cs="Times New Roman"/>
                    <w:bCs w:val="0"/>
                    <w:color w:val="000000" w:themeColor="text1"/>
                    <w:sz w:val="15"/>
                    <w:szCs w:val="15"/>
                    <w14:textFill>
                      <w14:solidFill>
                        <w14:schemeClr w14:val="tx1"/>
                      </w14:solidFill>
                    </w14:textFill>
                  </w:rPr>
                </w:pPr>
                <w:r>
                  <w:rPr>
                    <w:rFonts w:cs="Times New Roman"/>
                    <w:bCs w:val="0"/>
                    <w:color w:val="000000" w:themeColor="text1"/>
                    <w:sz w:val="15"/>
                    <w:szCs w:val="15"/>
                    <w14:textFill>
                      <w14:solidFill>
                        <w14:schemeClr w14:val="tx1"/>
                      </w14:solidFill>
                    </w14:textFill>
                  </w:rPr>
                  <w:t>是，此项目未取消，调整募集资金投资总额</w:t>
                </w:r>
              </w:p>
            </w:tc>
          </w:sdtContent>
        </w:sdt>
        <w:tc>
          <w:tcPr>
            <w:tcW w:w="330" w:type="pct"/>
            <w:tcBorders>
              <w:top w:val="single" w:color="auto" w:sz="4" w:space="0"/>
              <w:left w:val="nil"/>
              <w:bottom w:val="single" w:color="auto" w:sz="4" w:space="0"/>
              <w:right w:val="single" w:color="auto" w:sz="4" w:space="0"/>
            </w:tcBorders>
            <w:vAlign w:val="center"/>
          </w:tcPr>
          <w:p w14:paraId="56039E2E">
            <w:pPr>
              <w:jc w:val="right"/>
              <w:textAlignment w:val="center"/>
              <w:rPr>
                <w:rFonts w:cs="Times New Roman"/>
                <w:sz w:val="15"/>
                <w:szCs w:val="15"/>
              </w:rPr>
            </w:pPr>
            <w:r>
              <w:rPr>
                <w:rFonts w:cs="Times New Roman"/>
                <w:color w:val="000000"/>
                <w:sz w:val="15"/>
                <w:szCs w:val="15"/>
                <w:lang w:bidi="ar"/>
              </w:rPr>
              <w:t xml:space="preserve"> 21,646.62 </w:t>
            </w:r>
          </w:p>
        </w:tc>
        <w:tc>
          <w:tcPr>
            <w:tcW w:w="314" w:type="pct"/>
            <w:tcBorders>
              <w:top w:val="single" w:color="auto" w:sz="4" w:space="0"/>
              <w:left w:val="single" w:color="auto" w:sz="4" w:space="0"/>
              <w:bottom w:val="single" w:color="auto" w:sz="4" w:space="0"/>
              <w:right w:val="single" w:color="auto" w:sz="4" w:space="0"/>
            </w:tcBorders>
            <w:vAlign w:val="center"/>
          </w:tcPr>
          <w:p w14:paraId="51B8D08B">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2366E45C">
            <w:pPr>
              <w:jc w:val="right"/>
              <w:textAlignment w:val="center"/>
              <w:rPr>
                <w:rFonts w:cs="Times New Roman"/>
                <w:sz w:val="15"/>
                <w:szCs w:val="15"/>
              </w:rPr>
            </w:pPr>
            <w:r>
              <w:rPr>
                <w:rFonts w:cs="Times New Roman"/>
                <w:color w:val="000000"/>
                <w:sz w:val="15"/>
                <w:szCs w:val="15"/>
                <w:lang w:bidi="ar"/>
              </w:rPr>
              <w:t xml:space="preserve"> 21,646.62 </w:t>
            </w:r>
          </w:p>
        </w:tc>
        <w:tc>
          <w:tcPr>
            <w:tcW w:w="292" w:type="pct"/>
            <w:tcBorders>
              <w:top w:val="single" w:color="auto" w:sz="4" w:space="0"/>
              <w:left w:val="nil"/>
              <w:bottom w:val="single" w:color="auto" w:sz="4" w:space="0"/>
              <w:right w:val="single" w:color="auto" w:sz="4" w:space="0"/>
            </w:tcBorders>
            <w:vAlign w:val="center"/>
          </w:tcPr>
          <w:p w14:paraId="6F4A02C5">
            <w:pPr>
              <w:jc w:val="right"/>
              <w:textAlignment w:val="center"/>
              <w:rPr>
                <w:rFonts w:cs="Times New Roman"/>
                <w:sz w:val="15"/>
                <w:szCs w:val="15"/>
              </w:rPr>
            </w:pPr>
            <w:r>
              <w:rPr>
                <w:rFonts w:cs="Times New Roman"/>
                <w:color w:val="000000"/>
                <w:sz w:val="15"/>
                <w:szCs w:val="15"/>
                <w:lang w:bidi="ar"/>
              </w:rPr>
              <w:t>100</w:t>
            </w:r>
          </w:p>
        </w:tc>
        <w:tc>
          <w:tcPr>
            <w:tcW w:w="282" w:type="pct"/>
            <w:tcBorders>
              <w:top w:val="single" w:color="auto" w:sz="4" w:space="0"/>
              <w:left w:val="nil"/>
              <w:bottom w:val="single" w:color="auto" w:sz="4" w:space="0"/>
              <w:right w:val="single" w:color="auto" w:sz="4" w:space="0"/>
            </w:tcBorders>
            <w:vAlign w:val="center"/>
          </w:tcPr>
          <w:p w14:paraId="736879FC">
            <w:pPr>
              <w:jc w:val="center"/>
              <w:textAlignment w:val="center"/>
              <w:rPr>
                <w:rFonts w:cs="Times New Roman"/>
                <w:bCs w:val="0"/>
                <w:sz w:val="15"/>
                <w:szCs w:val="15"/>
              </w:rPr>
            </w:pPr>
            <w:r>
              <w:rPr>
                <w:rFonts w:cs="Times New Roman"/>
                <w:color w:val="000000"/>
                <w:sz w:val="15"/>
                <w:szCs w:val="15"/>
                <w:lang w:bidi="ar"/>
              </w:rPr>
              <w:t>已达到</w:t>
            </w:r>
          </w:p>
        </w:tc>
        <w:sdt>
          <w:sdtPr>
            <w:rPr>
              <w:rFonts w:cs="Times New Roman"/>
              <w:bCs w:val="0"/>
              <w:color w:val="000000" w:themeColor="text1"/>
              <w:sz w:val="15"/>
              <w:szCs w:val="15"/>
              <w14:textFill>
                <w14:solidFill>
                  <w14:schemeClr w14:val="tx1"/>
                </w14:solidFill>
              </w14:textFill>
            </w:rPr>
            <w:alias w:val="募集资金使用进展明细_是否已结项"/>
            <w:tag w:val="_GBC_652a94f0dd3c4dcab48312f0d030fee7"/>
            <w:id w:val="147451810"/>
            <w:comboBox>
              <w:listItem w:displayText="是" w:value="是"/>
              <w:listItem w:displayText="否" w:value="否"/>
            </w:comboBox>
          </w:sdtPr>
          <w:sdtEndPr>
            <w:rPr>
              <w:rFonts w:cs="Times New Roman"/>
              <w:bCs w:val="0"/>
              <w:color w:val="000000" w:themeColor="text1"/>
              <w:sz w:val="15"/>
              <w:szCs w:val="15"/>
              <w14:textFill>
                <w14:solidFill>
                  <w14:schemeClr w14:val="tx1"/>
                </w14:solidFill>
              </w14:textFill>
            </w:rPr>
          </w:sdtEndPr>
          <w:sdtContent>
            <w:tc>
              <w:tcPr>
                <w:tcW w:w="239" w:type="pct"/>
                <w:tcBorders>
                  <w:top w:val="single" w:color="auto" w:sz="4" w:space="0"/>
                  <w:left w:val="nil"/>
                  <w:bottom w:val="single" w:color="auto" w:sz="4" w:space="0"/>
                  <w:right w:val="single" w:color="auto" w:sz="4" w:space="0"/>
                </w:tcBorders>
                <w:vAlign w:val="center"/>
              </w:tcPr>
              <w:p w14:paraId="6D7FE4A5">
                <w:pPr>
                  <w:jc w:val="center"/>
                  <w:rPr>
                    <w:rFonts w:cs="Times New Roman"/>
                    <w:bCs w:val="0"/>
                    <w:color w:val="000000" w:themeColor="text1"/>
                    <w:sz w:val="15"/>
                    <w:szCs w:val="15"/>
                    <w14:textFill>
                      <w14:solidFill>
                        <w14:schemeClr w14:val="tx1"/>
                      </w14:solidFill>
                    </w14:textFill>
                  </w:rPr>
                </w:pPr>
                <w:r>
                  <w:rPr>
                    <w:rFonts w:cs="Times New Roman"/>
                    <w:bCs w:val="0"/>
                    <w:color w:val="000000" w:themeColor="text1"/>
                    <w:sz w:val="15"/>
                    <w:szCs w:val="15"/>
                    <w14:textFill>
                      <w14:solidFill>
                        <w14:schemeClr w14:val="tx1"/>
                      </w14:solidFill>
                    </w14:textFill>
                  </w:rPr>
                  <w:t>是</w:t>
                </w:r>
              </w:p>
            </w:tc>
          </w:sdtContent>
        </w:sdt>
        <w:sdt>
          <w:sdtPr>
            <w:rPr>
              <w:rFonts w:cs="Times New Roman"/>
              <w:bCs w:val="0"/>
              <w:color w:val="000000" w:themeColor="text1"/>
              <w:sz w:val="15"/>
              <w:szCs w:val="15"/>
              <w14:textFill>
                <w14:solidFill>
                  <w14:schemeClr w14:val="tx1"/>
                </w14:solidFill>
              </w14:textFill>
            </w:rPr>
            <w:alias w:val="募集资金使用进展明细_投入进度是否符合计划的进度"/>
            <w:tag w:val="_GBC_dfdd496e2c884e9ea12783e91b6b1aee"/>
            <w:id w:val="147478300"/>
            <w:comboBox>
              <w:listItem w:displayText="是" w:value="是"/>
              <w:listItem w:displayText="否" w:value="否"/>
            </w:comboBox>
          </w:sdtPr>
          <w:sdtEndPr>
            <w:rPr>
              <w:rFonts w:cs="Times New Roman"/>
              <w:bCs w:val="0"/>
              <w:color w:val="000000" w:themeColor="text1"/>
              <w:sz w:val="15"/>
              <w:szCs w:val="15"/>
              <w14:textFill>
                <w14:solidFill>
                  <w14:schemeClr w14:val="tx1"/>
                </w14:solidFill>
              </w14:textFill>
            </w:rPr>
          </w:sdtEndPr>
          <w:sdtContent>
            <w:tc>
              <w:tcPr>
                <w:tcW w:w="298" w:type="pct"/>
                <w:tcBorders>
                  <w:top w:val="single" w:color="auto" w:sz="4" w:space="0"/>
                  <w:left w:val="nil"/>
                  <w:bottom w:val="single" w:color="auto" w:sz="4" w:space="0"/>
                  <w:right w:val="single" w:color="auto" w:sz="4" w:space="0"/>
                </w:tcBorders>
                <w:vAlign w:val="center"/>
              </w:tcPr>
              <w:p w14:paraId="50503291">
                <w:pPr>
                  <w:jc w:val="center"/>
                  <w:rPr>
                    <w:rFonts w:cs="Times New Roman"/>
                    <w:bCs w:val="0"/>
                    <w:color w:val="000000" w:themeColor="text1"/>
                    <w:sz w:val="15"/>
                    <w:szCs w:val="15"/>
                    <w14:textFill>
                      <w14:solidFill>
                        <w14:schemeClr w14:val="tx1"/>
                      </w14:solidFill>
                    </w14:textFill>
                  </w:rPr>
                </w:pPr>
                <w:r>
                  <w:rPr>
                    <w:rFonts w:cs="Times New Roman"/>
                    <w:bCs w:val="0"/>
                    <w:color w:val="000000" w:themeColor="text1"/>
                    <w:sz w:val="15"/>
                    <w:szCs w:val="15"/>
                    <w14:textFill>
                      <w14:solidFill>
                        <w14:schemeClr w14:val="tx1"/>
                      </w14:solidFill>
                    </w14:textFill>
                  </w:rPr>
                  <w:t>是</w:t>
                </w:r>
              </w:p>
            </w:tc>
          </w:sdtContent>
        </w:sdt>
        <w:tc>
          <w:tcPr>
            <w:tcW w:w="278" w:type="pct"/>
            <w:tcBorders>
              <w:top w:val="single" w:color="auto" w:sz="4" w:space="0"/>
              <w:left w:val="nil"/>
              <w:bottom w:val="single" w:color="auto" w:sz="4" w:space="0"/>
              <w:right w:val="single" w:color="auto" w:sz="4" w:space="0"/>
            </w:tcBorders>
            <w:vAlign w:val="center"/>
          </w:tcPr>
          <w:p w14:paraId="3A1DA845">
            <w:pPr>
              <w:jc w:val="cente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54743952">
            <w:pPr>
              <w:jc w:val="right"/>
              <w:textAlignment w:val="center"/>
              <w:rPr>
                <w:rFonts w:cs="Times New Roman"/>
                <w:bCs w:val="0"/>
                <w:sz w:val="15"/>
                <w:szCs w:val="15"/>
              </w:rPr>
            </w:pPr>
            <w:r>
              <w:rPr>
                <w:rFonts w:cs="Times New Roman"/>
                <w:color w:val="000000"/>
                <w:sz w:val="15"/>
                <w:szCs w:val="15"/>
                <w:lang w:bidi="ar"/>
              </w:rPr>
              <w:t>1,155.56</w:t>
            </w:r>
          </w:p>
        </w:tc>
        <w:tc>
          <w:tcPr>
            <w:tcW w:w="323" w:type="pct"/>
            <w:tcBorders>
              <w:top w:val="single" w:color="auto" w:sz="4" w:space="0"/>
              <w:left w:val="single" w:color="auto" w:sz="4" w:space="0"/>
              <w:bottom w:val="single" w:color="auto" w:sz="4" w:space="0"/>
              <w:right w:val="single" w:color="auto" w:sz="4" w:space="0"/>
            </w:tcBorders>
            <w:vAlign w:val="center"/>
          </w:tcPr>
          <w:p w14:paraId="6BE83E4C">
            <w:pPr>
              <w:jc w:val="cente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3A78544E">
            <w:pPr>
              <w:jc w:val="center"/>
              <w:textAlignment w:val="center"/>
              <w:rPr>
                <w:rFonts w:cs="Times New Roman"/>
                <w:bCs w:val="0"/>
                <w:sz w:val="15"/>
                <w:szCs w:val="15"/>
              </w:rPr>
            </w:pPr>
            <w:r>
              <w:rPr>
                <w:rFonts w:cs="Times New Roman"/>
                <w:color w:val="000000"/>
                <w:sz w:val="15"/>
                <w:szCs w:val="15"/>
                <w:lang w:bidi="ar"/>
              </w:rPr>
              <w:t>否</w:t>
            </w:r>
          </w:p>
        </w:tc>
        <w:tc>
          <w:tcPr>
            <w:tcW w:w="279" w:type="pct"/>
            <w:tcBorders>
              <w:top w:val="single" w:color="auto" w:sz="4" w:space="0"/>
              <w:left w:val="nil"/>
              <w:bottom w:val="single" w:color="auto" w:sz="4" w:space="0"/>
              <w:right w:val="single" w:color="auto" w:sz="4" w:space="0"/>
            </w:tcBorders>
            <w:vAlign w:val="center"/>
          </w:tcPr>
          <w:p w14:paraId="7D6BA27E">
            <w:pPr>
              <w:jc w:val="center"/>
              <w:rPr>
                <w:rFonts w:cs="Times New Roman"/>
                <w:bCs w:val="0"/>
                <w:sz w:val="15"/>
                <w:szCs w:val="15"/>
              </w:rPr>
            </w:pPr>
          </w:p>
        </w:tc>
      </w:tr>
      <w:tr w14:paraId="7D9C721A">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1E9C109">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3E2E896">
            <w:pPr>
              <w:jc w:val="center"/>
              <w:rPr>
                <w:rFonts w:cs="Times New Roman"/>
                <w:bCs w:val="0"/>
                <w:sz w:val="15"/>
                <w:szCs w:val="15"/>
              </w:rPr>
            </w:pPr>
            <w:r>
              <w:rPr>
                <w:rFonts w:cs="Times New Roman"/>
                <w:sz w:val="15"/>
                <w:szCs w:val="15"/>
              </w:rPr>
              <w:t>高档针织面料及制品扩建改造项目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7C45E6A9">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347A15EF">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7E777DB0">
            <w:pPr>
              <w:rPr>
                <w:rFonts w:cs="Times New Roman"/>
                <w:bCs w:val="0"/>
                <w:color w:val="000000" w:themeColor="text1"/>
                <w:sz w:val="15"/>
                <w:szCs w:val="15"/>
                <w14:textFill>
                  <w14:solidFill>
                    <w14:schemeClr w14:val="tx1"/>
                  </w14:solidFill>
                </w14:textFill>
              </w:rPr>
            </w:pPr>
            <w:r>
              <w:rPr>
                <w:rFonts w:cs="Times New Roman"/>
                <w:sz w:val="15"/>
                <w:szCs w:val="15"/>
              </w:rPr>
              <w:t>是，此项目未取消，调整募集资金投资总额</w:t>
            </w:r>
          </w:p>
        </w:tc>
        <w:tc>
          <w:tcPr>
            <w:tcW w:w="330" w:type="pct"/>
            <w:tcBorders>
              <w:top w:val="single" w:color="auto" w:sz="4" w:space="0"/>
              <w:left w:val="nil"/>
              <w:bottom w:val="single" w:color="auto" w:sz="4" w:space="0"/>
              <w:right w:val="single" w:color="auto" w:sz="4" w:space="0"/>
            </w:tcBorders>
            <w:vAlign w:val="center"/>
          </w:tcPr>
          <w:p w14:paraId="5CCF4085">
            <w:pPr>
              <w:jc w:val="right"/>
              <w:rPr>
                <w:rFonts w:cs="Times New Roman"/>
                <w:sz w:val="15"/>
                <w:szCs w:val="15"/>
              </w:rPr>
            </w:pPr>
            <w:r>
              <w:rPr>
                <w:rFonts w:cs="Times New Roman"/>
                <w:sz w:val="15"/>
                <w:szCs w:val="15"/>
              </w:rPr>
              <w:t>4,429.32</w:t>
            </w:r>
          </w:p>
        </w:tc>
        <w:tc>
          <w:tcPr>
            <w:tcW w:w="314" w:type="pct"/>
            <w:tcBorders>
              <w:top w:val="single" w:color="auto" w:sz="4" w:space="0"/>
              <w:left w:val="single" w:color="auto" w:sz="4" w:space="0"/>
              <w:bottom w:val="single" w:color="auto" w:sz="4" w:space="0"/>
              <w:right w:val="single" w:color="auto" w:sz="4" w:space="0"/>
            </w:tcBorders>
            <w:vAlign w:val="center"/>
          </w:tcPr>
          <w:p w14:paraId="525419B6">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6716B011">
            <w:pPr>
              <w:jc w:val="right"/>
              <w:rPr>
                <w:rFonts w:cs="Times New Roman"/>
                <w:sz w:val="15"/>
                <w:szCs w:val="15"/>
              </w:rPr>
            </w:pPr>
            <w:r>
              <w:rPr>
                <w:rFonts w:cs="Times New Roman"/>
                <w:sz w:val="15"/>
                <w:szCs w:val="15"/>
              </w:rPr>
              <w:t>4,429.32</w:t>
            </w:r>
          </w:p>
        </w:tc>
        <w:tc>
          <w:tcPr>
            <w:tcW w:w="292" w:type="pct"/>
            <w:tcBorders>
              <w:top w:val="single" w:color="auto" w:sz="4" w:space="0"/>
              <w:left w:val="nil"/>
              <w:bottom w:val="single" w:color="auto" w:sz="4" w:space="0"/>
              <w:right w:val="single" w:color="auto" w:sz="4" w:space="0"/>
            </w:tcBorders>
            <w:vAlign w:val="center"/>
          </w:tcPr>
          <w:p w14:paraId="516542EE">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0354905F">
            <w:pPr>
              <w:jc w:val="center"/>
              <w:rPr>
                <w:rFonts w:cs="Times New Roman"/>
                <w:bCs w:val="0"/>
                <w:sz w:val="15"/>
                <w:szCs w:val="15"/>
              </w:rPr>
            </w:pPr>
            <w:r>
              <w:rPr>
                <w:rFonts w:cs="Times New Roman"/>
                <w:sz w:val="15"/>
                <w:szCs w:val="15"/>
              </w:rPr>
              <w:t>已达到</w:t>
            </w:r>
          </w:p>
        </w:tc>
        <w:tc>
          <w:tcPr>
            <w:tcW w:w="239" w:type="pct"/>
            <w:tcBorders>
              <w:top w:val="single" w:color="auto" w:sz="4" w:space="0"/>
              <w:left w:val="nil"/>
              <w:bottom w:val="single" w:color="auto" w:sz="4" w:space="0"/>
              <w:right w:val="single" w:color="auto" w:sz="4" w:space="0"/>
            </w:tcBorders>
            <w:vAlign w:val="center"/>
          </w:tcPr>
          <w:p w14:paraId="24BF2DFC">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1F2B1D1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106A79CB">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286D98F8">
            <w:pPr>
              <w:jc w:val="right"/>
              <w:rPr>
                <w:rFonts w:cs="Times New Roman"/>
                <w:bCs w:val="0"/>
                <w:sz w:val="15"/>
                <w:szCs w:val="15"/>
              </w:rPr>
            </w:pPr>
            <w:r>
              <w:rPr>
                <w:rFonts w:cs="Times New Roman"/>
                <w:sz w:val="15"/>
                <w:szCs w:val="15"/>
              </w:rPr>
              <w:t>161.73</w:t>
            </w:r>
          </w:p>
        </w:tc>
        <w:tc>
          <w:tcPr>
            <w:tcW w:w="323" w:type="pct"/>
            <w:tcBorders>
              <w:top w:val="single" w:color="auto" w:sz="4" w:space="0"/>
              <w:left w:val="single" w:color="auto" w:sz="4" w:space="0"/>
              <w:bottom w:val="single" w:color="auto" w:sz="4" w:space="0"/>
              <w:right w:val="single" w:color="auto" w:sz="4" w:space="0"/>
            </w:tcBorders>
            <w:vAlign w:val="center"/>
          </w:tcPr>
          <w:p w14:paraId="2BD5A8FA">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2076FD51">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747E1DAE">
            <w:pPr>
              <w:jc w:val="right"/>
              <w:rPr>
                <w:rFonts w:cs="Times New Roman"/>
                <w:bCs w:val="0"/>
                <w:sz w:val="15"/>
                <w:szCs w:val="15"/>
              </w:rPr>
            </w:pPr>
          </w:p>
        </w:tc>
      </w:tr>
      <w:tr w14:paraId="1B54FED1">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66BE231D">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00BDE58A">
            <w:pPr>
              <w:jc w:val="center"/>
              <w:rPr>
                <w:rFonts w:cs="Times New Roman"/>
                <w:bCs w:val="0"/>
                <w:sz w:val="15"/>
                <w:szCs w:val="15"/>
              </w:rPr>
            </w:pPr>
            <w:r>
              <w:rPr>
                <w:rFonts w:cs="Times New Roman"/>
                <w:sz w:val="15"/>
                <w:szCs w:val="15"/>
              </w:rPr>
              <w:t>军警靴、职业鞋靴技术装备升级扩建改造项目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772C1068">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4F600CED">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07EEB656">
            <w:pPr>
              <w:rPr>
                <w:rFonts w:cs="Times New Roman"/>
                <w:bCs w:val="0"/>
                <w:color w:val="000000" w:themeColor="text1"/>
                <w:sz w:val="15"/>
                <w:szCs w:val="15"/>
                <w14:textFill>
                  <w14:solidFill>
                    <w14:schemeClr w14:val="tx1"/>
                  </w14:solidFill>
                </w14:textFill>
              </w:rPr>
            </w:pPr>
            <w:r>
              <w:rPr>
                <w:rFonts w:cs="Times New Roman"/>
                <w:sz w:val="15"/>
                <w:szCs w:val="15"/>
              </w:rPr>
              <w:t>是，此项目未取消，调整募集资金投资总额</w:t>
            </w:r>
          </w:p>
        </w:tc>
        <w:tc>
          <w:tcPr>
            <w:tcW w:w="330" w:type="pct"/>
            <w:tcBorders>
              <w:top w:val="single" w:color="auto" w:sz="4" w:space="0"/>
              <w:left w:val="nil"/>
              <w:bottom w:val="single" w:color="auto" w:sz="4" w:space="0"/>
              <w:right w:val="single" w:color="auto" w:sz="4" w:space="0"/>
            </w:tcBorders>
            <w:vAlign w:val="center"/>
          </w:tcPr>
          <w:p w14:paraId="3112A1BB">
            <w:pPr>
              <w:jc w:val="right"/>
              <w:rPr>
                <w:rFonts w:cs="Times New Roman"/>
                <w:sz w:val="15"/>
                <w:szCs w:val="15"/>
              </w:rPr>
            </w:pPr>
            <w:r>
              <w:rPr>
                <w:rFonts w:cs="Times New Roman"/>
                <w:sz w:val="15"/>
                <w:szCs w:val="15"/>
              </w:rPr>
              <w:t>5,326.93</w:t>
            </w:r>
          </w:p>
        </w:tc>
        <w:tc>
          <w:tcPr>
            <w:tcW w:w="314" w:type="pct"/>
            <w:tcBorders>
              <w:top w:val="single" w:color="auto" w:sz="4" w:space="0"/>
              <w:left w:val="single" w:color="auto" w:sz="4" w:space="0"/>
              <w:bottom w:val="single" w:color="auto" w:sz="4" w:space="0"/>
              <w:right w:val="single" w:color="auto" w:sz="4" w:space="0"/>
            </w:tcBorders>
            <w:vAlign w:val="center"/>
          </w:tcPr>
          <w:p w14:paraId="555E5722">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603D5D93">
            <w:pPr>
              <w:jc w:val="right"/>
              <w:rPr>
                <w:rFonts w:cs="Times New Roman"/>
                <w:sz w:val="15"/>
                <w:szCs w:val="15"/>
              </w:rPr>
            </w:pPr>
            <w:r>
              <w:rPr>
                <w:rFonts w:cs="Times New Roman"/>
                <w:sz w:val="15"/>
                <w:szCs w:val="15"/>
              </w:rPr>
              <w:t>5,326.93</w:t>
            </w:r>
          </w:p>
        </w:tc>
        <w:tc>
          <w:tcPr>
            <w:tcW w:w="292" w:type="pct"/>
            <w:tcBorders>
              <w:top w:val="single" w:color="auto" w:sz="4" w:space="0"/>
              <w:left w:val="nil"/>
              <w:bottom w:val="single" w:color="auto" w:sz="4" w:space="0"/>
              <w:right w:val="single" w:color="auto" w:sz="4" w:space="0"/>
            </w:tcBorders>
            <w:vAlign w:val="center"/>
          </w:tcPr>
          <w:p w14:paraId="574740BD">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09F408FB">
            <w:pPr>
              <w:jc w:val="center"/>
              <w:rPr>
                <w:rFonts w:cs="Times New Roman"/>
                <w:bCs w:val="0"/>
                <w:sz w:val="15"/>
                <w:szCs w:val="15"/>
              </w:rPr>
            </w:pPr>
            <w:r>
              <w:rPr>
                <w:rFonts w:cs="Times New Roman"/>
                <w:sz w:val="15"/>
                <w:szCs w:val="15"/>
              </w:rPr>
              <w:t>已达到</w:t>
            </w:r>
          </w:p>
        </w:tc>
        <w:tc>
          <w:tcPr>
            <w:tcW w:w="239" w:type="pct"/>
            <w:tcBorders>
              <w:top w:val="single" w:color="auto" w:sz="4" w:space="0"/>
              <w:left w:val="nil"/>
              <w:bottom w:val="single" w:color="auto" w:sz="4" w:space="0"/>
              <w:right w:val="single" w:color="auto" w:sz="4" w:space="0"/>
            </w:tcBorders>
            <w:vAlign w:val="center"/>
          </w:tcPr>
          <w:p w14:paraId="6A57E172">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19183289">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4C85D5C6">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658DC0A1">
            <w:pPr>
              <w:jc w:val="right"/>
              <w:rPr>
                <w:rFonts w:cs="Times New Roman"/>
                <w:bCs w:val="0"/>
                <w:sz w:val="15"/>
                <w:szCs w:val="15"/>
              </w:rPr>
            </w:pPr>
            <w:r>
              <w:rPr>
                <w:rFonts w:cs="Times New Roman"/>
                <w:sz w:val="15"/>
                <w:szCs w:val="15"/>
              </w:rPr>
              <w:t>1,091.17</w:t>
            </w:r>
          </w:p>
        </w:tc>
        <w:tc>
          <w:tcPr>
            <w:tcW w:w="323" w:type="pct"/>
            <w:tcBorders>
              <w:top w:val="single" w:color="auto" w:sz="4" w:space="0"/>
              <w:left w:val="single" w:color="auto" w:sz="4" w:space="0"/>
              <w:bottom w:val="single" w:color="auto" w:sz="4" w:space="0"/>
              <w:right w:val="single" w:color="auto" w:sz="4" w:space="0"/>
            </w:tcBorders>
            <w:vAlign w:val="center"/>
          </w:tcPr>
          <w:p w14:paraId="0087065F">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29E0C134">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68C03C32">
            <w:pPr>
              <w:jc w:val="right"/>
              <w:rPr>
                <w:rFonts w:cs="Times New Roman"/>
                <w:bCs w:val="0"/>
                <w:sz w:val="15"/>
                <w:szCs w:val="15"/>
              </w:rPr>
            </w:pPr>
          </w:p>
        </w:tc>
      </w:tr>
      <w:tr w14:paraId="6E0CE498">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084822D7">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F0C444C">
            <w:pPr>
              <w:jc w:val="center"/>
              <w:rPr>
                <w:rFonts w:cs="Times New Roman"/>
                <w:bCs w:val="0"/>
                <w:sz w:val="15"/>
                <w:szCs w:val="15"/>
              </w:rPr>
            </w:pPr>
            <w:r>
              <w:rPr>
                <w:rFonts w:cs="Times New Roman"/>
                <w:sz w:val="15"/>
                <w:szCs w:val="15"/>
              </w:rPr>
              <w:t>功能性职业鞋靴等技改工程项目</w:t>
            </w:r>
          </w:p>
        </w:tc>
        <w:tc>
          <w:tcPr>
            <w:tcW w:w="196" w:type="pct"/>
            <w:tcBorders>
              <w:top w:val="single" w:color="auto" w:sz="4" w:space="0"/>
              <w:left w:val="single" w:color="auto" w:sz="4" w:space="0"/>
              <w:bottom w:val="single" w:color="auto" w:sz="4" w:space="0"/>
              <w:right w:val="single" w:color="auto" w:sz="4" w:space="0"/>
            </w:tcBorders>
            <w:vAlign w:val="center"/>
          </w:tcPr>
          <w:p w14:paraId="7670ACED">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B4B78C0">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03B5AFBF">
            <w:pPr>
              <w:rPr>
                <w:rFonts w:cs="Times New Roman"/>
                <w:bCs w:val="0"/>
                <w:color w:val="000000" w:themeColor="text1"/>
                <w:sz w:val="15"/>
                <w:szCs w:val="15"/>
                <w14:textFill>
                  <w14:solidFill>
                    <w14:schemeClr w14:val="tx1"/>
                  </w14:solidFill>
                </w14:textFill>
              </w:rPr>
            </w:pPr>
            <w:r>
              <w:rPr>
                <w:rFonts w:cs="Times New Roman"/>
                <w:sz w:val="15"/>
                <w:szCs w:val="15"/>
              </w:rPr>
              <w:t>是，此项目未取消，调整募集资金投资总额</w:t>
            </w:r>
          </w:p>
        </w:tc>
        <w:tc>
          <w:tcPr>
            <w:tcW w:w="330" w:type="pct"/>
            <w:tcBorders>
              <w:top w:val="single" w:color="auto" w:sz="4" w:space="0"/>
              <w:left w:val="nil"/>
              <w:bottom w:val="single" w:color="auto" w:sz="4" w:space="0"/>
              <w:right w:val="single" w:color="auto" w:sz="4" w:space="0"/>
            </w:tcBorders>
            <w:vAlign w:val="center"/>
          </w:tcPr>
          <w:p w14:paraId="107DA42B">
            <w:pPr>
              <w:jc w:val="right"/>
              <w:rPr>
                <w:rFonts w:cs="Times New Roman"/>
                <w:sz w:val="15"/>
                <w:szCs w:val="15"/>
              </w:rPr>
            </w:pPr>
            <w:r>
              <w:rPr>
                <w:rFonts w:cs="Times New Roman"/>
                <w:sz w:val="15"/>
                <w:szCs w:val="15"/>
              </w:rPr>
              <w:t>4,387.66</w:t>
            </w:r>
          </w:p>
        </w:tc>
        <w:tc>
          <w:tcPr>
            <w:tcW w:w="314" w:type="pct"/>
            <w:tcBorders>
              <w:top w:val="single" w:color="auto" w:sz="4" w:space="0"/>
              <w:left w:val="single" w:color="auto" w:sz="4" w:space="0"/>
              <w:bottom w:val="single" w:color="auto" w:sz="4" w:space="0"/>
              <w:right w:val="single" w:color="auto" w:sz="4" w:space="0"/>
            </w:tcBorders>
            <w:vAlign w:val="center"/>
          </w:tcPr>
          <w:p w14:paraId="43D43AAB">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7B57E8CB">
            <w:pPr>
              <w:jc w:val="right"/>
              <w:rPr>
                <w:rFonts w:cs="Times New Roman"/>
                <w:sz w:val="15"/>
                <w:szCs w:val="15"/>
              </w:rPr>
            </w:pPr>
            <w:r>
              <w:rPr>
                <w:rFonts w:cs="Times New Roman"/>
                <w:sz w:val="15"/>
                <w:szCs w:val="15"/>
              </w:rPr>
              <w:t>4,387.66</w:t>
            </w:r>
          </w:p>
        </w:tc>
        <w:tc>
          <w:tcPr>
            <w:tcW w:w="292" w:type="pct"/>
            <w:tcBorders>
              <w:top w:val="single" w:color="auto" w:sz="4" w:space="0"/>
              <w:left w:val="nil"/>
              <w:bottom w:val="single" w:color="auto" w:sz="4" w:space="0"/>
              <w:right w:val="single" w:color="auto" w:sz="4" w:space="0"/>
            </w:tcBorders>
            <w:vAlign w:val="center"/>
          </w:tcPr>
          <w:p w14:paraId="074EE77F">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9EC4990">
            <w:pPr>
              <w:jc w:val="center"/>
              <w:rPr>
                <w:rFonts w:cs="Times New Roman"/>
                <w:bCs w:val="0"/>
                <w:sz w:val="15"/>
                <w:szCs w:val="15"/>
              </w:rPr>
            </w:pPr>
            <w:r>
              <w:rPr>
                <w:rFonts w:cs="Times New Roman"/>
                <w:sz w:val="15"/>
                <w:szCs w:val="15"/>
              </w:rPr>
              <w:t>已达到</w:t>
            </w:r>
          </w:p>
        </w:tc>
        <w:tc>
          <w:tcPr>
            <w:tcW w:w="239" w:type="pct"/>
            <w:tcBorders>
              <w:top w:val="single" w:color="auto" w:sz="4" w:space="0"/>
              <w:left w:val="nil"/>
              <w:bottom w:val="single" w:color="auto" w:sz="4" w:space="0"/>
              <w:right w:val="single" w:color="auto" w:sz="4" w:space="0"/>
            </w:tcBorders>
            <w:vAlign w:val="center"/>
          </w:tcPr>
          <w:p w14:paraId="3C2F6D9D">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2614FB2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37B51041">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77388275">
            <w:pPr>
              <w:jc w:val="right"/>
              <w:rPr>
                <w:rFonts w:cs="Times New Roman"/>
                <w:bCs w:val="0"/>
                <w:sz w:val="15"/>
                <w:szCs w:val="15"/>
              </w:rPr>
            </w:pPr>
            <w:r>
              <w:rPr>
                <w:rFonts w:cs="Times New Roman"/>
                <w:sz w:val="15"/>
                <w:szCs w:val="15"/>
              </w:rPr>
              <w:t>207.88</w:t>
            </w:r>
          </w:p>
        </w:tc>
        <w:tc>
          <w:tcPr>
            <w:tcW w:w="323" w:type="pct"/>
            <w:tcBorders>
              <w:top w:val="single" w:color="auto" w:sz="4" w:space="0"/>
              <w:left w:val="single" w:color="auto" w:sz="4" w:space="0"/>
              <w:bottom w:val="single" w:color="auto" w:sz="4" w:space="0"/>
              <w:right w:val="single" w:color="auto" w:sz="4" w:space="0"/>
            </w:tcBorders>
            <w:vAlign w:val="center"/>
          </w:tcPr>
          <w:p w14:paraId="2E609E72">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0F76C2E">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0C3A64A1">
            <w:pPr>
              <w:jc w:val="right"/>
              <w:rPr>
                <w:rFonts w:cs="Times New Roman"/>
                <w:bCs w:val="0"/>
                <w:sz w:val="15"/>
                <w:szCs w:val="15"/>
              </w:rPr>
            </w:pPr>
          </w:p>
        </w:tc>
      </w:tr>
      <w:tr w14:paraId="11E9C733">
        <w:tblPrEx>
          <w:tblCellMar>
            <w:top w:w="0" w:type="dxa"/>
            <w:left w:w="108" w:type="dxa"/>
            <w:bottom w:w="0" w:type="dxa"/>
            <w:right w:w="108" w:type="dxa"/>
          </w:tblCellMar>
        </w:tblPrEx>
        <w:trPr>
          <w:trHeight w:val="888"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AB65324">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0FA8AAF3">
            <w:pPr>
              <w:jc w:val="center"/>
              <w:rPr>
                <w:rFonts w:cs="Times New Roman"/>
                <w:bCs w:val="0"/>
                <w:sz w:val="15"/>
                <w:szCs w:val="15"/>
              </w:rPr>
            </w:pPr>
            <w:r>
              <w:rPr>
                <w:rFonts w:cs="Times New Roman"/>
                <w:sz w:val="15"/>
                <w:szCs w:val="15"/>
              </w:rPr>
              <w:t>功能性防护胶靴生产线技改项目</w:t>
            </w:r>
          </w:p>
        </w:tc>
        <w:tc>
          <w:tcPr>
            <w:tcW w:w="196" w:type="pct"/>
            <w:tcBorders>
              <w:top w:val="single" w:color="auto" w:sz="4" w:space="0"/>
              <w:left w:val="single" w:color="auto" w:sz="4" w:space="0"/>
              <w:bottom w:val="single" w:color="auto" w:sz="4" w:space="0"/>
              <w:right w:val="single" w:color="auto" w:sz="4" w:space="0"/>
            </w:tcBorders>
            <w:vAlign w:val="center"/>
          </w:tcPr>
          <w:p w14:paraId="65C8880A">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36B46B21">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3033813E">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32AD582D">
            <w:pPr>
              <w:jc w:val="right"/>
              <w:rPr>
                <w:rFonts w:cs="Times New Roman"/>
                <w:sz w:val="15"/>
                <w:szCs w:val="15"/>
              </w:rPr>
            </w:pPr>
            <w:r>
              <w:rPr>
                <w:rFonts w:cs="Times New Roman"/>
                <w:sz w:val="15"/>
                <w:szCs w:val="15"/>
              </w:rPr>
              <w:t>2,700.00</w:t>
            </w:r>
          </w:p>
        </w:tc>
        <w:tc>
          <w:tcPr>
            <w:tcW w:w="314" w:type="pct"/>
            <w:tcBorders>
              <w:top w:val="single" w:color="auto" w:sz="4" w:space="0"/>
              <w:left w:val="single" w:color="auto" w:sz="4" w:space="0"/>
              <w:bottom w:val="single" w:color="auto" w:sz="4" w:space="0"/>
              <w:right w:val="single" w:color="auto" w:sz="4" w:space="0"/>
            </w:tcBorders>
            <w:vAlign w:val="center"/>
          </w:tcPr>
          <w:p w14:paraId="57CCCF35">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02695CC7">
            <w:pPr>
              <w:jc w:val="right"/>
              <w:rPr>
                <w:rFonts w:cs="Times New Roman"/>
                <w:sz w:val="15"/>
                <w:szCs w:val="15"/>
              </w:rPr>
            </w:pPr>
            <w:r>
              <w:rPr>
                <w:rFonts w:cs="Times New Roman"/>
                <w:sz w:val="15"/>
                <w:szCs w:val="15"/>
              </w:rPr>
              <w:t>2,700.00</w:t>
            </w:r>
          </w:p>
        </w:tc>
        <w:tc>
          <w:tcPr>
            <w:tcW w:w="292" w:type="pct"/>
            <w:tcBorders>
              <w:top w:val="single" w:color="auto" w:sz="4" w:space="0"/>
              <w:left w:val="nil"/>
              <w:bottom w:val="single" w:color="auto" w:sz="4" w:space="0"/>
              <w:right w:val="single" w:color="auto" w:sz="4" w:space="0"/>
            </w:tcBorders>
            <w:vAlign w:val="center"/>
          </w:tcPr>
          <w:p w14:paraId="3CD3B6AC">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06C89AA4">
            <w:pPr>
              <w:jc w:val="center"/>
              <w:rPr>
                <w:rFonts w:cs="Times New Roman"/>
                <w:bCs w:val="0"/>
                <w:sz w:val="15"/>
                <w:szCs w:val="15"/>
              </w:rPr>
            </w:pPr>
            <w:r>
              <w:rPr>
                <w:rFonts w:cs="Times New Roman"/>
                <w:sz w:val="15"/>
                <w:szCs w:val="15"/>
              </w:rPr>
              <w:t>已达到</w:t>
            </w:r>
          </w:p>
        </w:tc>
        <w:tc>
          <w:tcPr>
            <w:tcW w:w="239" w:type="pct"/>
            <w:tcBorders>
              <w:top w:val="single" w:color="auto" w:sz="4" w:space="0"/>
              <w:left w:val="nil"/>
              <w:bottom w:val="single" w:color="auto" w:sz="4" w:space="0"/>
              <w:right w:val="single" w:color="auto" w:sz="4" w:space="0"/>
            </w:tcBorders>
            <w:vAlign w:val="center"/>
          </w:tcPr>
          <w:p w14:paraId="654FAAB5">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0CE95849">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23C0AF75">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35E33518">
            <w:pPr>
              <w:jc w:val="right"/>
              <w:rPr>
                <w:rFonts w:cs="Times New Roman"/>
                <w:bCs w:val="0"/>
                <w:sz w:val="15"/>
                <w:szCs w:val="15"/>
              </w:rPr>
            </w:pPr>
            <w:r>
              <w:rPr>
                <w:rFonts w:cs="Times New Roman"/>
                <w:sz w:val="15"/>
                <w:szCs w:val="15"/>
              </w:rPr>
              <w:t>-42.13</w:t>
            </w:r>
          </w:p>
        </w:tc>
        <w:tc>
          <w:tcPr>
            <w:tcW w:w="323" w:type="pct"/>
            <w:tcBorders>
              <w:top w:val="single" w:color="auto" w:sz="4" w:space="0"/>
              <w:left w:val="single" w:color="auto" w:sz="4" w:space="0"/>
              <w:bottom w:val="single" w:color="auto" w:sz="4" w:space="0"/>
              <w:right w:val="single" w:color="auto" w:sz="4" w:space="0"/>
            </w:tcBorders>
            <w:vAlign w:val="center"/>
          </w:tcPr>
          <w:p w14:paraId="10F561E8">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55923F66">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7EE39117">
            <w:pPr>
              <w:jc w:val="right"/>
              <w:rPr>
                <w:rFonts w:cs="Times New Roman"/>
                <w:bCs w:val="0"/>
                <w:sz w:val="15"/>
                <w:szCs w:val="15"/>
              </w:rPr>
            </w:pPr>
          </w:p>
        </w:tc>
      </w:tr>
      <w:tr w14:paraId="2E17A4A6">
        <w:tblPrEx>
          <w:tblCellMar>
            <w:top w:w="0" w:type="dxa"/>
            <w:left w:w="108" w:type="dxa"/>
            <w:bottom w:w="0" w:type="dxa"/>
            <w:right w:w="108" w:type="dxa"/>
          </w:tblCellMar>
        </w:tblPrEx>
        <w:trPr>
          <w:trHeight w:val="888"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5903C383">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2BDDD306">
            <w:pPr>
              <w:jc w:val="center"/>
              <w:rPr>
                <w:rFonts w:cs="Times New Roman"/>
                <w:bCs w:val="0"/>
                <w:sz w:val="15"/>
                <w:szCs w:val="15"/>
              </w:rPr>
            </w:pPr>
            <w:r>
              <w:rPr>
                <w:rFonts w:cs="Times New Roman"/>
                <w:sz w:val="15"/>
                <w:szCs w:val="15"/>
              </w:rPr>
              <w:t>中高档防寒裘皮及制品扩建项目</w:t>
            </w:r>
          </w:p>
        </w:tc>
        <w:tc>
          <w:tcPr>
            <w:tcW w:w="196" w:type="pct"/>
            <w:tcBorders>
              <w:top w:val="single" w:color="auto" w:sz="4" w:space="0"/>
              <w:left w:val="single" w:color="auto" w:sz="4" w:space="0"/>
              <w:bottom w:val="single" w:color="auto" w:sz="4" w:space="0"/>
              <w:right w:val="single" w:color="auto" w:sz="4" w:space="0"/>
            </w:tcBorders>
            <w:vAlign w:val="center"/>
          </w:tcPr>
          <w:p w14:paraId="1C0F8D8B">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142EB23D">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0FBB057F">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16EB61DE">
            <w:pPr>
              <w:jc w:val="right"/>
              <w:rPr>
                <w:rFonts w:cs="Times New Roman"/>
                <w:sz w:val="15"/>
                <w:szCs w:val="15"/>
              </w:rPr>
            </w:pPr>
            <w:r>
              <w:rPr>
                <w:rFonts w:cs="Times New Roman"/>
                <w:sz w:val="15"/>
                <w:szCs w:val="15"/>
              </w:rPr>
              <w:t>550.39</w:t>
            </w:r>
          </w:p>
        </w:tc>
        <w:tc>
          <w:tcPr>
            <w:tcW w:w="314" w:type="pct"/>
            <w:tcBorders>
              <w:top w:val="single" w:color="auto" w:sz="4" w:space="0"/>
              <w:left w:val="single" w:color="auto" w:sz="4" w:space="0"/>
              <w:bottom w:val="single" w:color="auto" w:sz="4" w:space="0"/>
              <w:right w:val="single" w:color="auto" w:sz="4" w:space="0"/>
            </w:tcBorders>
            <w:vAlign w:val="center"/>
          </w:tcPr>
          <w:p w14:paraId="6AB26AA1">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4581E465">
            <w:pPr>
              <w:jc w:val="right"/>
              <w:rPr>
                <w:rFonts w:cs="Times New Roman"/>
                <w:sz w:val="15"/>
                <w:szCs w:val="15"/>
              </w:rPr>
            </w:pPr>
            <w:r>
              <w:rPr>
                <w:rFonts w:cs="Times New Roman"/>
                <w:sz w:val="15"/>
                <w:szCs w:val="15"/>
              </w:rPr>
              <w:t>550.39</w:t>
            </w:r>
          </w:p>
        </w:tc>
        <w:tc>
          <w:tcPr>
            <w:tcW w:w="292" w:type="pct"/>
            <w:tcBorders>
              <w:top w:val="single" w:color="auto" w:sz="4" w:space="0"/>
              <w:left w:val="nil"/>
              <w:bottom w:val="single" w:color="auto" w:sz="4" w:space="0"/>
              <w:right w:val="single" w:color="auto" w:sz="4" w:space="0"/>
            </w:tcBorders>
            <w:vAlign w:val="center"/>
          </w:tcPr>
          <w:p w14:paraId="40E5FB56">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58B76D6F">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7ED9B30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7179C990">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6F5AF0C6">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215101A">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4748C5A0">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0E3C16F2">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1C37B4CC">
            <w:pPr>
              <w:jc w:val="right"/>
              <w:rPr>
                <w:rFonts w:cs="Times New Roman"/>
                <w:bCs w:val="0"/>
                <w:sz w:val="15"/>
                <w:szCs w:val="15"/>
              </w:rPr>
            </w:pPr>
          </w:p>
        </w:tc>
      </w:tr>
      <w:tr w14:paraId="5D16D4E1">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667C9CF4">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EFB0D60">
            <w:pPr>
              <w:jc w:val="center"/>
              <w:rPr>
                <w:rFonts w:cs="Times New Roman"/>
                <w:bCs w:val="0"/>
                <w:sz w:val="15"/>
                <w:szCs w:val="15"/>
              </w:rPr>
            </w:pPr>
            <w:r>
              <w:rPr>
                <w:rFonts w:cs="Times New Roman"/>
                <w:sz w:val="15"/>
                <w:szCs w:val="15"/>
              </w:rPr>
              <w:t>高档职业装面料、功能性面料及家纺制品技改项目</w:t>
            </w:r>
          </w:p>
        </w:tc>
        <w:tc>
          <w:tcPr>
            <w:tcW w:w="196" w:type="pct"/>
            <w:tcBorders>
              <w:top w:val="single" w:color="auto" w:sz="4" w:space="0"/>
              <w:left w:val="single" w:color="auto" w:sz="4" w:space="0"/>
              <w:bottom w:val="single" w:color="auto" w:sz="4" w:space="0"/>
              <w:right w:val="single" w:color="auto" w:sz="4" w:space="0"/>
            </w:tcBorders>
            <w:vAlign w:val="center"/>
          </w:tcPr>
          <w:p w14:paraId="2CF43A60">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32C89C5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51F44FAE">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06369962">
            <w:pPr>
              <w:jc w:val="right"/>
              <w:rPr>
                <w:rFonts w:cs="Times New Roman"/>
                <w:sz w:val="15"/>
                <w:szCs w:val="15"/>
              </w:rPr>
            </w:pPr>
            <w:r>
              <w:rPr>
                <w:rFonts w:cs="Times New Roman"/>
                <w:sz w:val="15"/>
                <w:szCs w:val="15"/>
              </w:rPr>
              <w:t>37,356.95</w:t>
            </w:r>
          </w:p>
        </w:tc>
        <w:tc>
          <w:tcPr>
            <w:tcW w:w="314" w:type="pct"/>
            <w:tcBorders>
              <w:top w:val="single" w:color="auto" w:sz="4" w:space="0"/>
              <w:left w:val="single" w:color="auto" w:sz="4" w:space="0"/>
              <w:bottom w:val="single" w:color="auto" w:sz="4" w:space="0"/>
              <w:right w:val="single" w:color="auto" w:sz="4" w:space="0"/>
            </w:tcBorders>
            <w:vAlign w:val="center"/>
          </w:tcPr>
          <w:p w14:paraId="52C4FD78">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23DD9485">
            <w:pPr>
              <w:jc w:val="right"/>
              <w:rPr>
                <w:rFonts w:cs="Times New Roman"/>
                <w:sz w:val="15"/>
                <w:szCs w:val="15"/>
              </w:rPr>
            </w:pPr>
            <w:r>
              <w:rPr>
                <w:rFonts w:cs="Times New Roman"/>
                <w:sz w:val="15"/>
                <w:szCs w:val="15"/>
              </w:rPr>
              <w:t>37,356.95</w:t>
            </w:r>
          </w:p>
        </w:tc>
        <w:tc>
          <w:tcPr>
            <w:tcW w:w="292" w:type="pct"/>
            <w:tcBorders>
              <w:top w:val="single" w:color="auto" w:sz="4" w:space="0"/>
              <w:left w:val="nil"/>
              <w:bottom w:val="single" w:color="auto" w:sz="4" w:space="0"/>
              <w:right w:val="single" w:color="auto" w:sz="4" w:space="0"/>
            </w:tcBorders>
            <w:vAlign w:val="center"/>
          </w:tcPr>
          <w:p w14:paraId="4CC0AACB">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342CC1BE">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256CC0B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6E991D3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76478B2C">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65ECDF65">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78025C4F">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3F4E4119">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01CE0EAC">
            <w:pPr>
              <w:jc w:val="right"/>
              <w:rPr>
                <w:rFonts w:cs="Times New Roman"/>
                <w:bCs w:val="0"/>
                <w:sz w:val="15"/>
                <w:szCs w:val="15"/>
              </w:rPr>
            </w:pPr>
          </w:p>
        </w:tc>
      </w:tr>
      <w:tr w14:paraId="0C5FF844">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252593CD">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67437D8A">
            <w:pPr>
              <w:jc w:val="center"/>
              <w:rPr>
                <w:rFonts w:cs="Times New Roman"/>
                <w:bCs w:val="0"/>
                <w:sz w:val="15"/>
                <w:szCs w:val="15"/>
              </w:rPr>
            </w:pPr>
            <w:r>
              <w:rPr>
                <w:rFonts w:cs="Times New Roman"/>
                <w:sz w:val="15"/>
                <w:szCs w:val="15"/>
              </w:rPr>
              <w:t>4万锭特种纱线技术改造项目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5EB298D0">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361E9E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06252570">
            <w:pPr>
              <w:rPr>
                <w:rFonts w:cs="Times New Roman"/>
                <w:bCs w:val="0"/>
                <w:color w:val="000000" w:themeColor="text1"/>
                <w:sz w:val="15"/>
                <w:szCs w:val="15"/>
                <w14:textFill>
                  <w14:solidFill>
                    <w14:schemeClr w14:val="tx1"/>
                  </w14:solidFill>
                </w14:textFill>
              </w:rPr>
            </w:pPr>
            <w:r>
              <w:rPr>
                <w:rFonts w:cs="Times New Roman"/>
                <w:sz w:val="15"/>
                <w:szCs w:val="15"/>
              </w:rPr>
              <w:t>是，此项目未取消，调整募集资金投资总额</w:t>
            </w:r>
          </w:p>
        </w:tc>
        <w:tc>
          <w:tcPr>
            <w:tcW w:w="330" w:type="pct"/>
            <w:tcBorders>
              <w:top w:val="single" w:color="auto" w:sz="4" w:space="0"/>
              <w:left w:val="nil"/>
              <w:bottom w:val="single" w:color="auto" w:sz="4" w:space="0"/>
              <w:right w:val="single" w:color="auto" w:sz="4" w:space="0"/>
            </w:tcBorders>
            <w:vAlign w:val="center"/>
          </w:tcPr>
          <w:p w14:paraId="63403613">
            <w:pPr>
              <w:jc w:val="right"/>
              <w:rPr>
                <w:rFonts w:cs="Times New Roman"/>
                <w:sz w:val="15"/>
                <w:szCs w:val="15"/>
              </w:rPr>
            </w:pPr>
            <w:r>
              <w:rPr>
                <w:rFonts w:cs="Times New Roman"/>
                <w:sz w:val="15"/>
                <w:szCs w:val="15"/>
              </w:rPr>
              <w:t>6,102.66</w:t>
            </w:r>
          </w:p>
        </w:tc>
        <w:tc>
          <w:tcPr>
            <w:tcW w:w="314" w:type="pct"/>
            <w:tcBorders>
              <w:top w:val="single" w:color="auto" w:sz="4" w:space="0"/>
              <w:left w:val="single" w:color="auto" w:sz="4" w:space="0"/>
              <w:bottom w:val="single" w:color="auto" w:sz="4" w:space="0"/>
              <w:right w:val="single" w:color="auto" w:sz="4" w:space="0"/>
            </w:tcBorders>
            <w:vAlign w:val="center"/>
          </w:tcPr>
          <w:p w14:paraId="459D2786">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6E3B493D">
            <w:pPr>
              <w:jc w:val="right"/>
              <w:rPr>
                <w:rFonts w:cs="Times New Roman"/>
                <w:sz w:val="15"/>
                <w:szCs w:val="15"/>
              </w:rPr>
            </w:pPr>
            <w:r>
              <w:rPr>
                <w:rFonts w:cs="Times New Roman"/>
                <w:sz w:val="15"/>
                <w:szCs w:val="15"/>
              </w:rPr>
              <w:t>6,102.66</w:t>
            </w:r>
          </w:p>
        </w:tc>
        <w:tc>
          <w:tcPr>
            <w:tcW w:w="292" w:type="pct"/>
            <w:tcBorders>
              <w:top w:val="single" w:color="auto" w:sz="4" w:space="0"/>
              <w:left w:val="nil"/>
              <w:bottom w:val="single" w:color="auto" w:sz="4" w:space="0"/>
              <w:right w:val="single" w:color="auto" w:sz="4" w:space="0"/>
            </w:tcBorders>
            <w:vAlign w:val="center"/>
          </w:tcPr>
          <w:p w14:paraId="36DB750C">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3C03F8A3">
            <w:pPr>
              <w:jc w:val="center"/>
              <w:rPr>
                <w:rFonts w:cs="Times New Roman"/>
                <w:bCs w:val="0"/>
                <w:sz w:val="15"/>
                <w:szCs w:val="15"/>
              </w:rPr>
            </w:pPr>
            <w:r>
              <w:rPr>
                <w:rFonts w:cs="Times New Roman"/>
                <w:sz w:val="15"/>
                <w:szCs w:val="15"/>
              </w:rPr>
              <w:t>已达到</w:t>
            </w:r>
          </w:p>
        </w:tc>
        <w:tc>
          <w:tcPr>
            <w:tcW w:w="239" w:type="pct"/>
            <w:tcBorders>
              <w:top w:val="single" w:color="auto" w:sz="4" w:space="0"/>
              <w:left w:val="nil"/>
              <w:bottom w:val="single" w:color="auto" w:sz="4" w:space="0"/>
              <w:right w:val="single" w:color="auto" w:sz="4" w:space="0"/>
            </w:tcBorders>
            <w:vAlign w:val="center"/>
          </w:tcPr>
          <w:p w14:paraId="4C3C1816">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39CDADDE">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58B34484">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0BD7131C">
            <w:pPr>
              <w:jc w:val="right"/>
              <w:rPr>
                <w:rFonts w:cs="Times New Roman"/>
                <w:bCs w:val="0"/>
                <w:sz w:val="15"/>
                <w:szCs w:val="15"/>
              </w:rPr>
            </w:pPr>
            <w:r>
              <w:rPr>
                <w:rFonts w:cs="Times New Roman"/>
                <w:sz w:val="15"/>
                <w:szCs w:val="15"/>
              </w:rPr>
              <w:t>5.32</w:t>
            </w:r>
          </w:p>
        </w:tc>
        <w:tc>
          <w:tcPr>
            <w:tcW w:w="323" w:type="pct"/>
            <w:tcBorders>
              <w:top w:val="single" w:color="auto" w:sz="4" w:space="0"/>
              <w:left w:val="single" w:color="auto" w:sz="4" w:space="0"/>
              <w:bottom w:val="single" w:color="auto" w:sz="4" w:space="0"/>
              <w:right w:val="single" w:color="auto" w:sz="4" w:space="0"/>
            </w:tcBorders>
            <w:vAlign w:val="center"/>
          </w:tcPr>
          <w:p w14:paraId="7B1EBB00">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39C24961">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54EC4C0B">
            <w:pPr>
              <w:jc w:val="right"/>
              <w:rPr>
                <w:rFonts w:cs="Times New Roman"/>
                <w:bCs w:val="0"/>
                <w:sz w:val="15"/>
                <w:szCs w:val="15"/>
              </w:rPr>
            </w:pPr>
          </w:p>
        </w:tc>
      </w:tr>
      <w:tr w14:paraId="31792740">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2A521F39">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67909A9F">
            <w:pPr>
              <w:jc w:val="center"/>
              <w:rPr>
                <w:rFonts w:cs="Times New Roman"/>
                <w:bCs w:val="0"/>
                <w:sz w:val="15"/>
                <w:szCs w:val="15"/>
              </w:rPr>
            </w:pPr>
            <w:r>
              <w:rPr>
                <w:rFonts w:cs="Times New Roman"/>
                <w:sz w:val="15"/>
                <w:szCs w:val="15"/>
              </w:rPr>
              <w:t>功能性伪装防护装具生产线技改项目</w:t>
            </w:r>
          </w:p>
        </w:tc>
        <w:tc>
          <w:tcPr>
            <w:tcW w:w="196" w:type="pct"/>
            <w:tcBorders>
              <w:top w:val="single" w:color="auto" w:sz="4" w:space="0"/>
              <w:left w:val="single" w:color="auto" w:sz="4" w:space="0"/>
              <w:bottom w:val="single" w:color="auto" w:sz="4" w:space="0"/>
              <w:right w:val="single" w:color="auto" w:sz="4" w:space="0"/>
            </w:tcBorders>
            <w:vAlign w:val="center"/>
          </w:tcPr>
          <w:p w14:paraId="17E24923">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0B68249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0DC42E14">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1D20D7CF">
            <w:pPr>
              <w:jc w:val="right"/>
              <w:rPr>
                <w:rFonts w:cs="Times New Roman"/>
                <w:sz w:val="15"/>
                <w:szCs w:val="15"/>
              </w:rPr>
            </w:pPr>
          </w:p>
        </w:tc>
        <w:tc>
          <w:tcPr>
            <w:tcW w:w="314" w:type="pct"/>
            <w:tcBorders>
              <w:top w:val="single" w:color="auto" w:sz="4" w:space="0"/>
              <w:left w:val="single" w:color="auto" w:sz="4" w:space="0"/>
              <w:bottom w:val="single" w:color="auto" w:sz="4" w:space="0"/>
              <w:right w:val="single" w:color="auto" w:sz="4" w:space="0"/>
            </w:tcBorders>
            <w:vAlign w:val="center"/>
          </w:tcPr>
          <w:p w14:paraId="77D989AF">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3DAE7813">
            <w:pPr>
              <w:jc w:val="right"/>
              <w:rPr>
                <w:rFonts w:cs="Times New Roman"/>
                <w:sz w:val="15"/>
                <w:szCs w:val="15"/>
              </w:rPr>
            </w:pPr>
          </w:p>
        </w:tc>
        <w:tc>
          <w:tcPr>
            <w:tcW w:w="292" w:type="pct"/>
            <w:tcBorders>
              <w:top w:val="single" w:color="auto" w:sz="4" w:space="0"/>
              <w:left w:val="nil"/>
              <w:bottom w:val="single" w:color="auto" w:sz="4" w:space="0"/>
              <w:right w:val="single" w:color="auto" w:sz="4" w:space="0"/>
            </w:tcBorders>
            <w:vAlign w:val="center"/>
          </w:tcPr>
          <w:p w14:paraId="018D9A1B">
            <w:pPr>
              <w:jc w:val="right"/>
              <w:rPr>
                <w:rFonts w:cs="Times New Roman"/>
                <w:sz w:val="15"/>
                <w:szCs w:val="15"/>
              </w:rPr>
            </w:pPr>
            <w:r>
              <w:rPr>
                <w:rFonts w:cs="Times New Roman"/>
                <w:sz w:val="15"/>
                <w:szCs w:val="15"/>
              </w:rPr>
              <w:t>/</w:t>
            </w:r>
          </w:p>
        </w:tc>
        <w:tc>
          <w:tcPr>
            <w:tcW w:w="282" w:type="pct"/>
            <w:tcBorders>
              <w:top w:val="single" w:color="auto" w:sz="4" w:space="0"/>
              <w:left w:val="nil"/>
              <w:bottom w:val="single" w:color="auto" w:sz="4" w:space="0"/>
              <w:right w:val="single" w:color="auto" w:sz="4" w:space="0"/>
            </w:tcBorders>
            <w:vAlign w:val="center"/>
          </w:tcPr>
          <w:p w14:paraId="24BD231C">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69F066F0">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212BDA29">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7EF0EA36">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34256EC3">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2B31496B">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2D0EBE5">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257CA169">
            <w:pPr>
              <w:jc w:val="right"/>
              <w:rPr>
                <w:rFonts w:cs="Times New Roman"/>
                <w:bCs w:val="0"/>
                <w:sz w:val="15"/>
                <w:szCs w:val="15"/>
              </w:rPr>
            </w:pPr>
          </w:p>
        </w:tc>
      </w:tr>
      <w:tr w14:paraId="28AB4395">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64A10F6">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65BD576A">
            <w:pPr>
              <w:jc w:val="center"/>
              <w:rPr>
                <w:rFonts w:cs="Times New Roman"/>
                <w:bCs w:val="0"/>
                <w:sz w:val="15"/>
                <w:szCs w:val="15"/>
              </w:rPr>
            </w:pPr>
            <w:r>
              <w:rPr>
                <w:rFonts w:cs="Times New Roman"/>
                <w:sz w:val="15"/>
                <w:szCs w:val="15"/>
              </w:rPr>
              <w:t>高性能防弹材料及制品技术改造项目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3C61C1FD">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4D4FD7D9">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254BEA9D">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0D97D3B4">
            <w:pPr>
              <w:jc w:val="right"/>
              <w:rPr>
                <w:rFonts w:cs="Times New Roman"/>
                <w:sz w:val="15"/>
                <w:szCs w:val="15"/>
              </w:rPr>
            </w:pPr>
            <w:r>
              <w:rPr>
                <w:rFonts w:cs="Times New Roman"/>
                <w:sz w:val="15"/>
                <w:szCs w:val="15"/>
              </w:rPr>
              <w:t>2,650.18</w:t>
            </w:r>
          </w:p>
        </w:tc>
        <w:tc>
          <w:tcPr>
            <w:tcW w:w="314" w:type="pct"/>
            <w:tcBorders>
              <w:top w:val="single" w:color="auto" w:sz="4" w:space="0"/>
              <w:left w:val="single" w:color="auto" w:sz="4" w:space="0"/>
              <w:bottom w:val="single" w:color="auto" w:sz="4" w:space="0"/>
              <w:right w:val="single" w:color="auto" w:sz="4" w:space="0"/>
            </w:tcBorders>
            <w:vAlign w:val="center"/>
          </w:tcPr>
          <w:p w14:paraId="0151D9BC">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1AEC0CE4">
            <w:pPr>
              <w:jc w:val="right"/>
              <w:rPr>
                <w:rFonts w:cs="Times New Roman"/>
                <w:sz w:val="15"/>
                <w:szCs w:val="15"/>
              </w:rPr>
            </w:pPr>
            <w:r>
              <w:rPr>
                <w:rFonts w:cs="Times New Roman"/>
                <w:sz w:val="15"/>
                <w:szCs w:val="15"/>
              </w:rPr>
              <w:t>2,650.18</w:t>
            </w:r>
          </w:p>
        </w:tc>
        <w:tc>
          <w:tcPr>
            <w:tcW w:w="292" w:type="pct"/>
            <w:tcBorders>
              <w:top w:val="single" w:color="auto" w:sz="4" w:space="0"/>
              <w:left w:val="nil"/>
              <w:bottom w:val="single" w:color="auto" w:sz="4" w:space="0"/>
              <w:right w:val="single" w:color="auto" w:sz="4" w:space="0"/>
            </w:tcBorders>
            <w:vAlign w:val="center"/>
          </w:tcPr>
          <w:p w14:paraId="440D4003">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406CCA53">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5EDC832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31E00170">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268345EA">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758F78C9">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1B7218EF">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1BECF477">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54C2F519">
            <w:pPr>
              <w:jc w:val="right"/>
              <w:rPr>
                <w:rFonts w:cs="Times New Roman"/>
                <w:bCs w:val="0"/>
                <w:sz w:val="15"/>
                <w:szCs w:val="15"/>
              </w:rPr>
            </w:pPr>
          </w:p>
        </w:tc>
      </w:tr>
      <w:tr w14:paraId="73CA9791">
        <w:tblPrEx>
          <w:tblCellMar>
            <w:top w:w="0" w:type="dxa"/>
            <w:left w:w="108" w:type="dxa"/>
            <w:bottom w:w="0" w:type="dxa"/>
            <w:right w:w="108" w:type="dxa"/>
          </w:tblCellMar>
        </w:tblPrEx>
        <w:trPr>
          <w:trHeight w:val="693"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3B83766F">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73EB141F">
            <w:pPr>
              <w:jc w:val="center"/>
              <w:rPr>
                <w:rFonts w:cs="Times New Roman"/>
                <w:bCs w:val="0"/>
                <w:sz w:val="15"/>
                <w:szCs w:val="15"/>
              </w:rPr>
            </w:pPr>
            <w:r>
              <w:rPr>
                <w:rFonts w:cs="Times New Roman"/>
                <w:sz w:val="15"/>
                <w:szCs w:val="15"/>
              </w:rPr>
              <w:t>多功能运输装备舱技改项目</w:t>
            </w:r>
          </w:p>
        </w:tc>
        <w:tc>
          <w:tcPr>
            <w:tcW w:w="196" w:type="pct"/>
            <w:tcBorders>
              <w:top w:val="single" w:color="auto" w:sz="4" w:space="0"/>
              <w:left w:val="single" w:color="auto" w:sz="4" w:space="0"/>
              <w:bottom w:val="single" w:color="auto" w:sz="4" w:space="0"/>
              <w:right w:val="single" w:color="auto" w:sz="4" w:space="0"/>
            </w:tcBorders>
            <w:vAlign w:val="center"/>
          </w:tcPr>
          <w:p w14:paraId="3B511BE1">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F0CBA15">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2299890A">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6EB925FC">
            <w:pPr>
              <w:jc w:val="right"/>
              <w:rPr>
                <w:rFonts w:cs="Times New Roman"/>
                <w:sz w:val="15"/>
                <w:szCs w:val="15"/>
              </w:rPr>
            </w:pPr>
            <w:r>
              <w:rPr>
                <w:rFonts w:cs="Times New Roman"/>
                <w:sz w:val="15"/>
                <w:szCs w:val="15"/>
              </w:rPr>
              <w:t>5,000.00</w:t>
            </w:r>
          </w:p>
        </w:tc>
        <w:tc>
          <w:tcPr>
            <w:tcW w:w="314" w:type="pct"/>
            <w:tcBorders>
              <w:top w:val="single" w:color="auto" w:sz="4" w:space="0"/>
              <w:left w:val="single" w:color="auto" w:sz="4" w:space="0"/>
              <w:bottom w:val="single" w:color="auto" w:sz="4" w:space="0"/>
              <w:right w:val="single" w:color="auto" w:sz="4" w:space="0"/>
            </w:tcBorders>
            <w:vAlign w:val="center"/>
          </w:tcPr>
          <w:p w14:paraId="18D8C5E8">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41CA604B">
            <w:pPr>
              <w:jc w:val="right"/>
              <w:rPr>
                <w:rFonts w:cs="Times New Roman"/>
                <w:sz w:val="15"/>
                <w:szCs w:val="15"/>
              </w:rPr>
            </w:pPr>
            <w:r>
              <w:rPr>
                <w:rFonts w:cs="Times New Roman"/>
                <w:sz w:val="15"/>
                <w:szCs w:val="15"/>
              </w:rPr>
              <w:t>5,000.00</w:t>
            </w:r>
          </w:p>
        </w:tc>
        <w:tc>
          <w:tcPr>
            <w:tcW w:w="292" w:type="pct"/>
            <w:tcBorders>
              <w:top w:val="single" w:color="auto" w:sz="4" w:space="0"/>
              <w:left w:val="nil"/>
              <w:bottom w:val="single" w:color="auto" w:sz="4" w:space="0"/>
              <w:right w:val="single" w:color="auto" w:sz="4" w:space="0"/>
            </w:tcBorders>
            <w:vAlign w:val="center"/>
          </w:tcPr>
          <w:p w14:paraId="2DE6780A">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1FFB9F1">
            <w:pPr>
              <w:jc w:val="center"/>
              <w:rPr>
                <w:rFonts w:cs="Times New Roman"/>
                <w:bCs w:val="0"/>
                <w:sz w:val="15"/>
                <w:szCs w:val="15"/>
              </w:rPr>
            </w:pPr>
            <w:r>
              <w:rPr>
                <w:rFonts w:cs="Times New Roman"/>
                <w:sz w:val="15"/>
                <w:szCs w:val="15"/>
              </w:rPr>
              <w:t>已转让</w:t>
            </w:r>
          </w:p>
        </w:tc>
        <w:tc>
          <w:tcPr>
            <w:tcW w:w="239" w:type="pct"/>
            <w:tcBorders>
              <w:top w:val="single" w:color="auto" w:sz="4" w:space="0"/>
              <w:left w:val="nil"/>
              <w:bottom w:val="single" w:color="auto" w:sz="4" w:space="0"/>
              <w:right w:val="single" w:color="auto" w:sz="4" w:space="0"/>
            </w:tcBorders>
            <w:vAlign w:val="center"/>
          </w:tcPr>
          <w:p w14:paraId="08B7EF7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6A3772D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4FFF4E1E">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27272280">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494F70D5">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BBDA83B">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4644D1A1">
            <w:pPr>
              <w:jc w:val="right"/>
              <w:rPr>
                <w:rFonts w:cs="Times New Roman"/>
                <w:bCs w:val="0"/>
                <w:sz w:val="15"/>
                <w:szCs w:val="15"/>
              </w:rPr>
            </w:pPr>
          </w:p>
        </w:tc>
      </w:tr>
      <w:tr w14:paraId="4D4D9DAD">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0B6F2999">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7E0BE20">
            <w:pPr>
              <w:jc w:val="center"/>
              <w:rPr>
                <w:rFonts w:cs="Times New Roman"/>
                <w:bCs w:val="0"/>
                <w:sz w:val="15"/>
                <w:szCs w:val="15"/>
              </w:rPr>
            </w:pPr>
            <w:r>
              <w:rPr>
                <w:rFonts w:cs="Times New Roman"/>
                <w:sz w:val="15"/>
                <w:szCs w:val="15"/>
              </w:rPr>
              <w:t>耐高温、耐腐蚀环保滤材技改扩建项目</w:t>
            </w:r>
          </w:p>
        </w:tc>
        <w:tc>
          <w:tcPr>
            <w:tcW w:w="196" w:type="pct"/>
            <w:tcBorders>
              <w:top w:val="single" w:color="auto" w:sz="4" w:space="0"/>
              <w:left w:val="single" w:color="auto" w:sz="4" w:space="0"/>
              <w:bottom w:val="single" w:color="auto" w:sz="4" w:space="0"/>
              <w:right w:val="single" w:color="auto" w:sz="4" w:space="0"/>
            </w:tcBorders>
            <w:vAlign w:val="center"/>
          </w:tcPr>
          <w:p w14:paraId="1247B7B4">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36E22EB1">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5113F01D">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18C03FAD">
            <w:pPr>
              <w:jc w:val="right"/>
              <w:rPr>
                <w:rFonts w:cs="Times New Roman"/>
                <w:sz w:val="15"/>
                <w:szCs w:val="15"/>
              </w:rPr>
            </w:pPr>
            <w:r>
              <w:rPr>
                <w:rFonts w:cs="Times New Roman"/>
                <w:sz w:val="15"/>
                <w:szCs w:val="15"/>
              </w:rPr>
              <w:t>32,333.82</w:t>
            </w:r>
          </w:p>
        </w:tc>
        <w:tc>
          <w:tcPr>
            <w:tcW w:w="314" w:type="pct"/>
            <w:tcBorders>
              <w:top w:val="single" w:color="auto" w:sz="4" w:space="0"/>
              <w:left w:val="single" w:color="auto" w:sz="4" w:space="0"/>
              <w:bottom w:val="single" w:color="auto" w:sz="4" w:space="0"/>
              <w:right w:val="single" w:color="auto" w:sz="4" w:space="0"/>
            </w:tcBorders>
            <w:vAlign w:val="center"/>
          </w:tcPr>
          <w:p w14:paraId="77F70D93">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40652345">
            <w:pPr>
              <w:jc w:val="right"/>
              <w:rPr>
                <w:rFonts w:cs="Times New Roman"/>
                <w:sz w:val="15"/>
                <w:szCs w:val="15"/>
              </w:rPr>
            </w:pPr>
            <w:r>
              <w:rPr>
                <w:rFonts w:cs="Times New Roman"/>
                <w:sz w:val="15"/>
                <w:szCs w:val="15"/>
              </w:rPr>
              <w:t>32,333.82</w:t>
            </w:r>
          </w:p>
        </w:tc>
        <w:tc>
          <w:tcPr>
            <w:tcW w:w="292" w:type="pct"/>
            <w:tcBorders>
              <w:top w:val="single" w:color="auto" w:sz="4" w:space="0"/>
              <w:left w:val="nil"/>
              <w:bottom w:val="single" w:color="auto" w:sz="4" w:space="0"/>
              <w:right w:val="single" w:color="auto" w:sz="4" w:space="0"/>
            </w:tcBorders>
            <w:vAlign w:val="center"/>
          </w:tcPr>
          <w:p w14:paraId="0DA106BF">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7246A1F0">
            <w:pPr>
              <w:jc w:val="center"/>
              <w:rPr>
                <w:rFonts w:cs="Times New Roman"/>
                <w:bCs w:val="0"/>
                <w:sz w:val="15"/>
                <w:szCs w:val="15"/>
              </w:rPr>
            </w:pPr>
            <w:r>
              <w:rPr>
                <w:rFonts w:cs="Times New Roman"/>
                <w:sz w:val="15"/>
                <w:szCs w:val="15"/>
              </w:rPr>
              <w:t>已达到</w:t>
            </w:r>
          </w:p>
        </w:tc>
        <w:tc>
          <w:tcPr>
            <w:tcW w:w="239" w:type="pct"/>
            <w:tcBorders>
              <w:top w:val="single" w:color="auto" w:sz="4" w:space="0"/>
              <w:left w:val="nil"/>
              <w:bottom w:val="single" w:color="auto" w:sz="4" w:space="0"/>
              <w:right w:val="single" w:color="auto" w:sz="4" w:space="0"/>
            </w:tcBorders>
            <w:vAlign w:val="center"/>
          </w:tcPr>
          <w:p w14:paraId="5DB926B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177DDD25">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0CDF65F5">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E6B971D">
            <w:pPr>
              <w:jc w:val="right"/>
              <w:rPr>
                <w:rFonts w:cs="Times New Roman"/>
                <w:bCs w:val="0"/>
                <w:sz w:val="15"/>
                <w:szCs w:val="15"/>
              </w:rPr>
            </w:pPr>
            <w:r>
              <w:rPr>
                <w:rFonts w:cs="Times New Roman"/>
                <w:sz w:val="15"/>
                <w:szCs w:val="15"/>
              </w:rPr>
              <w:t>1,356.41</w:t>
            </w:r>
          </w:p>
        </w:tc>
        <w:tc>
          <w:tcPr>
            <w:tcW w:w="323" w:type="pct"/>
            <w:tcBorders>
              <w:top w:val="single" w:color="auto" w:sz="4" w:space="0"/>
              <w:left w:val="single" w:color="auto" w:sz="4" w:space="0"/>
              <w:bottom w:val="single" w:color="auto" w:sz="4" w:space="0"/>
              <w:right w:val="single" w:color="auto" w:sz="4" w:space="0"/>
            </w:tcBorders>
            <w:vAlign w:val="center"/>
          </w:tcPr>
          <w:p w14:paraId="7A7EEDCE">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75314784">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1EED2A9F">
            <w:pPr>
              <w:jc w:val="right"/>
              <w:rPr>
                <w:rFonts w:cs="Times New Roman"/>
                <w:bCs w:val="0"/>
                <w:sz w:val="15"/>
                <w:szCs w:val="15"/>
              </w:rPr>
            </w:pPr>
          </w:p>
        </w:tc>
      </w:tr>
      <w:tr w14:paraId="698D602D">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7B13E47">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078281FE">
            <w:pPr>
              <w:jc w:val="center"/>
              <w:rPr>
                <w:rFonts w:cs="Times New Roman"/>
                <w:bCs w:val="0"/>
                <w:sz w:val="15"/>
                <w:szCs w:val="15"/>
              </w:rPr>
            </w:pPr>
            <w:r>
              <w:rPr>
                <w:rFonts w:cs="Times New Roman"/>
                <w:sz w:val="15"/>
                <w:szCs w:val="15"/>
              </w:rPr>
              <w:t>军警职业服饰件表面处理装备改造项目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01A5A715">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5949CDF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5356B9BD">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015FEC15">
            <w:pPr>
              <w:jc w:val="right"/>
              <w:rPr>
                <w:rFonts w:cs="Times New Roman"/>
                <w:sz w:val="15"/>
                <w:szCs w:val="15"/>
              </w:rPr>
            </w:pPr>
          </w:p>
        </w:tc>
        <w:tc>
          <w:tcPr>
            <w:tcW w:w="314" w:type="pct"/>
            <w:tcBorders>
              <w:top w:val="single" w:color="auto" w:sz="4" w:space="0"/>
              <w:left w:val="single" w:color="auto" w:sz="4" w:space="0"/>
              <w:bottom w:val="single" w:color="auto" w:sz="4" w:space="0"/>
              <w:right w:val="single" w:color="auto" w:sz="4" w:space="0"/>
            </w:tcBorders>
            <w:vAlign w:val="center"/>
          </w:tcPr>
          <w:p w14:paraId="033943F9">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3AD9AF5E">
            <w:pPr>
              <w:jc w:val="right"/>
              <w:rPr>
                <w:rFonts w:cs="Times New Roman"/>
                <w:sz w:val="15"/>
                <w:szCs w:val="15"/>
              </w:rPr>
            </w:pPr>
          </w:p>
        </w:tc>
        <w:tc>
          <w:tcPr>
            <w:tcW w:w="292" w:type="pct"/>
            <w:tcBorders>
              <w:top w:val="single" w:color="auto" w:sz="4" w:space="0"/>
              <w:left w:val="nil"/>
              <w:bottom w:val="single" w:color="auto" w:sz="4" w:space="0"/>
              <w:right w:val="single" w:color="auto" w:sz="4" w:space="0"/>
            </w:tcBorders>
            <w:vAlign w:val="center"/>
          </w:tcPr>
          <w:p w14:paraId="0EECE524">
            <w:pPr>
              <w:jc w:val="right"/>
              <w:rPr>
                <w:rFonts w:cs="Times New Roman"/>
                <w:sz w:val="15"/>
                <w:szCs w:val="15"/>
              </w:rPr>
            </w:pPr>
            <w:r>
              <w:rPr>
                <w:rFonts w:cs="Times New Roman"/>
                <w:sz w:val="15"/>
                <w:szCs w:val="15"/>
              </w:rPr>
              <w:t>/</w:t>
            </w:r>
          </w:p>
        </w:tc>
        <w:tc>
          <w:tcPr>
            <w:tcW w:w="282" w:type="pct"/>
            <w:tcBorders>
              <w:top w:val="single" w:color="auto" w:sz="4" w:space="0"/>
              <w:left w:val="nil"/>
              <w:bottom w:val="single" w:color="auto" w:sz="4" w:space="0"/>
              <w:right w:val="single" w:color="auto" w:sz="4" w:space="0"/>
            </w:tcBorders>
            <w:vAlign w:val="center"/>
          </w:tcPr>
          <w:p w14:paraId="0C16D4C1">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5BE5ABE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40269A0E">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2A7B45F4">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9B0A2BA">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30E4C80F">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35B74F6E">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47C12C43">
            <w:pPr>
              <w:jc w:val="right"/>
              <w:rPr>
                <w:rFonts w:cs="Times New Roman"/>
                <w:bCs w:val="0"/>
                <w:sz w:val="15"/>
                <w:szCs w:val="15"/>
              </w:rPr>
            </w:pPr>
          </w:p>
        </w:tc>
      </w:tr>
      <w:tr w14:paraId="5850675A">
        <w:tblPrEx>
          <w:tblCellMar>
            <w:top w:w="0" w:type="dxa"/>
            <w:left w:w="108" w:type="dxa"/>
            <w:bottom w:w="0" w:type="dxa"/>
            <w:right w:w="108" w:type="dxa"/>
          </w:tblCellMar>
        </w:tblPrEx>
        <w:trPr>
          <w:trHeight w:val="858"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73963B2">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1C6277DB">
            <w:pPr>
              <w:jc w:val="center"/>
              <w:rPr>
                <w:rFonts w:cs="Times New Roman"/>
                <w:bCs w:val="0"/>
                <w:sz w:val="15"/>
                <w:szCs w:val="15"/>
              </w:rPr>
            </w:pPr>
            <w:r>
              <w:rPr>
                <w:rFonts w:cs="Times New Roman"/>
                <w:sz w:val="15"/>
                <w:szCs w:val="15"/>
              </w:rPr>
              <w:t>精密模具装备生产线改造项目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6C49A2C5">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58583C1">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21CACB5B">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40EB94F4">
            <w:pPr>
              <w:jc w:val="right"/>
              <w:rPr>
                <w:rFonts w:cs="Times New Roman"/>
                <w:sz w:val="15"/>
                <w:szCs w:val="15"/>
              </w:rPr>
            </w:pPr>
            <w:r>
              <w:rPr>
                <w:rFonts w:cs="Times New Roman"/>
                <w:sz w:val="15"/>
                <w:szCs w:val="15"/>
              </w:rPr>
              <w:t>656.58</w:t>
            </w:r>
          </w:p>
        </w:tc>
        <w:tc>
          <w:tcPr>
            <w:tcW w:w="314" w:type="pct"/>
            <w:tcBorders>
              <w:top w:val="single" w:color="auto" w:sz="4" w:space="0"/>
              <w:left w:val="single" w:color="auto" w:sz="4" w:space="0"/>
              <w:bottom w:val="single" w:color="auto" w:sz="4" w:space="0"/>
              <w:right w:val="single" w:color="auto" w:sz="4" w:space="0"/>
            </w:tcBorders>
            <w:vAlign w:val="center"/>
          </w:tcPr>
          <w:p w14:paraId="330BAB01">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5D711834">
            <w:pPr>
              <w:jc w:val="right"/>
              <w:rPr>
                <w:rFonts w:cs="Times New Roman"/>
                <w:sz w:val="15"/>
                <w:szCs w:val="15"/>
              </w:rPr>
            </w:pPr>
            <w:r>
              <w:rPr>
                <w:rFonts w:cs="Times New Roman"/>
                <w:sz w:val="15"/>
                <w:szCs w:val="15"/>
              </w:rPr>
              <w:t>656.58</w:t>
            </w:r>
          </w:p>
        </w:tc>
        <w:tc>
          <w:tcPr>
            <w:tcW w:w="292" w:type="pct"/>
            <w:tcBorders>
              <w:top w:val="single" w:color="auto" w:sz="4" w:space="0"/>
              <w:left w:val="nil"/>
              <w:bottom w:val="single" w:color="auto" w:sz="4" w:space="0"/>
              <w:right w:val="single" w:color="auto" w:sz="4" w:space="0"/>
            </w:tcBorders>
            <w:vAlign w:val="center"/>
          </w:tcPr>
          <w:p w14:paraId="3C798C09">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61289F29">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7520DB02">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281898BD">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25995765">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30581938">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367A880F">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01D26CBB">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728EEAAF">
            <w:pPr>
              <w:jc w:val="right"/>
              <w:rPr>
                <w:rFonts w:cs="Times New Roman"/>
                <w:bCs w:val="0"/>
                <w:sz w:val="15"/>
                <w:szCs w:val="15"/>
              </w:rPr>
            </w:pPr>
          </w:p>
        </w:tc>
      </w:tr>
      <w:tr w14:paraId="30003709">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0DB6E2E">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6EE07599">
            <w:pPr>
              <w:jc w:val="center"/>
              <w:rPr>
                <w:rFonts w:cs="Times New Roman"/>
                <w:bCs w:val="0"/>
                <w:sz w:val="15"/>
                <w:szCs w:val="15"/>
              </w:rPr>
            </w:pPr>
            <w:r>
              <w:rPr>
                <w:rFonts w:cs="Times New Roman"/>
                <w:sz w:val="15"/>
                <w:szCs w:val="15"/>
              </w:rPr>
              <w:t>功能性桑拿桶和智能化充气睡具扩建项目</w:t>
            </w:r>
          </w:p>
        </w:tc>
        <w:tc>
          <w:tcPr>
            <w:tcW w:w="196" w:type="pct"/>
            <w:tcBorders>
              <w:top w:val="single" w:color="auto" w:sz="4" w:space="0"/>
              <w:left w:val="single" w:color="auto" w:sz="4" w:space="0"/>
              <w:bottom w:val="single" w:color="auto" w:sz="4" w:space="0"/>
              <w:right w:val="single" w:color="auto" w:sz="4" w:space="0"/>
            </w:tcBorders>
            <w:vAlign w:val="center"/>
          </w:tcPr>
          <w:p w14:paraId="17899762">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0AA0F4A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199FC070">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219CD4D7">
            <w:pPr>
              <w:jc w:val="right"/>
              <w:rPr>
                <w:rFonts w:cs="Times New Roman"/>
                <w:sz w:val="15"/>
                <w:szCs w:val="15"/>
              </w:rPr>
            </w:pPr>
            <w:r>
              <w:rPr>
                <w:rFonts w:cs="Times New Roman"/>
                <w:sz w:val="15"/>
                <w:szCs w:val="15"/>
              </w:rPr>
              <w:t>345.91</w:t>
            </w:r>
          </w:p>
        </w:tc>
        <w:tc>
          <w:tcPr>
            <w:tcW w:w="314" w:type="pct"/>
            <w:tcBorders>
              <w:top w:val="single" w:color="auto" w:sz="4" w:space="0"/>
              <w:left w:val="single" w:color="auto" w:sz="4" w:space="0"/>
              <w:bottom w:val="single" w:color="auto" w:sz="4" w:space="0"/>
              <w:right w:val="single" w:color="auto" w:sz="4" w:space="0"/>
            </w:tcBorders>
            <w:vAlign w:val="center"/>
          </w:tcPr>
          <w:p w14:paraId="141C0262">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2A3BA77F">
            <w:pPr>
              <w:jc w:val="right"/>
              <w:rPr>
                <w:rFonts w:cs="Times New Roman"/>
                <w:sz w:val="15"/>
                <w:szCs w:val="15"/>
              </w:rPr>
            </w:pPr>
            <w:r>
              <w:rPr>
                <w:rFonts w:cs="Times New Roman"/>
                <w:sz w:val="15"/>
                <w:szCs w:val="15"/>
              </w:rPr>
              <w:t>345.91</w:t>
            </w:r>
          </w:p>
        </w:tc>
        <w:tc>
          <w:tcPr>
            <w:tcW w:w="292" w:type="pct"/>
            <w:tcBorders>
              <w:top w:val="single" w:color="auto" w:sz="4" w:space="0"/>
              <w:left w:val="nil"/>
              <w:bottom w:val="single" w:color="auto" w:sz="4" w:space="0"/>
              <w:right w:val="single" w:color="auto" w:sz="4" w:space="0"/>
            </w:tcBorders>
            <w:vAlign w:val="center"/>
          </w:tcPr>
          <w:p w14:paraId="236802C5">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4E711BCB">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79F9352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4C67888E">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6EA17CEF">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1AFC1AA8">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46AD4689">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1B05C954">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7B6F3588">
            <w:pPr>
              <w:jc w:val="right"/>
              <w:rPr>
                <w:rFonts w:cs="Times New Roman"/>
                <w:bCs w:val="0"/>
                <w:sz w:val="15"/>
                <w:szCs w:val="15"/>
              </w:rPr>
            </w:pPr>
          </w:p>
        </w:tc>
      </w:tr>
      <w:tr w14:paraId="1421D6C0">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05D7D0DA">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28709409">
            <w:pPr>
              <w:jc w:val="center"/>
              <w:rPr>
                <w:rFonts w:cs="Times New Roman"/>
                <w:bCs w:val="0"/>
                <w:sz w:val="15"/>
                <w:szCs w:val="15"/>
              </w:rPr>
            </w:pPr>
            <w:r>
              <w:rPr>
                <w:rFonts w:cs="Times New Roman"/>
                <w:sz w:val="15"/>
                <w:szCs w:val="15"/>
              </w:rPr>
              <w:t>完善各专业研究院功能建设项目</w:t>
            </w:r>
          </w:p>
        </w:tc>
        <w:tc>
          <w:tcPr>
            <w:tcW w:w="196" w:type="pct"/>
            <w:tcBorders>
              <w:top w:val="single" w:color="auto" w:sz="4" w:space="0"/>
              <w:left w:val="single" w:color="auto" w:sz="4" w:space="0"/>
              <w:bottom w:val="single" w:color="auto" w:sz="4" w:space="0"/>
              <w:right w:val="single" w:color="auto" w:sz="4" w:space="0"/>
            </w:tcBorders>
            <w:vAlign w:val="center"/>
          </w:tcPr>
          <w:p w14:paraId="3CE20C51">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33EC827F">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0ACA0A5F">
            <w:pPr>
              <w:rPr>
                <w:rFonts w:cs="Times New Roman"/>
                <w:bCs w:val="0"/>
                <w:color w:val="000000" w:themeColor="text1"/>
                <w:sz w:val="15"/>
                <w:szCs w:val="15"/>
                <w14:textFill>
                  <w14:solidFill>
                    <w14:schemeClr w14:val="tx1"/>
                  </w14:solidFill>
                </w14:textFill>
              </w:rPr>
            </w:pPr>
            <w:r>
              <w:rPr>
                <w:rFonts w:cs="Times New Roman"/>
                <w:sz w:val="15"/>
                <w:szCs w:val="15"/>
              </w:rPr>
              <w:t>是，此项目未取消，调整募集资金投资总额</w:t>
            </w:r>
          </w:p>
        </w:tc>
        <w:tc>
          <w:tcPr>
            <w:tcW w:w="330" w:type="pct"/>
            <w:tcBorders>
              <w:top w:val="single" w:color="auto" w:sz="4" w:space="0"/>
              <w:left w:val="nil"/>
              <w:bottom w:val="single" w:color="auto" w:sz="4" w:space="0"/>
              <w:right w:val="single" w:color="auto" w:sz="4" w:space="0"/>
            </w:tcBorders>
            <w:vAlign w:val="center"/>
          </w:tcPr>
          <w:p w14:paraId="6A55AD2D">
            <w:pPr>
              <w:jc w:val="right"/>
              <w:rPr>
                <w:rFonts w:cs="Times New Roman"/>
                <w:sz w:val="15"/>
                <w:szCs w:val="15"/>
              </w:rPr>
            </w:pPr>
            <w:r>
              <w:rPr>
                <w:rFonts w:cs="Times New Roman"/>
                <w:sz w:val="15"/>
                <w:szCs w:val="15"/>
              </w:rPr>
              <w:t>5,900.00</w:t>
            </w:r>
          </w:p>
        </w:tc>
        <w:tc>
          <w:tcPr>
            <w:tcW w:w="314" w:type="pct"/>
            <w:tcBorders>
              <w:top w:val="single" w:color="auto" w:sz="4" w:space="0"/>
              <w:left w:val="single" w:color="auto" w:sz="4" w:space="0"/>
              <w:bottom w:val="single" w:color="auto" w:sz="4" w:space="0"/>
              <w:right w:val="single" w:color="auto" w:sz="4" w:space="0"/>
            </w:tcBorders>
            <w:vAlign w:val="center"/>
          </w:tcPr>
          <w:p w14:paraId="4BA70365">
            <w:pPr>
              <w:jc w:val="right"/>
              <w:rPr>
                <w:rFonts w:cs="Times New Roman"/>
                <w:sz w:val="15"/>
                <w:szCs w:val="15"/>
              </w:rPr>
            </w:pPr>
            <w:r>
              <w:rPr>
                <w:rFonts w:cs="Times New Roman"/>
                <w:sz w:val="15"/>
                <w:szCs w:val="15"/>
              </w:rPr>
              <w:t>883.26</w:t>
            </w:r>
          </w:p>
        </w:tc>
        <w:tc>
          <w:tcPr>
            <w:tcW w:w="324" w:type="pct"/>
            <w:tcBorders>
              <w:top w:val="single" w:color="auto" w:sz="4" w:space="0"/>
              <w:left w:val="single" w:color="auto" w:sz="4" w:space="0"/>
              <w:bottom w:val="single" w:color="auto" w:sz="4" w:space="0"/>
              <w:right w:val="single" w:color="auto" w:sz="4" w:space="0"/>
            </w:tcBorders>
            <w:vAlign w:val="center"/>
          </w:tcPr>
          <w:p w14:paraId="25B7FEED">
            <w:pPr>
              <w:jc w:val="right"/>
              <w:rPr>
                <w:rFonts w:cs="Times New Roman"/>
                <w:sz w:val="15"/>
                <w:szCs w:val="15"/>
              </w:rPr>
            </w:pPr>
            <w:r>
              <w:rPr>
                <w:rFonts w:cs="Times New Roman"/>
                <w:sz w:val="15"/>
                <w:szCs w:val="15"/>
              </w:rPr>
              <w:t>3,786.59</w:t>
            </w:r>
          </w:p>
        </w:tc>
        <w:tc>
          <w:tcPr>
            <w:tcW w:w="292" w:type="pct"/>
            <w:tcBorders>
              <w:top w:val="single" w:color="auto" w:sz="4" w:space="0"/>
              <w:left w:val="nil"/>
              <w:bottom w:val="single" w:color="auto" w:sz="4" w:space="0"/>
              <w:right w:val="single" w:color="auto" w:sz="4" w:space="0"/>
            </w:tcBorders>
            <w:vAlign w:val="center"/>
          </w:tcPr>
          <w:p w14:paraId="3373CFAA">
            <w:pPr>
              <w:jc w:val="right"/>
              <w:rPr>
                <w:rFonts w:cs="Times New Roman"/>
                <w:sz w:val="15"/>
                <w:szCs w:val="15"/>
              </w:rPr>
            </w:pPr>
            <w:r>
              <w:rPr>
                <w:rFonts w:cs="Times New Roman"/>
                <w:sz w:val="15"/>
                <w:szCs w:val="15"/>
              </w:rPr>
              <w:t>64.18</w:t>
            </w:r>
          </w:p>
        </w:tc>
        <w:tc>
          <w:tcPr>
            <w:tcW w:w="282" w:type="pct"/>
            <w:tcBorders>
              <w:top w:val="single" w:color="auto" w:sz="4" w:space="0"/>
              <w:left w:val="nil"/>
              <w:bottom w:val="single" w:color="auto" w:sz="4" w:space="0"/>
              <w:right w:val="single" w:color="auto" w:sz="4" w:space="0"/>
            </w:tcBorders>
            <w:vAlign w:val="center"/>
          </w:tcPr>
          <w:p w14:paraId="23854906">
            <w:pPr>
              <w:jc w:val="center"/>
              <w:rPr>
                <w:rFonts w:cs="Times New Roman"/>
                <w:bCs w:val="0"/>
                <w:sz w:val="15"/>
                <w:szCs w:val="15"/>
              </w:rPr>
            </w:pPr>
            <w:r>
              <w:rPr>
                <w:rFonts w:cs="Times New Roman"/>
                <w:sz w:val="15"/>
                <w:szCs w:val="15"/>
              </w:rPr>
              <w:t>2025年12月</w:t>
            </w:r>
          </w:p>
        </w:tc>
        <w:tc>
          <w:tcPr>
            <w:tcW w:w="239" w:type="pct"/>
            <w:tcBorders>
              <w:top w:val="single" w:color="auto" w:sz="4" w:space="0"/>
              <w:left w:val="nil"/>
              <w:bottom w:val="single" w:color="auto" w:sz="4" w:space="0"/>
              <w:right w:val="single" w:color="auto" w:sz="4" w:space="0"/>
            </w:tcBorders>
            <w:vAlign w:val="center"/>
          </w:tcPr>
          <w:p w14:paraId="41EEBDD8">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7C6278B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01AF6038">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32E38B34">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09D681C9">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17970A14">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2FFD3EDD">
            <w:pPr>
              <w:jc w:val="right"/>
              <w:rPr>
                <w:rFonts w:cs="Times New Roman"/>
                <w:bCs w:val="0"/>
                <w:sz w:val="15"/>
                <w:szCs w:val="15"/>
              </w:rPr>
            </w:pPr>
          </w:p>
        </w:tc>
      </w:tr>
      <w:tr w14:paraId="022AC547">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6D3BE1DD">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210F52E5">
            <w:pPr>
              <w:jc w:val="center"/>
              <w:rPr>
                <w:rFonts w:cs="Times New Roman"/>
                <w:bCs w:val="0"/>
                <w:sz w:val="15"/>
                <w:szCs w:val="15"/>
              </w:rPr>
            </w:pPr>
            <w:r>
              <w:rPr>
                <w:rFonts w:cs="Times New Roman"/>
                <w:sz w:val="15"/>
                <w:szCs w:val="15"/>
              </w:rPr>
              <w:t>际华长春目的地中心项目一期</w:t>
            </w:r>
          </w:p>
        </w:tc>
        <w:tc>
          <w:tcPr>
            <w:tcW w:w="196" w:type="pct"/>
            <w:tcBorders>
              <w:top w:val="single" w:color="auto" w:sz="4" w:space="0"/>
              <w:left w:val="single" w:color="auto" w:sz="4" w:space="0"/>
              <w:bottom w:val="single" w:color="auto" w:sz="4" w:space="0"/>
              <w:right w:val="single" w:color="auto" w:sz="4" w:space="0"/>
            </w:tcBorders>
            <w:vAlign w:val="center"/>
          </w:tcPr>
          <w:p w14:paraId="0E5F623C">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708B157C">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50A54714">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0400AC6A">
            <w:pPr>
              <w:jc w:val="right"/>
              <w:rPr>
                <w:rFonts w:cs="Times New Roman"/>
                <w:sz w:val="15"/>
                <w:szCs w:val="15"/>
              </w:rPr>
            </w:pPr>
            <w:r>
              <w:rPr>
                <w:rFonts w:cs="Times New Roman"/>
                <w:sz w:val="15"/>
                <w:szCs w:val="15"/>
              </w:rPr>
              <w:t>70,128.42</w:t>
            </w:r>
          </w:p>
        </w:tc>
        <w:tc>
          <w:tcPr>
            <w:tcW w:w="314" w:type="pct"/>
            <w:tcBorders>
              <w:top w:val="single" w:color="auto" w:sz="4" w:space="0"/>
              <w:left w:val="single" w:color="auto" w:sz="4" w:space="0"/>
              <w:bottom w:val="single" w:color="auto" w:sz="4" w:space="0"/>
              <w:right w:val="single" w:color="auto" w:sz="4" w:space="0"/>
            </w:tcBorders>
            <w:vAlign w:val="center"/>
          </w:tcPr>
          <w:p w14:paraId="5C74DD83">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3BB4E935">
            <w:pPr>
              <w:jc w:val="right"/>
              <w:rPr>
                <w:rFonts w:cs="Times New Roman"/>
                <w:sz w:val="15"/>
                <w:szCs w:val="15"/>
              </w:rPr>
            </w:pPr>
            <w:r>
              <w:rPr>
                <w:rFonts w:cs="Times New Roman"/>
                <w:sz w:val="15"/>
                <w:szCs w:val="15"/>
              </w:rPr>
              <w:t>70,128.42</w:t>
            </w:r>
          </w:p>
        </w:tc>
        <w:tc>
          <w:tcPr>
            <w:tcW w:w="292" w:type="pct"/>
            <w:tcBorders>
              <w:top w:val="single" w:color="auto" w:sz="4" w:space="0"/>
              <w:left w:val="nil"/>
              <w:bottom w:val="single" w:color="auto" w:sz="4" w:space="0"/>
              <w:right w:val="single" w:color="auto" w:sz="4" w:space="0"/>
            </w:tcBorders>
            <w:vAlign w:val="center"/>
          </w:tcPr>
          <w:p w14:paraId="264B7A47">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26D19F7">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5AA4C6D7">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4F5C564E">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2C2109AC">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561A6DC2">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0EF2D1ED">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0F074902">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07EBAB4E">
            <w:pPr>
              <w:jc w:val="right"/>
              <w:rPr>
                <w:rFonts w:cs="Times New Roman"/>
                <w:bCs w:val="0"/>
                <w:sz w:val="15"/>
                <w:szCs w:val="15"/>
              </w:rPr>
            </w:pPr>
          </w:p>
        </w:tc>
      </w:tr>
      <w:tr w14:paraId="1A341535">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DE1B2FD">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4209C5E7">
            <w:pPr>
              <w:jc w:val="center"/>
              <w:rPr>
                <w:rFonts w:cs="Times New Roman"/>
                <w:bCs w:val="0"/>
                <w:sz w:val="15"/>
                <w:szCs w:val="15"/>
              </w:rPr>
            </w:pPr>
            <w:r>
              <w:rPr>
                <w:rFonts w:cs="Times New Roman"/>
                <w:sz w:val="15"/>
                <w:szCs w:val="15"/>
              </w:rPr>
              <w:t>际华重庆目的地中心项目一期</w:t>
            </w:r>
          </w:p>
        </w:tc>
        <w:tc>
          <w:tcPr>
            <w:tcW w:w="196" w:type="pct"/>
            <w:tcBorders>
              <w:top w:val="single" w:color="auto" w:sz="4" w:space="0"/>
              <w:left w:val="single" w:color="auto" w:sz="4" w:space="0"/>
              <w:bottom w:val="single" w:color="auto" w:sz="4" w:space="0"/>
              <w:right w:val="single" w:color="auto" w:sz="4" w:space="0"/>
            </w:tcBorders>
            <w:vAlign w:val="center"/>
          </w:tcPr>
          <w:p w14:paraId="471BC576">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25756526">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7357F7AF">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3FF794A1">
            <w:pPr>
              <w:jc w:val="right"/>
              <w:rPr>
                <w:rFonts w:cs="Times New Roman"/>
                <w:sz w:val="15"/>
                <w:szCs w:val="15"/>
              </w:rPr>
            </w:pPr>
            <w:r>
              <w:rPr>
                <w:rFonts w:cs="Times New Roman"/>
                <w:sz w:val="15"/>
                <w:szCs w:val="15"/>
              </w:rPr>
              <w:t>70,000.00</w:t>
            </w:r>
          </w:p>
        </w:tc>
        <w:tc>
          <w:tcPr>
            <w:tcW w:w="314" w:type="pct"/>
            <w:tcBorders>
              <w:top w:val="single" w:color="auto" w:sz="4" w:space="0"/>
              <w:left w:val="single" w:color="auto" w:sz="4" w:space="0"/>
              <w:bottom w:val="single" w:color="auto" w:sz="4" w:space="0"/>
              <w:right w:val="single" w:color="auto" w:sz="4" w:space="0"/>
            </w:tcBorders>
            <w:vAlign w:val="center"/>
          </w:tcPr>
          <w:p w14:paraId="1EF2D91E">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1C7E49F1">
            <w:pPr>
              <w:jc w:val="right"/>
              <w:rPr>
                <w:rFonts w:cs="Times New Roman"/>
                <w:sz w:val="15"/>
                <w:szCs w:val="15"/>
              </w:rPr>
            </w:pPr>
            <w:r>
              <w:rPr>
                <w:rFonts w:cs="Times New Roman"/>
                <w:sz w:val="15"/>
                <w:szCs w:val="15"/>
              </w:rPr>
              <w:t>70,000.00</w:t>
            </w:r>
          </w:p>
        </w:tc>
        <w:tc>
          <w:tcPr>
            <w:tcW w:w="292" w:type="pct"/>
            <w:tcBorders>
              <w:top w:val="single" w:color="auto" w:sz="4" w:space="0"/>
              <w:left w:val="nil"/>
              <w:bottom w:val="single" w:color="auto" w:sz="4" w:space="0"/>
              <w:right w:val="single" w:color="auto" w:sz="4" w:space="0"/>
            </w:tcBorders>
            <w:vAlign w:val="center"/>
          </w:tcPr>
          <w:p w14:paraId="75AEA049">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31F8713C">
            <w:pPr>
              <w:jc w:val="center"/>
              <w:rPr>
                <w:rFonts w:cs="Times New Roman"/>
                <w:bCs w:val="0"/>
                <w:sz w:val="15"/>
                <w:szCs w:val="15"/>
              </w:rPr>
            </w:pPr>
            <w:r>
              <w:rPr>
                <w:rFonts w:cs="Times New Roman"/>
                <w:sz w:val="15"/>
                <w:szCs w:val="15"/>
              </w:rPr>
              <w:t>2018年12月</w:t>
            </w:r>
          </w:p>
        </w:tc>
        <w:tc>
          <w:tcPr>
            <w:tcW w:w="239" w:type="pct"/>
            <w:tcBorders>
              <w:top w:val="single" w:color="auto" w:sz="4" w:space="0"/>
              <w:left w:val="nil"/>
              <w:bottom w:val="single" w:color="auto" w:sz="4" w:space="0"/>
              <w:right w:val="single" w:color="auto" w:sz="4" w:space="0"/>
            </w:tcBorders>
            <w:vAlign w:val="center"/>
          </w:tcPr>
          <w:p w14:paraId="5B2C8E82">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63E0603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5BA7833C">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1CBA1674">
            <w:pPr>
              <w:jc w:val="right"/>
              <w:rPr>
                <w:rFonts w:cs="Times New Roman"/>
                <w:bCs w:val="0"/>
                <w:sz w:val="15"/>
                <w:szCs w:val="15"/>
              </w:rPr>
            </w:pPr>
            <w:r>
              <w:rPr>
                <w:rFonts w:cs="Times New Roman"/>
                <w:sz w:val="15"/>
                <w:szCs w:val="15"/>
              </w:rPr>
              <w:t>-1,523.14</w:t>
            </w:r>
          </w:p>
        </w:tc>
        <w:tc>
          <w:tcPr>
            <w:tcW w:w="323" w:type="pct"/>
            <w:tcBorders>
              <w:top w:val="single" w:color="auto" w:sz="4" w:space="0"/>
              <w:left w:val="single" w:color="auto" w:sz="4" w:space="0"/>
              <w:bottom w:val="single" w:color="auto" w:sz="4" w:space="0"/>
              <w:right w:val="single" w:color="auto" w:sz="4" w:space="0"/>
            </w:tcBorders>
            <w:vAlign w:val="center"/>
          </w:tcPr>
          <w:p w14:paraId="50DDA9B8">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54F8C428">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496CA681">
            <w:pPr>
              <w:jc w:val="right"/>
              <w:rPr>
                <w:rFonts w:cs="Times New Roman"/>
                <w:bCs w:val="0"/>
                <w:sz w:val="15"/>
                <w:szCs w:val="15"/>
              </w:rPr>
            </w:pPr>
          </w:p>
        </w:tc>
      </w:tr>
      <w:tr w14:paraId="4ECDE6A7">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77C74FA6">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C6F99D4">
            <w:pPr>
              <w:jc w:val="center"/>
              <w:rPr>
                <w:rFonts w:cs="Times New Roman"/>
                <w:bCs w:val="0"/>
                <w:sz w:val="15"/>
                <w:szCs w:val="15"/>
              </w:rPr>
            </w:pPr>
            <w:r>
              <w:rPr>
                <w:rFonts w:cs="Times New Roman"/>
                <w:sz w:val="15"/>
                <w:szCs w:val="15"/>
              </w:rPr>
              <w:t>补充流动资金</w:t>
            </w:r>
          </w:p>
        </w:tc>
        <w:tc>
          <w:tcPr>
            <w:tcW w:w="196" w:type="pct"/>
            <w:tcBorders>
              <w:top w:val="single" w:color="auto" w:sz="4" w:space="0"/>
              <w:left w:val="single" w:color="auto" w:sz="4" w:space="0"/>
              <w:bottom w:val="single" w:color="auto" w:sz="4" w:space="0"/>
              <w:right w:val="single" w:color="auto" w:sz="4" w:space="0"/>
            </w:tcBorders>
            <w:vAlign w:val="center"/>
          </w:tcPr>
          <w:p w14:paraId="021079DF">
            <w:pPr>
              <w:rPr>
                <w:rFonts w:cs="Times New Roman"/>
                <w:bCs w:val="0"/>
                <w:color w:val="000000" w:themeColor="text1"/>
                <w:sz w:val="15"/>
                <w:szCs w:val="15"/>
                <w14:textFill>
                  <w14:solidFill>
                    <w14:schemeClr w14:val="tx1"/>
                  </w14:solidFill>
                </w14:textFill>
              </w:rPr>
            </w:pPr>
            <w:r>
              <w:rPr>
                <w:rFonts w:cs="Times New Roman"/>
                <w:sz w:val="15"/>
                <w:szCs w:val="15"/>
              </w:rPr>
              <w:t>补流还贷</w:t>
            </w:r>
          </w:p>
        </w:tc>
        <w:tc>
          <w:tcPr>
            <w:tcW w:w="298" w:type="pct"/>
            <w:tcBorders>
              <w:top w:val="single" w:color="auto" w:sz="4" w:space="0"/>
              <w:left w:val="single" w:color="auto" w:sz="4" w:space="0"/>
              <w:bottom w:val="single" w:color="auto" w:sz="4" w:space="0"/>
              <w:right w:val="single" w:color="auto" w:sz="4" w:space="0"/>
            </w:tcBorders>
            <w:vAlign w:val="center"/>
          </w:tcPr>
          <w:p w14:paraId="257CF4A5">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1E9E9BF0">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089E293C">
            <w:pPr>
              <w:jc w:val="right"/>
              <w:rPr>
                <w:rFonts w:cs="Times New Roman"/>
                <w:sz w:val="15"/>
                <w:szCs w:val="15"/>
              </w:rPr>
            </w:pPr>
            <w:r>
              <w:rPr>
                <w:rFonts w:cs="Times New Roman"/>
                <w:sz w:val="15"/>
                <w:szCs w:val="15"/>
              </w:rPr>
              <w:t>115,147.42</w:t>
            </w:r>
          </w:p>
        </w:tc>
        <w:tc>
          <w:tcPr>
            <w:tcW w:w="314" w:type="pct"/>
            <w:tcBorders>
              <w:top w:val="single" w:color="auto" w:sz="4" w:space="0"/>
              <w:left w:val="single" w:color="auto" w:sz="4" w:space="0"/>
              <w:bottom w:val="single" w:color="auto" w:sz="4" w:space="0"/>
              <w:right w:val="single" w:color="auto" w:sz="4" w:space="0"/>
            </w:tcBorders>
            <w:vAlign w:val="center"/>
          </w:tcPr>
          <w:p w14:paraId="57F46FE2">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56636B4B">
            <w:pPr>
              <w:jc w:val="right"/>
              <w:rPr>
                <w:rFonts w:cs="Times New Roman"/>
                <w:sz w:val="15"/>
                <w:szCs w:val="15"/>
              </w:rPr>
            </w:pPr>
            <w:r>
              <w:rPr>
                <w:rFonts w:cs="Times New Roman"/>
                <w:sz w:val="15"/>
                <w:szCs w:val="15"/>
              </w:rPr>
              <w:t>115,147.42</w:t>
            </w:r>
          </w:p>
        </w:tc>
        <w:tc>
          <w:tcPr>
            <w:tcW w:w="292" w:type="pct"/>
            <w:tcBorders>
              <w:top w:val="single" w:color="auto" w:sz="4" w:space="0"/>
              <w:left w:val="nil"/>
              <w:bottom w:val="single" w:color="auto" w:sz="4" w:space="0"/>
              <w:right w:val="single" w:color="auto" w:sz="4" w:space="0"/>
            </w:tcBorders>
            <w:vAlign w:val="center"/>
          </w:tcPr>
          <w:p w14:paraId="0065732D">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8494680">
            <w:pPr>
              <w:jc w:val="center"/>
              <w:rPr>
                <w:rFonts w:cs="Times New Roman"/>
                <w:bCs w:val="0"/>
                <w:sz w:val="15"/>
                <w:szCs w:val="15"/>
              </w:rPr>
            </w:pPr>
            <w:r>
              <w:rPr>
                <w:rFonts w:cs="Times New Roman"/>
                <w:sz w:val="15"/>
                <w:szCs w:val="15"/>
              </w:rPr>
              <w:t>不适用</w:t>
            </w:r>
          </w:p>
        </w:tc>
        <w:tc>
          <w:tcPr>
            <w:tcW w:w="239" w:type="pct"/>
            <w:tcBorders>
              <w:top w:val="single" w:color="auto" w:sz="4" w:space="0"/>
              <w:left w:val="nil"/>
              <w:bottom w:val="single" w:color="auto" w:sz="4" w:space="0"/>
              <w:right w:val="single" w:color="auto" w:sz="4" w:space="0"/>
            </w:tcBorders>
            <w:vAlign w:val="center"/>
          </w:tcPr>
          <w:p w14:paraId="27FF534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6A8A1FB2">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5E8A893F">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2165427F">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3BA2F9AD">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7CE8CDB">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0B30C85E">
            <w:pPr>
              <w:jc w:val="right"/>
              <w:rPr>
                <w:rFonts w:cs="Times New Roman"/>
                <w:bCs w:val="0"/>
                <w:sz w:val="15"/>
                <w:szCs w:val="15"/>
              </w:rPr>
            </w:pPr>
          </w:p>
        </w:tc>
      </w:tr>
      <w:tr w14:paraId="466CF3BC">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A196714">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0F35C1FE">
            <w:pPr>
              <w:jc w:val="center"/>
              <w:rPr>
                <w:rFonts w:cs="Times New Roman"/>
                <w:bCs w:val="0"/>
                <w:sz w:val="15"/>
                <w:szCs w:val="15"/>
              </w:rPr>
            </w:pPr>
            <w:r>
              <w:rPr>
                <w:rFonts w:cs="Times New Roman"/>
                <w:sz w:val="15"/>
                <w:szCs w:val="15"/>
              </w:rPr>
              <w:t>3542公司搬迁建设功能性面料、家纺制品项目</w:t>
            </w:r>
          </w:p>
        </w:tc>
        <w:tc>
          <w:tcPr>
            <w:tcW w:w="196" w:type="pct"/>
            <w:tcBorders>
              <w:top w:val="single" w:color="auto" w:sz="4" w:space="0"/>
              <w:left w:val="single" w:color="auto" w:sz="4" w:space="0"/>
              <w:bottom w:val="single" w:color="auto" w:sz="4" w:space="0"/>
              <w:right w:val="single" w:color="auto" w:sz="4" w:space="0"/>
            </w:tcBorders>
            <w:vAlign w:val="center"/>
          </w:tcPr>
          <w:p w14:paraId="78CDBD1A">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61DF7BF">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64112000">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7E4ECDEB">
            <w:pPr>
              <w:jc w:val="right"/>
              <w:rPr>
                <w:rFonts w:cs="Times New Roman"/>
                <w:sz w:val="15"/>
                <w:szCs w:val="15"/>
              </w:rPr>
            </w:pPr>
            <w:r>
              <w:rPr>
                <w:rFonts w:cs="Times New Roman"/>
                <w:sz w:val="15"/>
                <w:szCs w:val="15"/>
              </w:rPr>
              <w:t>24,557.85</w:t>
            </w:r>
          </w:p>
        </w:tc>
        <w:tc>
          <w:tcPr>
            <w:tcW w:w="314" w:type="pct"/>
            <w:tcBorders>
              <w:top w:val="single" w:color="auto" w:sz="4" w:space="0"/>
              <w:left w:val="single" w:color="auto" w:sz="4" w:space="0"/>
              <w:bottom w:val="single" w:color="auto" w:sz="4" w:space="0"/>
              <w:right w:val="single" w:color="auto" w:sz="4" w:space="0"/>
            </w:tcBorders>
            <w:vAlign w:val="center"/>
          </w:tcPr>
          <w:p w14:paraId="6515B7F2">
            <w:pPr>
              <w:jc w:val="right"/>
              <w:rPr>
                <w:rFonts w:cs="Times New Roman"/>
                <w:sz w:val="15"/>
                <w:szCs w:val="15"/>
              </w:rPr>
            </w:pPr>
            <w:r>
              <w:rPr>
                <w:rFonts w:cs="Times New Roman"/>
                <w:sz w:val="15"/>
                <w:szCs w:val="15"/>
              </w:rPr>
              <w:t>34.47</w:t>
            </w:r>
          </w:p>
        </w:tc>
        <w:tc>
          <w:tcPr>
            <w:tcW w:w="324" w:type="pct"/>
            <w:tcBorders>
              <w:top w:val="single" w:color="auto" w:sz="4" w:space="0"/>
              <w:left w:val="single" w:color="auto" w:sz="4" w:space="0"/>
              <w:bottom w:val="single" w:color="auto" w:sz="4" w:space="0"/>
              <w:right w:val="single" w:color="auto" w:sz="4" w:space="0"/>
            </w:tcBorders>
            <w:vAlign w:val="center"/>
          </w:tcPr>
          <w:p w14:paraId="6BD210AB">
            <w:pPr>
              <w:jc w:val="right"/>
              <w:rPr>
                <w:rFonts w:cs="Times New Roman"/>
                <w:sz w:val="15"/>
                <w:szCs w:val="15"/>
              </w:rPr>
            </w:pPr>
            <w:r>
              <w:rPr>
                <w:rFonts w:cs="Times New Roman"/>
                <w:sz w:val="15"/>
                <w:szCs w:val="15"/>
              </w:rPr>
              <w:t>23,273.87</w:t>
            </w:r>
          </w:p>
        </w:tc>
        <w:tc>
          <w:tcPr>
            <w:tcW w:w="292" w:type="pct"/>
            <w:tcBorders>
              <w:top w:val="single" w:color="auto" w:sz="4" w:space="0"/>
              <w:left w:val="nil"/>
              <w:bottom w:val="single" w:color="auto" w:sz="4" w:space="0"/>
              <w:right w:val="single" w:color="auto" w:sz="4" w:space="0"/>
            </w:tcBorders>
            <w:vAlign w:val="center"/>
          </w:tcPr>
          <w:p w14:paraId="21220D68">
            <w:pPr>
              <w:jc w:val="right"/>
              <w:rPr>
                <w:rFonts w:cs="Times New Roman"/>
                <w:sz w:val="15"/>
                <w:szCs w:val="15"/>
              </w:rPr>
            </w:pPr>
            <w:r>
              <w:rPr>
                <w:rFonts w:cs="Times New Roman"/>
                <w:sz w:val="15"/>
                <w:szCs w:val="15"/>
              </w:rPr>
              <w:t>94.77</w:t>
            </w:r>
          </w:p>
        </w:tc>
        <w:tc>
          <w:tcPr>
            <w:tcW w:w="282" w:type="pct"/>
            <w:tcBorders>
              <w:top w:val="single" w:color="auto" w:sz="4" w:space="0"/>
              <w:left w:val="nil"/>
              <w:bottom w:val="single" w:color="auto" w:sz="4" w:space="0"/>
              <w:right w:val="single" w:color="auto" w:sz="4" w:space="0"/>
            </w:tcBorders>
            <w:vAlign w:val="center"/>
          </w:tcPr>
          <w:p w14:paraId="4E692555">
            <w:pPr>
              <w:jc w:val="center"/>
              <w:rPr>
                <w:rFonts w:cs="Times New Roman"/>
                <w:bCs w:val="0"/>
                <w:sz w:val="15"/>
                <w:szCs w:val="15"/>
              </w:rPr>
            </w:pPr>
            <w:r>
              <w:rPr>
                <w:rFonts w:cs="Times New Roman"/>
                <w:sz w:val="15"/>
                <w:szCs w:val="15"/>
              </w:rPr>
              <w:t>2022年7月</w:t>
            </w:r>
          </w:p>
        </w:tc>
        <w:tc>
          <w:tcPr>
            <w:tcW w:w="239" w:type="pct"/>
            <w:tcBorders>
              <w:top w:val="single" w:color="auto" w:sz="4" w:space="0"/>
              <w:left w:val="nil"/>
              <w:bottom w:val="single" w:color="auto" w:sz="4" w:space="0"/>
              <w:right w:val="single" w:color="auto" w:sz="4" w:space="0"/>
            </w:tcBorders>
            <w:vAlign w:val="center"/>
          </w:tcPr>
          <w:p w14:paraId="6B7139B1">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006C657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1FC291E9">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02E880BF">
            <w:pPr>
              <w:jc w:val="right"/>
              <w:rPr>
                <w:rFonts w:cs="Times New Roman"/>
                <w:bCs w:val="0"/>
                <w:sz w:val="15"/>
                <w:szCs w:val="15"/>
              </w:rPr>
            </w:pPr>
            <w:r>
              <w:rPr>
                <w:rFonts w:cs="Times New Roman"/>
                <w:sz w:val="15"/>
                <w:szCs w:val="15"/>
              </w:rPr>
              <w:t>-1,883.53</w:t>
            </w:r>
          </w:p>
        </w:tc>
        <w:tc>
          <w:tcPr>
            <w:tcW w:w="323" w:type="pct"/>
            <w:tcBorders>
              <w:top w:val="single" w:color="auto" w:sz="4" w:space="0"/>
              <w:left w:val="single" w:color="auto" w:sz="4" w:space="0"/>
              <w:bottom w:val="single" w:color="auto" w:sz="4" w:space="0"/>
              <w:right w:val="single" w:color="auto" w:sz="4" w:space="0"/>
            </w:tcBorders>
            <w:vAlign w:val="center"/>
          </w:tcPr>
          <w:p w14:paraId="0764E580">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23702F85">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1A06148E">
            <w:pPr>
              <w:jc w:val="right"/>
              <w:rPr>
                <w:rFonts w:cs="Times New Roman"/>
                <w:bCs w:val="0"/>
                <w:sz w:val="15"/>
                <w:szCs w:val="15"/>
              </w:rPr>
            </w:pPr>
          </w:p>
        </w:tc>
      </w:tr>
      <w:tr w14:paraId="3764F806">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26BA5565">
            <w:pPr>
              <w:jc w:val="center"/>
              <w:rPr>
                <w:rFonts w:cs="Times New Roman"/>
                <w:bCs w:val="0"/>
                <w:color w:val="000000" w:themeColor="text1"/>
                <w:sz w:val="15"/>
                <w:szCs w:val="15"/>
                <w14:textFill>
                  <w14:solidFill>
                    <w14:schemeClr w14:val="tx1"/>
                  </w14:solidFill>
                </w14:textFill>
              </w:rPr>
            </w:pPr>
            <w:r>
              <w:rPr>
                <w:rFonts w:cs="Times New Roman"/>
                <w:sz w:val="15"/>
                <w:szCs w:val="15"/>
              </w:rPr>
              <w:t>首次公开发行股票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0493F5D6">
            <w:pPr>
              <w:jc w:val="center"/>
              <w:rPr>
                <w:rFonts w:cs="Times New Roman"/>
                <w:bCs w:val="0"/>
                <w:sz w:val="15"/>
                <w:szCs w:val="15"/>
              </w:rPr>
            </w:pPr>
            <w:r>
              <w:rPr>
                <w:rFonts w:cs="Times New Roman"/>
                <w:sz w:val="15"/>
                <w:szCs w:val="15"/>
              </w:rPr>
              <w:t>年产2500吨特种尼龙66长丝中试线建设项目</w:t>
            </w:r>
          </w:p>
        </w:tc>
        <w:tc>
          <w:tcPr>
            <w:tcW w:w="196" w:type="pct"/>
            <w:tcBorders>
              <w:top w:val="single" w:color="auto" w:sz="4" w:space="0"/>
              <w:left w:val="single" w:color="auto" w:sz="4" w:space="0"/>
              <w:bottom w:val="single" w:color="auto" w:sz="4" w:space="0"/>
              <w:right w:val="single" w:color="auto" w:sz="4" w:space="0"/>
            </w:tcBorders>
            <w:vAlign w:val="center"/>
          </w:tcPr>
          <w:p w14:paraId="25BC5CDB">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1753926D">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1457D67E">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175D98A9">
            <w:pPr>
              <w:jc w:val="right"/>
              <w:rPr>
                <w:rFonts w:cs="Times New Roman"/>
                <w:sz w:val="15"/>
                <w:szCs w:val="15"/>
              </w:rPr>
            </w:pPr>
            <w:r>
              <w:rPr>
                <w:rFonts w:cs="Times New Roman"/>
                <w:sz w:val="15"/>
                <w:szCs w:val="15"/>
              </w:rPr>
              <w:t>5,449.82</w:t>
            </w:r>
          </w:p>
        </w:tc>
        <w:tc>
          <w:tcPr>
            <w:tcW w:w="314" w:type="pct"/>
            <w:tcBorders>
              <w:top w:val="single" w:color="auto" w:sz="4" w:space="0"/>
              <w:left w:val="single" w:color="auto" w:sz="4" w:space="0"/>
              <w:bottom w:val="single" w:color="auto" w:sz="4" w:space="0"/>
              <w:right w:val="single" w:color="auto" w:sz="4" w:space="0"/>
            </w:tcBorders>
            <w:vAlign w:val="center"/>
          </w:tcPr>
          <w:p w14:paraId="37EA229D">
            <w:pPr>
              <w:jc w:val="right"/>
              <w:rPr>
                <w:rFonts w:cs="Times New Roman"/>
                <w:sz w:val="15"/>
                <w:szCs w:val="15"/>
              </w:rPr>
            </w:pPr>
            <w:r>
              <w:rPr>
                <w:rFonts w:cs="Times New Roman"/>
                <w:sz w:val="15"/>
                <w:szCs w:val="15"/>
              </w:rPr>
              <w:t>2,456.24</w:t>
            </w:r>
          </w:p>
        </w:tc>
        <w:tc>
          <w:tcPr>
            <w:tcW w:w="324" w:type="pct"/>
            <w:tcBorders>
              <w:top w:val="single" w:color="auto" w:sz="4" w:space="0"/>
              <w:left w:val="single" w:color="auto" w:sz="4" w:space="0"/>
              <w:bottom w:val="single" w:color="auto" w:sz="4" w:space="0"/>
              <w:right w:val="single" w:color="auto" w:sz="4" w:space="0"/>
            </w:tcBorders>
            <w:vAlign w:val="center"/>
          </w:tcPr>
          <w:p w14:paraId="508320B2">
            <w:pPr>
              <w:jc w:val="right"/>
              <w:rPr>
                <w:rFonts w:cs="Times New Roman"/>
                <w:sz w:val="15"/>
                <w:szCs w:val="15"/>
              </w:rPr>
            </w:pPr>
            <w:r>
              <w:rPr>
                <w:rFonts w:cs="Times New Roman"/>
                <w:sz w:val="15"/>
                <w:szCs w:val="15"/>
              </w:rPr>
              <w:t>2,456.24</w:t>
            </w:r>
          </w:p>
        </w:tc>
        <w:tc>
          <w:tcPr>
            <w:tcW w:w="292" w:type="pct"/>
            <w:tcBorders>
              <w:top w:val="single" w:color="auto" w:sz="4" w:space="0"/>
              <w:left w:val="nil"/>
              <w:bottom w:val="single" w:color="auto" w:sz="4" w:space="0"/>
              <w:right w:val="single" w:color="auto" w:sz="4" w:space="0"/>
            </w:tcBorders>
            <w:vAlign w:val="center"/>
          </w:tcPr>
          <w:p w14:paraId="35986DDD">
            <w:pPr>
              <w:jc w:val="right"/>
              <w:rPr>
                <w:rFonts w:cs="Times New Roman"/>
                <w:sz w:val="15"/>
                <w:szCs w:val="15"/>
              </w:rPr>
            </w:pPr>
            <w:r>
              <w:rPr>
                <w:rFonts w:cs="Times New Roman"/>
                <w:sz w:val="15"/>
                <w:szCs w:val="15"/>
              </w:rPr>
              <w:t>45.07</w:t>
            </w:r>
          </w:p>
        </w:tc>
        <w:tc>
          <w:tcPr>
            <w:tcW w:w="282" w:type="pct"/>
            <w:tcBorders>
              <w:top w:val="single" w:color="auto" w:sz="4" w:space="0"/>
              <w:left w:val="nil"/>
              <w:bottom w:val="single" w:color="auto" w:sz="4" w:space="0"/>
              <w:right w:val="single" w:color="auto" w:sz="4" w:space="0"/>
            </w:tcBorders>
            <w:vAlign w:val="center"/>
          </w:tcPr>
          <w:p w14:paraId="5D6A3E0C">
            <w:pPr>
              <w:jc w:val="center"/>
              <w:rPr>
                <w:rFonts w:cs="Times New Roman"/>
                <w:bCs w:val="0"/>
                <w:sz w:val="15"/>
                <w:szCs w:val="15"/>
              </w:rPr>
            </w:pPr>
            <w:r>
              <w:rPr>
                <w:rFonts w:cs="Times New Roman"/>
                <w:sz w:val="15"/>
                <w:szCs w:val="15"/>
              </w:rPr>
              <w:t>2025年12月</w:t>
            </w:r>
          </w:p>
        </w:tc>
        <w:tc>
          <w:tcPr>
            <w:tcW w:w="239" w:type="pct"/>
            <w:tcBorders>
              <w:top w:val="single" w:color="auto" w:sz="4" w:space="0"/>
              <w:left w:val="nil"/>
              <w:bottom w:val="single" w:color="auto" w:sz="4" w:space="0"/>
              <w:right w:val="single" w:color="auto" w:sz="4" w:space="0"/>
            </w:tcBorders>
            <w:vAlign w:val="center"/>
          </w:tcPr>
          <w:p w14:paraId="4FE58407">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7D8621C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481EC440">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14EC0203">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4CE76895">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B163F7A">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1D902692">
            <w:pPr>
              <w:jc w:val="right"/>
              <w:rPr>
                <w:rFonts w:cs="Times New Roman"/>
                <w:bCs w:val="0"/>
                <w:sz w:val="15"/>
                <w:szCs w:val="15"/>
              </w:rPr>
            </w:pPr>
          </w:p>
        </w:tc>
      </w:tr>
      <w:tr w14:paraId="2F5E8A65">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AA0B06D">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2B5F729A">
            <w:pPr>
              <w:jc w:val="center"/>
              <w:rPr>
                <w:rFonts w:cs="Times New Roman"/>
                <w:bCs w:val="0"/>
                <w:sz w:val="15"/>
                <w:szCs w:val="15"/>
              </w:rPr>
            </w:pPr>
            <w:r>
              <w:rPr>
                <w:rFonts w:cs="Times New Roman"/>
                <w:sz w:val="15"/>
                <w:szCs w:val="15"/>
              </w:rPr>
              <w:t>际华集团终端市场网络建设项目</w:t>
            </w:r>
          </w:p>
        </w:tc>
        <w:tc>
          <w:tcPr>
            <w:tcW w:w="196" w:type="pct"/>
            <w:tcBorders>
              <w:top w:val="single" w:color="auto" w:sz="4" w:space="0"/>
              <w:left w:val="single" w:color="auto" w:sz="4" w:space="0"/>
              <w:bottom w:val="single" w:color="auto" w:sz="4" w:space="0"/>
              <w:right w:val="single" w:color="auto" w:sz="4" w:space="0"/>
            </w:tcBorders>
            <w:vAlign w:val="center"/>
          </w:tcPr>
          <w:p w14:paraId="0CECF9E6">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75C27D1D">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53465B0A">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2221A84F">
            <w:pPr>
              <w:jc w:val="right"/>
              <w:rPr>
                <w:rFonts w:cs="Times New Roman"/>
                <w:sz w:val="15"/>
                <w:szCs w:val="15"/>
              </w:rPr>
            </w:pPr>
            <w:r>
              <w:rPr>
                <w:rFonts w:cs="Times New Roman"/>
                <w:sz w:val="15"/>
                <w:szCs w:val="15"/>
              </w:rPr>
              <w:t>21,291.50</w:t>
            </w:r>
          </w:p>
        </w:tc>
        <w:tc>
          <w:tcPr>
            <w:tcW w:w="314" w:type="pct"/>
            <w:tcBorders>
              <w:top w:val="single" w:color="auto" w:sz="4" w:space="0"/>
              <w:left w:val="single" w:color="auto" w:sz="4" w:space="0"/>
              <w:bottom w:val="single" w:color="auto" w:sz="4" w:space="0"/>
              <w:right w:val="single" w:color="auto" w:sz="4" w:space="0"/>
            </w:tcBorders>
            <w:vAlign w:val="center"/>
          </w:tcPr>
          <w:p w14:paraId="39B955AE">
            <w:pPr>
              <w:jc w:val="right"/>
              <w:rPr>
                <w:rFonts w:cs="Times New Roman"/>
                <w:sz w:val="15"/>
                <w:szCs w:val="15"/>
              </w:rPr>
            </w:pPr>
            <w:r>
              <w:rPr>
                <w:rFonts w:cs="Times New Roman"/>
                <w:sz w:val="15"/>
                <w:szCs w:val="15"/>
              </w:rPr>
              <w:t>1,342.18</w:t>
            </w:r>
          </w:p>
        </w:tc>
        <w:tc>
          <w:tcPr>
            <w:tcW w:w="324" w:type="pct"/>
            <w:tcBorders>
              <w:top w:val="single" w:color="auto" w:sz="4" w:space="0"/>
              <w:left w:val="single" w:color="auto" w:sz="4" w:space="0"/>
              <w:bottom w:val="single" w:color="auto" w:sz="4" w:space="0"/>
              <w:right w:val="single" w:color="auto" w:sz="4" w:space="0"/>
            </w:tcBorders>
            <w:vAlign w:val="center"/>
          </w:tcPr>
          <w:p w14:paraId="150506A9">
            <w:pPr>
              <w:jc w:val="right"/>
              <w:rPr>
                <w:rFonts w:cs="Times New Roman"/>
                <w:sz w:val="15"/>
                <w:szCs w:val="15"/>
              </w:rPr>
            </w:pPr>
            <w:r>
              <w:rPr>
                <w:rFonts w:cs="Times New Roman"/>
                <w:sz w:val="15"/>
                <w:szCs w:val="15"/>
              </w:rPr>
              <w:t>8,218.41</w:t>
            </w:r>
          </w:p>
        </w:tc>
        <w:tc>
          <w:tcPr>
            <w:tcW w:w="292" w:type="pct"/>
            <w:tcBorders>
              <w:top w:val="single" w:color="auto" w:sz="4" w:space="0"/>
              <w:left w:val="nil"/>
              <w:bottom w:val="single" w:color="auto" w:sz="4" w:space="0"/>
              <w:right w:val="single" w:color="auto" w:sz="4" w:space="0"/>
            </w:tcBorders>
            <w:vAlign w:val="center"/>
          </w:tcPr>
          <w:p w14:paraId="618281F0">
            <w:pPr>
              <w:jc w:val="right"/>
              <w:rPr>
                <w:rFonts w:cs="Times New Roman"/>
                <w:sz w:val="15"/>
                <w:szCs w:val="15"/>
              </w:rPr>
            </w:pPr>
            <w:r>
              <w:rPr>
                <w:rFonts w:cs="Times New Roman"/>
                <w:sz w:val="15"/>
                <w:szCs w:val="15"/>
              </w:rPr>
              <w:t>38.60</w:t>
            </w:r>
          </w:p>
        </w:tc>
        <w:tc>
          <w:tcPr>
            <w:tcW w:w="282" w:type="pct"/>
            <w:tcBorders>
              <w:top w:val="single" w:color="auto" w:sz="4" w:space="0"/>
              <w:left w:val="nil"/>
              <w:bottom w:val="single" w:color="auto" w:sz="4" w:space="0"/>
              <w:right w:val="single" w:color="auto" w:sz="4" w:space="0"/>
            </w:tcBorders>
            <w:vAlign w:val="center"/>
          </w:tcPr>
          <w:p w14:paraId="25DC7076">
            <w:pPr>
              <w:jc w:val="center"/>
              <w:rPr>
                <w:rFonts w:cs="Times New Roman"/>
                <w:bCs w:val="0"/>
                <w:sz w:val="15"/>
                <w:szCs w:val="15"/>
              </w:rPr>
            </w:pPr>
            <w:r>
              <w:rPr>
                <w:rFonts w:cs="Times New Roman"/>
                <w:sz w:val="15"/>
                <w:szCs w:val="15"/>
              </w:rPr>
              <w:t>2025年12月</w:t>
            </w:r>
          </w:p>
        </w:tc>
        <w:tc>
          <w:tcPr>
            <w:tcW w:w="239" w:type="pct"/>
            <w:tcBorders>
              <w:top w:val="single" w:color="auto" w:sz="4" w:space="0"/>
              <w:left w:val="nil"/>
              <w:bottom w:val="single" w:color="auto" w:sz="4" w:space="0"/>
              <w:right w:val="single" w:color="auto" w:sz="4" w:space="0"/>
            </w:tcBorders>
            <w:vAlign w:val="center"/>
          </w:tcPr>
          <w:p w14:paraId="65C6103A">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67A5E4D8">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6D9D4B8B">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1CBFA289">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0502F24D">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5B4FE1A9">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10C69959">
            <w:pPr>
              <w:jc w:val="right"/>
              <w:rPr>
                <w:rFonts w:cs="Times New Roman"/>
                <w:bCs w:val="0"/>
                <w:sz w:val="15"/>
                <w:szCs w:val="15"/>
              </w:rPr>
            </w:pPr>
          </w:p>
        </w:tc>
      </w:tr>
      <w:tr w14:paraId="44DCE810">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AFA978A">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6D86C242">
            <w:pPr>
              <w:jc w:val="center"/>
              <w:rPr>
                <w:rFonts w:cs="Times New Roman"/>
                <w:bCs w:val="0"/>
                <w:sz w:val="15"/>
                <w:szCs w:val="15"/>
              </w:rPr>
            </w:pPr>
            <w:r>
              <w:rPr>
                <w:rFonts w:cs="Times New Roman"/>
                <w:sz w:val="15"/>
                <w:szCs w:val="15"/>
              </w:rPr>
              <w:t>重庆际华园目的地中心项目一期二阶段</w:t>
            </w:r>
          </w:p>
        </w:tc>
        <w:tc>
          <w:tcPr>
            <w:tcW w:w="196" w:type="pct"/>
            <w:tcBorders>
              <w:top w:val="single" w:color="auto" w:sz="4" w:space="0"/>
              <w:left w:val="single" w:color="auto" w:sz="4" w:space="0"/>
              <w:bottom w:val="single" w:color="auto" w:sz="4" w:space="0"/>
              <w:right w:val="single" w:color="auto" w:sz="4" w:space="0"/>
            </w:tcBorders>
            <w:vAlign w:val="center"/>
          </w:tcPr>
          <w:p w14:paraId="70CEFB25">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51D39BC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7911033E">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7374D8DC">
            <w:pPr>
              <w:jc w:val="right"/>
              <w:rPr>
                <w:rFonts w:cs="Times New Roman"/>
                <w:sz w:val="15"/>
                <w:szCs w:val="15"/>
              </w:rPr>
            </w:pPr>
            <w:r>
              <w:rPr>
                <w:rFonts w:cs="Times New Roman"/>
                <w:sz w:val="15"/>
                <w:szCs w:val="15"/>
              </w:rPr>
              <w:t>24,615.65</w:t>
            </w:r>
          </w:p>
        </w:tc>
        <w:tc>
          <w:tcPr>
            <w:tcW w:w="314" w:type="pct"/>
            <w:tcBorders>
              <w:top w:val="single" w:color="auto" w:sz="4" w:space="0"/>
              <w:left w:val="single" w:color="auto" w:sz="4" w:space="0"/>
              <w:bottom w:val="single" w:color="auto" w:sz="4" w:space="0"/>
              <w:right w:val="single" w:color="auto" w:sz="4" w:space="0"/>
            </w:tcBorders>
            <w:vAlign w:val="center"/>
          </w:tcPr>
          <w:p w14:paraId="05B002A0">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5C376B72">
            <w:pPr>
              <w:jc w:val="right"/>
              <w:rPr>
                <w:rFonts w:cs="Times New Roman"/>
                <w:sz w:val="15"/>
                <w:szCs w:val="15"/>
              </w:rPr>
            </w:pPr>
            <w:r>
              <w:rPr>
                <w:rFonts w:cs="Times New Roman"/>
                <w:sz w:val="15"/>
                <w:szCs w:val="15"/>
              </w:rPr>
              <w:t>24,615.65</w:t>
            </w:r>
          </w:p>
        </w:tc>
        <w:tc>
          <w:tcPr>
            <w:tcW w:w="292" w:type="pct"/>
            <w:tcBorders>
              <w:top w:val="single" w:color="auto" w:sz="4" w:space="0"/>
              <w:left w:val="nil"/>
              <w:bottom w:val="single" w:color="auto" w:sz="4" w:space="0"/>
              <w:right w:val="single" w:color="auto" w:sz="4" w:space="0"/>
            </w:tcBorders>
            <w:vAlign w:val="center"/>
          </w:tcPr>
          <w:p w14:paraId="0D4516EA">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BDB2F7F">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6BEC6A8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1849464B">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191C8C33">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2791DAF">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42B68326">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7D4FB3D3">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6AF6C82D">
            <w:pPr>
              <w:jc w:val="right"/>
              <w:rPr>
                <w:rFonts w:cs="Times New Roman"/>
                <w:bCs w:val="0"/>
                <w:sz w:val="15"/>
                <w:szCs w:val="15"/>
              </w:rPr>
            </w:pPr>
          </w:p>
        </w:tc>
      </w:tr>
      <w:tr w14:paraId="7529567B">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F61F617">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58D2CD68">
            <w:pPr>
              <w:jc w:val="center"/>
              <w:rPr>
                <w:rFonts w:cs="Times New Roman"/>
                <w:bCs w:val="0"/>
                <w:sz w:val="15"/>
                <w:szCs w:val="15"/>
              </w:rPr>
            </w:pPr>
            <w:r>
              <w:rPr>
                <w:rFonts w:cs="Times New Roman"/>
                <w:sz w:val="15"/>
                <w:szCs w:val="15"/>
              </w:rPr>
              <w:t>际华园•长春目的地中心一期项目二阶段</w:t>
            </w:r>
          </w:p>
        </w:tc>
        <w:tc>
          <w:tcPr>
            <w:tcW w:w="196" w:type="pct"/>
            <w:tcBorders>
              <w:top w:val="single" w:color="auto" w:sz="4" w:space="0"/>
              <w:left w:val="single" w:color="auto" w:sz="4" w:space="0"/>
              <w:bottom w:val="single" w:color="auto" w:sz="4" w:space="0"/>
              <w:right w:val="single" w:color="auto" w:sz="4" w:space="0"/>
            </w:tcBorders>
            <w:vAlign w:val="center"/>
          </w:tcPr>
          <w:p w14:paraId="196F4312">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A97DC22">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1AC3464A">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2E5C84BC">
            <w:pPr>
              <w:jc w:val="right"/>
              <w:rPr>
                <w:rFonts w:cs="Times New Roman"/>
                <w:sz w:val="15"/>
                <w:szCs w:val="15"/>
              </w:rPr>
            </w:pPr>
            <w:r>
              <w:rPr>
                <w:rFonts w:cs="Times New Roman"/>
                <w:sz w:val="15"/>
                <w:szCs w:val="15"/>
              </w:rPr>
              <w:t>25,513.71</w:t>
            </w:r>
          </w:p>
        </w:tc>
        <w:tc>
          <w:tcPr>
            <w:tcW w:w="314" w:type="pct"/>
            <w:tcBorders>
              <w:top w:val="single" w:color="auto" w:sz="4" w:space="0"/>
              <w:left w:val="single" w:color="auto" w:sz="4" w:space="0"/>
              <w:bottom w:val="single" w:color="auto" w:sz="4" w:space="0"/>
              <w:right w:val="single" w:color="auto" w:sz="4" w:space="0"/>
            </w:tcBorders>
            <w:vAlign w:val="center"/>
          </w:tcPr>
          <w:p w14:paraId="268285A1">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54967971">
            <w:pPr>
              <w:jc w:val="right"/>
              <w:rPr>
                <w:rFonts w:cs="Times New Roman"/>
                <w:sz w:val="15"/>
                <w:szCs w:val="15"/>
              </w:rPr>
            </w:pPr>
            <w:r>
              <w:rPr>
                <w:rFonts w:cs="Times New Roman"/>
                <w:sz w:val="15"/>
                <w:szCs w:val="15"/>
              </w:rPr>
              <w:t>25,513.71</w:t>
            </w:r>
          </w:p>
        </w:tc>
        <w:tc>
          <w:tcPr>
            <w:tcW w:w="292" w:type="pct"/>
            <w:tcBorders>
              <w:top w:val="single" w:color="auto" w:sz="4" w:space="0"/>
              <w:left w:val="nil"/>
              <w:bottom w:val="single" w:color="auto" w:sz="4" w:space="0"/>
              <w:right w:val="single" w:color="auto" w:sz="4" w:space="0"/>
            </w:tcBorders>
            <w:vAlign w:val="center"/>
          </w:tcPr>
          <w:p w14:paraId="1FCC19BA">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7F195510">
            <w:pPr>
              <w:jc w:val="center"/>
              <w:rPr>
                <w:rFonts w:cs="Times New Roman"/>
                <w:bCs w:val="0"/>
                <w:sz w:val="15"/>
                <w:szCs w:val="15"/>
              </w:rPr>
            </w:pPr>
            <w:r>
              <w:rPr>
                <w:rFonts w:cs="Times New Roman"/>
                <w:sz w:val="15"/>
                <w:szCs w:val="15"/>
              </w:rPr>
              <w:t>停止实施</w:t>
            </w:r>
          </w:p>
        </w:tc>
        <w:tc>
          <w:tcPr>
            <w:tcW w:w="239" w:type="pct"/>
            <w:tcBorders>
              <w:top w:val="single" w:color="auto" w:sz="4" w:space="0"/>
              <w:left w:val="nil"/>
              <w:bottom w:val="single" w:color="auto" w:sz="4" w:space="0"/>
              <w:right w:val="single" w:color="auto" w:sz="4" w:space="0"/>
            </w:tcBorders>
            <w:vAlign w:val="center"/>
          </w:tcPr>
          <w:p w14:paraId="5B90C4D1">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6C1F768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4B06EF4A">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78E7596">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11AD8052">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28ECE30">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4E355C90">
            <w:pPr>
              <w:jc w:val="right"/>
              <w:rPr>
                <w:rFonts w:cs="Times New Roman"/>
                <w:bCs w:val="0"/>
                <w:sz w:val="15"/>
                <w:szCs w:val="15"/>
              </w:rPr>
            </w:pPr>
          </w:p>
        </w:tc>
      </w:tr>
      <w:tr w14:paraId="77CE8558">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F3006DF">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7A15C73E">
            <w:pPr>
              <w:jc w:val="center"/>
              <w:rPr>
                <w:rFonts w:cs="Times New Roman"/>
                <w:bCs w:val="0"/>
                <w:sz w:val="15"/>
                <w:szCs w:val="15"/>
              </w:rPr>
            </w:pPr>
            <w:r>
              <w:rPr>
                <w:rFonts w:cs="Times New Roman"/>
                <w:sz w:val="15"/>
                <w:szCs w:val="15"/>
              </w:rPr>
              <w:t>际华园扬中项目、咸宁项目、清远项目</w:t>
            </w:r>
          </w:p>
        </w:tc>
        <w:tc>
          <w:tcPr>
            <w:tcW w:w="196" w:type="pct"/>
            <w:tcBorders>
              <w:top w:val="single" w:color="auto" w:sz="4" w:space="0"/>
              <w:left w:val="single" w:color="auto" w:sz="4" w:space="0"/>
              <w:bottom w:val="single" w:color="auto" w:sz="4" w:space="0"/>
              <w:right w:val="single" w:color="auto" w:sz="4" w:space="0"/>
            </w:tcBorders>
            <w:vAlign w:val="center"/>
          </w:tcPr>
          <w:p w14:paraId="7AA04F77">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7C81CB17">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66B65C84">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35B3E77B">
            <w:pPr>
              <w:jc w:val="right"/>
              <w:rPr>
                <w:rFonts w:cs="Times New Roman"/>
                <w:sz w:val="15"/>
                <w:szCs w:val="15"/>
              </w:rPr>
            </w:pPr>
            <w:r>
              <w:rPr>
                <w:rFonts w:cs="Times New Roman"/>
                <w:sz w:val="15"/>
                <w:szCs w:val="15"/>
              </w:rPr>
              <w:t>89,048.28</w:t>
            </w:r>
          </w:p>
        </w:tc>
        <w:tc>
          <w:tcPr>
            <w:tcW w:w="314" w:type="pct"/>
            <w:tcBorders>
              <w:top w:val="single" w:color="auto" w:sz="4" w:space="0"/>
              <w:left w:val="single" w:color="auto" w:sz="4" w:space="0"/>
              <w:bottom w:val="single" w:color="auto" w:sz="4" w:space="0"/>
              <w:right w:val="single" w:color="auto" w:sz="4" w:space="0"/>
            </w:tcBorders>
            <w:vAlign w:val="center"/>
          </w:tcPr>
          <w:p w14:paraId="349E6F8A">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6A8F8F4F">
            <w:pPr>
              <w:jc w:val="right"/>
              <w:rPr>
                <w:rFonts w:cs="Times New Roman"/>
                <w:sz w:val="15"/>
                <w:szCs w:val="15"/>
              </w:rPr>
            </w:pPr>
            <w:r>
              <w:rPr>
                <w:rFonts w:cs="Times New Roman"/>
                <w:sz w:val="15"/>
                <w:szCs w:val="15"/>
              </w:rPr>
              <w:t>89,048.28</w:t>
            </w:r>
          </w:p>
        </w:tc>
        <w:tc>
          <w:tcPr>
            <w:tcW w:w="292" w:type="pct"/>
            <w:tcBorders>
              <w:top w:val="single" w:color="auto" w:sz="4" w:space="0"/>
              <w:left w:val="nil"/>
              <w:bottom w:val="single" w:color="auto" w:sz="4" w:space="0"/>
              <w:right w:val="single" w:color="auto" w:sz="4" w:space="0"/>
            </w:tcBorders>
            <w:vAlign w:val="center"/>
          </w:tcPr>
          <w:p w14:paraId="635F2C63">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324D5FB2">
            <w:pPr>
              <w:jc w:val="center"/>
              <w:rPr>
                <w:rFonts w:cs="Times New Roman"/>
                <w:bCs w:val="0"/>
                <w:sz w:val="15"/>
                <w:szCs w:val="15"/>
              </w:rPr>
            </w:pPr>
            <w:r>
              <w:rPr>
                <w:rFonts w:cs="Times New Roman"/>
                <w:sz w:val="15"/>
                <w:szCs w:val="15"/>
              </w:rPr>
              <w:t>项目已转让</w:t>
            </w:r>
          </w:p>
        </w:tc>
        <w:tc>
          <w:tcPr>
            <w:tcW w:w="239" w:type="pct"/>
            <w:tcBorders>
              <w:top w:val="single" w:color="auto" w:sz="4" w:space="0"/>
              <w:left w:val="nil"/>
              <w:bottom w:val="single" w:color="auto" w:sz="4" w:space="0"/>
              <w:right w:val="single" w:color="auto" w:sz="4" w:space="0"/>
            </w:tcBorders>
            <w:vAlign w:val="center"/>
          </w:tcPr>
          <w:p w14:paraId="24B36A45">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0BAC580F">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7C3BAF86">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697FA6CD">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786AEB04">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71DFB570">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2036CB50">
            <w:pPr>
              <w:jc w:val="right"/>
              <w:rPr>
                <w:rFonts w:cs="Times New Roman"/>
                <w:bCs w:val="0"/>
                <w:sz w:val="15"/>
                <w:szCs w:val="15"/>
              </w:rPr>
            </w:pPr>
          </w:p>
        </w:tc>
      </w:tr>
      <w:tr w14:paraId="668DBC1A">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9C194CC">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73265789">
            <w:pPr>
              <w:jc w:val="center"/>
              <w:rPr>
                <w:rFonts w:cs="Times New Roman"/>
                <w:bCs w:val="0"/>
                <w:sz w:val="15"/>
                <w:szCs w:val="15"/>
              </w:rPr>
            </w:pPr>
            <w:r>
              <w:rPr>
                <w:rFonts w:cs="Times New Roman"/>
                <w:sz w:val="15"/>
                <w:szCs w:val="15"/>
              </w:rPr>
              <w:t>际华园西安项目</w:t>
            </w:r>
          </w:p>
        </w:tc>
        <w:tc>
          <w:tcPr>
            <w:tcW w:w="196" w:type="pct"/>
            <w:tcBorders>
              <w:top w:val="single" w:color="auto" w:sz="4" w:space="0"/>
              <w:left w:val="single" w:color="auto" w:sz="4" w:space="0"/>
              <w:bottom w:val="single" w:color="auto" w:sz="4" w:space="0"/>
              <w:right w:val="single" w:color="auto" w:sz="4" w:space="0"/>
            </w:tcBorders>
            <w:vAlign w:val="center"/>
          </w:tcPr>
          <w:p w14:paraId="1DF4DE2A">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7BF77B4F">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351" w:type="pct"/>
            <w:tcBorders>
              <w:top w:val="single" w:color="auto" w:sz="4" w:space="0"/>
              <w:left w:val="single" w:color="auto" w:sz="4" w:space="0"/>
              <w:bottom w:val="single" w:color="auto" w:sz="4" w:space="0"/>
              <w:right w:val="single" w:color="auto" w:sz="4" w:space="0"/>
            </w:tcBorders>
            <w:vAlign w:val="center"/>
          </w:tcPr>
          <w:p w14:paraId="47999C34">
            <w:pPr>
              <w:rPr>
                <w:rFonts w:cs="Times New Roman"/>
                <w:bCs w:val="0"/>
                <w:color w:val="000000" w:themeColor="text1"/>
                <w:sz w:val="15"/>
                <w:szCs w:val="15"/>
                <w14:textFill>
                  <w14:solidFill>
                    <w14:schemeClr w14:val="tx1"/>
                  </w14:solidFill>
                </w14:textFill>
              </w:rPr>
            </w:pPr>
            <w:r>
              <w:rPr>
                <w:rFonts w:cs="Times New Roman"/>
                <w:sz w:val="15"/>
                <w:szCs w:val="15"/>
              </w:rPr>
              <w:t>是，此项目取消</w:t>
            </w:r>
          </w:p>
        </w:tc>
        <w:tc>
          <w:tcPr>
            <w:tcW w:w="330" w:type="pct"/>
            <w:tcBorders>
              <w:top w:val="single" w:color="auto" w:sz="4" w:space="0"/>
              <w:left w:val="nil"/>
              <w:bottom w:val="single" w:color="auto" w:sz="4" w:space="0"/>
              <w:right w:val="single" w:color="auto" w:sz="4" w:space="0"/>
            </w:tcBorders>
            <w:vAlign w:val="center"/>
          </w:tcPr>
          <w:p w14:paraId="74CDB0A8">
            <w:pPr>
              <w:jc w:val="right"/>
              <w:rPr>
                <w:rFonts w:cs="Times New Roman"/>
                <w:sz w:val="15"/>
                <w:szCs w:val="15"/>
              </w:rPr>
            </w:pPr>
            <w:r>
              <w:rPr>
                <w:rFonts w:cs="Times New Roman"/>
                <w:sz w:val="15"/>
                <w:szCs w:val="15"/>
              </w:rPr>
              <w:t>36,434.49</w:t>
            </w:r>
          </w:p>
        </w:tc>
        <w:tc>
          <w:tcPr>
            <w:tcW w:w="314" w:type="pct"/>
            <w:tcBorders>
              <w:top w:val="single" w:color="auto" w:sz="4" w:space="0"/>
              <w:left w:val="single" w:color="auto" w:sz="4" w:space="0"/>
              <w:bottom w:val="single" w:color="auto" w:sz="4" w:space="0"/>
              <w:right w:val="single" w:color="auto" w:sz="4" w:space="0"/>
            </w:tcBorders>
            <w:vAlign w:val="center"/>
          </w:tcPr>
          <w:p w14:paraId="315A217E">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7D9961D5">
            <w:pPr>
              <w:jc w:val="right"/>
              <w:rPr>
                <w:rFonts w:cs="Times New Roman"/>
                <w:sz w:val="15"/>
                <w:szCs w:val="15"/>
              </w:rPr>
            </w:pPr>
            <w:r>
              <w:rPr>
                <w:rFonts w:cs="Times New Roman"/>
                <w:sz w:val="15"/>
                <w:szCs w:val="15"/>
              </w:rPr>
              <w:t>36,434.49</w:t>
            </w:r>
          </w:p>
        </w:tc>
        <w:tc>
          <w:tcPr>
            <w:tcW w:w="292" w:type="pct"/>
            <w:tcBorders>
              <w:top w:val="single" w:color="auto" w:sz="4" w:space="0"/>
              <w:left w:val="nil"/>
              <w:bottom w:val="single" w:color="auto" w:sz="4" w:space="0"/>
              <w:right w:val="single" w:color="auto" w:sz="4" w:space="0"/>
            </w:tcBorders>
            <w:vAlign w:val="center"/>
          </w:tcPr>
          <w:p w14:paraId="2E6E88CD">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0F4189B5">
            <w:pPr>
              <w:jc w:val="center"/>
              <w:rPr>
                <w:rFonts w:cs="Times New Roman"/>
                <w:bCs w:val="0"/>
                <w:sz w:val="15"/>
                <w:szCs w:val="15"/>
              </w:rPr>
            </w:pPr>
            <w:r>
              <w:rPr>
                <w:rFonts w:cs="Times New Roman"/>
                <w:sz w:val="15"/>
                <w:szCs w:val="15"/>
              </w:rPr>
              <w:t>项目已转让</w:t>
            </w:r>
          </w:p>
        </w:tc>
        <w:tc>
          <w:tcPr>
            <w:tcW w:w="239" w:type="pct"/>
            <w:tcBorders>
              <w:top w:val="single" w:color="auto" w:sz="4" w:space="0"/>
              <w:left w:val="nil"/>
              <w:bottom w:val="single" w:color="auto" w:sz="4" w:space="0"/>
              <w:right w:val="single" w:color="auto" w:sz="4" w:space="0"/>
            </w:tcBorders>
            <w:vAlign w:val="center"/>
          </w:tcPr>
          <w:p w14:paraId="12E165B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0671CE59">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1ABAE6CA">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0D39B7B3">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600F387F">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5EEBF295">
            <w:pPr>
              <w:jc w:val="center"/>
              <w:rPr>
                <w:rFonts w:cs="Times New Roman"/>
                <w:bCs w:val="0"/>
                <w:sz w:val="15"/>
                <w:szCs w:val="15"/>
              </w:rPr>
            </w:pPr>
            <w:r>
              <w:rPr>
                <w:rFonts w:cs="Times New Roman"/>
                <w:sz w:val="15"/>
                <w:szCs w:val="15"/>
              </w:rPr>
              <w:t>是</w:t>
            </w:r>
          </w:p>
        </w:tc>
        <w:tc>
          <w:tcPr>
            <w:tcW w:w="279" w:type="pct"/>
            <w:tcBorders>
              <w:top w:val="single" w:color="auto" w:sz="4" w:space="0"/>
              <w:left w:val="nil"/>
              <w:bottom w:val="single" w:color="auto" w:sz="4" w:space="0"/>
              <w:right w:val="single" w:color="auto" w:sz="4" w:space="0"/>
            </w:tcBorders>
            <w:vAlign w:val="center"/>
          </w:tcPr>
          <w:p w14:paraId="1DAECE99">
            <w:pPr>
              <w:jc w:val="right"/>
              <w:rPr>
                <w:rFonts w:cs="Times New Roman"/>
                <w:bCs w:val="0"/>
                <w:sz w:val="15"/>
                <w:szCs w:val="15"/>
              </w:rPr>
            </w:pPr>
          </w:p>
        </w:tc>
      </w:tr>
      <w:tr w14:paraId="627AE15D">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454C2D8">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0EE0C7A">
            <w:pPr>
              <w:jc w:val="center"/>
              <w:rPr>
                <w:rFonts w:cs="Times New Roman"/>
                <w:bCs w:val="0"/>
                <w:sz w:val="15"/>
                <w:szCs w:val="15"/>
              </w:rPr>
            </w:pPr>
            <w:r>
              <w:rPr>
                <w:rFonts w:cs="Times New Roman"/>
                <w:sz w:val="15"/>
                <w:szCs w:val="15"/>
              </w:rPr>
              <w:t>际华服装智能化生产线改造</w:t>
            </w:r>
          </w:p>
        </w:tc>
        <w:tc>
          <w:tcPr>
            <w:tcW w:w="196" w:type="pct"/>
            <w:tcBorders>
              <w:top w:val="single" w:color="auto" w:sz="4" w:space="0"/>
              <w:left w:val="single" w:color="auto" w:sz="4" w:space="0"/>
              <w:bottom w:val="single" w:color="auto" w:sz="4" w:space="0"/>
              <w:right w:val="single" w:color="auto" w:sz="4" w:space="0"/>
            </w:tcBorders>
            <w:vAlign w:val="center"/>
          </w:tcPr>
          <w:p w14:paraId="1711BEE5">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6913026D">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06A535F2">
            <w:pPr>
              <w:rPr>
                <w:rFonts w:cs="Times New Roman"/>
                <w:bCs w:val="0"/>
                <w:color w:val="000000" w:themeColor="text1"/>
                <w:sz w:val="15"/>
                <w:szCs w:val="15"/>
                <w14:textFill>
                  <w14:solidFill>
                    <w14:schemeClr w14:val="tx1"/>
                  </w14:solidFill>
                </w14:textFill>
              </w:rPr>
            </w:pPr>
            <w:r>
              <w:rPr>
                <w:rFonts w:cs="Times New Roman"/>
                <w:sz w:val="15"/>
                <w:szCs w:val="15"/>
              </w:rPr>
              <w:t>是，此项目未取消，调整募集资金投资总额</w:t>
            </w:r>
          </w:p>
        </w:tc>
        <w:tc>
          <w:tcPr>
            <w:tcW w:w="330" w:type="pct"/>
            <w:tcBorders>
              <w:top w:val="single" w:color="auto" w:sz="4" w:space="0"/>
              <w:left w:val="nil"/>
              <w:bottom w:val="single" w:color="auto" w:sz="4" w:space="0"/>
              <w:right w:val="single" w:color="auto" w:sz="4" w:space="0"/>
            </w:tcBorders>
            <w:vAlign w:val="center"/>
          </w:tcPr>
          <w:p w14:paraId="455AC4BC">
            <w:pPr>
              <w:jc w:val="right"/>
              <w:rPr>
                <w:rFonts w:cs="Times New Roman"/>
                <w:sz w:val="15"/>
                <w:szCs w:val="15"/>
              </w:rPr>
            </w:pPr>
            <w:r>
              <w:rPr>
                <w:rFonts w:cs="Times New Roman"/>
                <w:sz w:val="15"/>
                <w:szCs w:val="15"/>
              </w:rPr>
              <w:t>22,692.65</w:t>
            </w:r>
          </w:p>
        </w:tc>
        <w:tc>
          <w:tcPr>
            <w:tcW w:w="314" w:type="pct"/>
            <w:tcBorders>
              <w:top w:val="single" w:color="auto" w:sz="4" w:space="0"/>
              <w:left w:val="single" w:color="auto" w:sz="4" w:space="0"/>
              <w:bottom w:val="single" w:color="auto" w:sz="4" w:space="0"/>
              <w:right w:val="single" w:color="auto" w:sz="4" w:space="0"/>
            </w:tcBorders>
            <w:vAlign w:val="center"/>
          </w:tcPr>
          <w:p w14:paraId="312A48D1">
            <w:pPr>
              <w:jc w:val="right"/>
              <w:rPr>
                <w:rFonts w:cs="Times New Roman"/>
                <w:sz w:val="15"/>
                <w:szCs w:val="15"/>
              </w:rPr>
            </w:pPr>
            <w:r>
              <w:rPr>
                <w:rFonts w:cs="Times New Roman"/>
                <w:sz w:val="15"/>
                <w:szCs w:val="15"/>
              </w:rPr>
              <w:t>1,381.97</w:t>
            </w:r>
          </w:p>
        </w:tc>
        <w:tc>
          <w:tcPr>
            <w:tcW w:w="324" w:type="pct"/>
            <w:tcBorders>
              <w:top w:val="single" w:color="auto" w:sz="4" w:space="0"/>
              <w:left w:val="single" w:color="auto" w:sz="4" w:space="0"/>
              <w:bottom w:val="single" w:color="auto" w:sz="4" w:space="0"/>
              <w:right w:val="single" w:color="auto" w:sz="4" w:space="0"/>
            </w:tcBorders>
            <w:vAlign w:val="center"/>
          </w:tcPr>
          <w:p w14:paraId="3EB9CBA7">
            <w:pPr>
              <w:jc w:val="right"/>
              <w:rPr>
                <w:rFonts w:cs="Times New Roman"/>
                <w:sz w:val="15"/>
                <w:szCs w:val="15"/>
              </w:rPr>
            </w:pPr>
            <w:r>
              <w:rPr>
                <w:rFonts w:cs="Times New Roman"/>
                <w:sz w:val="15"/>
                <w:szCs w:val="15"/>
              </w:rPr>
              <w:t>12,444.47</w:t>
            </w:r>
          </w:p>
        </w:tc>
        <w:tc>
          <w:tcPr>
            <w:tcW w:w="292" w:type="pct"/>
            <w:tcBorders>
              <w:top w:val="single" w:color="auto" w:sz="4" w:space="0"/>
              <w:left w:val="nil"/>
              <w:bottom w:val="single" w:color="auto" w:sz="4" w:space="0"/>
              <w:right w:val="single" w:color="auto" w:sz="4" w:space="0"/>
            </w:tcBorders>
            <w:vAlign w:val="center"/>
          </w:tcPr>
          <w:p w14:paraId="4F43CAE4">
            <w:pPr>
              <w:jc w:val="right"/>
              <w:rPr>
                <w:rFonts w:cs="Times New Roman"/>
                <w:sz w:val="15"/>
                <w:szCs w:val="15"/>
              </w:rPr>
            </w:pPr>
            <w:r>
              <w:rPr>
                <w:rFonts w:cs="Times New Roman"/>
                <w:sz w:val="15"/>
                <w:szCs w:val="15"/>
              </w:rPr>
              <w:t>54.84</w:t>
            </w:r>
          </w:p>
        </w:tc>
        <w:tc>
          <w:tcPr>
            <w:tcW w:w="282" w:type="pct"/>
            <w:tcBorders>
              <w:top w:val="single" w:color="auto" w:sz="4" w:space="0"/>
              <w:left w:val="nil"/>
              <w:bottom w:val="single" w:color="auto" w:sz="4" w:space="0"/>
              <w:right w:val="single" w:color="auto" w:sz="4" w:space="0"/>
            </w:tcBorders>
            <w:vAlign w:val="center"/>
          </w:tcPr>
          <w:p w14:paraId="7BF5C1E9">
            <w:pPr>
              <w:jc w:val="center"/>
              <w:rPr>
                <w:rFonts w:cs="Times New Roman"/>
                <w:bCs w:val="0"/>
                <w:sz w:val="15"/>
                <w:szCs w:val="15"/>
              </w:rPr>
            </w:pPr>
            <w:r>
              <w:rPr>
                <w:rFonts w:cs="Times New Roman"/>
                <w:sz w:val="15"/>
                <w:szCs w:val="15"/>
              </w:rPr>
              <w:t>2025年12月</w:t>
            </w:r>
          </w:p>
        </w:tc>
        <w:tc>
          <w:tcPr>
            <w:tcW w:w="239" w:type="pct"/>
            <w:tcBorders>
              <w:top w:val="single" w:color="auto" w:sz="4" w:space="0"/>
              <w:left w:val="nil"/>
              <w:bottom w:val="single" w:color="auto" w:sz="4" w:space="0"/>
              <w:right w:val="single" w:color="auto" w:sz="4" w:space="0"/>
            </w:tcBorders>
            <w:vAlign w:val="center"/>
          </w:tcPr>
          <w:p w14:paraId="717F3EB4">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3AD70177">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3F4047C9">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2D093561">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0EC4178A">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6CF46ACE">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14D80BF2">
            <w:pPr>
              <w:jc w:val="right"/>
              <w:rPr>
                <w:rFonts w:cs="Times New Roman"/>
                <w:bCs w:val="0"/>
                <w:sz w:val="15"/>
                <w:szCs w:val="15"/>
              </w:rPr>
            </w:pPr>
          </w:p>
        </w:tc>
      </w:tr>
      <w:tr w14:paraId="4BA686BA">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5045B579">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79A52B2F">
            <w:pPr>
              <w:jc w:val="center"/>
              <w:rPr>
                <w:rFonts w:cs="Times New Roman"/>
                <w:bCs w:val="0"/>
                <w:sz w:val="15"/>
                <w:szCs w:val="15"/>
              </w:rPr>
            </w:pPr>
            <w:r>
              <w:rPr>
                <w:rFonts w:cs="Times New Roman"/>
                <w:sz w:val="15"/>
                <w:szCs w:val="15"/>
              </w:rPr>
              <w:t>际华鞋靴智能化生产线改造</w:t>
            </w:r>
          </w:p>
        </w:tc>
        <w:tc>
          <w:tcPr>
            <w:tcW w:w="196" w:type="pct"/>
            <w:tcBorders>
              <w:top w:val="single" w:color="auto" w:sz="4" w:space="0"/>
              <w:left w:val="single" w:color="auto" w:sz="4" w:space="0"/>
              <w:bottom w:val="single" w:color="auto" w:sz="4" w:space="0"/>
              <w:right w:val="single" w:color="auto" w:sz="4" w:space="0"/>
            </w:tcBorders>
            <w:vAlign w:val="center"/>
          </w:tcPr>
          <w:p w14:paraId="7ACE2FA5">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1DBEC775">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144883E9">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12E22603">
            <w:pPr>
              <w:jc w:val="right"/>
              <w:rPr>
                <w:rFonts w:cs="Times New Roman"/>
                <w:sz w:val="15"/>
                <w:szCs w:val="15"/>
              </w:rPr>
            </w:pPr>
            <w:r>
              <w:rPr>
                <w:rFonts w:cs="Times New Roman"/>
                <w:sz w:val="15"/>
                <w:szCs w:val="15"/>
              </w:rPr>
              <w:t>20,852.70</w:t>
            </w:r>
          </w:p>
        </w:tc>
        <w:tc>
          <w:tcPr>
            <w:tcW w:w="314" w:type="pct"/>
            <w:tcBorders>
              <w:top w:val="single" w:color="auto" w:sz="4" w:space="0"/>
              <w:left w:val="single" w:color="auto" w:sz="4" w:space="0"/>
              <w:bottom w:val="single" w:color="auto" w:sz="4" w:space="0"/>
              <w:right w:val="single" w:color="auto" w:sz="4" w:space="0"/>
            </w:tcBorders>
            <w:vAlign w:val="center"/>
          </w:tcPr>
          <w:p w14:paraId="52B8F2DA">
            <w:pPr>
              <w:jc w:val="right"/>
              <w:rPr>
                <w:rFonts w:cs="Times New Roman"/>
                <w:sz w:val="15"/>
                <w:szCs w:val="15"/>
              </w:rPr>
            </w:pPr>
            <w:r>
              <w:rPr>
                <w:rFonts w:cs="Times New Roman"/>
                <w:sz w:val="15"/>
                <w:szCs w:val="15"/>
              </w:rPr>
              <w:t>15.60</w:t>
            </w:r>
          </w:p>
        </w:tc>
        <w:tc>
          <w:tcPr>
            <w:tcW w:w="324" w:type="pct"/>
            <w:tcBorders>
              <w:top w:val="single" w:color="auto" w:sz="4" w:space="0"/>
              <w:left w:val="single" w:color="auto" w:sz="4" w:space="0"/>
              <w:bottom w:val="single" w:color="auto" w:sz="4" w:space="0"/>
              <w:right w:val="single" w:color="auto" w:sz="4" w:space="0"/>
            </w:tcBorders>
            <w:vAlign w:val="center"/>
          </w:tcPr>
          <w:p w14:paraId="7DACF199">
            <w:pPr>
              <w:jc w:val="right"/>
              <w:rPr>
                <w:rFonts w:cs="Times New Roman"/>
                <w:sz w:val="15"/>
                <w:szCs w:val="15"/>
              </w:rPr>
            </w:pPr>
            <w:r>
              <w:rPr>
                <w:rFonts w:cs="Times New Roman"/>
                <w:sz w:val="15"/>
                <w:szCs w:val="15"/>
              </w:rPr>
              <w:t>7,346.10</w:t>
            </w:r>
          </w:p>
        </w:tc>
        <w:tc>
          <w:tcPr>
            <w:tcW w:w="292" w:type="pct"/>
            <w:tcBorders>
              <w:top w:val="single" w:color="auto" w:sz="4" w:space="0"/>
              <w:left w:val="nil"/>
              <w:bottom w:val="single" w:color="auto" w:sz="4" w:space="0"/>
              <w:right w:val="single" w:color="auto" w:sz="4" w:space="0"/>
            </w:tcBorders>
            <w:vAlign w:val="center"/>
          </w:tcPr>
          <w:p w14:paraId="3E637BA0">
            <w:pPr>
              <w:jc w:val="right"/>
              <w:rPr>
                <w:rFonts w:cs="Times New Roman"/>
                <w:sz w:val="15"/>
                <w:szCs w:val="15"/>
              </w:rPr>
            </w:pPr>
            <w:r>
              <w:rPr>
                <w:rFonts w:cs="Times New Roman"/>
                <w:sz w:val="15"/>
                <w:szCs w:val="15"/>
              </w:rPr>
              <w:t>35.23</w:t>
            </w:r>
          </w:p>
        </w:tc>
        <w:tc>
          <w:tcPr>
            <w:tcW w:w="282" w:type="pct"/>
            <w:tcBorders>
              <w:top w:val="single" w:color="auto" w:sz="4" w:space="0"/>
              <w:left w:val="nil"/>
              <w:bottom w:val="single" w:color="auto" w:sz="4" w:space="0"/>
              <w:right w:val="single" w:color="auto" w:sz="4" w:space="0"/>
            </w:tcBorders>
            <w:vAlign w:val="center"/>
          </w:tcPr>
          <w:p w14:paraId="0E75C9FF">
            <w:pPr>
              <w:jc w:val="center"/>
              <w:rPr>
                <w:rFonts w:cs="Times New Roman"/>
                <w:bCs w:val="0"/>
                <w:sz w:val="15"/>
                <w:szCs w:val="15"/>
              </w:rPr>
            </w:pPr>
            <w:r>
              <w:rPr>
                <w:rFonts w:cs="Times New Roman"/>
                <w:sz w:val="15"/>
                <w:szCs w:val="15"/>
              </w:rPr>
              <w:t>2025年12月</w:t>
            </w:r>
          </w:p>
        </w:tc>
        <w:tc>
          <w:tcPr>
            <w:tcW w:w="239" w:type="pct"/>
            <w:tcBorders>
              <w:top w:val="single" w:color="auto" w:sz="4" w:space="0"/>
              <w:left w:val="nil"/>
              <w:bottom w:val="single" w:color="auto" w:sz="4" w:space="0"/>
              <w:right w:val="single" w:color="auto" w:sz="4" w:space="0"/>
            </w:tcBorders>
            <w:vAlign w:val="center"/>
          </w:tcPr>
          <w:p w14:paraId="37DB0DE4">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4D402C90">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3E38ECF8">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1B53DB19">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402CE437">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875D4C5">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3342AD57">
            <w:pPr>
              <w:jc w:val="right"/>
              <w:rPr>
                <w:rFonts w:cs="Times New Roman"/>
                <w:bCs w:val="0"/>
                <w:sz w:val="15"/>
                <w:szCs w:val="15"/>
              </w:rPr>
            </w:pPr>
          </w:p>
        </w:tc>
      </w:tr>
      <w:tr w14:paraId="7C4485C7">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77F1F927">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4F2EE69A">
            <w:pPr>
              <w:jc w:val="center"/>
              <w:rPr>
                <w:rFonts w:cs="Times New Roman"/>
                <w:bCs w:val="0"/>
                <w:sz w:val="15"/>
                <w:szCs w:val="15"/>
              </w:rPr>
            </w:pPr>
            <w:r>
              <w:rPr>
                <w:rFonts w:cs="Times New Roman"/>
                <w:sz w:val="15"/>
                <w:szCs w:val="15"/>
              </w:rPr>
              <w:t>际华集团信息化系统建设</w:t>
            </w:r>
          </w:p>
        </w:tc>
        <w:tc>
          <w:tcPr>
            <w:tcW w:w="196" w:type="pct"/>
            <w:tcBorders>
              <w:top w:val="single" w:color="auto" w:sz="4" w:space="0"/>
              <w:left w:val="single" w:color="auto" w:sz="4" w:space="0"/>
              <w:bottom w:val="single" w:color="auto" w:sz="4" w:space="0"/>
              <w:right w:val="single" w:color="auto" w:sz="4" w:space="0"/>
            </w:tcBorders>
            <w:vAlign w:val="center"/>
          </w:tcPr>
          <w:p w14:paraId="45B96ADE">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572EC3D0">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63486C04">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5A388FE0">
            <w:pPr>
              <w:jc w:val="right"/>
              <w:rPr>
                <w:rFonts w:cs="Times New Roman"/>
                <w:sz w:val="15"/>
                <w:szCs w:val="15"/>
              </w:rPr>
            </w:pPr>
            <w:r>
              <w:rPr>
                <w:rFonts w:cs="Times New Roman"/>
                <w:sz w:val="15"/>
                <w:szCs w:val="15"/>
              </w:rPr>
              <w:t>9,475.00</w:t>
            </w:r>
          </w:p>
        </w:tc>
        <w:tc>
          <w:tcPr>
            <w:tcW w:w="314" w:type="pct"/>
            <w:tcBorders>
              <w:top w:val="single" w:color="auto" w:sz="4" w:space="0"/>
              <w:left w:val="single" w:color="auto" w:sz="4" w:space="0"/>
              <w:bottom w:val="single" w:color="auto" w:sz="4" w:space="0"/>
              <w:right w:val="single" w:color="auto" w:sz="4" w:space="0"/>
            </w:tcBorders>
            <w:vAlign w:val="center"/>
          </w:tcPr>
          <w:p w14:paraId="5464CDDB">
            <w:pPr>
              <w:jc w:val="right"/>
              <w:rPr>
                <w:rFonts w:cs="Times New Roman"/>
                <w:sz w:val="15"/>
                <w:szCs w:val="15"/>
              </w:rPr>
            </w:pPr>
            <w:r>
              <w:rPr>
                <w:rFonts w:cs="Times New Roman"/>
                <w:sz w:val="15"/>
                <w:szCs w:val="15"/>
              </w:rPr>
              <w:t>247.78</w:t>
            </w:r>
          </w:p>
        </w:tc>
        <w:tc>
          <w:tcPr>
            <w:tcW w:w="324" w:type="pct"/>
            <w:tcBorders>
              <w:top w:val="single" w:color="auto" w:sz="4" w:space="0"/>
              <w:left w:val="single" w:color="auto" w:sz="4" w:space="0"/>
              <w:bottom w:val="single" w:color="auto" w:sz="4" w:space="0"/>
              <w:right w:val="single" w:color="auto" w:sz="4" w:space="0"/>
            </w:tcBorders>
            <w:vAlign w:val="center"/>
          </w:tcPr>
          <w:p w14:paraId="0124D6CC">
            <w:pPr>
              <w:jc w:val="right"/>
              <w:rPr>
                <w:rFonts w:cs="Times New Roman"/>
                <w:sz w:val="15"/>
                <w:szCs w:val="15"/>
              </w:rPr>
            </w:pPr>
            <w:r>
              <w:rPr>
                <w:rFonts w:cs="Times New Roman"/>
                <w:sz w:val="15"/>
                <w:szCs w:val="15"/>
              </w:rPr>
              <w:t>3,316.38</w:t>
            </w:r>
          </w:p>
        </w:tc>
        <w:tc>
          <w:tcPr>
            <w:tcW w:w="292" w:type="pct"/>
            <w:tcBorders>
              <w:top w:val="single" w:color="auto" w:sz="4" w:space="0"/>
              <w:left w:val="nil"/>
              <w:bottom w:val="single" w:color="auto" w:sz="4" w:space="0"/>
              <w:right w:val="single" w:color="auto" w:sz="4" w:space="0"/>
            </w:tcBorders>
            <w:vAlign w:val="center"/>
          </w:tcPr>
          <w:p w14:paraId="1B54C1F4">
            <w:pPr>
              <w:jc w:val="right"/>
              <w:rPr>
                <w:rFonts w:cs="Times New Roman"/>
                <w:sz w:val="15"/>
                <w:szCs w:val="15"/>
              </w:rPr>
            </w:pPr>
            <w:r>
              <w:rPr>
                <w:rFonts w:cs="Times New Roman"/>
                <w:sz w:val="15"/>
                <w:szCs w:val="15"/>
              </w:rPr>
              <w:t>35</w:t>
            </w:r>
          </w:p>
        </w:tc>
        <w:tc>
          <w:tcPr>
            <w:tcW w:w="282" w:type="pct"/>
            <w:tcBorders>
              <w:top w:val="single" w:color="auto" w:sz="4" w:space="0"/>
              <w:left w:val="nil"/>
              <w:bottom w:val="single" w:color="auto" w:sz="4" w:space="0"/>
              <w:right w:val="single" w:color="auto" w:sz="4" w:space="0"/>
            </w:tcBorders>
            <w:vAlign w:val="center"/>
          </w:tcPr>
          <w:p w14:paraId="367EF9FA">
            <w:pPr>
              <w:jc w:val="center"/>
              <w:rPr>
                <w:rFonts w:cs="Times New Roman"/>
                <w:bCs w:val="0"/>
                <w:sz w:val="15"/>
                <w:szCs w:val="15"/>
              </w:rPr>
            </w:pPr>
            <w:r>
              <w:rPr>
                <w:rFonts w:cs="Times New Roman"/>
                <w:sz w:val="15"/>
                <w:szCs w:val="15"/>
              </w:rPr>
              <w:t>2026年12月</w:t>
            </w:r>
          </w:p>
        </w:tc>
        <w:tc>
          <w:tcPr>
            <w:tcW w:w="239" w:type="pct"/>
            <w:tcBorders>
              <w:top w:val="single" w:color="auto" w:sz="4" w:space="0"/>
              <w:left w:val="nil"/>
              <w:bottom w:val="single" w:color="auto" w:sz="4" w:space="0"/>
              <w:right w:val="single" w:color="auto" w:sz="4" w:space="0"/>
            </w:tcBorders>
            <w:vAlign w:val="center"/>
          </w:tcPr>
          <w:p w14:paraId="3F1571B8">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20A9A68F">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3739A584">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A3F55E9">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535EAAA4">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AAD10C7">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33D879DE">
            <w:pPr>
              <w:jc w:val="right"/>
              <w:rPr>
                <w:rFonts w:cs="Times New Roman"/>
                <w:bCs w:val="0"/>
                <w:sz w:val="15"/>
                <w:szCs w:val="15"/>
              </w:rPr>
            </w:pPr>
          </w:p>
        </w:tc>
      </w:tr>
      <w:tr w14:paraId="76A64BDF">
        <w:tblPrEx>
          <w:tblCellMar>
            <w:top w:w="0" w:type="dxa"/>
            <w:left w:w="108" w:type="dxa"/>
            <w:bottom w:w="0" w:type="dxa"/>
            <w:right w:w="108" w:type="dxa"/>
          </w:tblCellMar>
        </w:tblPrEx>
        <w:trPr>
          <w:trHeight w:val="693"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73D8F33C">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32938EB4">
            <w:pPr>
              <w:jc w:val="center"/>
              <w:rPr>
                <w:rFonts w:cs="Times New Roman"/>
                <w:bCs w:val="0"/>
                <w:sz w:val="15"/>
                <w:szCs w:val="15"/>
              </w:rPr>
            </w:pPr>
            <w:r>
              <w:rPr>
                <w:rFonts w:cs="Times New Roman"/>
                <w:sz w:val="15"/>
                <w:szCs w:val="15"/>
              </w:rPr>
              <w:t>际华应急保障基地</w:t>
            </w:r>
          </w:p>
        </w:tc>
        <w:tc>
          <w:tcPr>
            <w:tcW w:w="196" w:type="pct"/>
            <w:tcBorders>
              <w:top w:val="single" w:color="auto" w:sz="4" w:space="0"/>
              <w:left w:val="single" w:color="auto" w:sz="4" w:space="0"/>
              <w:bottom w:val="single" w:color="auto" w:sz="4" w:space="0"/>
              <w:right w:val="single" w:color="auto" w:sz="4" w:space="0"/>
            </w:tcBorders>
            <w:vAlign w:val="center"/>
          </w:tcPr>
          <w:p w14:paraId="26463B88">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5C292762">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21B1DED2">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328F777F">
            <w:pPr>
              <w:jc w:val="right"/>
              <w:rPr>
                <w:rFonts w:cs="Times New Roman"/>
                <w:sz w:val="15"/>
                <w:szCs w:val="15"/>
              </w:rPr>
            </w:pPr>
            <w:r>
              <w:rPr>
                <w:rFonts w:cs="Times New Roman"/>
                <w:sz w:val="15"/>
                <w:szCs w:val="15"/>
              </w:rPr>
              <w:t>15,153.00</w:t>
            </w:r>
          </w:p>
        </w:tc>
        <w:tc>
          <w:tcPr>
            <w:tcW w:w="314" w:type="pct"/>
            <w:tcBorders>
              <w:top w:val="single" w:color="auto" w:sz="4" w:space="0"/>
              <w:left w:val="single" w:color="auto" w:sz="4" w:space="0"/>
              <w:bottom w:val="single" w:color="auto" w:sz="4" w:space="0"/>
              <w:right w:val="single" w:color="auto" w:sz="4" w:space="0"/>
            </w:tcBorders>
            <w:vAlign w:val="center"/>
          </w:tcPr>
          <w:p w14:paraId="4D6BED6C">
            <w:pPr>
              <w:jc w:val="right"/>
              <w:rPr>
                <w:rFonts w:cs="Times New Roman"/>
                <w:sz w:val="15"/>
                <w:szCs w:val="15"/>
              </w:rPr>
            </w:pPr>
            <w:r>
              <w:rPr>
                <w:rFonts w:cs="Times New Roman"/>
                <w:sz w:val="15"/>
                <w:szCs w:val="15"/>
              </w:rPr>
              <w:t>168.86</w:t>
            </w:r>
          </w:p>
        </w:tc>
        <w:tc>
          <w:tcPr>
            <w:tcW w:w="324" w:type="pct"/>
            <w:tcBorders>
              <w:top w:val="single" w:color="auto" w:sz="4" w:space="0"/>
              <w:left w:val="single" w:color="auto" w:sz="4" w:space="0"/>
              <w:bottom w:val="single" w:color="auto" w:sz="4" w:space="0"/>
              <w:right w:val="single" w:color="auto" w:sz="4" w:space="0"/>
            </w:tcBorders>
            <w:vAlign w:val="center"/>
          </w:tcPr>
          <w:p w14:paraId="299F9636">
            <w:pPr>
              <w:jc w:val="right"/>
              <w:rPr>
                <w:rFonts w:cs="Times New Roman"/>
                <w:sz w:val="15"/>
                <w:szCs w:val="15"/>
              </w:rPr>
            </w:pPr>
            <w:r>
              <w:rPr>
                <w:rFonts w:cs="Times New Roman"/>
                <w:sz w:val="15"/>
                <w:szCs w:val="15"/>
              </w:rPr>
              <w:t>2,787.83</w:t>
            </w:r>
          </w:p>
        </w:tc>
        <w:tc>
          <w:tcPr>
            <w:tcW w:w="292" w:type="pct"/>
            <w:tcBorders>
              <w:top w:val="single" w:color="auto" w:sz="4" w:space="0"/>
              <w:left w:val="nil"/>
              <w:bottom w:val="single" w:color="auto" w:sz="4" w:space="0"/>
              <w:right w:val="single" w:color="auto" w:sz="4" w:space="0"/>
            </w:tcBorders>
            <w:vAlign w:val="center"/>
          </w:tcPr>
          <w:p w14:paraId="5AFEDDC1">
            <w:pPr>
              <w:jc w:val="right"/>
              <w:rPr>
                <w:rFonts w:cs="Times New Roman"/>
                <w:sz w:val="15"/>
                <w:szCs w:val="15"/>
              </w:rPr>
            </w:pPr>
            <w:r>
              <w:rPr>
                <w:rFonts w:cs="Times New Roman"/>
                <w:sz w:val="15"/>
                <w:szCs w:val="15"/>
              </w:rPr>
              <w:t>18.40</w:t>
            </w:r>
          </w:p>
        </w:tc>
        <w:tc>
          <w:tcPr>
            <w:tcW w:w="282" w:type="pct"/>
            <w:tcBorders>
              <w:top w:val="single" w:color="auto" w:sz="4" w:space="0"/>
              <w:left w:val="nil"/>
              <w:bottom w:val="single" w:color="auto" w:sz="4" w:space="0"/>
              <w:right w:val="single" w:color="auto" w:sz="4" w:space="0"/>
            </w:tcBorders>
            <w:vAlign w:val="center"/>
          </w:tcPr>
          <w:p w14:paraId="47A22B50">
            <w:pPr>
              <w:jc w:val="center"/>
              <w:rPr>
                <w:rFonts w:cs="Times New Roman"/>
                <w:bCs w:val="0"/>
                <w:sz w:val="15"/>
                <w:szCs w:val="15"/>
              </w:rPr>
            </w:pPr>
            <w:r>
              <w:rPr>
                <w:rFonts w:cs="Times New Roman"/>
                <w:sz w:val="15"/>
                <w:szCs w:val="15"/>
              </w:rPr>
              <w:t>2026年12月</w:t>
            </w:r>
          </w:p>
        </w:tc>
        <w:tc>
          <w:tcPr>
            <w:tcW w:w="239" w:type="pct"/>
            <w:tcBorders>
              <w:top w:val="single" w:color="auto" w:sz="4" w:space="0"/>
              <w:left w:val="nil"/>
              <w:bottom w:val="single" w:color="auto" w:sz="4" w:space="0"/>
              <w:right w:val="single" w:color="auto" w:sz="4" w:space="0"/>
            </w:tcBorders>
            <w:vAlign w:val="center"/>
          </w:tcPr>
          <w:p w14:paraId="68D62DE2">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76C5507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552CC9D4">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718B09F">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0320F577">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47289A1D">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68FA9BDD">
            <w:pPr>
              <w:jc w:val="right"/>
              <w:rPr>
                <w:rFonts w:cs="Times New Roman"/>
                <w:bCs w:val="0"/>
                <w:sz w:val="15"/>
                <w:szCs w:val="15"/>
              </w:rPr>
            </w:pPr>
          </w:p>
        </w:tc>
      </w:tr>
      <w:tr w14:paraId="495D77F4">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4C6F21D">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526729DC">
            <w:pPr>
              <w:jc w:val="center"/>
              <w:rPr>
                <w:rFonts w:cs="Times New Roman"/>
                <w:bCs w:val="0"/>
                <w:sz w:val="15"/>
                <w:szCs w:val="15"/>
              </w:rPr>
            </w:pPr>
            <w:r>
              <w:rPr>
                <w:rFonts w:cs="Times New Roman"/>
                <w:sz w:val="15"/>
                <w:szCs w:val="15"/>
              </w:rPr>
              <w:t>际华特种防护装备生产研发基地</w:t>
            </w:r>
          </w:p>
        </w:tc>
        <w:tc>
          <w:tcPr>
            <w:tcW w:w="196" w:type="pct"/>
            <w:tcBorders>
              <w:top w:val="single" w:color="auto" w:sz="4" w:space="0"/>
              <w:left w:val="single" w:color="auto" w:sz="4" w:space="0"/>
              <w:bottom w:val="single" w:color="auto" w:sz="4" w:space="0"/>
              <w:right w:val="single" w:color="auto" w:sz="4" w:space="0"/>
            </w:tcBorders>
            <w:vAlign w:val="center"/>
          </w:tcPr>
          <w:p w14:paraId="212F6FFB">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1EE3BE50">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045408C6">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09D6852D">
            <w:pPr>
              <w:jc w:val="right"/>
              <w:rPr>
                <w:rFonts w:cs="Times New Roman"/>
                <w:sz w:val="15"/>
                <w:szCs w:val="15"/>
              </w:rPr>
            </w:pPr>
            <w:r>
              <w:rPr>
                <w:rFonts w:cs="Times New Roman"/>
                <w:sz w:val="15"/>
                <w:szCs w:val="15"/>
              </w:rPr>
              <w:t>16,441.00</w:t>
            </w:r>
          </w:p>
        </w:tc>
        <w:tc>
          <w:tcPr>
            <w:tcW w:w="314" w:type="pct"/>
            <w:tcBorders>
              <w:top w:val="single" w:color="auto" w:sz="4" w:space="0"/>
              <w:left w:val="single" w:color="auto" w:sz="4" w:space="0"/>
              <w:bottom w:val="single" w:color="auto" w:sz="4" w:space="0"/>
              <w:right w:val="single" w:color="auto" w:sz="4" w:space="0"/>
            </w:tcBorders>
            <w:vAlign w:val="center"/>
          </w:tcPr>
          <w:p w14:paraId="258BF826">
            <w:pPr>
              <w:jc w:val="right"/>
              <w:rPr>
                <w:rFonts w:cs="Times New Roman"/>
                <w:sz w:val="15"/>
                <w:szCs w:val="15"/>
              </w:rPr>
            </w:pPr>
            <w:r>
              <w:rPr>
                <w:rFonts w:cs="Times New Roman"/>
                <w:sz w:val="15"/>
                <w:szCs w:val="15"/>
              </w:rPr>
              <w:t>1,158.80</w:t>
            </w:r>
          </w:p>
        </w:tc>
        <w:tc>
          <w:tcPr>
            <w:tcW w:w="324" w:type="pct"/>
            <w:tcBorders>
              <w:top w:val="single" w:color="auto" w:sz="4" w:space="0"/>
              <w:left w:val="single" w:color="auto" w:sz="4" w:space="0"/>
              <w:bottom w:val="single" w:color="auto" w:sz="4" w:space="0"/>
              <w:right w:val="single" w:color="auto" w:sz="4" w:space="0"/>
            </w:tcBorders>
            <w:vAlign w:val="center"/>
          </w:tcPr>
          <w:p w14:paraId="4652211E">
            <w:pPr>
              <w:jc w:val="right"/>
              <w:rPr>
                <w:rFonts w:cs="Times New Roman"/>
                <w:sz w:val="15"/>
                <w:szCs w:val="15"/>
              </w:rPr>
            </w:pPr>
            <w:r>
              <w:rPr>
                <w:rFonts w:cs="Times New Roman"/>
                <w:sz w:val="15"/>
                <w:szCs w:val="15"/>
              </w:rPr>
              <w:t>15,427.37</w:t>
            </w:r>
          </w:p>
        </w:tc>
        <w:tc>
          <w:tcPr>
            <w:tcW w:w="292" w:type="pct"/>
            <w:tcBorders>
              <w:top w:val="single" w:color="auto" w:sz="4" w:space="0"/>
              <w:left w:val="nil"/>
              <w:bottom w:val="single" w:color="auto" w:sz="4" w:space="0"/>
              <w:right w:val="single" w:color="auto" w:sz="4" w:space="0"/>
            </w:tcBorders>
            <w:vAlign w:val="center"/>
          </w:tcPr>
          <w:p w14:paraId="3D5BAADF">
            <w:pPr>
              <w:jc w:val="right"/>
              <w:rPr>
                <w:rFonts w:cs="Times New Roman"/>
                <w:sz w:val="15"/>
                <w:szCs w:val="15"/>
              </w:rPr>
            </w:pPr>
            <w:r>
              <w:rPr>
                <w:rFonts w:cs="Times New Roman"/>
                <w:sz w:val="15"/>
                <w:szCs w:val="15"/>
              </w:rPr>
              <w:t>93.83</w:t>
            </w:r>
          </w:p>
        </w:tc>
        <w:tc>
          <w:tcPr>
            <w:tcW w:w="282" w:type="pct"/>
            <w:tcBorders>
              <w:top w:val="single" w:color="auto" w:sz="4" w:space="0"/>
              <w:left w:val="nil"/>
              <w:bottom w:val="single" w:color="auto" w:sz="4" w:space="0"/>
              <w:right w:val="single" w:color="auto" w:sz="4" w:space="0"/>
            </w:tcBorders>
            <w:vAlign w:val="center"/>
          </w:tcPr>
          <w:p w14:paraId="30AB6DE7">
            <w:pPr>
              <w:jc w:val="center"/>
              <w:rPr>
                <w:rFonts w:cs="Times New Roman"/>
                <w:bCs w:val="0"/>
                <w:sz w:val="15"/>
                <w:szCs w:val="15"/>
              </w:rPr>
            </w:pPr>
            <w:r>
              <w:rPr>
                <w:rFonts w:cs="Times New Roman"/>
                <w:sz w:val="15"/>
                <w:szCs w:val="15"/>
              </w:rPr>
              <w:t>2025年12月</w:t>
            </w:r>
          </w:p>
        </w:tc>
        <w:tc>
          <w:tcPr>
            <w:tcW w:w="239" w:type="pct"/>
            <w:tcBorders>
              <w:top w:val="single" w:color="auto" w:sz="4" w:space="0"/>
              <w:left w:val="nil"/>
              <w:bottom w:val="single" w:color="auto" w:sz="4" w:space="0"/>
              <w:right w:val="single" w:color="auto" w:sz="4" w:space="0"/>
            </w:tcBorders>
            <w:vAlign w:val="center"/>
          </w:tcPr>
          <w:p w14:paraId="294DEA24">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78FAB7E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71FD7073">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20E2A605">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66556595">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6A5778EE">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05E3587D">
            <w:pPr>
              <w:jc w:val="right"/>
              <w:rPr>
                <w:rFonts w:cs="Times New Roman"/>
                <w:bCs w:val="0"/>
                <w:sz w:val="15"/>
                <w:szCs w:val="15"/>
              </w:rPr>
            </w:pPr>
          </w:p>
        </w:tc>
      </w:tr>
      <w:tr w14:paraId="142AF0F2">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60B42D58">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5025E7AF">
            <w:pPr>
              <w:jc w:val="center"/>
              <w:rPr>
                <w:rFonts w:cs="Times New Roman"/>
                <w:bCs w:val="0"/>
                <w:sz w:val="15"/>
                <w:szCs w:val="15"/>
              </w:rPr>
            </w:pPr>
            <w:r>
              <w:rPr>
                <w:rFonts w:cs="Times New Roman"/>
                <w:sz w:val="15"/>
                <w:szCs w:val="15"/>
              </w:rPr>
              <w:t>2.83万锭智能纺纱生产线改造项目</w:t>
            </w:r>
          </w:p>
        </w:tc>
        <w:tc>
          <w:tcPr>
            <w:tcW w:w="196" w:type="pct"/>
            <w:tcBorders>
              <w:top w:val="single" w:color="auto" w:sz="4" w:space="0"/>
              <w:left w:val="single" w:color="auto" w:sz="4" w:space="0"/>
              <w:bottom w:val="single" w:color="auto" w:sz="4" w:space="0"/>
              <w:right w:val="single" w:color="auto" w:sz="4" w:space="0"/>
            </w:tcBorders>
            <w:vAlign w:val="center"/>
          </w:tcPr>
          <w:p w14:paraId="47CB2A95">
            <w:pPr>
              <w:rPr>
                <w:rFonts w:cs="Times New Roman"/>
                <w:bCs w:val="0"/>
                <w:color w:val="000000" w:themeColor="text1"/>
                <w:sz w:val="15"/>
                <w:szCs w:val="15"/>
                <w14:textFill>
                  <w14:solidFill>
                    <w14:schemeClr w14:val="tx1"/>
                  </w14:solidFill>
                </w14:textFill>
              </w:rPr>
            </w:pPr>
            <w:r>
              <w:rPr>
                <w:rFonts w:cs="Times New Roman"/>
                <w:sz w:val="15"/>
                <w:szCs w:val="15"/>
              </w:rPr>
              <w:t>生产建设</w:t>
            </w:r>
          </w:p>
        </w:tc>
        <w:tc>
          <w:tcPr>
            <w:tcW w:w="298" w:type="pct"/>
            <w:tcBorders>
              <w:top w:val="single" w:color="auto" w:sz="4" w:space="0"/>
              <w:left w:val="single" w:color="auto" w:sz="4" w:space="0"/>
              <w:bottom w:val="single" w:color="auto" w:sz="4" w:space="0"/>
              <w:right w:val="single" w:color="auto" w:sz="4" w:space="0"/>
            </w:tcBorders>
            <w:vAlign w:val="center"/>
          </w:tcPr>
          <w:p w14:paraId="2DFAA53E">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48B6EDAC">
            <w:pPr>
              <w:rPr>
                <w:rFonts w:cs="Times New Roman"/>
                <w:bCs w:val="0"/>
                <w:color w:val="000000" w:themeColor="text1"/>
                <w:sz w:val="15"/>
                <w:szCs w:val="15"/>
                <w14:textFill>
                  <w14:solidFill>
                    <w14:schemeClr w14:val="tx1"/>
                  </w14:solidFill>
                </w14:textFill>
              </w:rPr>
            </w:pPr>
            <w:r>
              <w:rPr>
                <w:rFonts w:cs="Times New Roman"/>
                <w:sz w:val="15"/>
                <w:szCs w:val="15"/>
              </w:rPr>
              <w:t>是，此项目为新项目</w:t>
            </w:r>
          </w:p>
        </w:tc>
        <w:tc>
          <w:tcPr>
            <w:tcW w:w="330" w:type="pct"/>
            <w:tcBorders>
              <w:top w:val="single" w:color="auto" w:sz="4" w:space="0"/>
              <w:left w:val="nil"/>
              <w:bottom w:val="single" w:color="auto" w:sz="4" w:space="0"/>
              <w:right w:val="single" w:color="auto" w:sz="4" w:space="0"/>
            </w:tcBorders>
            <w:vAlign w:val="center"/>
          </w:tcPr>
          <w:p w14:paraId="0E44988F">
            <w:pPr>
              <w:jc w:val="right"/>
              <w:rPr>
                <w:rFonts w:cs="Times New Roman"/>
                <w:sz w:val="15"/>
                <w:szCs w:val="15"/>
              </w:rPr>
            </w:pPr>
            <w:r>
              <w:rPr>
                <w:rFonts w:cs="Times New Roman"/>
                <w:sz w:val="15"/>
                <w:szCs w:val="15"/>
              </w:rPr>
              <w:t>2,532.20</w:t>
            </w:r>
          </w:p>
        </w:tc>
        <w:tc>
          <w:tcPr>
            <w:tcW w:w="314" w:type="pct"/>
            <w:tcBorders>
              <w:top w:val="single" w:color="auto" w:sz="4" w:space="0"/>
              <w:left w:val="single" w:color="auto" w:sz="4" w:space="0"/>
              <w:bottom w:val="single" w:color="auto" w:sz="4" w:space="0"/>
              <w:right w:val="single" w:color="auto" w:sz="4" w:space="0"/>
            </w:tcBorders>
            <w:vAlign w:val="center"/>
          </w:tcPr>
          <w:p w14:paraId="239B2AE3">
            <w:pPr>
              <w:jc w:val="right"/>
              <w:rPr>
                <w:rFonts w:cs="Times New Roman"/>
                <w:sz w:val="15"/>
                <w:szCs w:val="15"/>
              </w:rPr>
            </w:pPr>
            <w:r>
              <w:rPr>
                <w:rFonts w:cs="Times New Roman"/>
                <w:sz w:val="15"/>
                <w:szCs w:val="15"/>
              </w:rPr>
              <w:t>2,407.40</w:t>
            </w:r>
          </w:p>
        </w:tc>
        <w:tc>
          <w:tcPr>
            <w:tcW w:w="324" w:type="pct"/>
            <w:tcBorders>
              <w:top w:val="single" w:color="auto" w:sz="4" w:space="0"/>
              <w:left w:val="single" w:color="auto" w:sz="4" w:space="0"/>
              <w:bottom w:val="single" w:color="auto" w:sz="4" w:space="0"/>
              <w:right w:val="single" w:color="auto" w:sz="4" w:space="0"/>
            </w:tcBorders>
            <w:vAlign w:val="center"/>
          </w:tcPr>
          <w:p w14:paraId="1D05A2AF">
            <w:pPr>
              <w:jc w:val="right"/>
              <w:rPr>
                <w:rFonts w:cs="Times New Roman"/>
                <w:sz w:val="15"/>
                <w:szCs w:val="15"/>
              </w:rPr>
            </w:pPr>
            <w:r>
              <w:rPr>
                <w:rFonts w:cs="Times New Roman"/>
                <w:sz w:val="15"/>
                <w:szCs w:val="15"/>
              </w:rPr>
              <w:t>2,407.40</w:t>
            </w:r>
          </w:p>
        </w:tc>
        <w:tc>
          <w:tcPr>
            <w:tcW w:w="292" w:type="pct"/>
            <w:tcBorders>
              <w:top w:val="single" w:color="auto" w:sz="4" w:space="0"/>
              <w:left w:val="nil"/>
              <w:bottom w:val="single" w:color="auto" w:sz="4" w:space="0"/>
              <w:right w:val="single" w:color="auto" w:sz="4" w:space="0"/>
            </w:tcBorders>
            <w:vAlign w:val="center"/>
          </w:tcPr>
          <w:p w14:paraId="36F8FA36">
            <w:pPr>
              <w:jc w:val="right"/>
              <w:rPr>
                <w:rFonts w:cs="Times New Roman"/>
                <w:sz w:val="15"/>
                <w:szCs w:val="15"/>
              </w:rPr>
            </w:pPr>
            <w:r>
              <w:rPr>
                <w:rFonts w:cs="Times New Roman"/>
                <w:sz w:val="15"/>
                <w:szCs w:val="15"/>
              </w:rPr>
              <w:t>95.07</w:t>
            </w:r>
          </w:p>
        </w:tc>
        <w:tc>
          <w:tcPr>
            <w:tcW w:w="282" w:type="pct"/>
            <w:tcBorders>
              <w:top w:val="single" w:color="auto" w:sz="4" w:space="0"/>
              <w:left w:val="nil"/>
              <w:bottom w:val="single" w:color="auto" w:sz="4" w:space="0"/>
              <w:right w:val="single" w:color="auto" w:sz="4" w:space="0"/>
            </w:tcBorders>
            <w:vAlign w:val="center"/>
          </w:tcPr>
          <w:p w14:paraId="2280E274">
            <w:pPr>
              <w:jc w:val="center"/>
              <w:rPr>
                <w:rFonts w:cs="Times New Roman"/>
                <w:bCs w:val="0"/>
                <w:sz w:val="15"/>
                <w:szCs w:val="15"/>
              </w:rPr>
            </w:pPr>
            <w:r>
              <w:rPr>
                <w:rFonts w:cs="Times New Roman"/>
                <w:sz w:val="15"/>
                <w:szCs w:val="15"/>
              </w:rPr>
              <w:t>2027年6月</w:t>
            </w:r>
          </w:p>
        </w:tc>
        <w:tc>
          <w:tcPr>
            <w:tcW w:w="239" w:type="pct"/>
            <w:tcBorders>
              <w:top w:val="single" w:color="auto" w:sz="4" w:space="0"/>
              <w:left w:val="nil"/>
              <w:bottom w:val="single" w:color="auto" w:sz="4" w:space="0"/>
              <w:right w:val="single" w:color="auto" w:sz="4" w:space="0"/>
            </w:tcBorders>
            <w:vAlign w:val="center"/>
          </w:tcPr>
          <w:p w14:paraId="131CA78B">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298" w:type="pct"/>
            <w:tcBorders>
              <w:top w:val="single" w:color="auto" w:sz="4" w:space="0"/>
              <w:left w:val="nil"/>
              <w:bottom w:val="single" w:color="auto" w:sz="4" w:space="0"/>
              <w:right w:val="single" w:color="auto" w:sz="4" w:space="0"/>
            </w:tcBorders>
            <w:vAlign w:val="center"/>
          </w:tcPr>
          <w:p w14:paraId="15C6DFF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239393F3">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41C37190">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2AA0B0A3">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7061479C">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5ADF166E">
            <w:pPr>
              <w:jc w:val="right"/>
              <w:rPr>
                <w:rFonts w:cs="Times New Roman"/>
                <w:bCs w:val="0"/>
                <w:sz w:val="15"/>
                <w:szCs w:val="15"/>
              </w:rPr>
            </w:pPr>
          </w:p>
        </w:tc>
      </w:tr>
      <w:tr w14:paraId="1C1DC0E6">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4C522078">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583BC265">
            <w:pPr>
              <w:jc w:val="center"/>
              <w:rPr>
                <w:rFonts w:cs="Times New Roman"/>
                <w:bCs w:val="0"/>
                <w:sz w:val="15"/>
                <w:szCs w:val="15"/>
              </w:rPr>
            </w:pPr>
            <w:r>
              <w:rPr>
                <w:rFonts w:cs="Times New Roman"/>
                <w:sz w:val="15"/>
                <w:szCs w:val="15"/>
              </w:rPr>
              <w:t>补充流动资金</w:t>
            </w:r>
          </w:p>
        </w:tc>
        <w:tc>
          <w:tcPr>
            <w:tcW w:w="196" w:type="pct"/>
            <w:tcBorders>
              <w:top w:val="single" w:color="auto" w:sz="4" w:space="0"/>
              <w:left w:val="single" w:color="auto" w:sz="4" w:space="0"/>
              <w:bottom w:val="single" w:color="auto" w:sz="4" w:space="0"/>
              <w:right w:val="single" w:color="auto" w:sz="4" w:space="0"/>
            </w:tcBorders>
            <w:vAlign w:val="center"/>
          </w:tcPr>
          <w:p w14:paraId="368D9C9E">
            <w:pPr>
              <w:rPr>
                <w:rFonts w:cs="Times New Roman"/>
                <w:bCs w:val="0"/>
                <w:color w:val="000000" w:themeColor="text1"/>
                <w:sz w:val="15"/>
                <w:szCs w:val="15"/>
                <w14:textFill>
                  <w14:solidFill>
                    <w14:schemeClr w14:val="tx1"/>
                  </w14:solidFill>
                </w14:textFill>
              </w:rPr>
            </w:pPr>
            <w:r>
              <w:rPr>
                <w:rFonts w:cs="Times New Roman"/>
                <w:sz w:val="15"/>
                <w:szCs w:val="15"/>
              </w:rPr>
              <w:t>补流还贷</w:t>
            </w:r>
          </w:p>
        </w:tc>
        <w:tc>
          <w:tcPr>
            <w:tcW w:w="298" w:type="pct"/>
            <w:tcBorders>
              <w:top w:val="single" w:color="auto" w:sz="4" w:space="0"/>
              <w:left w:val="single" w:color="auto" w:sz="4" w:space="0"/>
              <w:bottom w:val="single" w:color="auto" w:sz="4" w:space="0"/>
              <w:right w:val="single" w:color="auto" w:sz="4" w:space="0"/>
            </w:tcBorders>
            <w:vAlign w:val="center"/>
          </w:tcPr>
          <w:p w14:paraId="091D4DD1">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055DCF2D">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65B37092">
            <w:pPr>
              <w:jc w:val="right"/>
              <w:rPr>
                <w:rFonts w:cs="Times New Roman"/>
                <w:sz w:val="15"/>
                <w:szCs w:val="15"/>
              </w:rPr>
            </w:pPr>
            <w:r>
              <w:rPr>
                <w:rFonts w:cs="Times New Roman"/>
                <w:sz w:val="15"/>
                <w:szCs w:val="15"/>
              </w:rPr>
              <w:t>63,805.17</w:t>
            </w:r>
          </w:p>
        </w:tc>
        <w:tc>
          <w:tcPr>
            <w:tcW w:w="314" w:type="pct"/>
            <w:tcBorders>
              <w:top w:val="single" w:color="auto" w:sz="4" w:space="0"/>
              <w:left w:val="single" w:color="auto" w:sz="4" w:space="0"/>
              <w:bottom w:val="single" w:color="auto" w:sz="4" w:space="0"/>
              <w:right w:val="single" w:color="auto" w:sz="4" w:space="0"/>
            </w:tcBorders>
            <w:vAlign w:val="center"/>
          </w:tcPr>
          <w:p w14:paraId="4EA192BD">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5974C9F1">
            <w:pPr>
              <w:jc w:val="right"/>
              <w:rPr>
                <w:rFonts w:cs="Times New Roman"/>
                <w:sz w:val="15"/>
                <w:szCs w:val="15"/>
              </w:rPr>
            </w:pPr>
            <w:r>
              <w:rPr>
                <w:rFonts w:cs="Times New Roman"/>
                <w:sz w:val="15"/>
                <w:szCs w:val="15"/>
              </w:rPr>
              <w:t>63,805.17</w:t>
            </w:r>
          </w:p>
        </w:tc>
        <w:tc>
          <w:tcPr>
            <w:tcW w:w="292" w:type="pct"/>
            <w:tcBorders>
              <w:top w:val="single" w:color="auto" w:sz="4" w:space="0"/>
              <w:left w:val="nil"/>
              <w:bottom w:val="single" w:color="auto" w:sz="4" w:space="0"/>
              <w:right w:val="single" w:color="auto" w:sz="4" w:space="0"/>
            </w:tcBorders>
            <w:vAlign w:val="center"/>
          </w:tcPr>
          <w:p w14:paraId="65E17801">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0C2ABDD">
            <w:pPr>
              <w:jc w:val="center"/>
              <w:rPr>
                <w:rFonts w:cs="Times New Roman"/>
                <w:bCs w:val="0"/>
                <w:sz w:val="15"/>
                <w:szCs w:val="15"/>
              </w:rPr>
            </w:pPr>
            <w:r>
              <w:rPr>
                <w:rFonts w:cs="Times New Roman"/>
                <w:sz w:val="15"/>
                <w:szCs w:val="15"/>
              </w:rPr>
              <w:t>不适用</w:t>
            </w:r>
          </w:p>
        </w:tc>
        <w:tc>
          <w:tcPr>
            <w:tcW w:w="239" w:type="pct"/>
            <w:tcBorders>
              <w:top w:val="single" w:color="auto" w:sz="4" w:space="0"/>
              <w:left w:val="nil"/>
              <w:bottom w:val="single" w:color="auto" w:sz="4" w:space="0"/>
              <w:right w:val="single" w:color="auto" w:sz="4" w:space="0"/>
            </w:tcBorders>
            <w:vAlign w:val="center"/>
          </w:tcPr>
          <w:p w14:paraId="411853D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5D8776DA">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4EC535A4">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1D0342BD">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1466BBCE">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51DA052B">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4E61CF78">
            <w:pPr>
              <w:jc w:val="right"/>
              <w:rPr>
                <w:rFonts w:cs="Times New Roman"/>
                <w:bCs w:val="0"/>
                <w:sz w:val="15"/>
                <w:szCs w:val="15"/>
              </w:rPr>
            </w:pPr>
          </w:p>
        </w:tc>
      </w:tr>
      <w:tr w14:paraId="7100A8AE">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07F483C8">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637A598C">
            <w:pPr>
              <w:jc w:val="center"/>
              <w:rPr>
                <w:rFonts w:cs="Times New Roman"/>
                <w:bCs w:val="0"/>
                <w:sz w:val="15"/>
                <w:szCs w:val="15"/>
              </w:rPr>
            </w:pPr>
            <w:r>
              <w:rPr>
                <w:rFonts w:cs="Times New Roman"/>
                <w:sz w:val="15"/>
                <w:szCs w:val="15"/>
              </w:rPr>
              <w:t>补充流动资金</w:t>
            </w:r>
          </w:p>
        </w:tc>
        <w:tc>
          <w:tcPr>
            <w:tcW w:w="196" w:type="pct"/>
            <w:tcBorders>
              <w:top w:val="single" w:color="auto" w:sz="4" w:space="0"/>
              <w:left w:val="single" w:color="auto" w:sz="4" w:space="0"/>
              <w:bottom w:val="single" w:color="auto" w:sz="4" w:space="0"/>
              <w:right w:val="single" w:color="auto" w:sz="4" w:space="0"/>
            </w:tcBorders>
            <w:vAlign w:val="center"/>
          </w:tcPr>
          <w:p w14:paraId="57033E16">
            <w:pPr>
              <w:rPr>
                <w:rFonts w:cs="Times New Roman"/>
                <w:bCs w:val="0"/>
                <w:color w:val="000000" w:themeColor="text1"/>
                <w:sz w:val="15"/>
                <w:szCs w:val="15"/>
                <w14:textFill>
                  <w14:solidFill>
                    <w14:schemeClr w14:val="tx1"/>
                  </w14:solidFill>
                </w14:textFill>
              </w:rPr>
            </w:pPr>
            <w:r>
              <w:rPr>
                <w:rFonts w:cs="Times New Roman"/>
                <w:sz w:val="15"/>
                <w:szCs w:val="15"/>
              </w:rPr>
              <w:t>补流还贷</w:t>
            </w:r>
          </w:p>
        </w:tc>
        <w:tc>
          <w:tcPr>
            <w:tcW w:w="298" w:type="pct"/>
            <w:tcBorders>
              <w:top w:val="single" w:color="auto" w:sz="4" w:space="0"/>
              <w:left w:val="single" w:color="auto" w:sz="4" w:space="0"/>
              <w:bottom w:val="single" w:color="auto" w:sz="4" w:space="0"/>
              <w:right w:val="single" w:color="auto" w:sz="4" w:space="0"/>
            </w:tcBorders>
            <w:vAlign w:val="center"/>
          </w:tcPr>
          <w:p w14:paraId="5F4208DF">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5C990673">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44FEAC8B">
            <w:pPr>
              <w:jc w:val="right"/>
              <w:rPr>
                <w:rFonts w:cs="Times New Roman"/>
                <w:sz w:val="15"/>
                <w:szCs w:val="15"/>
              </w:rPr>
            </w:pPr>
            <w:r>
              <w:rPr>
                <w:rFonts w:cs="Times New Roman"/>
                <w:sz w:val="15"/>
                <w:szCs w:val="15"/>
              </w:rPr>
              <w:t>43,565.51</w:t>
            </w:r>
          </w:p>
        </w:tc>
        <w:tc>
          <w:tcPr>
            <w:tcW w:w="314" w:type="pct"/>
            <w:tcBorders>
              <w:top w:val="single" w:color="auto" w:sz="4" w:space="0"/>
              <w:left w:val="single" w:color="auto" w:sz="4" w:space="0"/>
              <w:bottom w:val="single" w:color="auto" w:sz="4" w:space="0"/>
              <w:right w:val="single" w:color="auto" w:sz="4" w:space="0"/>
            </w:tcBorders>
            <w:vAlign w:val="center"/>
          </w:tcPr>
          <w:p w14:paraId="552DD10E">
            <w:pPr>
              <w:jc w:val="right"/>
              <w:rPr>
                <w:rFonts w:cs="Times New Roman"/>
                <w:sz w:val="15"/>
                <w:szCs w:val="15"/>
              </w:rPr>
            </w:pPr>
          </w:p>
        </w:tc>
        <w:tc>
          <w:tcPr>
            <w:tcW w:w="324" w:type="pct"/>
            <w:tcBorders>
              <w:top w:val="single" w:color="auto" w:sz="4" w:space="0"/>
              <w:left w:val="single" w:color="auto" w:sz="4" w:space="0"/>
              <w:bottom w:val="single" w:color="auto" w:sz="4" w:space="0"/>
              <w:right w:val="single" w:color="auto" w:sz="4" w:space="0"/>
            </w:tcBorders>
            <w:vAlign w:val="center"/>
          </w:tcPr>
          <w:p w14:paraId="0A005B7E">
            <w:pPr>
              <w:jc w:val="right"/>
              <w:rPr>
                <w:rFonts w:cs="Times New Roman"/>
                <w:sz w:val="15"/>
                <w:szCs w:val="15"/>
              </w:rPr>
            </w:pPr>
            <w:r>
              <w:rPr>
                <w:rFonts w:cs="Times New Roman"/>
                <w:sz w:val="15"/>
                <w:szCs w:val="15"/>
              </w:rPr>
              <w:t>43,565.51</w:t>
            </w:r>
          </w:p>
        </w:tc>
        <w:tc>
          <w:tcPr>
            <w:tcW w:w="292" w:type="pct"/>
            <w:tcBorders>
              <w:top w:val="single" w:color="auto" w:sz="4" w:space="0"/>
              <w:left w:val="nil"/>
              <w:bottom w:val="single" w:color="auto" w:sz="4" w:space="0"/>
              <w:right w:val="single" w:color="auto" w:sz="4" w:space="0"/>
            </w:tcBorders>
            <w:vAlign w:val="center"/>
          </w:tcPr>
          <w:p w14:paraId="2E5C81A1">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108AAE73">
            <w:pPr>
              <w:jc w:val="center"/>
              <w:rPr>
                <w:rFonts w:cs="Times New Roman"/>
                <w:bCs w:val="0"/>
                <w:sz w:val="15"/>
                <w:szCs w:val="15"/>
              </w:rPr>
            </w:pPr>
            <w:r>
              <w:rPr>
                <w:rFonts w:cs="Times New Roman"/>
                <w:sz w:val="15"/>
                <w:szCs w:val="15"/>
              </w:rPr>
              <w:t>不适用</w:t>
            </w:r>
          </w:p>
        </w:tc>
        <w:tc>
          <w:tcPr>
            <w:tcW w:w="239" w:type="pct"/>
            <w:tcBorders>
              <w:top w:val="single" w:color="auto" w:sz="4" w:space="0"/>
              <w:left w:val="nil"/>
              <w:bottom w:val="single" w:color="auto" w:sz="4" w:space="0"/>
              <w:right w:val="single" w:color="auto" w:sz="4" w:space="0"/>
            </w:tcBorders>
            <w:vAlign w:val="center"/>
          </w:tcPr>
          <w:p w14:paraId="1BFF83BF">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79A7D3E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588FA845">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646DBA52">
            <w:pPr>
              <w:jc w:val="right"/>
              <w:rPr>
                <w:rFonts w:cs="Times New Roman"/>
                <w:bCs w:val="0"/>
                <w:sz w:val="15"/>
                <w:szCs w:val="15"/>
              </w:rPr>
            </w:pPr>
            <w:r>
              <w:rPr>
                <w:rFonts w:cs="Times New Roman"/>
                <w:sz w:val="15"/>
                <w:szCs w:val="15"/>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143B1F5E">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3A26399B">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4A15D9E0">
            <w:pPr>
              <w:jc w:val="right"/>
              <w:rPr>
                <w:rFonts w:cs="Times New Roman"/>
                <w:bCs w:val="0"/>
                <w:sz w:val="15"/>
                <w:szCs w:val="15"/>
              </w:rPr>
            </w:pPr>
          </w:p>
        </w:tc>
      </w:tr>
      <w:tr w14:paraId="38F0348A">
        <w:tblPrEx>
          <w:tblCellMar>
            <w:top w:w="0" w:type="dxa"/>
            <w:left w:w="108" w:type="dxa"/>
            <w:bottom w:w="0" w:type="dxa"/>
            <w:right w:w="108" w:type="dxa"/>
          </w:tblCellMar>
        </w:tblPrEx>
        <w:trPr>
          <w:trHeight w:val="16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302142ED">
            <w:pPr>
              <w:jc w:val="center"/>
              <w:rPr>
                <w:rFonts w:cs="Times New Roman"/>
                <w:bCs w:val="0"/>
                <w:color w:val="000000" w:themeColor="text1"/>
                <w:sz w:val="15"/>
                <w:szCs w:val="15"/>
                <w14:textFill>
                  <w14:solidFill>
                    <w14:schemeClr w14:val="tx1"/>
                  </w14:solidFill>
                </w14:textFill>
              </w:rPr>
            </w:pPr>
            <w:r>
              <w:rPr>
                <w:rFonts w:cs="Times New Roman"/>
                <w:sz w:val="15"/>
                <w:szCs w:val="15"/>
              </w:rPr>
              <w:t>向特定对象发行股票</w:t>
            </w:r>
          </w:p>
        </w:tc>
        <w:tc>
          <w:tcPr>
            <w:tcW w:w="324" w:type="pct"/>
            <w:tcBorders>
              <w:top w:val="single" w:color="auto" w:sz="4" w:space="0"/>
              <w:left w:val="single" w:color="auto" w:sz="4" w:space="0"/>
              <w:bottom w:val="single" w:color="auto" w:sz="4" w:space="0"/>
              <w:right w:val="single" w:color="auto" w:sz="4" w:space="0"/>
            </w:tcBorders>
            <w:vAlign w:val="center"/>
          </w:tcPr>
          <w:p w14:paraId="4AEC967A">
            <w:pPr>
              <w:jc w:val="center"/>
              <w:rPr>
                <w:rFonts w:cs="Times New Roman"/>
                <w:bCs w:val="0"/>
                <w:sz w:val="15"/>
                <w:szCs w:val="15"/>
              </w:rPr>
            </w:pPr>
            <w:r>
              <w:rPr>
                <w:rFonts w:cs="Times New Roman"/>
                <w:sz w:val="15"/>
                <w:szCs w:val="15"/>
              </w:rPr>
              <w:t>重庆、长春际华园补充流动资金</w:t>
            </w:r>
          </w:p>
        </w:tc>
        <w:tc>
          <w:tcPr>
            <w:tcW w:w="196" w:type="pct"/>
            <w:tcBorders>
              <w:top w:val="single" w:color="auto" w:sz="4" w:space="0"/>
              <w:left w:val="single" w:color="auto" w:sz="4" w:space="0"/>
              <w:bottom w:val="single" w:color="auto" w:sz="4" w:space="0"/>
              <w:right w:val="single" w:color="auto" w:sz="4" w:space="0"/>
            </w:tcBorders>
            <w:vAlign w:val="center"/>
          </w:tcPr>
          <w:p w14:paraId="09B3089D">
            <w:pPr>
              <w:rPr>
                <w:rFonts w:cs="Times New Roman"/>
                <w:bCs w:val="0"/>
                <w:color w:val="000000" w:themeColor="text1"/>
                <w:sz w:val="15"/>
                <w:szCs w:val="15"/>
                <w14:textFill>
                  <w14:solidFill>
                    <w14:schemeClr w14:val="tx1"/>
                  </w14:solidFill>
                </w14:textFill>
              </w:rPr>
            </w:pPr>
            <w:r>
              <w:rPr>
                <w:rFonts w:cs="Times New Roman"/>
                <w:sz w:val="15"/>
                <w:szCs w:val="15"/>
              </w:rPr>
              <w:t>补流还贷</w:t>
            </w:r>
          </w:p>
        </w:tc>
        <w:tc>
          <w:tcPr>
            <w:tcW w:w="298" w:type="pct"/>
            <w:tcBorders>
              <w:top w:val="single" w:color="auto" w:sz="4" w:space="0"/>
              <w:left w:val="single" w:color="auto" w:sz="4" w:space="0"/>
              <w:bottom w:val="single" w:color="auto" w:sz="4" w:space="0"/>
              <w:right w:val="single" w:color="auto" w:sz="4" w:space="0"/>
            </w:tcBorders>
            <w:vAlign w:val="center"/>
          </w:tcPr>
          <w:p w14:paraId="1E32725B">
            <w:pPr>
              <w:jc w:val="cente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51" w:type="pct"/>
            <w:tcBorders>
              <w:top w:val="single" w:color="auto" w:sz="4" w:space="0"/>
              <w:left w:val="single" w:color="auto" w:sz="4" w:space="0"/>
              <w:bottom w:val="single" w:color="auto" w:sz="4" w:space="0"/>
              <w:right w:val="single" w:color="auto" w:sz="4" w:space="0"/>
            </w:tcBorders>
            <w:vAlign w:val="center"/>
          </w:tcPr>
          <w:p w14:paraId="63BD7EF6">
            <w:pPr>
              <w:rPr>
                <w:rFonts w:cs="Times New Roman"/>
                <w:bCs w:val="0"/>
                <w:color w:val="000000" w:themeColor="text1"/>
                <w:sz w:val="15"/>
                <w:szCs w:val="15"/>
                <w14:textFill>
                  <w14:solidFill>
                    <w14:schemeClr w14:val="tx1"/>
                  </w14:solidFill>
                </w14:textFill>
              </w:rPr>
            </w:pPr>
            <w:r>
              <w:rPr>
                <w:rFonts w:cs="Times New Roman"/>
                <w:sz w:val="15"/>
                <w:szCs w:val="15"/>
              </w:rPr>
              <w:t>否</w:t>
            </w:r>
          </w:p>
        </w:tc>
        <w:tc>
          <w:tcPr>
            <w:tcW w:w="330" w:type="pct"/>
            <w:tcBorders>
              <w:top w:val="single" w:color="auto" w:sz="4" w:space="0"/>
              <w:left w:val="nil"/>
              <w:bottom w:val="single" w:color="auto" w:sz="4" w:space="0"/>
              <w:right w:val="single" w:color="auto" w:sz="4" w:space="0"/>
            </w:tcBorders>
            <w:vAlign w:val="center"/>
          </w:tcPr>
          <w:p w14:paraId="4CA1627A">
            <w:pPr>
              <w:jc w:val="right"/>
              <w:rPr>
                <w:rFonts w:cs="Times New Roman"/>
                <w:sz w:val="15"/>
                <w:szCs w:val="15"/>
              </w:rPr>
            </w:pPr>
            <w:r>
              <w:rPr>
                <w:rFonts w:cs="Times New Roman"/>
                <w:sz w:val="15"/>
                <w:szCs w:val="15"/>
              </w:rPr>
              <w:t>39,870.64</w:t>
            </w:r>
          </w:p>
        </w:tc>
        <w:tc>
          <w:tcPr>
            <w:tcW w:w="314" w:type="pct"/>
            <w:tcBorders>
              <w:top w:val="single" w:color="auto" w:sz="4" w:space="0"/>
              <w:left w:val="single" w:color="auto" w:sz="4" w:space="0"/>
              <w:bottom w:val="single" w:color="auto" w:sz="4" w:space="0"/>
              <w:right w:val="single" w:color="auto" w:sz="4" w:space="0"/>
            </w:tcBorders>
            <w:vAlign w:val="center"/>
          </w:tcPr>
          <w:p w14:paraId="6789C7B9">
            <w:pPr>
              <w:jc w:val="right"/>
              <w:rPr>
                <w:rFonts w:cs="Times New Roman"/>
                <w:sz w:val="15"/>
                <w:szCs w:val="15"/>
              </w:rPr>
            </w:pPr>
            <w:r>
              <w:rPr>
                <w:rFonts w:cs="Times New Roman"/>
                <w:sz w:val="15"/>
                <w:szCs w:val="15"/>
              </w:rPr>
              <w:t>39,870.64</w:t>
            </w:r>
          </w:p>
        </w:tc>
        <w:tc>
          <w:tcPr>
            <w:tcW w:w="324" w:type="pct"/>
            <w:tcBorders>
              <w:top w:val="single" w:color="auto" w:sz="4" w:space="0"/>
              <w:left w:val="single" w:color="auto" w:sz="4" w:space="0"/>
              <w:bottom w:val="single" w:color="auto" w:sz="4" w:space="0"/>
              <w:right w:val="single" w:color="auto" w:sz="4" w:space="0"/>
            </w:tcBorders>
            <w:vAlign w:val="center"/>
          </w:tcPr>
          <w:p w14:paraId="3C70258E">
            <w:pPr>
              <w:jc w:val="right"/>
              <w:rPr>
                <w:rFonts w:cs="Times New Roman"/>
                <w:sz w:val="15"/>
                <w:szCs w:val="15"/>
              </w:rPr>
            </w:pPr>
            <w:r>
              <w:rPr>
                <w:rFonts w:cs="Times New Roman"/>
                <w:sz w:val="15"/>
                <w:szCs w:val="15"/>
              </w:rPr>
              <w:t>39,870.64</w:t>
            </w:r>
          </w:p>
        </w:tc>
        <w:tc>
          <w:tcPr>
            <w:tcW w:w="292" w:type="pct"/>
            <w:tcBorders>
              <w:top w:val="single" w:color="auto" w:sz="4" w:space="0"/>
              <w:left w:val="nil"/>
              <w:bottom w:val="single" w:color="auto" w:sz="4" w:space="0"/>
              <w:right w:val="single" w:color="auto" w:sz="4" w:space="0"/>
            </w:tcBorders>
            <w:vAlign w:val="center"/>
          </w:tcPr>
          <w:p w14:paraId="567B44F4">
            <w:pPr>
              <w:jc w:val="right"/>
              <w:rPr>
                <w:rFonts w:cs="Times New Roman"/>
                <w:sz w:val="15"/>
                <w:szCs w:val="15"/>
              </w:rPr>
            </w:pPr>
            <w:r>
              <w:rPr>
                <w:rFonts w:cs="Times New Roman"/>
                <w:sz w:val="15"/>
                <w:szCs w:val="15"/>
              </w:rPr>
              <w:t>100</w:t>
            </w:r>
          </w:p>
        </w:tc>
        <w:tc>
          <w:tcPr>
            <w:tcW w:w="282" w:type="pct"/>
            <w:tcBorders>
              <w:top w:val="single" w:color="auto" w:sz="4" w:space="0"/>
              <w:left w:val="nil"/>
              <w:bottom w:val="single" w:color="auto" w:sz="4" w:space="0"/>
              <w:right w:val="single" w:color="auto" w:sz="4" w:space="0"/>
            </w:tcBorders>
            <w:vAlign w:val="center"/>
          </w:tcPr>
          <w:p w14:paraId="043BEFD8">
            <w:pPr>
              <w:jc w:val="center"/>
              <w:rPr>
                <w:rFonts w:cs="Times New Roman"/>
                <w:bCs w:val="0"/>
                <w:sz w:val="15"/>
                <w:szCs w:val="15"/>
              </w:rPr>
            </w:pPr>
            <w:r>
              <w:rPr>
                <w:rFonts w:cs="Times New Roman"/>
                <w:sz w:val="15"/>
                <w:szCs w:val="15"/>
              </w:rPr>
              <w:t>不适用</w:t>
            </w:r>
          </w:p>
        </w:tc>
        <w:tc>
          <w:tcPr>
            <w:tcW w:w="239" w:type="pct"/>
            <w:tcBorders>
              <w:top w:val="single" w:color="auto" w:sz="4" w:space="0"/>
              <w:left w:val="nil"/>
              <w:bottom w:val="single" w:color="auto" w:sz="4" w:space="0"/>
              <w:right w:val="single" w:color="auto" w:sz="4" w:space="0"/>
            </w:tcBorders>
            <w:vAlign w:val="center"/>
          </w:tcPr>
          <w:p w14:paraId="404DED53">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98" w:type="pct"/>
            <w:tcBorders>
              <w:top w:val="single" w:color="auto" w:sz="4" w:space="0"/>
              <w:left w:val="nil"/>
              <w:bottom w:val="single" w:color="auto" w:sz="4" w:space="0"/>
              <w:right w:val="single" w:color="auto" w:sz="4" w:space="0"/>
            </w:tcBorders>
            <w:vAlign w:val="center"/>
          </w:tcPr>
          <w:p w14:paraId="3F499364">
            <w:pPr>
              <w:jc w:val="center"/>
              <w:rPr>
                <w:rFonts w:cs="Times New Roman"/>
                <w:bCs w:val="0"/>
                <w:color w:val="000000" w:themeColor="text1"/>
                <w:sz w:val="15"/>
                <w:szCs w:val="15"/>
                <w14:textFill>
                  <w14:solidFill>
                    <w14:schemeClr w14:val="tx1"/>
                  </w14:solidFill>
                </w14:textFill>
              </w:rPr>
            </w:pPr>
            <w:r>
              <w:rPr>
                <w:rFonts w:cs="Times New Roman"/>
                <w:sz w:val="15"/>
                <w:szCs w:val="15"/>
              </w:rPr>
              <w:t>是</w:t>
            </w:r>
          </w:p>
        </w:tc>
        <w:tc>
          <w:tcPr>
            <w:tcW w:w="278" w:type="pct"/>
            <w:tcBorders>
              <w:top w:val="single" w:color="auto" w:sz="4" w:space="0"/>
              <w:left w:val="nil"/>
              <w:bottom w:val="single" w:color="auto" w:sz="4" w:space="0"/>
              <w:right w:val="single" w:color="auto" w:sz="4" w:space="0"/>
            </w:tcBorders>
            <w:vAlign w:val="center"/>
          </w:tcPr>
          <w:p w14:paraId="0A362EE1">
            <w:pPr>
              <w:rPr>
                <w:rFonts w:cs="Times New Roman"/>
                <w:bCs w:val="0"/>
                <w:sz w:val="15"/>
                <w:szCs w:val="15"/>
              </w:rPr>
            </w:pPr>
          </w:p>
        </w:tc>
        <w:tc>
          <w:tcPr>
            <w:tcW w:w="332" w:type="pct"/>
            <w:tcBorders>
              <w:top w:val="single" w:color="auto" w:sz="4" w:space="0"/>
              <w:left w:val="single" w:color="auto" w:sz="4" w:space="0"/>
              <w:bottom w:val="single" w:color="auto" w:sz="4" w:space="0"/>
              <w:right w:val="single" w:color="auto" w:sz="4" w:space="0"/>
            </w:tcBorders>
            <w:vAlign w:val="center"/>
          </w:tcPr>
          <w:p w14:paraId="69AFFD8D">
            <w:pPr>
              <w:jc w:val="right"/>
              <w:textAlignment w:val="center"/>
              <w:rPr>
                <w:rFonts w:cs="Times New Roman"/>
                <w:bCs w:val="0"/>
                <w:sz w:val="15"/>
                <w:szCs w:val="15"/>
              </w:rPr>
            </w:pPr>
            <w:r>
              <w:rPr>
                <w:rFonts w:cs="Times New Roman"/>
                <w:color w:val="000000"/>
                <w:sz w:val="15"/>
                <w:szCs w:val="15"/>
                <w:lang w:bidi="ar"/>
              </w:rPr>
              <w:t>不适用</w:t>
            </w:r>
          </w:p>
        </w:tc>
        <w:tc>
          <w:tcPr>
            <w:tcW w:w="323" w:type="pct"/>
            <w:tcBorders>
              <w:top w:val="single" w:color="auto" w:sz="4" w:space="0"/>
              <w:left w:val="single" w:color="auto" w:sz="4" w:space="0"/>
              <w:bottom w:val="single" w:color="auto" w:sz="4" w:space="0"/>
              <w:right w:val="single" w:color="auto" w:sz="4" w:space="0"/>
            </w:tcBorders>
            <w:vAlign w:val="center"/>
          </w:tcPr>
          <w:p w14:paraId="3E92BD0D">
            <w:pPr>
              <w:rPr>
                <w:rFonts w:cs="Times New Roman"/>
                <w:bCs w:val="0"/>
                <w:sz w:val="15"/>
                <w:szCs w:val="15"/>
              </w:rPr>
            </w:pPr>
          </w:p>
        </w:tc>
        <w:tc>
          <w:tcPr>
            <w:tcW w:w="279" w:type="pct"/>
            <w:tcBorders>
              <w:top w:val="single" w:color="auto" w:sz="4" w:space="0"/>
              <w:left w:val="nil"/>
              <w:bottom w:val="single" w:color="auto" w:sz="4" w:space="0"/>
              <w:right w:val="single" w:color="auto" w:sz="4" w:space="0"/>
            </w:tcBorders>
            <w:vAlign w:val="center"/>
          </w:tcPr>
          <w:p w14:paraId="677AFF20">
            <w:pPr>
              <w:jc w:val="center"/>
              <w:rPr>
                <w:rFonts w:cs="Times New Roman"/>
                <w:bCs w:val="0"/>
                <w:sz w:val="15"/>
                <w:szCs w:val="15"/>
              </w:rPr>
            </w:pPr>
            <w:r>
              <w:rPr>
                <w:rFonts w:cs="Times New Roman"/>
                <w:sz w:val="15"/>
                <w:szCs w:val="15"/>
              </w:rPr>
              <w:t>否</w:t>
            </w:r>
          </w:p>
        </w:tc>
        <w:tc>
          <w:tcPr>
            <w:tcW w:w="279" w:type="pct"/>
            <w:tcBorders>
              <w:top w:val="single" w:color="auto" w:sz="4" w:space="0"/>
              <w:left w:val="nil"/>
              <w:bottom w:val="single" w:color="auto" w:sz="4" w:space="0"/>
              <w:right w:val="single" w:color="auto" w:sz="4" w:space="0"/>
            </w:tcBorders>
            <w:vAlign w:val="center"/>
          </w:tcPr>
          <w:p w14:paraId="23068675">
            <w:pPr>
              <w:jc w:val="right"/>
              <w:rPr>
                <w:rFonts w:cs="Times New Roman"/>
                <w:bCs w:val="0"/>
                <w:sz w:val="15"/>
                <w:szCs w:val="15"/>
              </w:rPr>
            </w:pPr>
          </w:p>
        </w:tc>
      </w:tr>
      <w:tr w14:paraId="7C4548EA">
        <w:tblPrEx>
          <w:tblCellMar>
            <w:top w:w="0" w:type="dxa"/>
            <w:left w:w="108" w:type="dxa"/>
            <w:bottom w:w="0" w:type="dxa"/>
            <w:right w:w="108" w:type="dxa"/>
          </w:tblCellMar>
        </w:tblPrEx>
        <w:trPr>
          <w:trHeight w:val="447"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13CD4EFD">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合计</w:t>
            </w:r>
          </w:p>
        </w:tc>
        <w:tc>
          <w:tcPr>
            <w:tcW w:w="324" w:type="pct"/>
            <w:tcBorders>
              <w:top w:val="single" w:color="auto" w:sz="4" w:space="0"/>
              <w:left w:val="single" w:color="auto" w:sz="4" w:space="0"/>
              <w:bottom w:val="single" w:color="auto" w:sz="4" w:space="0"/>
              <w:right w:val="single" w:color="auto" w:sz="4" w:space="0"/>
            </w:tcBorders>
            <w:vAlign w:val="center"/>
          </w:tcPr>
          <w:p w14:paraId="33C18A71">
            <w:pP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196" w:type="pct"/>
            <w:tcBorders>
              <w:top w:val="single" w:color="auto" w:sz="4" w:space="0"/>
              <w:left w:val="single" w:color="auto" w:sz="4" w:space="0"/>
              <w:bottom w:val="single" w:color="auto" w:sz="4" w:space="0"/>
              <w:right w:val="single" w:color="auto" w:sz="4" w:space="0"/>
            </w:tcBorders>
            <w:vAlign w:val="center"/>
          </w:tcPr>
          <w:p w14:paraId="43FD6BDC">
            <w:pP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98" w:type="pct"/>
            <w:tcBorders>
              <w:top w:val="single" w:color="auto" w:sz="4" w:space="0"/>
              <w:left w:val="single" w:color="auto" w:sz="4" w:space="0"/>
              <w:bottom w:val="single" w:color="auto" w:sz="4" w:space="0"/>
              <w:right w:val="single" w:color="auto" w:sz="4" w:space="0"/>
            </w:tcBorders>
            <w:vAlign w:val="center"/>
          </w:tcPr>
          <w:p w14:paraId="16C84028">
            <w:pP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351" w:type="pct"/>
            <w:tcBorders>
              <w:top w:val="single" w:color="auto" w:sz="4" w:space="0"/>
              <w:left w:val="single" w:color="auto" w:sz="4" w:space="0"/>
              <w:bottom w:val="single" w:color="auto" w:sz="4" w:space="0"/>
              <w:right w:val="single" w:color="auto" w:sz="4" w:space="0"/>
            </w:tcBorders>
            <w:vAlign w:val="center"/>
          </w:tcPr>
          <w:p w14:paraId="1C9A7424">
            <w:pP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330" w:type="pct"/>
            <w:tcBorders>
              <w:top w:val="single" w:color="auto" w:sz="4" w:space="0"/>
              <w:left w:val="nil"/>
              <w:bottom w:val="single" w:color="auto" w:sz="4" w:space="0"/>
              <w:right w:val="single" w:color="auto" w:sz="4" w:space="0"/>
            </w:tcBorders>
            <w:vAlign w:val="center"/>
          </w:tcPr>
          <w:p w14:paraId="78DB713F">
            <w:pPr>
              <w:jc w:val="right"/>
              <w:textAlignment w:val="center"/>
              <w:rPr>
                <w:rFonts w:cs="Times New Roman"/>
                <w:sz w:val="15"/>
                <w:szCs w:val="15"/>
              </w:rPr>
            </w:pPr>
            <w:r>
              <w:rPr>
                <w:rFonts w:cs="Times New Roman"/>
                <w:color w:val="000000"/>
                <w:sz w:val="15"/>
                <w:szCs w:val="15"/>
                <w:lang w:bidi="ar"/>
              </w:rPr>
              <w:t>845,962.03</w:t>
            </w:r>
          </w:p>
        </w:tc>
        <w:tc>
          <w:tcPr>
            <w:tcW w:w="314" w:type="pct"/>
            <w:tcBorders>
              <w:top w:val="single" w:color="auto" w:sz="4" w:space="0"/>
              <w:left w:val="single" w:color="auto" w:sz="4" w:space="0"/>
              <w:bottom w:val="single" w:color="auto" w:sz="4" w:space="0"/>
              <w:right w:val="single" w:color="auto" w:sz="4" w:space="0"/>
            </w:tcBorders>
            <w:vAlign w:val="center"/>
          </w:tcPr>
          <w:p w14:paraId="28BB89C6">
            <w:pPr>
              <w:jc w:val="right"/>
              <w:textAlignment w:val="center"/>
              <w:rPr>
                <w:rFonts w:cs="Times New Roman"/>
                <w:sz w:val="15"/>
                <w:szCs w:val="15"/>
              </w:rPr>
            </w:pPr>
            <w:r>
              <w:rPr>
                <w:rFonts w:cs="Times New Roman"/>
                <w:color w:val="000000"/>
                <w:sz w:val="15"/>
                <w:szCs w:val="15"/>
                <w:lang w:bidi="ar"/>
              </w:rPr>
              <w:t>49,967.20</w:t>
            </w:r>
          </w:p>
        </w:tc>
        <w:tc>
          <w:tcPr>
            <w:tcW w:w="324" w:type="pct"/>
            <w:tcBorders>
              <w:top w:val="single" w:color="auto" w:sz="4" w:space="0"/>
              <w:left w:val="single" w:color="auto" w:sz="4" w:space="0"/>
              <w:bottom w:val="single" w:color="auto" w:sz="4" w:space="0"/>
              <w:right w:val="single" w:color="auto" w:sz="4" w:space="0"/>
            </w:tcBorders>
            <w:vAlign w:val="center"/>
          </w:tcPr>
          <w:p w14:paraId="6D7BA76E">
            <w:pPr>
              <w:jc w:val="right"/>
              <w:textAlignment w:val="center"/>
              <w:rPr>
                <w:rFonts w:cs="Times New Roman"/>
                <w:sz w:val="15"/>
                <w:szCs w:val="15"/>
              </w:rPr>
            </w:pPr>
            <w:r>
              <w:rPr>
                <w:rFonts w:cs="Times New Roman"/>
                <w:color w:val="000000"/>
                <w:sz w:val="15"/>
                <w:szCs w:val="15"/>
                <w:lang w:bidi="ar"/>
              </w:rPr>
              <w:t>783,080.97</w:t>
            </w:r>
          </w:p>
        </w:tc>
        <w:tc>
          <w:tcPr>
            <w:tcW w:w="292" w:type="pct"/>
            <w:tcBorders>
              <w:top w:val="single" w:color="auto" w:sz="4" w:space="0"/>
              <w:left w:val="nil"/>
              <w:bottom w:val="single" w:color="auto" w:sz="4" w:space="0"/>
              <w:right w:val="single" w:color="auto" w:sz="4" w:space="0"/>
            </w:tcBorders>
            <w:vAlign w:val="center"/>
          </w:tcPr>
          <w:p w14:paraId="09D35EC6">
            <w:pPr>
              <w:jc w:val="center"/>
              <w:rPr>
                <w:rFonts w:cs="Times New Roman"/>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82" w:type="pct"/>
            <w:tcBorders>
              <w:top w:val="single" w:color="auto" w:sz="4" w:space="0"/>
              <w:left w:val="nil"/>
              <w:bottom w:val="single" w:color="auto" w:sz="4" w:space="0"/>
              <w:right w:val="single" w:color="auto" w:sz="4" w:space="0"/>
            </w:tcBorders>
            <w:vAlign w:val="center"/>
          </w:tcPr>
          <w:p w14:paraId="6170EB23">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39" w:type="pct"/>
            <w:tcBorders>
              <w:top w:val="single" w:color="auto" w:sz="4" w:space="0"/>
              <w:left w:val="nil"/>
              <w:bottom w:val="single" w:color="auto" w:sz="4" w:space="0"/>
              <w:right w:val="single" w:color="auto" w:sz="4" w:space="0"/>
            </w:tcBorders>
            <w:vAlign w:val="center"/>
          </w:tcPr>
          <w:p w14:paraId="38C273F7">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98" w:type="pct"/>
            <w:tcBorders>
              <w:top w:val="single" w:color="auto" w:sz="4" w:space="0"/>
              <w:left w:val="nil"/>
              <w:bottom w:val="single" w:color="auto" w:sz="4" w:space="0"/>
              <w:right w:val="single" w:color="auto" w:sz="4" w:space="0"/>
            </w:tcBorders>
            <w:vAlign w:val="center"/>
          </w:tcPr>
          <w:p w14:paraId="51C8FC26">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78" w:type="pct"/>
            <w:tcBorders>
              <w:top w:val="single" w:color="auto" w:sz="4" w:space="0"/>
              <w:left w:val="nil"/>
              <w:bottom w:val="single" w:color="auto" w:sz="4" w:space="0"/>
              <w:right w:val="single" w:color="auto" w:sz="4" w:space="0"/>
            </w:tcBorders>
            <w:vAlign w:val="center"/>
          </w:tcPr>
          <w:p w14:paraId="7B2B792C">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332" w:type="pct"/>
            <w:tcBorders>
              <w:top w:val="single" w:color="auto" w:sz="4" w:space="0"/>
              <w:left w:val="single" w:color="auto" w:sz="4" w:space="0"/>
              <w:bottom w:val="single" w:color="auto" w:sz="4" w:space="0"/>
              <w:right w:val="single" w:color="auto" w:sz="4" w:space="0"/>
            </w:tcBorders>
            <w:vAlign w:val="center"/>
          </w:tcPr>
          <w:p w14:paraId="170BCEC6">
            <w:pPr>
              <w:jc w:val="right"/>
              <w:textAlignment w:val="center"/>
              <w:rPr>
                <w:rFonts w:cs="Times New Roman"/>
                <w:bCs w:val="0"/>
                <w:sz w:val="15"/>
                <w:szCs w:val="15"/>
              </w:rPr>
            </w:pPr>
            <w:r>
              <w:rPr>
                <w:rFonts w:cs="Times New Roman"/>
                <w:color w:val="000000"/>
                <w:sz w:val="15"/>
                <w:szCs w:val="15"/>
                <w:lang w:bidi="ar"/>
              </w:rPr>
              <w:t>529.27</w:t>
            </w:r>
          </w:p>
        </w:tc>
        <w:tc>
          <w:tcPr>
            <w:tcW w:w="323" w:type="pct"/>
            <w:tcBorders>
              <w:top w:val="single" w:color="auto" w:sz="4" w:space="0"/>
              <w:left w:val="single" w:color="auto" w:sz="4" w:space="0"/>
              <w:bottom w:val="single" w:color="auto" w:sz="4" w:space="0"/>
              <w:right w:val="single" w:color="auto" w:sz="4" w:space="0"/>
            </w:tcBorders>
            <w:vAlign w:val="center"/>
          </w:tcPr>
          <w:p w14:paraId="7F94BEC4">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79" w:type="pct"/>
            <w:tcBorders>
              <w:top w:val="single" w:color="auto" w:sz="4" w:space="0"/>
              <w:left w:val="nil"/>
              <w:bottom w:val="single" w:color="auto" w:sz="4" w:space="0"/>
              <w:right w:val="single" w:color="auto" w:sz="4" w:space="0"/>
            </w:tcBorders>
            <w:vAlign w:val="center"/>
          </w:tcPr>
          <w:p w14:paraId="514B9FE0">
            <w:pPr>
              <w:jc w:val="center"/>
              <w:rPr>
                <w:rFonts w:cs="Times New Roman"/>
                <w:bCs w:val="0"/>
                <w:color w:val="000000" w:themeColor="text1"/>
                <w:sz w:val="15"/>
                <w:szCs w:val="15"/>
                <w14:textFill>
                  <w14:solidFill>
                    <w14:schemeClr w14:val="tx1"/>
                  </w14:solidFill>
                </w14:textFill>
              </w:rPr>
            </w:pPr>
            <w:r>
              <w:rPr>
                <w:rFonts w:cs="Times New Roman"/>
                <w:color w:val="000000" w:themeColor="text1"/>
                <w:sz w:val="15"/>
                <w:szCs w:val="15"/>
                <w14:textFill>
                  <w14:solidFill>
                    <w14:schemeClr w14:val="tx1"/>
                  </w14:solidFill>
                </w14:textFill>
              </w:rPr>
              <w:t>/</w:t>
            </w:r>
          </w:p>
        </w:tc>
        <w:tc>
          <w:tcPr>
            <w:tcW w:w="279" w:type="pct"/>
            <w:tcBorders>
              <w:top w:val="single" w:color="auto" w:sz="4" w:space="0"/>
              <w:left w:val="nil"/>
              <w:bottom w:val="single" w:color="auto" w:sz="4" w:space="0"/>
              <w:right w:val="single" w:color="auto" w:sz="4" w:space="0"/>
            </w:tcBorders>
            <w:vAlign w:val="center"/>
          </w:tcPr>
          <w:p w14:paraId="62FEDA83">
            <w:pPr>
              <w:jc w:val="right"/>
              <w:rPr>
                <w:rFonts w:cs="Times New Roman"/>
                <w:bCs w:val="0"/>
                <w:sz w:val="15"/>
                <w:szCs w:val="15"/>
              </w:rPr>
            </w:pPr>
          </w:p>
        </w:tc>
      </w:tr>
    </w:tbl>
    <w:p w14:paraId="557E67E6"/>
    <w:p w14:paraId="617A5A7A">
      <w:pPr>
        <w:pStyle w:val="5"/>
        <w:numPr>
          <w:ilvl w:val="0"/>
          <w:numId w:val="26"/>
        </w:numPr>
      </w:pPr>
      <w:r>
        <w:rPr>
          <w:rFonts w:hint="eastAsia"/>
        </w:rPr>
        <w:t>超募资金明细使用情况</w:t>
      </w:r>
    </w:p>
    <w:sdt>
      <w:sdtPr>
        <w:rPr>
          <w:rFonts w:hint="eastAsia"/>
          <w:color w:val="000000" w:themeColor="text1"/>
          <w:szCs w:val="22"/>
          <w14:textFill>
            <w14:solidFill>
              <w14:schemeClr w14:val="tx1"/>
            </w14:solidFill>
          </w14:textFill>
        </w:rPr>
        <w:alias w:val="是否适用：超募资金明细使用情况[双击切换]"/>
        <w:tag w:val="_GBC_2f45cae4211540beb20022acbb67dc6c"/>
        <w:id w:val="147471549"/>
        <w:placeholder>
          <w:docPart w:val="{d8014d7a-cba5-4a66-9d59-c514dac73ae3}"/>
        </w:placeholder>
      </w:sdtPr>
      <w:sdtEndPr>
        <w:rPr>
          <w:rFonts w:hint="eastAsia"/>
          <w:color w:val="000000" w:themeColor="text1"/>
          <w:szCs w:val="22"/>
          <w14:textFill>
            <w14:solidFill>
              <w14:schemeClr w14:val="tx1"/>
            </w14:solidFill>
          </w14:textFill>
        </w:rPr>
      </w:sdtEndPr>
      <w:sdtContent>
        <w:p w14:paraId="3396F6A4">
          <w:pPr>
            <w:rPr>
              <w:color w:val="000000" w:themeColor="text1"/>
              <w:szCs w:val="22"/>
              <w14:textFill>
                <w14:solidFill>
                  <w14:schemeClr w14:val="tx1"/>
                </w14:solidFill>
              </w14:textFill>
            </w:rPr>
          </w:pPr>
          <w:r>
            <w:rPr>
              <w:rFonts w:ascii="宋体" w:hAnsi="宋体"/>
              <w:color w:val="000000" w:themeColor="text1"/>
              <w:szCs w:val="22"/>
              <w14:textFill>
                <w14:solidFill>
                  <w14:schemeClr w14:val="tx1"/>
                </w14:solidFill>
              </w14:textFill>
            </w:rPr>
            <w:fldChar w:fldCharType="begin"/>
          </w:r>
          <w:r>
            <w:rPr>
              <w:rFonts w:ascii="宋体" w:hAnsi="宋体"/>
              <w:color w:val="000000" w:themeColor="text1"/>
              <w:szCs w:val="22"/>
              <w14:textFill>
                <w14:solidFill>
                  <w14:schemeClr w14:val="tx1"/>
                </w14:solidFill>
              </w14:textFill>
            </w:rPr>
            <w:instrText xml:space="preserve"> </w:instrText>
          </w:r>
          <w:r>
            <w:rPr>
              <w:rFonts w:hint="eastAsia" w:ascii="宋体" w:hAnsi="宋体"/>
              <w:color w:val="000000" w:themeColor="text1"/>
              <w:szCs w:val="22"/>
              <w14:textFill>
                <w14:solidFill>
                  <w14:schemeClr w14:val="tx1"/>
                </w14:solidFill>
              </w14:textFill>
            </w:rPr>
            <w:instrText xml:space="preserve">MACROBUTTON  SnrToggleCheckbox √适用</w:instrText>
          </w:r>
          <w:r>
            <w:rPr>
              <w:rFonts w:ascii="宋体" w:hAnsi="宋体"/>
              <w:color w:val="000000" w:themeColor="text1"/>
              <w:szCs w:val="22"/>
              <w14:textFill>
                <w14:solidFill>
                  <w14:schemeClr w14:val="tx1"/>
                </w14:solidFill>
              </w14:textFill>
            </w:rPr>
            <w:instrText xml:space="preserve"> </w:instrText>
          </w:r>
          <w:r>
            <w:rPr>
              <w:rFonts w:ascii="宋体" w:hAnsi="宋体"/>
              <w:color w:val="000000" w:themeColor="text1"/>
              <w:szCs w:val="22"/>
              <w14:textFill>
                <w14:solidFill>
                  <w14:schemeClr w14:val="tx1"/>
                </w14:solidFill>
              </w14:textFill>
            </w:rPr>
            <w:fldChar w:fldCharType="end"/>
          </w:r>
          <w:r>
            <w:rPr>
              <w:rFonts w:ascii="宋体" w:hAnsi="宋体"/>
              <w:color w:val="000000" w:themeColor="text1"/>
              <w:szCs w:val="22"/>
              <w14:textFill>
                <w14:solidFill>
                  <w14:schemeClr w14:val="tx1"/>
                </w14:solidFill>
              </w14:textFill>
            </w:rPr>
            <w:fldChar w:fldCharType="begin"/>
          </w:r>
          <w:r>
            <w:rPr>
              <w:rFonts w:ascii="宋体" w:hAnsi="宋体"/>
              <w:color w:val="000000" w:themeColor="text1"/>
              <w:szCs w:val="22"/>
              <w14:textFill>
                <w14:solidFill>
                  <w14:schemeClr w14:val="tx1"/>
                </w14:solidFill>
              </w14:textFill>
            </w:rPr>
            <w:instrText xml:space="preserve"> MACROBUTTON  SnrToggleCheckbox □不适用 </w:instrText>
          </w:r>
          <w:r>
            <w:rPr>
              <w:rFonts w:ascii="宋体" w:hAnsi="宋体"/>
              <w:color w:val="000000" w:themeColor="text1"/>
              <w:szCs w:val="22"/>
              <w14:textFill>
                <w14:solidFill>
                  <w14:schemeClr w14:val="tx1"/>
                </w14:solidFill>
              </w14:textFill>
            </w:rPr>
            <w:fldChar w:fldCharType="end"/>
          </w:r>
        </w:p>
      </w:sdtContent>
    </w:sdt>
    <w:p w14:paraId="50B00A1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超募资金明细使用情况"/>
          <w:tag w:val="_GBC_26cf87b050514eff851bacb285e6ea3c"/>
          <w:id w:val="147472573"/>
          <w:placeholder>
            <w:docPart w:val="{d8014d7a-cba5-4a66-9d59-c514dac73ae3}"/>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1987"/>
        <w:gridCol w:w="2650"/>
        <w:gridCol w:w="3087"/>
        <w:gridCol w:w="2895"/>
        <w:gridCol w:w="1316"/>
      </w:tblGrid>
      <w:tr w14:paraId="3111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7dc5020318404c30b4a84a2f2aa6d083"/>
            <w:id w:val="147471075"/>
          </w:sdtPr>
          <w:sdtContent>
            <w:tc>
              <w:tcPr>
                <w:tcW w:w="764" w:type="pct"/>
                <w:vAlign w:val="center"/>
              </w:tcPr>
              <w:p w14:paraId="07C96E4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用途</w:t>
                </w:r>
              </w:p>
            </w:tc>
          </w:sdtContent>
        </w:sdt>
        <w:sdt>
          <w:sdtPr>
            <w:tag w:val="_PLD_4324620b7fbd44da92222a48399e74ec"/>
            <w:id w:val="147458957"/>
          </w:sdtPr>
          <w:sdtContent>
            <w:tc>
              <w:tcPr>
                <w:tcW w:w="705" w:type="pct"/>
                <w:vAlign w:val="center"/>
              </w:tcPr>
              <w:p w14:paraId="711A0A1B">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性质</w:t>
                </w:r>
              </w:p>
            </w:tc>
          </w:sdtContent>
        </w:sdt>
        <w:sdt>
          <w:sdtPr>
            <w:tag w:val="_PLD_14eea55e9ae44fa59e7b2db748f21a69"/>
            <w:id w:val="147466129"/>
          </w:sdtPr>
          <w:sdtContent>
            <w:tc>
              <w:tcPr>
                <w:tcW w:w="940" w:type="pct"/>
                <w:vAlign w:val="center"/>
              </w:tcPr>
              <w:p w14:paraId="2C1110F4">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拟投入超募资金总额</w:t>
                </w:r>
              </w:p>
              <w:p w14:paraId="5568E83C">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（1）</w:t>
                </w:r>
              </w:p>
            </w:tc>
          </w:sdtContent>
        </w:sdt>
        <w:sdt>
          <w:sdtPr>
            <w:tag w:val="_PLD_9d14e3f5d85641cda2ea7f72bb56a437"/>
            <w:id w:val="147457939"/>
          </w:sdtPr>
          <w:sdtContent>
            <w:tc>
              <w:tcPr>
                <w:tcW w:w="1095" w:type="pct"/>
                <w:vAlign w:val="center"/>
              </w:tcPr>
              <w:p w14:paraId="184153CD">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截至</w:t>
                </w:r>
                <w:r>
                  <w:rPr>
                    <w:color w:val="000000" w:themeColor="text1"/>
                    <w14:textFill>
                      <w14:solidFill>
                        <w14:schemeClr w14:val="tx1"/>
                      </w14:solidFill>
                    </w14:textFill>
                  </w:rPr>
                  <w:t>报告期末</w:t>
                </w:r>
                <w:r>
                  <w:rPr>
                    <w:rFonts w:hint="eastAsia"/>
                    <w:color w:val="000000" w:themeColor="text1"/>
                    <w14:textFill>
                      <w14:solidFill>
                        <w14:schemeClr w14:val="tx1"/>
                      </w14:solidFill>
                    </w14:textFill>
                  </w:rPr>
                  <w:t>累计投入超募资金总额</w:t>
                </w:r>
              </w:p>
              <w:p w14:paraId="2FA3DD9F">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（2）</w:t>
                </w:r>
              </w:p>
            </w:tc>
          </w:sdtContent>
        </w:sdt>
        <w:sdt>
          <w:sdtPr>
            <w:tag w:val="_PLD_9f77bd989f494252ad1a4b1ac14b9a6c"/>
            <w:id w:val="147452206"/>
          </w:sdtPr>
          <w:sdtContent>
            <w:tc>
              <w:tcPr>
                <w:tcW w:w="1027" w:type="pct"/>
                <w:vAlign w:val="center"/>
              </w:tcPr>
              <w:p w14:paraId="3E9D0795">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截至报告期末累计投入进度（%）</w:t>
                </w:r>
              </w:p>
              <w:p w14:paraId="48B77DE3">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(3)＝(2)/(1)</w:t>
                </w:r>
              </w:p>
            </w:tc>
          </w:sdtContent>
        </w:sdt>
        <w:sdt>
          <w:sdtPr>
            <w:tag w:val="_PLD_829670b7cf664ed5ae617e48caccc823"/>
            <w:id w:val="147482119"/>
          </w:sdtPr>
          <w:sdtContent>
            <w:tc>
              <w:tcPr>
                <w:tcW w:w="467" w:type="pct"/>
                <w:vAlign w:val="center"/>
              </w:tcPr>
              <w:p w14:paraId="2C3066E6">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sdtContent>
        </w:sdt>
      </w:tr>
      <w:tr w14:paraId="3B81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pct"/>
            <w:vAlign w:val="center"/>
          </w:tcPr>
          <w:p w14:paraId="69E62637">
            <w:pPr>
              <w:widowControl w:val="0"/>
              <w:jc w:val="both"/>
              <w:rPr>
                <w:bCs w:val="0"/>
              </w:rPr>
            </w:pPr>
            <w:r>
              <w:rPr>
                <w:rFonts w:hint="eastAsia"/>
                <w:bCs w:val="0"/>
              </w:rPr>
              <w:t>永久补充流动资金</w:t>
            </w:r>
          </w:p>
        </w:tc>
        <w:sdt>
          <w:sdtPr>
            <w:rPr>
              <w:bCs w:val="0"/>
              <w:color w:val="000000" w:themeColor="text1"/>
              <w14:textFill>
                <w14:solidFill>
                  <w14:schemeClr w14:val="tx1"/>
                </w14:solidFill>
              </w14:textFill>
            </w:rPr>
            <w:alias w:val="超募资金明细使用情况明细_性质"/>
            <w:tag w:val="_GBC_860d1db024a444aa9c074beac8e3e7ec"/>
            <w:id w:val="147474129"/>
            <w:comboBox>
              <w:listItem w:displayText="补流还贷" w:value="补流还贷"/>
              <w:listItem w:displayText="新建项目" w:value="新建项目"/>
              <w:listItem w:displayText="在建项目" w:value="在建项目"/>
              <w:listItem w:displayText="收购资产" w:value="收购资产"/>
              <w:listItem w:displayText="回购" w:value="回购"/>
              <w:listItem w:displayText="其他" w:value="其他"/>
              <w:listItem w:displayText="尚未使用" w:value="尚未使用"/>
            </w:comboBox>
          </w:sdtPr>
          <w:sdtEndPr>
            <w:rPr>
              <w:bCs w:val="0"/>
              <w:color w:val="000000" w:themeColor="text1"/>
              <w14:textFill>
                <w14:solidFill>
                  <w14:schemeClr w14:val="tx1"/>
                </w14:solidFill>
              </w14:textFill>
            </w:rPr>
          </w:sdtEndPr>
          <w:sdtContent>
            <w:tc>
              <w:tcPr>
                <w:tcW w:w="705" w:type="pct"/>
                <w:vAlign w:val="center"/>
              </w:tcPr>
              <w:p w14:paraId="6F8AB8CC">
                <w:pPr>
                  <w:jc w:val="both"/>
                  <w:rPr>
                    <w:bCs w:val="0"/>
                    <w:color w:val="000000" w:themeColor="text1"/>
                    <w14:textFill>
                      <w14:solidFill>
                        <w14:schemeClr w14:val="tx1"/>
                      </w14:solidFill>
                    </w14:textFill>
                  </w:rPr>
                </w:pPr>
                <w:r>
                  <w:rPr>
                    <w:bCs w:val="0"/>
                    <w:color w:val="000000" w:themeColor="text1"/>
                    <w14:textFill>
                      <w14:solidFill>
                        <w14:schemeClr w14:val="tx1"/>
                      </w14:solidFill>
                    </w14:textFill>
                  </w:rPr>
                  <w:t>补流还贷</w:t>
                </w:r>
              </w:p>
            </w:tc>
          </w:sdtContent>
        </w:sdt>
        <w:tc>
          <w:tcPr>
            <w:tcW w:w="940" w:type="pct"/>
            <w:vAlign w:val="center"/>
          </w:tcPr>
          <w:p w14:paraId="64602F2C">
            <w:pPr>
              <w:jc w:val="right"/>
              <w:textAlignment w:val="center"/>
              <w:rPr>
                <w:rFonts w:cs="Times New Roman"/>
                <w:bCs w:val="0"/>
              </w:rPr>
            </w:pPr>
            <w:r>
              <w:rPr>
                <w:rFonts w:eastAsia="Arial Narrow" w:cs="Times New Roman"/>
                <w:color w:val="000000"/>
                <w:lang w:bidi="ar"/>
              </w:rPr>
              <w:t>66,578.59</w:t>
            </w:r>
          </w:p>
        </w:tc>
        <w:tc>
          <w:tcPr>
            <w:tcW w:w="1095" w:type="pct"/>
            <w:vAlign w:val="center"/>
          </w:tcPr>
          <w:p w14:paraId="4A7520CD">
            <w:pPr>
              <w:jc w:val="right"/>
              <w:textAlignment w:val="center"/>
              <w:rPr>
                <w:rFonts w:cs="Times New Roman"/>
                <w:bCs w:val="0"/>
              </w:rPr>
            </w:pPr>
            <w:r>
              <w:rPr>
                <w:rFonts w:eastAsia="Arial Narrow" w:cs="Times New Roman"/>
                <w:color w:val="000000"/>
                <w:lang w:bidi="ar"/>
              </w:rPr>
              <w:t>66,578.59</w:t>
            </w:r>
          </w:p>
        </w:tc>
        <w:tc>
          <w:tcPr>
            <w:tcW w:w="1027" w:type="pct"/>
            <w:vAlign w:val="center"/>
          </w:tcPr>
          <w:p w14:paraId="0E94DBED">
            <w:pPr>
              <w:jc w:val="right"/>
              <w:textAlignment w:val="center"/>
              <w:rPr>
                <w:rFonts w:cs="Times New Roman"/>
                <w:bCs w:val="0"/>
              </w:rPr>
            </w:pPr>
            <w:r>
              <w:rPr>
                <w:rFonts w:eastAsia="Arial Narrow" w:cs="Times New Roman"/>
                <w:color w:val="000000"/>
                <w:lang w:bidi="ar"/>
              </w:rPr>
              <w:t xml:space="preserve"> 100.00 </w:t>
            </w:r>
          </w:p>
        </w:tc>
        <w:tc>
          <w:tcPr>
            <w:tcW w:w="467" w:type="pct"/>
            <w:vAlign w:val="center"/>
          </w:tcPr>
          <w:p w14:paraId="380CF610">
            <w:pPr>
              <w:widowControl w:val="0"/>
              <w:rPr>
                <w:bCs w:val="0"/>
              </w:rPr>
            </w:pPr>
          </w:p>
        </w:tc>
      </w:tr>
      <w:tr w14:paraId="3180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pct"/>
            <w:vAlign w:val="center"/>
          </w:tcPr>
          <w:p w14:paraId="41926EE4">
            <w:pPr>
              <w:widowControl w:val="0"/>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05" w:type="pct"/>
            <w:vAlign w:val="center"/>
          </w:tcPr>
          <w:p w14:paraId="251DFC71">
            <w:pPr>
              <w:jc w:val="center"/>
              <w:rPr>
                <w:bCs w:val="0"/>
                <w:color w:val="000000" w:themeColor="text1"/>
                <w14:textFill>
                  <w14:solidFill>
                    <w14:schemeClr w14:val="tx1"/>
                  </w14:solidFill>
                </w14:textFill>
              </w:rPr>
            </w:pPr>
            <w:r>
              <w:rPr>
                <w:color w:val="000000" w:themeColor="text1"/>
                <w14:textFill>
                  <w14:solidFill>
                    <w14:schemeClr w14:val="tx1"/>
                  </w14:solidFill>
                </w14:textFill>
              </w:rPr>
              <w:t>/</w:t>
            </w:r>
          </w:p>
        </w:tc>
        <w:tc>
          <w:tcPr>
            <w:tcW w:w="940" w:type="pct"/>
            <w:vAlign w:val="center"/>
          </w:tcPr>
          <w:p w14:paraId="78846149">
            <w:pPr>
              <w:jc w:val="right"/>
              <w:textAlignment w:val="center"/>
              <w:rPr>
                <w:rFonts w:cs="Times New Roman"/>
                <w:bCs w:val="0"/>
              </w:rPr>
            </w:pPr>
            <w:r>
              <w:rPr>
                <w:rFonts w:eastAsia="Arial Narrow" w:cs="Times New Roman"/>
                <w:color w:val="000000"/>
                <w:lang w:bidi="ar"/>
              </w:rPr>
              <w:t>66,578.59</w:t>
            </w:r>
          </w:p>
        </w:tc>
        <w:tc>
          <w:tcPr>
            <w:tcW w:w="1095" w:type="pct"/>
            <w:vAlign w:val="center"/>
          </w:tcPr>
          <w:p w14:paraId="469AB56F">
            <w:pPr>
              <w:jc w:val="right"/>
              <w:textAlignment w:val="center"/>
              <w:rPr>
                <w:rFonts w:cs="Times New Roman"/>
                <w:bCs w:val="0"/>
              </w:rPr>
            </w:pPr>
            <w:r>
              <w:rPr>
                <w:rFonts w:hint="eastAsia" w:cs="Times New Roman"/>
                <w:color w:val="000000"/>
                <w:lang w:bidi="ar"/>
              </w:rPr>
              <w:t>66,578.59</w:t>
            </w:r>
          </w:p>
        </w:tc>
        <w:tc>
          <w:tcPr>
            <w:tcW w:w="1027" w:type="pct"/>
            <w:vAlign w:val="center"/>
          </w:tcPr>
          <w:p w14:paraId="056E0831">
            <w:pPr>
              <w:widowControl w:val="0"/>
              <w:jc w:val="center"/>
              <w:rPr>
                <w:rFonts w:cs="Times New Roman"/>
                <w:bCs w:val="0"/>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467" w:type="pct"/>
            <w:vAlign w:val="center"/>
          </w:tcPr>
          <w:p w14:paraId="7894551D">
            <w:pPr>
              <w:widowControl w:val="0"/>
              <w:jc w:val="center"/>
              <w:rPr>
                <w:bCs w:val="0"/>
                <w:color w:val="000000" w:themeColor="text1"/>
                <w14:textFill>
                  <w14:solidFill>
                    <w14:schemeClr w14:val="tx1"/>
                  </w14:solidFill>
                </w14:textFill>
              </w:rPr>
            </w:pPr>
            <w:r>
              <w:rPr>
                <w:color w:val="000000" w:themeColor="text1"/>
                <w14:textFill>
                  <w14:solidFill>
                    <w14:schemeClr w14:val="tx1"/>
                  </w14:solidFill>
                </w14:textFill>
              </w:rPr>
              <w:t>/</w:t>
            </w:r>
          </w:p>
        </w:tc>
      </w:tr>
    </w:tbl>
    <w:p w14:paraId="302F83E5">
      <w:pPr>
        <w:rPr>
          <w:color w:val="000000" w:themeColor="text1"/>
          <w14:textFill>
            <w14:solidFill>
              <w14:schemeClr w14:val="tx1"/>
            </w14:solidFill>
          </w14:textFill>
        </w:rPr>
      </w:pPr>
    </w:p>
    <w:bookmarkEnd w:id="72"/>
    <w:p w14:paraId="51FF9B71">
      <w:pPr>
        <w:pStyle w:val="4"/>
        <w:numPr>
          <w:ilvl w:val="0"/>
          <w:numId w:val="25"/>
        </w:numPr>
        <w:tabs>
          <w:tab w:val="left" w:pos="360"/>
        </w:tabs>
        <w:ind w:left="450" w:hanging="450"/>
        <w:rPr>
          <w:rFonts w:ascii="宋体" w:hAnsi="宋体"/>
          <w:color w:val="000000" w:themeColor="text1"/>
          <w14:textFill>
            <w14:solidFill>
              <w14:schemeClr w14:val="tx1"/>
            </w14:solidFill>
          </w14:textFill>
        </w:rPr>
      </w:pPr>
      <w:bookmarkStart w:id="73" w:name="_Hlk90391874"/>
      <w:r>
        <w:rPr>
          <w:rFonts w:hint="eastAsia" w:ascii="宋体" w:hAnsi="宋体"/>
          <w:color w:val="000000" w:themeColor="text1"/>
          <w14:textFill>
            <w14:solidFill>
              <w14:schemeClr w14:val="tx1"/>
            </w14:solidFill>
          </w14:textFill>
        </w:rPr>
        <w:t>报告期内募投变更或终止情况</w:t>
      </w:r>
    </w:p>
    <w:sdt>
      <w:sdtPr>
        <w:rPr>
          <w:color w:val="000000" w:themeColor="text1"/>
          <w14:textFill>
            <w14:solidFill>
              <w14:schemeClr w14:val="tx1"/>
            </w14:solidFill>
          </w14:textFill>
        </w:rPr>
        <w:alias w:val="是否适用：报告期内募投变更情况  [双击切换]"/>
        <w:tag w:val="_GBC_8231ad1a0c034cb4a4249fecfe8a81b1"/>
        <w:id w:val="147466627"/>
        <w:placeholder>
          <w:docPart w:val="{d8014d7a-cba5-4a66-9d59-c514dac73ae3}"/>
        </w:placeholder>
      </w:sdtPr>
      <w:sdtEndPr>
        <w:rPr>
          <w:color w:val="000000" w:themeColor="text1"/>
          <w14:textFill>
            <w14:solidFill>
              <w14:schemeClr w14:val="tx1"/>
            </w14:solidFill>
          </w14:textFill>
        </w:rPr>
      </w:sdtEndPr>
      <w:sdtContent>
        <w:p w14:paraId="0143441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592899">
      <w:pPr>
        <w:jc w:val="right"/>
        <w:rPr>
          <w:color w:val="000000" w:themeColor="text1"/>
          <w14:textFill>
            <w14:solidFill>
              <w14:schemeClr w14:val="tx1"/>
            </w14:solidFill>
          </w14:textFill>
        </w:rPr>
      </w:pPr>
    </w:p>
    <w:p w14:paraId="741BC38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内募投变更或终止情况"/>
          <w:tag w:val="_GBC_724f73fdfebb4231a8680c4391128ed0"/>
          <w:id w:val="147482896"/>
          <w:placeholder>
            <w:docPart w:val="{d8014d7a-cba5-4a66-9d59-c514dac73ae3}"/>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863"/>
        <w:gridCol w:w="635"/>
        <w:gridCol w:w="1198"/>
        <w:gridCol w:w="1176"/>
        <w:gridCol w:w="745"/>
        <w:gridCol w:w="4492"/>
        <w:gridCol w:w="1175"/>
        <w:gridCol w:w="2782"/>
      </w:tblGrid>
      <w:tr w14:paraId="0A33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sdt>
          <w:sdtPr>
            <w:rPr>
              <w:sz w:val="18"/>
              <w:szCs w:val="18"/>
            </w:rPr>
            <w:tag w:val="_PLD_5cd385a20c894d95871254e10485ce04"/>
            <w:id w:val="147476244"/>
          </w:sdtPr>
          <w:sdtEndPr>
            <w:rPr>
              <w:sz w:val="18"/>
              <w:szCs w:val="18"/>
            </w:rPr>
          </w:sdtEndPr>
          <w:sdtContent>
            <w:tc>
              <w:tcPr>
                <w:tcW w:w="363" w:type="pct"/>
                <w:vAlign w:val="center"/>
              </w:tcPr>
              <w:p w14:paraId="31B0A9BC">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变更前项目名称</w:t>
                </w:r>
              </w:p>
            </w:tc>
          </w:sdtContent>
        </w:sdt>
        <w:sdt>
          <w:sdtPr>
            <w:rPr>
              <w:sz w:val="18"/>
              <w:szCs w:val="18"/>
            </w:rPr>
            <w:tag w:val="_PLD_1efee2e0d12b4d7da3bb6eee45d4466c"/>
            <w:id w:val="147479638"/>
          </w:sdtPr>
          <w:sdtEndPr>
            <w:rPr>
              <w:sz w:val="18"/>
              <w:szCs w:val="18"/>
            </w:rPr>
          </w:sdtEndPr>
          <w:sdtContent>
            <w:tc>
              <w:tcPr>
                <w:tcW w:w="306" w:type="pct"/>
                <w:vAlign w:val="center"/>
              </w:tcPr>
              <w:p w14:paraId="6AB518AC">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变更时间（首次公告披露时间）</w:t>
                </w:r>
              </w:p>
            </w:tc>
          </w:sdtContent>
        </w:sdt>
        <w:sdt>
          <w:sdtPr>
            <w:rPr>
              <w:sz w:val="18"/>
              <w:szCs w:val="18"/>
            </w:rPr>
            <w:tag w:val="_PLD_01aa520624694460a3d2a50e14c11d79"/>
            <w:id w:val="147467956"/>
          </w:sdtPr>
          <w:sdtEndPr>
            <w:rPr>
              <w:sz w:val="18"/>
              <w:szCs w:val="18"/>
            </w:rPr>
          </w:sdtEndPr>
          <w:sdtContent>
            <w:tc>
              <w:tcPr>
                <w:tcW w:w="225" w:type="pct"/>
                <w:vAlign w:val="center"/>
              </w:tcPr>
              <w:p w14:paraId="248553DD">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变更类型</w:t>
                </w:r>
              </w:p>
            </w:tc>
          </w:sdtContent>
        </w:sdt>
        <w:sdt>
          <w:sdtPr>
            <w:rPr>
              <w:sz w:val="18"/>
              <w:szCs w:val="18"/>
            </w:rPr>
            <w:tag w:val="_PLD_f484aff688404178a2b2d192558bab27"/>
            <w:id w:val="147480829"/>
          </w:sdtPr>
          <w:sdtEndPr>
            <w:rPr>
              <w:sz w:val="18"/>
              <w:szCs w:val="18"/>
            </w:rPr>
          </w:sdtEndPr>
          <w:sdtContent>
            <w:tc>
              <w:tcPr>
                <w:tcW w:w="425" w:type="pct"/>
                <w:vAlign w:val="center"/>
              </w:tcPr>
              <w:p w14:paraId="4D772849">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w:t>
                </w:r>
                <w:r>
                  <w:rPr>
                    <w:color w:val="000000" w:themeColor="text1"/>
                    <w:sz w:val="18"/>
                    <w:szCs w:val="18"/>
                    <w14:textFill>
                      <w14:solidFill>
                        <w14:schemeClr w14:val="tx1"/>
                      </w14:solidFill>
                    </w14:textFill>
                  </w:rPr>
                  <w:t>/终止前项目募集资金投资总额</w:t>
                </w:r>
              </w:p>
            </w:tc>
          </w:sdtContent>
        </w:sdt>
        <w:sdt>
          <w:sdtPr>
            <w:rPr>
              <w:sz w:val="18"/>
              <w:szCs w:val="18"/>
            </w:rPr>
            <w:tag w:val="_PLD_a5c0f00563bd4f4dbe74e18841373e9b"/>
            <w:id w:val="147474052"/>
          </w:sdtPr>
          <w:sdtEndPr>
            <w:rPr>
              <w:sz w:val="18"/>
              <w:szCs w:val="18"/>
            </w:rPr>
          </w:sdtEndPr>
          <w:sdtContent>
            <w:tc>
              <w:tcPr>
                <w:tcW w:w="417" w:type="pct"/>
                <w:vAlign w:val="center"/>
              </w:tcPr>
              <w:p w14:paraId="287F3640">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w:t>
                </w:r>
                <w:r>
                  <w:rPr>
                    <w:color w:val="000000" w:themeColor="text1"/>
                    <w:sz w:val="18"/>
                    <w:szCs w:val="18"/>
                    <w14:textFill>
                      <w14:solidFill>
                        <w14:schemeClr w14:val="tx1"/>
                      </w14:solidFill>
                    </w14:textFill>
                  </w:rPr>
                  <w:t>/终止前项目已投入募</w:t>
                </w:r>
                <w:r>
                  <w:rPr>
                    <w:rFonts w:hint="eastAsia"/>
                    <w:color w:val="000000" w:themeColor="text1"/>
                    <w:sz w:val="18"/>
                    <w:szCs w:val="18"/>
                    <w14:textFill>
                      <w14:solidFill>
                        <w14:schemeClr w14:val="tx1"/>
                      </w14:solidFill>
                    </w14:textFill>
                  </w:rPr>
                  <w:t>集</w:t>
                </w:r>
                <w:r>
                  <w:rPr>
                    <w:color w:val="000000" w:themeColor="text1"/>
                    <w:sz w:val="18"/>
                    <w:szCs w:val="18"/>
                    <w14:textFill>
                      <w14:solidFill>
                        <w14:schemeClr w14:val="tx1"/>
                      </w14:solidFill>
                    </w14:textFill>
                  </w:rPr>
                  <w:t>资金总额</w:t>
                </w:r>
              </w:p>
            </w:tc>
          </w:sdtContent>
        </w:sdt>
        <w:sdt>
          <w:sdtPr>
            <w:rPr>
              <w:sz w:val="18"/>
              <w:szCs w:val="18"/>
            </w:rPr>
            <w:tag w:val="_PLD_3ecb52525c4a4bdca42ca681d68e44a3"/>
            <w:id w:val="147453724"/>
          </w:sdtPr>
          <w:sdtEndPr>
            <w:rPr>
              <w:sz w:val="18"/>
              <w:szCs w:val="18"/>
            </w:rPr>
          </w:sdtEndPr>
          <w:sdtContent>
            <w:tc>
              <w:tcPr>
                <w:tcW w:w="264" w:type="pct"/>
                <w:vAlign w:val="center"/>
              </w:tcPr>
              <w:p w14:paraId="065FB9F4">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变更后</w:t>
                </w:r>
                <w:r>
                  <w:rPr>
                    <w:color w:val="000000" w:themeColor="text1"/>
                    <w:sz w:val="18"/>
                    <w:szCs w:val="18"/>
                    <w14:textFill>
                      <w14:solidFill>
                        <w14:schemeClr w14:val="tx1"/>
                      </w14:solidFill>
                    </w14:textFill>
                  </w:rPr>
                  <w:t>项目名称</w:t>
                </w:r>
              </w:p>
            </w:tc>
          </w:sdtContent>
        </w:sdt>
        <w:sdt>
          <w:sdtPr>
            <w:rPr>
              <w:sz w:val="18"/>
              <w:szCs w:val="18"/>
            </w:rPr>
            <w:tag w:val="_PLD_2b30ac61e393444cba435ff32d938fae"/>
            <w:id w:val="147455712"/>
          </w:sdtPr>
          <w:sdtEndPr>
            <w:rPr>
              <w:sz w:val="18"/>
              <w:szCs w:val="18"/>
            </w:rPr>
          </w:sdtEndPr>
          <w:sdtContent>
            <w:tc>
              <w:tcPr>
                <w:tcW w:w="1592" w:type="pct"/>
                <w:noWrap/>
                <w:vAlign w:val="center"/>
              </w:tcPr>
              <w:p w14:paraId="2554C28A">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变更/终止原因</w:t>
                </w:r>
              </w:p>
            </w:tc>
          </w:sdtContent>
        </w:sdt>
        <w:sdt>
          <w:sdtPr>
            <w:rPr>
              <w:sz w:val="18"/>
              <w:szCs w:val="18"/>
            </w:rPr>
            <w:tag w:val="_PLD_a57ba4aa0fbe48aa8b1f9b5e9ffa7ff4"/>
            <w:id w:val="147465151"/>
          </w:sdtPr>
          <w:sdtEndPr>
            <w:rPr>
              <w:sz w:val="18"/>
              <w:szCs w:val="18"/>
            </w:rPr>
          </w:sdtEndPr>
          <w:sdtContent>
            <w:tc>
              <w:tcPr>
                <w:tcW w:w="417" w:type="pct"/>
                <w:vAlign w:val="center"/>
              </w:tcPr>
              <w:p w14:paraId="129C976E">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变更</w:t>
                </w:r>
                <w:r>
                  <w:rPr>
                    <w:color w:val="000000" w:themeColor="text1"/>
                    <w:sz w:val="18"/>
                    <w:szCs w:val="18"/>
                    <w14:textFill>
                      <w14:solidFill>
                        <w14:schemeClr w14:val="tx1"/>
                      </w14:solidFill>
                    </w14:textFill>
                  </w:rPr>
                  <w:t>/终止后用于补流的募集资金金额</w:t>
                </w:r>
              </w:p>
            </w:tc>
          </w:sdtContent>
        </w:sdt>
        <w:sdt>
          <w:sdtPr>
            <w:rPr>
              <w:sz w:val="18"/>
              <w:szCs w:val="18"/>
            </w:rPr>
            <w:tag w:val="_PLD_81537ea8fa2649b58aed610bdcb57ae6"/>
            <w:id w:val="147465772"/>
          </w:sdtPr>
          <w:sdtEndPr>
            <w:rPr>
              <w:sz w:val="18"/>
              <w:szCs w:val="18"/>
            </w:rPr>
          </w:sdtEndPr>
          <w:sdtContent>
            <w:tc>
              <w:tcPr>
                <w:tcW w:w="986" w:type="pct"/>
                <w:vAlign w:val="center"/>
              </w:tcPr>
              <w:p w14:paraId="1DA10F79">
                <w:pPr>
                  <w:jc w:val="center"/>
                  <w:rPr>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决策</w:t>
                </w:r>
                <w:r>
                  <w:rPr>
                    <w:color w:val="000000" w:themeColor="text1"/>
                    <w:sz w:val="18"/>
                    <w:szCs w:val="18"/>
                    <w14:textFill>
                      <w14:solidFill>
                        <w14:schemeClr w14:val="tx1"/>
                      </w14:solidFill>
                    </w14:textFill>
                  </w:rPr>
                  <w:t>程序及</w:t>
                </w:r>
                <w:r>
                  <w:rPr>
                    <w:rFonts w:hint="eastAsia"/>
                    <w:color w:val="000000" w:themeColor="text1"/>
                    <w:sz w:val="18"/>
                    <w:szCs w:val="18"/>
                    <w14:textFill>
                      <w14:solidFill>
                        <w14:schemeClr w14:val="tx1"/>
                      </w14:solidFill>
                    </w14:textFill>
                  </w:rPr>
                  <w:t>信息披露情况说明</w:t>
                </w:r>
              </w:p>
            </w:tc>
          </w:sdtContent>
        </w:sdt>
      </w:tr>
      <w:tr w14:paraId="3C08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6" w:hRule="atLeast"/>
          <w:jc w:val="center"/>
        </w:trPr>
        <w:tc>
          <w:tcPr>
            <w:tcW w:w="363" w:type="pct"/>
            <w:vAlign w:val="center"/>
          </w:tcPr>
          <w:p w14:paraId="069BF9B9">
            <w:pPr>
              <w:jc w:val="center"/>
              <w:textAlignment w:val="center"/>
              <w:rPr>
                <w:bCs w:val="0"/>
                <w:sz w:val="18"/>
                <w:szCs w:val="18"/>
              </w:rPr>
            </w:pPr>
            <w:r>
              <w:rPr>
                <w:rFonts w:hint="eastAsia" w:ascii="宋体" w:hAnsi="宋体"/>
                <w:color w:val="000000"/>
                <w:sz w:val="18"/>
                <w:szCs w:val="18"/>
                <w:lang w:bidi="ar"/>
              </w:rPr>
              <w:t>际华长春目的地中心项目一期</w:t>
            </w:r>
          </w:p>
        </w:tc>
        <w:tc>
          <w:tcPr>
            <w:tcW w:w="306" w:type="pct"/>
            <w:vAlign w:val="center"/>
          </w:tcPr>
          <w:p w14:paraId="33310DF1">
            <w:pPr>
              <w:jc w:val="center"/>
              <w:textAlignment w:val="center"/>
              <w:rPr>
                <w:bCs w:val="0"/>
                <w:sz w:val="18"/>
                <w:szCs w:val="18"/>
              </w:rPr>
            </w:pPr>
            <w:r>
              <w:rPr>
                <w:rFonts w:hint="eastAsia" w:ascii="宋体" w:hAnsi="宋体"/>
                <w:color w:val="000000"/>
                <w:sz w:val="18"/>
                <w:szCs w:val="18"/>
                <w:lang w:bidi="ar"/>
              </w:rPr>
              <w:t>2025年1月25日</w:t>
            </w:r>
          </w:p>
        </w:tc>
        <w:sdt>
          <w:sdtPr>
            <w:rPr>
              <w:bCs w:val="0"/>
              <w:color w:val="000000" w:themeColor="text1"/>
              <w:sz w:val="18"/>
              <w:szCs w:val="18"/>
              <w14:textFill>
                <w14:solidFill>
                  <w14:schemeClr w14:val="tx1"/>
                </w14:solidFill>
              </w14:textFill>
            </w:rPr>
            <w:alias w:val="报告期内募投变更情况明细_变更类型"/>
            <w:tag w:val="_GBC_85c4e6f30fd5451b94ed4d9f32ccd2c4"/>
            <w:id w:val="147462931"/>
            <w:comboBox>
              <w:listItem w:displayText="取消项目" w:value="取消项目"/>
              <w:listItem w:displayText="调减募集资金投资金额" w:value="调减募集资金投资金额"/>
              <w:listItem w:displayText="调增募集资金投资金额" w:value="调增募集资金投资金额"/>
            </w:comboBox>
          </w:sdtPr>
          <w:sdtEndPr>
            <w:rPr>
              <w:bCs w:val="0"/>
              <w:color w:val="000000" w:themeColor="text1"/>
              <w:sz w:val="18"/>
              <w:szCs w:val="18"/>
              <w14:textFill>
                <w14:solidFill>
                  <w14:schemeClr w14:val="tx1"/>
                </w14:solidFill>
              </w14:textFill>
            </w:rPr>
          </w:sdtEndPr>
          <w:sdtContent>
            <w:tc>
              <w:tcPr>
                <w:tcW w:w="225" w:type="pct"/>
                <w:vAlign w:val="center"/>
              </w:tcPr>
              <w:p w14:paraId="6BD1B49A">
                <w:pPr>
                  <w:jc w:val="center"/>
                  <w:rPr>
                    <w:bCs w:val="0"/>
                    <w:color w:val="000000" w:themeColor="text1"/>
                    <w:sz w:val="18"/>
                    <w:szCs w:val="18"/>
                    <w14:textFill>
                      <w14:solidFill>
                        <w14:schemeClr w14:val="tx1"/>
                      </w14:solidFill>
                    </w14:textFill>
                  </w:rPr>
                </w:pPr>
                <w:r>
                  <w:rPr>
                    <w:bCs w:val="0"/>
                    <w:color w:val="000000" w:themeColor="text1"/>
                    <w:sz w:val="18"/>
                    <w:szCs w:val="18"/>
                    <w14:textFill>
                      <w14:solidFill>
                        <w14:schemeClr w14:val="tx1"/>
                      </w14:solidFill>
                    </w14:textFill>
                  </w:rPr>
                  <w:t>取消项目</w:t>
                </w:r>
              </w:p>
            </w:tc>
          </w:sdtContent>
        </w:sdt>
        <w:tc>
          <w:tcPr>
            <w:tcW w:w="425" w:type="pct"/>
            <w:vAlign w:val="center"/>
          </w:tcPr>
          <w:p w14:paraId="4D91EC38">
            <w:pPr>
              <w:jc w:val="center"/>
              <w:textAlignment w:val="center"/>
              <w:rPr>
                <w:rFonts w:cs="Times New Roman"/>
                <w:bCs w:val="0"/>
                <w:sz w:val="18"/>
                <w:szCs w:val="18"/>
              </w:rPr>
            </w:pPr>
            <w:r>
              <w:rPr>
                <w:rFonts w:cs="Times New Roman"/>
                <w:color w:val="000000"/>
                <w:sz w:val="18"/>
                <w:szCs w:val="18"/>
                <w:lang w:bidi="ar"/>
              </w:rPr>
              <w:t xml:space="preserve"> 70,128.42 </w:t>
            </w:r>
          </w:p>
        </w:tc>
        <w:tc>
          <w:tcPr>
            <w:tcW w:w="417" w:type="pct"/>
            <w:vAlign w:val="center"/>
          </w:tcPr>
          <w:p w14:paraId="0A0738A8">
            <w:pPr>
              <w:jc w:val="center"/>
              <w:textAlignment w:val="center"/>
              <w:rPr>
                <w:rFonts w:cs="Times New Roman"/>
                <w:bCs w:val="0"/>
                <w:sz w:val="18"/>
                <w:szCs w:val="18"/>
              </w:rPr>
            </w:pPr>
            <w:r>
              <w:rPr>
                <w:rFonts w:cs="Times New Roman"/>
                <w:color w:val="000000"/>
                <w:sz w:val="18"/>
                <w:szCs w:val="18"/>
                <w:lang w:bidi="ar"/>
              </w:rPr>
              <w:t xml:space="preserve"> 70,128.42 </w:t>
            </w:r>
          </w:p>
        </w:tc>
        <w:tc>
          <w:tcPr>
            <w:tcW w:w="264" w:type="pct"/>
            <w:vAlign w:val="center"/>
          </w:tcPr>
          <w:p w14:paraId="0CED8E9D">
            <w:pPr>
              <w:rPr>
                <w:bCs w:val="0"/>
                <w:sz w:val="18"/>
                <w:szCs w:val="18"/>
              </w:rPr>
            </w:pPr>
          </w:p>
        </w:tc>
        <w:tc>
          <w:tcPr>
            <w:tcW w:w="1592" w:type="pct"/>
            <w:noWrap/>
            <w:vAlign w:val="center"/>
          </w:tcPr>
          <w:p w14:paraId="24FDA67C">
            <w:pPr>
              <w:rPr>
                <w:bCs w:val="0"/>
                <w:sz w:val="18"/>
                <w:szCs w:val="18"/>
              </w:rPr>
            </w:pPr>
            <w:r>
              <w:rPr>
                <w:rFonts w:hint="eastAsia"/>
                <w:bCs w:val="0"/>
                <w:sz w:val="18"/>
                <w:szCs w:val="18"/>
              </w:rPr>
              <w:t>际华园项目为商业地产相关项目，系公司于2014年、2015年结合当时市场环境、行业趋势预测及公司“强二进三”战略规划等因素制定。2024年国内房地产，特别是商业地产领域下行明显，公司全力采取措施对际华园项目进行专业化盘活，结合当前行业发展形势，盘活工作难度增大。根据公司聚焦主业发展战略，公司计划集聚资源和力量打造功能性防护性材料的引领者和中国最具竞争力的职业装引领者，加大科技研发投入，加强品牌赋能，提升产品研发创新能力和市场开发能力。结合“保军、应急、为民”战略使命，公司将进行专业化调整，拟退出际华园项目，并择机进行处置。</w:t>
            </w:r>
          </w:p>
        </w:tc>
        <w:tc>
          <w:tcPr>
            <w:tcW w:w="417" w:type="pct"/>
            <w:vAlign w:val="center"/>
          </w:tcPr>
          <w:p w14:paraId="4451C98B">
            <w:pPr>
              <w:jc w:val="center"/>
              <w:rPr>
                <w:bCs w:val="0"/>
                <w:sz w:val="18"/>
                <w:szCs w:val="18"/>
              </w:rPr>
            </w:pPr>
          </w:p>
        </w:tc>
        <w:tc>
          <w:tcPr>
            <w:tcW w:w="986" w:type="pct"/>
            <w:vAlign w:val="center"/>
          </w:tcPr>
          <w:p w14:paraId="053734C4">
            <w:pPr>
              <w:rPr>
                <w:bCs w:val="0"/>
                <w:sz w:val="18"/>
                <w:szCs w:val="18"/>
              </w:rPr>
            </w:pPr>
            <w:r>
              <w:rPr>
                <w:rFonts w:hint="eastAsia"/>
                <w:bCs w:val="0"/>
                <w:sz w:val="18"/>
                <w:szCs w:val="18"/>
              </w:rPr>
              <w:t>1、2025年1月24日，公司第六届董事会第九次会议审议通过了关于《终止部分募投项目并将剩余募集资金永久补充流动资金》的议案，并于2025年1月25日披露《关于终止部分募投项目并将剩余募集资金永久补充流动资金的公告》。</w:t>
            </w:r>
          </w:p>
          <w:p w14:paraId="44C46E3C">
            <w:pPr>
              <w:rPr>
                <w:bCs w:val="0"/>
                <w:sz w:val="18"/>
                <w:szCs w:val="18"/>
              </w:rPr>
            </w:pPr>
            <w:r>
              <w:rPr>
                <w:rFonts w:hint="eastAsia"/>
                <w:bCs w:val="0"/>
                <w:sz w:val="18"/>
                <w:szCs w:val="18"/>
              </w:rPr>
              <w:t>2、2025年3月21日，公司2025年第一次临时股东大会审议通过了关于《终止部分募投项目并将剩余募集资金永久补充流动资金》的议案，并于2025年3月22日披露《际华集团2025年第一次临时股东大会决议公告》。</w:t>
            </w:r>
          </w:p>
        </w:tc>
      </w:tr>
      <w:tr w14:paraId="3E2E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1" w:hRule="atLeast"/>
          <w:jc w:val="center"/>
        </w:trPr>
        <w:tc>
          <w:tcPr>
            <w:tcW w:w="363" w:type="pct"/>
            <w:vAlign w:val="center"/>
          </w:tcPr>
          <w:p w14:paraId="69FBB391">
            <w:pPr>
              <w:jc w:val="center"/>
              <w:textAlignment w:val="center"/>
              <w:rPr>
                <w:bCs w:val="0"/>
                <w:sz w:val="18"/>
                <w:szCs w:val="18"/>
              </w:rPr>
            </w:pPr>
            <w:r>
              <w:rPr>
                <w:rFonts w:hint="eastAsia" w:ascii="宋体" w:hAnsi="宋体"/>
                <w:color w:val="000000"/>
                <w:sz w:val="18"/>
                <w:szCs w:val="18"/>
                <w:lang w:bidi="ar"/>
              </w:rPr>
              <w:t>重庆际华目的地中心项目一期二阶段</w:t>
            </w:r>
          </w:p>
        </w:tc>
        <w:tc>
          <w:tcPr>
            <w:tcW w:w="306" w:type="pct"/>
            <w:vAlign w:val="center"/>
          </w:tcPr>
          <w:p w14:paraId="29EEB8E1">
            <w:pPr>
              <w:jc w:val="center"/>
              <w:textAlignment w:val="center"/>
              <w:rPr>
                <w:bCs w:val="0"/>
                <w:sz w:val="18"/>
                <w:szCs w:val="18"/>
              </w:rPr>
            </w:pPr>
            <w:r>
              <w:rPr>
                <w:rFonts w:hint="eastAsia" w:ascii="宋体" w:hAnsi="宋体"/>
                <w:color w:val="000000"/>
                <w:sz w:val="18"/>
                <w:szCs w:val="18"/>
                <w:lang w:bidi="ar"/>
              </w:rPr>
              <w:t>2025年1月25日</w:t>
            </w:r>
          </w:p>
        </w:tc>
        <w:tc>
          <w:tcPr>
            <w:tcW w:w="225" w:type="pct"/>
            <w:vAlign w:val="center"/>
          </w:tcPr>
          <w:p w14:paraId="5B602C1D">
            <w:pPr>
              <w:jc w:val="center"/>
              <w:textAlignment w:val="center"/>
              <w:rPr>
                <w:color w:val="000000" w:themeColor="text1"/>
                <w:sz w:val="18"/>
                <w:szCs w:val="18"/>
                <w14:textFill>
                  <w14:solidFill>
                    <w14:schemeClr w14:val="tx1"/>
                  </w14:solidFill>
                </w14:textFill>
              </w:rPr>
            </w:pPr>
            <w:r>
              <w:rPr>
                <w:rFonts w:hint="eastAsia" w:ascii="宋体" w:hAnsi="宋体"/>
                <w:color w:val="000000"/>
                <w:sz w:val="18"/>
                <w:szCs w:val="18"/>
                <w:lang w:bidi="ar"/>
              </w:rPr>
              <w:t>取消项目</w:t>
            </w:r>
          </w:p>
        </w:tc>
        <w:tc>
          <w:tcPr>
            <w:tcW w:w="425" w:type="pct"/>
            <w:vAlign w:val="center"/>
          </w:tcPr>
          <w:p w14:paraId="678D29F8">
            <w:pPr>
              <w:jc w:val="center"/>
              <w:textAlignment w:val="center"/>
              <w:rPr>
                <w:rFonts w:cs="Times New Roman"/>
                <w:bCs w:val="0"/>
                <w:sz w:val="18"/>
                <w:szCs w:val="18"/>
              </w:rPr>
            </w:pPr>
            <w:r>
              <w:rPr>
                <w:rFonts w:cs="Times New Roman"/>
                <w:color w:val="000000"/>
                <w:sz w:val="18"/>
                <w:szCs w:val="18"/>
                <w:lang w:bidi="ar"/>
              </w:rPr>
              <w:t xml:space="preserve"> 45,000.00 </w:t>
            </w:r>
          </w:p>
        </w:tc>
        <w:tc>
          <w:tcPr>
            <w:tcW w:w="417" w:type="pct"/>
            <w:vAlign w:val="center"/>
          </w:tcPr>
          <w:p w14:paraId="0F022759">
            <w:pPr>
              <w:jc w:val="center"/>
              <w:textAlignment w:val="center"/>
              <w:rPr>
                <w:rFonts w:cs="Times New Roman"/>
                <w:bCs w:val="0"/>
                <w:sz w:val="18"/>
                <w:szCs w:val="18"/>
              </w:rPr>
            </w:pPr>
            <w:r>
              <w:rPr>
                <w:rFonts w:cs="Times New Roman"/>
                <w:color w:val="000000"/>
                <w:sz w:val="18"/>
                <w:szCs w:val="18"/>
                <w:lang w:bidi="ar"/>
              </w:rPr>
              <w:t xml:space="preserve"> 24,615.65 </w:t>
            </w:r>
          </w:p>
        </w:tc>
        <w:tc>
          <w:tcPr>
            <w:tcW w:w="264" w:type="pct"/>
            <w:vAlign w:val="center"/>
          </w:tcPr>
          <w:p w14:paraId="7B494BA4">
            <w:pPr>
              <w:rPr>
                <w:bCs w:val="0"/>
                <w:sz w:val="18"/>
                <w:szCs w:val="18"/>
              </w:rPr>
            </w:pPr>
          </w:p>
        </w:tc>
        <w:tc>
          <w:tcPr>
            <w:tcW w:w="1592" w:type="pct"/>
            <w:noWrap/>
            <w:vAlign w:val="center"/>
          </w:tcPr>
          <w:p w14:paraId="67AB4D47">
            <w:pPr>
              <w:rPr>
                <w:bCs w:val="0"/>
                <w:sz w:val="18"/>
                <w:szCs w:val="18"/>
              </w:rPr>
            </w:pPr>
            <w:r>
              <w:rPr>
                <w:rFonts w:hint="eastAsia"/>
                <w:bCs w:val="0"/>
                <w:sz w:val="18"/>
                <w:szCs w:val="18"/>
              </w:rPr>
              <w:t>际华园项目为商业地产相关项目，系公司于2014年、2015年结合当时市场环境、行业趋势预测及公司“强二进三”战略规划等因素制定。2024年国内房地产，特别是商业地产领域下行明显，公司全力采取措施对际华园项目进行专业化盘活，结合当前行业发展形势，盘活工作难度增大。根据公司聚焦主业发展战略，公司计划集聚资源和力量打造功能性防护性材料的引领者和中国最具竞争力的职业装引领者，加大科技研发投入，加强品牌赋能，提升产品研发创新能力和市场开发能力。结合“保军、应急、为民”战略使命，公司将进行专业化调整，拟退出际华园项目，并择机进行处置。</w:t>
            </w:r>
          </w:p>
          <w:p w14:paraId="332370C6">
            <w:pPr>
              <w:rPr>
                <w:bCs w:val="0"/>
                <w:sz w:val="18"/>
                <w:szCs w:val="18"/>
              </w:rPr>
            </w:pPr>
            <w:r>
              <w:rPr>
                <w:rFonts w:hint="eastAsia"/>
                <w:bCs w:val="0"/>
                <w:sz w:val="18"/>
                <w:szCs w:val="18"/>
              </w:rPr>
              <w:t>首次公开发行股票中的“际华重庆目的地中心项目一期”项目经营相同类型业务，该项目募集资金已投入完毕并于2018年12月达到预定可使用状态，未来公司也将持续评估并拟择机进行处置。</w:t>
            </w:r>
          </w:p>
        </w:tc>
        <w:tc>
          <w:tcPr>
            <w:tcW w:w="417" w:type="pct"/>
            <w:vAlign w:val="center"/>
          </w:tcPr>
          <w:p w14:paraId="167B0109">
            <w:pPr>
              <w:jc w:val="center"/>
              <w:textAlignment w:val="center"/>
              <w:rPr>
                <w:bCs w:val="0"/>
                <w:sz w:val="18"/>
                <w:szCs w:val="18"/>
              </w:rPr>
            </w:pPr>
            <w:r>
              <w:rPr>
                <w:rFonts w:hint="eastAsia" w:ascii="宋体" w:hAnsi="宋体"/>
                <w:color w:val="000000"/>
                <w:sz w:val="18"/>
                <w:szCs w:val="18"/>
                <w:lang w:bidi="ar"/>
              </w:rPr>
              <w:t xml:space="preserve"> 20,384.35 </w:t>
            </w:r>
          </w:p>
        </w:tc>
        <w:tc>
          <w:tcPr>
            <w:tcW w:w="986" w:type="pct"/>
            <w:vAlign w:val="center"/>
          </w:tcPr>
          <w:p w14:paraId="767AECFA">
            <w:pPr>
              <w:rPr>
                <w:bCs w:val="0"/>
                <w:sz w:val="18"/>
                <w:szCs w:val="18"/>
              </w:rPr>
            </w:pPr>
            <w:r>
              <w:rPr>
                <w:rFonts w:hint="eastAsia"/>
                <w:bCs w:val="0"/>
                <w:sz w:val="18"/>
                <w:szCs w:val="18"/>
              </w:rPr>
              <w:t>1、2025年1月24日，公司第六届董事会第九次会议审议通过了关于《终止部分募投项目并将剩余募集资金永久补充流动资金》的议案，并于2025年1月25日披露《关于终止部分募投项目并将剩余募集资金永久补充流动资金的公告》。</w:t>
            </w:r>
          </w:p>
          <w:p w14:paraId="2DA948F4">
            <w:pPr>
              <w:rPr>
                <w:bCs w:val="0"/>
                <w:sz w:val="18"/>
                <w:szCs w:val="18"/>
              </w:rPr>
            </w:pPr>
            <w:r>
              <w:rPr>
                <w:rFonts w:hint="eastAsia"/>
                <w:bCs w:val="0"/>
                <w:sz w:val="18"/>
                <w:szCs w:val="18"/>
              </w:rPr>
              <w:t>2、2025年3月21日，公司2025年第一次临时股东大会审议通过了关于《终止部分募投项目并将剩余募集资金永久补充流动资金》的议案，并于2025年3月22日披露《际华集团2025年第一次临时股东大会决议公告》。</w:t>
            </w:r>
          </w:p>
        </w:tc>
      </w:tr>
      <w:tr w14:paraId="15FA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jc w:val="center"/>
        </w:trPr>
        <w:tc>
          <w:tcPr>
            <w:tcW w:w="363" w:type="pct"/>
            <w:vAlign w:val="center"/>
          </w:tcPr>
          <w:p w14:paraId="63C5E621">
            <w:pPr>
              <w:jc w:val="center"/>
              <w:textAlignment w:val="center"/>
              <w:rPr>
                <w:bCs w:val="0"/>
                <w:sz w:val="18"/>
                <w:szCs w:val="18"/>
              </w:rPr>
            </w:pPr>
            <w:r>
              <w:rPr>
                <w:rFonts w:hint="eastAsia" w:ascii="宋体" w:hAnsi="宋体"/>
                <w:color w:val="000000"/>
                <w:sz w:val="18"/>
                <w:szCs w:val="18"/>
                <w:lang w:bidi="ar"/>
              </w:rPr>
              <w:t>际华园·长春目的地中心一期项目二阶段</w:t>
            </w:r>
          </w:p>
        </w:tc>
        <w:tc>
          <w:tcPr>
            <w:tcW w:w="306" w:type="pct"/>
            <w:vAlign w:val="center"/>
          </w:tcPr>
          <w:p w14:paraId="1CD9DD25">
            <w:pPr>
              <w:jc w:val="center"/>
              <w:textAlignment w:val="center"/>
              <w:rPr>
                <w:bCs w:val="0"/>
                <w:sz w:val="18"/>
                <w:szCs w:val="18"/>
              </w:rPr>
            </w:pPr>
            <w:r>
              <w:rPr>
                <w:rFonts w:hint="eastAsia" w:ascii="宋体" w:hAnsi="宋体"/>
                <w:color w:val="000000"/>
                <w:sz w:val="18"/>
                <w:szCs w:val="18"/>
                <w:lang w:bidi="ar"/>
              </w:rPr>
              <w:t>2025年1月25日</w:t>
            </w:r>
          </w:p>
        </w:tc>
        <w:tc>
          <w:tcPr>
            <w:tcW w:w="225" w:type="pct"/>
            <w:vAlign w:val="center"/>
          </w:tcPr>
          <w:p w14:paraId="043E26E8">
            <w:pPr>
              <w:jc w:val="center"/>
              <w:textAlignment w:val="center"/>
              <w:rPr>
                <w:bCs w:val="0"/>
                <w:color w:val="000000" w:themeColor="text1"/>
                <w:sz w:val="18"/>
                <w:szCs w:val="18"/>
                <w14:textFill>
                  <w14:solidFill>
                    <w14:schemeClr w14:val="tx1"/>
                  </w14:solidFill>
                </w14:textFill>
              </w:rPr>
            </w:pPr>
            <w:r>
              <w:rPr>
                <w:rFonts w:hint="eastAsia" w:ascii="宋体" w:hAnsi="宋体"/>
                <w:color w:val="000000"/>
                <w:sz w:val="18"/>
                <w:szCs w:val="18"/>
                <w:lang w:bidi="ar"/>
              </w:rPr>
              <w:t>取消项目</w:t>
            </w:r>
          </w:p>
        </w:tc>
        <w:tc>
          <w:tcPr>
            <w:tcW w:w="425" w:type="pct"/>
            <w:vAlign w:val="center"/>
          </w:tcPr>
          <w:p w14:paraId="41F0C04C">
            <w:pPr>
              <w:jc w:val="center"/>
              <w:textAlignment w:val="center"/>
              <w:rPr>
                <w:rFonts w:cs="Times New Roman"/>
                <w:bCs w:val="0"/>
                <w:sz w:val="18"/>
                <w:szCs w:val="18"/>
              </w:rPr>
            </w:pPr>
            <w:r>
              <w:rPr>
                <w:rFonts w:cs="Times New Roman"/>
                <w:color w:val="000000"/>
                <w:sz w:val="18"/>
                <w:szCs w:val="18"/>
                <w:lang w:bidi="ar"/>
              </w:rPr>
              <w:t xml:space="preserve"> 45,000.00 </w:t>
            </w:r>
          </w:p>
        </w:tc>
        <w:tc>
          <w:tcPr>
            <w:tcW w:w="417" w:type="pct"/>
            <w:vAlign w:val="center"/>
          </w:tcPr>
          <w:p w14:paraId="220E0FC7">
            <w:pPr>
              <w:jc w:val="center"/>
              <w:textAlignment w:val="center"/>
              <w:rPr>
                <w:rFonts w:cs="Times New Roman"/>
                <w:bCs w:val="0"/>
                <w:sz w:val="18"/>
                <w:szCs w:val="18"/>
              </w:rPr>
            </w:pPr>
            <w:r>
              <w:rPr>
                <w:rFonts w:cs="Times New Roman"/>
                <w:color w:val="000000"/>
                <w:sz w:val="18"/>
                <w:szCs w:val="18"/>
                <w:lang w:bidi="ar"/>
              </w:rPr>
              <w:t xml:space="preserve"> 25,513.71 </w:t>
            </w:r>
          </w:p>
        </w:tc>
        <w:tc>
          <w:tcPr>
            <w:tcW w:w="264" w:type="pct"/>
            <w:vAlign w:val="center"/>
          </w:tcPr>
          <w:p w14:paraId="42592B42">
            <w:pPr>
              <w:rPr>
                <w:bCs w:val="0"/>
                <w:sz w:val="18"/>
                <w:szCs w:val="18"/>
              </w:rPr>
            </w:pPr>
          </w:p>
        </w:tc>
        <w:tc>
          <w:tcPr>
            <w:tcW w:w="1592" w:type="pct"/>
            <w:noWrap/>
            <w:vAlign w:val="center"/>
          </w:tcPr>
          <w:p w14:paraId="6345F400">
            <w:pPr>
              <w:rPr>
                <w:bCs w:val="0"/>
                <w:sz w:val="18"/>
                <w:szCs w:val="18"/>
              </w:rPr>
            </w:pPr>
            <w:r>
              <w:rPr>
                <w:rFonts w:hint="eastAsia"/>
                <w:bCs w:val="0"/>
                <w:sz w:val="18"/>
                <w:szCs w:val="18"/>
              </w:rPr>
              <w:t>际华园项目为商业地产相关项目，系公司于2014年、2015年结合当时市场环境、行业趋势预测及公司“强二进三”战略规划等因素制定。2024年国内房地产，特别是商业地产领域下行明显，公司全力采取措施对际华园项目进行专业化盘活，结合当前行业发展形势，盘活工作难度增大。根据公司聚焦主业发展战略，公司计划集聚资源和力量打造功能性防护性材料的引领者和中国最具竞争力的职业装引领者，加大科技研发投入，加强品牌赋能，提升产品研发创新能力和市场开发能力。结合“保军、应急、为民”战略使命，公司将进行专业化调整，拟退出际华园项目，并择机进行处置。</w:t>
            </w:r>
          </w:p>
        </w:tc>
        <w:tc>
          <w:tcPr>
            <w:tcW w:w="417" w:type="pct"/>
            <w:vAlign w:val="center"/>
          </w:tcPr>
          <w:p w14:paraId="5A1BD341">
            <w:pPr>
              <w:jc w:val="center"/>
              <w:textAlignment w:val="center"/>
              <w:rPr>
                <w:bCs w:val="0"/>
                <w:sz w:val="18"/>
                <w:szCs w:val="18"/>
              </w:rPr>
            </w:pPr>
            <w:r>
              <w:rPr>
                <w:rFonts w:hint="eastAsia" w:ascii="宋体" w:hAnsi="宋体"/>
                <w:color w:val="000000"/>
                <w:sz w:val="18"/>
                <w:szCs w:val="18"/>
                <w:lang w:bidi="ar"/>
              </w:rPr>
              <w:t xml:space="preserve"> 19,486.29 </w:t>
            </w:r>
          </w:p>
        </w:tc>
        <w:tc>
          <w:tcPr>
            <w:tcW w:w="986" w:type="pct"/>
            <w:vAlign w:val="center"/>
          </w:tcPr>
          <w:p w14:paraId="279B391C">
            <w:pPr>
              <w:rPr>
                <w:bCs w:val="0"/>
                <w:sz w:val="18"/>
                <w:szCs w:val="18"/>
              </w:rPr>
            </w:pPr>
            <w:r>
              <w:rPr>
                <w:rFonts w:hint="eastAsia"/>
                <w:bCs w:val="0"/>
                <w:sz w:val="18"/>
                <w:szCs w:val="18"/>
              </w:rPr>
              <w:t>1、2025年1月24日，公司第六届董事会第九次会议审议通过了关于《终止部分募投项目并将剩余募集资金永久补充流动资金》的议案，并于2025年1月25日披露《关于终止部分募投项目并将剩余募集资金永久补充流动资金的公告》。</w:t>
            </w:r>
          </w:p>
          <w:p w14:paraId="5963DF91">
            <w:pPr>
              <w:rPr>
                <w:bCs w:val="0"/>
                <w:sz w:val="18"/>
                <w:szCs w:val="18"/>
              </w:rPr>
            </w:pPr>
            <w:r>
              <w:rPr>
                <w:rFonts w:hint="eastAsia"/>
                <w:bCs w:val="0"/>
                <w:sz w:val="18"/>
                <w:szCs w:val="18"/>
              </w:rPr>
              <w:t>2、2025年3月21日，公司2025年第一次临时股东大会审议通过了关于《终止部分募投项目并将剩余募集资金永久补充流动资金》的议案，并于2025年3月22日披露《际华集团2025年第一次临时股东大会决议公告》。</w:t>
            </w:r>
          </w:p>
        </w:tc>
      </w:tr>
    </w:tbl>
    <w:p w14:paraId="5AFC5CE0">
      <w:pPr>
        <w:rPr>
          <w:color w:val="000000" w:themeColor="text1"/>
          <w14:textFill>
            <w14:solidFill>
              <w14:schemeClr w14:val="tx1"/>
            </w14:solidFill>
          </w14:textFill>
        </w:rPr>
      </w:pPr>
    </w:p>
    <w:bookmarkEnd w:id="68"/>
    <w:bookmarkEnd w:id="73"/>
    <w:p w14:paraId="217C439B">
      <w:pPr>
        <w:rPr>
          <w:color w:val="000000" w:themeColor="text1"/>
          <w14:textFill>
            <w14:solidFill>
              <w14:schemeClr w14:val="tx1"/>
            </w14:solidFill>
          </w14:textFill>
        </w:rPr>
      </w:pPr>
    </w:p>
    <w:p w14:paraId="163B8235">
      <w:pPr>
        <w:rPr>
          <w:color w:val="000000" w:themeColor="text1"/>
          <w14:textFill>
            <w14:solidFill>
              <w14:schemeClr w14:val="tx1"/>
            </w14:solidFill>
          </w14:textFill>
        </w:rPr>
        <w:sectPr>
          <w:pgSz w:w="16838" w:h="11906" w:orient="landscape"/>
          <w:pgMar w:top="1797" w:right="1525" w:bottom="1276" w:left="1440" w:header="855" w:footer="992" w:gutter="0"/>
          <w:cols w:space="425" w:num="1"/>
          <w:docGrid w:linePitch="312" w:charSpace="0"/>
        </w:sectPr>
      </w:pPr>
    </w:p>
    <w:bookmarkEnd w:id="63"/>
    <w:bookmarkEnd w:id="69"/>
    <w:p w14:paraId="4868F7B9">
      <w:pPr>
        <w:pStyle w:val="4"/>
        <w:numPr>
          <w:ilvl w:val="0"/>
          <w:numId w:val="25"/>
        </w:numPr>
        <w:tabs>
          <w:tab w:val="left" w:pos="360"/>
        </w:tabs>
        <w:ind w:left="450" w:hanging="450"/>
        <w:rPr>
          <w:rFonts w:ascii="宋体" w:hAnsi="宋体"/>
          <w:color w:val="000000" w:themeColor="text1"/>
          <w14:textFill>
            <w14:solidFill>
              <w14:schemeClr w14:val="tx1"/>
            </w14:solidFill>
          </w14:textFill>
        </w:rPr>
      </w:pPr>
      <w:bookmarkStart w:id="74" w:name="_Hlk106701941"/>
      <w:r>
        <w:rPr>
          <w:rFonts w:hint="eastAsia" w:ascii="宋体" w:hAnsi="宋体"/>
          <w:color w:val="000000" w:themeColor="text1"/>
          <w14:textFill>
            <w14:solidFill>
              <w14:schemeClr w14:val="tx1"/>
            </w14:solidFill>
          </w14:textFill>
        </w:rPr>
        <w:t>报告期内募集资金使用的其他情况</w:t>
      </w:r>
    </w:p>
    <w:p w14:paraId="2F3D7583">
      <w:pPr>
        <w:pStyle w:val="5"/>
        <w:numPr>
          <w:ilvl w:val="0"/>
          <w:numId w:val="27"/>
        </w:numPr>
        <w:tabs>
          <w:tab w:val="left" w:pos="360"/>
        </w:tabs>
        <w:ind w:left="0" w:firstLine="0"/>
        <w:rPr>
          <w:bCs/>
          <w:color w:val="000000" w:themeColor="text1"/>
          <w14:textFill>
            <w14:solidFill>
              <w14:schemeClr w14:val="tx1"/>
            </w14:solidFill>
          </w14:textFill>
        </w:rPr>
      </w:pPr>
      <w:bookmarkStart w:id="75" w:name="_Hlk90391881"/>
      <w:r>
        <w:rPr>
          <w:rFonts w:hint="eastAsia"/>
          <w:bCs/>
          <w:color w:val="000000" w:themeColor="text1"/>
          <w14:textFill>
            <w14:solidFill>
              <w14:schemeClr w14:val="tx1"/>
            </w14:solidFill>
          </w14:textFill>
        </w:rPr>
        <w:t>募集资金投资项目先期投入及置换情况</w:t>
      </w:r>
    </w:p>
    <w:sdt>
      <w:sdtPr>
        <w:rPr>
          <w:color w:val="000000" w:themeColor="text1"/>
          <w14:textFill>
            <w14:solidFill>
              <w14:schemeClr w14:val="tx1"/>
            </w14:solidFill>
          </w14:textFill>
        </w:rPr>
        <w:alias w:val="是否适用：募集资金投资项目先期投入及置换情况[双击切换]"/>
        <w:tag w:val="_GBC_3f629b5b9dcc464894de82f0af546b6e"/>
        <w:id w:val="147462311"/>
        <w:placeholder>
          <w:docPart w:val="{d8014d7a-cba5-4a66-9d59-c514dac73ae3}"/>
        </w:placeholder>
      </w:sdtPr>
      <w:sdtEndPr>
        <w:rPr>
          <w:color w:val="000000" w:themeColor="text1"/>
          <w14:textFill>
            <w14:solidFill>
              <w14:schemeClr w14:val="tx1"/>
            </w14:solidFill>
          </w14:textFill>
        </w:rPr>
      </w:sdtEndPr>
      <w:sdtContent>
        <w:p w14:paraId="60B7068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81936D8">
      <w:pPr>
        <w:rPr>
          <w:color w:val="000000" w:themeColor="text1"/>
          <w14:textFill>
            <w14:solidFill>
              <w14:schemeClr w14:val="tx1"/>
            </w14:solidFill>
          </w14:textFill>
        </w:rPr>
      </w:pPr>
    </w:p>
    <w:bookmarkEnd w:id="75"/>
    <w:p w14:paraId="75C18F0C">
      <w:pPr>
        <w:pStyle w:val="5"/>
        <w:numPr>
          <w:ilvl w:val="0"/>
          <w:numId w:val="27"/>
        </w:numPr>
        <w:tabs>
          <w:tab w:val="left" w:pos="360"/>
        </w:tabs>
        <w:ind w:left="0" w:firstLine="0"/>
        <w:rPr>
          <w:bCs/>
          <w:color w:val="000000" w:themeColor="text1"/>
          <w14:textFill>
            <w14:solidFill>
              <w14:schemeClr w14:val="tx1"/>
            </w14:solidFill>
          </w14:textFill>
        </w:rPr>
      </w:pPr>
      <w:bookmarkStart w:id="76" w:name="_Hlk90391885"/>
      <w:r>
        <w:rPr>
          <w:rFonts w:hint="eastAsia"/>
          <w:bCs/>
          <w:color w:val="000000" w:themeColor="text1"/>
          <w14:textFill>
            <w14:solidFill>
              <w14:schemeClr w14:val="tx1"/>
            </w14:solidFill>
          </w14:textFill>
        </w:rPr>
        <w:t>用闲置募集资金暂时补充流动资金情况</w:t>
      </w:r>
    </w:p>
    <w:sdt>
      <w:sdtPr>
        <w:rPr>
          <w:color w:val="000000" w:themeColor="text1"/>
          <w14:textFill>
            <w14:solidFill>
              <w14:schemeClr w14:val="tx1"/>
            </w14:solidFill>
          </w14:textFill>
        </w:rPr>
        <w:alias w:val="是否适用：用闲置募集资金暂时补充流动资金情况[双击切换]"/>
        <w:tag w:val="_GBC_534e659a4d4b40ed9b5a0d957eec69b9"/>
        <w:id w:val="147472694"/>
        <w:placeholder>
          <w:docPart w:val="{d8014d7a-cba5-4a66-9d59-c514dac73ae3}"/>
        </w:placeholder>
      </w:sdtPr>
      <w:sdtEndPr>
        <w:rPr>
          <w:color w:val="000000" w:themeColor="text1"/>
          <w14:textFill>
            <w14:solidFill>
              <w14:schemeClr w14:val="tx1"/>
            </w14:solidFill>
          </w14:textFill>
        </w:rPr>
      </w:sdtEndPr>
      <w:sdtContent>
        <w:p w14:paraId="5CD507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D57BC5">
      <w:pPr>
        <w:rPr>
          <w:color w:val="000000" w:themeColor="text1"/>
          <w14:textFill>
            <w14:solidFill>
              <w14:schemeClr w14:val="tx1"/>
            </w14:solidFill>
          </w14:textFill>
        </w:rPr>
      </w:pPr>
    </w:p>
    <w:bookmarkEnd w:id="76"/>
    <w:p w14:paraId="62B10275">
      <w:pPr>
        <w:pStyle w:val="5"/>
        <w:numPr>
          <w:ilvl w:val="0"/>
          <w:numId w:val="27"/>
        </w:numPr>
        <w:tabs>
          <w:tab w:val="left" w:pos="360"/>
        </w:tabs>
        <w:ind w:left="0" w:firstLine="0"/>
        <w:rPr>
          <w:bCs/>
          <w:color w:val="000000" w:themeColor="text1"/>
          <w14:textFill>
            <w14:solidFill>
              <w14:schemeClr w14:val="tx1"/>
            </w14:solidFill>
          </w14:textFill>
        </w:rPr>
      </w:pPr>
      <w:bookmarkStart w:id="77" w:name="_Hlk168577344"/>
      <w:bookmarkStart w:id="78" w:name="_Hlk90391888"/>
      <w:r>
        <w:rPr>
          <w:rFonts w:hint="eastAsia"/>
          <w:bCs/>
          <w:color w:val="000000" w:themeColor="text1"/>
          <w14:textFill>
            <w14:solidFill>
              <w14:schemeClr w14:val="tx1"/>
            </w14:solidFill>
          </w14:textFill>
        </w:rPr>
        <w:t>对闲置募集资金进行现金管理，投资相关产品情况</w:t>
      </w:r>
    </w:p>
    <w:sdt>
      <w:sdtPr>
        <w:rPr>
          <w:color w:val="000000" w:themeColor="text1"/>
          <w14:textFill>
            <w14:solidFill>
              <w14:schemeClr w14:val="tx1"/>
            </w14:solidFill>
          </w14:textFill>
        </w:rPr>
        <w:alias w:val="是否适用：对闲置募集资金进行现金管理，投资相关产品情况[双击切换]"/>
        <w:tag w:val="_GBC_4fa6ec824ff14602addc1e55058ae4e9"/>
        <w:id w:val="147473744"/>
        <w:placeholder>
          <w:docPart w:val="{d8014d7a-cba5-4a66-9d59-c514dac73ae3}"/>
        </w:placeholder>
      </w:sdtPr>
      <w:sdtEndPr>
        <w:rPr>
          <w:color w:val="000000" w:themeColor="text1"/>
          <w14:textFill>
            <w14:solidFill>
              <w14:schemeClr w14:val="tx1"/>
            </w14:solidFill>
          </w14:textFill>
        </w:rPr>
      </w:sdtEndPr>
      <w:sdtContent>
        <w:p w14:paraId="501B63B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2DE5119">
      <w:pPr>
        <w:rPr>
          <w:color w:val="000000" w:themeColor="text1"/>
          <w14:textFill>
            <w14:solidFill>
              <w14:schemeClr w14:val="tx1"/>
            </w14:solidFill>
          </w14:textFill>
        </w:rPr>
      </w:pPr>
    </w:p>
    <w:bookmarkEnd w:id="77"/>
    <w:bookmarkEnd w:id="78"/>
    <w:p w14:paraId="41749723">
      <w:pPr>
        <w:pStyle w:val="5"/>
        <w:numPr>
          <w:ilvl w:val="0"/>
          <w:numId w:val="27"/>
        </w:numPr>
        <w:tabs>
          <w:tab w:val="left" w:pos="360"/>
        </w:tabs>
        <w:ind w:left="0" w:firstLine="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募集资金使用的其他情况?[双击切换]"/>
        <w:tag w:val="_GBC_84b80dde77404abab8bdb87b147ee0d4"/>
        <w:id w:val="147451710"/>
        <w:placeholder>
          <w:docPart w:val="{d8014d7a-cba5-4a66-9d59-c514dac73ae3}"/>
        </w:placeholder>
      </w:sdtPr>
      <w:sdtEndPr>
        <w:rPr>
          <w:color w:val="000000" w:themeColor="text1"/>
          <w14:textFill>
            <w14:solidFill>
              <w14:schemeClr w14:val="tx1"/>
            </w14:solidFill>
          </w14:textFill>
        </w:rPr>
      </w:sdtEndPr>
      <w:sdtContent>
        <w:p w14:paraId="05720B2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EB67CBA">
      <w:pPr>
        <w:rPr>
          <w:color w:val="000000" w:themeColor="text1"/>
          <w14:textFill>
            <w14:solidFill>
              <w14:schemeClr w14:val="tx1"/>
            </w14:solidFill>
          </w14:textFill>
        </w:rPr>
      </w:pPr>
    </w:p>
    <w:bookmarkEnd w:id="64"/>
    <w:bookmarkEnd w:id="65"/>
    <w:bookmarkEnd w:id="74"/>
    <w:p w14:paraId="0D9BCBF6">
      <w:pPr>
        <w:pStyle w:val="4"/>
        <w:numPr>
          <w:ilvl w:val="0"/>
          <w:numId w:val="25"/>
        </w:numPr>
        <w:tabs>
          <w:tab w:val="left" w:pos="360"/>
        </w:tabs>
        <w:ind w:left="450" w:hanging="450"/>
        <w:rPr>
          <w:rFonts w:ascii="宋体" w:hAnsi="宋体"/>
          <w:color w:val="000000" w:themeColor="text1"/>
          <w14:textFill>
            <w14:solidFill>
              <w14:schemeClr w14:val="tx1"/>
            </w14:solidFill>
          </w14:textFill>
        </w:rPr>
      </w:pPr>
      <w:bookmarkStart w:id="79" w:name="_Hlk200012883"/>
      <w:r>
        <w:rPr>
          <w:rFonts w:hint="eastAsia" w:ascii="宋体" w:hAnsi="宋体"/>
          <w:color w:val="000000" w:themeColor="text1"/>
          <w14:textFill>
            <w14:solidFill>
              <w14:schemeClr w14:val="tx1"/>
            </w14:solidFill>
          </w14:textFill>
        </w:rPr>
        <w:t>中介机构关于募集资金存储与使用情况的专项核查、鉴证的结论性意见</w:t>
      </w:r>
    </w:p>
    <w:sdt>
      <w:sdtPr>
        <w:rPr>
          <w:rFonts w:hint="eastAsia"/>
        </w:rPr>
        <w:alias w:val="是否适用：中介机构关于募集资金存储与使用情况的专项核查、鉴证的结论性意见[双击切换]"/>
        <w:tag w:val="_GBC_7195bfa022dc473a90bdee118d5934cd"/>
        <w:id w:val="147475926"/>
        <w:placeholder>
          <w:docPart w:val="{d8014d7a-cba5-4a66-9d59-c514dac73ae3}"/>
        </w:placeholder>
      </w:sdtPr>
      <w:sdtEndPr>
        <w:rPr>
          <w:rFonts w:hint="eastAsia"/>
        </w:rPr>
      </w:sdtEndPr>
      <w:sdtContent>
        <w:p w14:paraId="477D9E63">
          <w:pPr>
            <w:rPr>
              <w:color w:val="000000" w:themeColor="text1"/>
              <w14:textFill>
                <w14:solidFill>
                  <w14:schemeClr w14:val="tx1"/>
                </w14:solidFill>
              </w14:textFill>
            </w:rPr>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p w14:paraId="06A7D954">
      <w:pPr>
        <w:rPr>
          <w:color w:val="000000" w:themeColor="text1"/>
          <w14:textFill>
            <w14:solidFill>
              <w14:schemeClr w14:val="tx1"/>
            </w14:solidFill>
          </w14:textFill>
        </w:rPr>
      </w:pPr>
    </w:p>
    <w:p w14:paraId="0D383C7A">
      <w:pPr>
        <w:rPr>
          <w:rFonts w:cs="Times New Roman"/>
          <w:bCs w:val="0"/>
          <w:kern w:val="2"/>
          <w:szCs w:val="28"/>
        </w:rPr>
      </w:pPr>
      <w:r>
        <w:rPr>
          <w:rFonts w:hint="eastAsia" w:cs="Times New Roman"/>
          <w:bCs w:val="0"/>
          <w:kern w:val="2"/>
          <w:szCs w:val="28"/>
        </w:rPr>
        <w:t>核查异常的相关情况说明</w:t>
      </w:r>
    </w:p>
    <w:sdt>
      <w:sdtPr>
        <w:rPr>
          <w:rFonts w:hint="eastAsia"/>
        </w:rPr>
        <w:alias w:val="是否适用：核查异常的相关情况说明[双击切换]"/>
        <w:tag w:val="_GBC_21d5025298b9475fa592a4d7f5785e92"/>
        <w:id w:val="147464095"/>
        <w:placeholder>
          <w:docPart w:val="{d8014d7a-cba5-4a66-9d59-c514dac73ae3}"/>
        </w:placeholder>
      </w:sdtPr>
      <w:sdtEndPr>
        <w:rPr>
          <w:rFonts w:hint="eastAsia"/>
        </w:rPr>
      </w:sdtEndPr>
      <w:sdtContent>
        <w:p w14:paraId="195C5ABE">
          <w:pPr>
            <w:pStyle w:val="55"/>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p w14:paraId="3EC4EE33">
      <w:pPr>
        <w:pStyle w:val="4"/>
        <w:numPr>
          <w:ilvl w:val="0"/>
          <w:numId w:val="25"/>
        </w:numPr>
        <w:tabs>
          <w:tab w:val="left" w:pos="360"/>
        </w:tabs>
        <w:ind w:left="450" w:hanging="45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擅自变更募集资金用途、违规占用募集资金的后续整改情况</w:t>
      </w:r>
    </w:p>
    <w:sdt>
      <w:sdtPr>
        <w:rPr>
          <w:rFonts w:hint="eastAsia"/>
        </w:rPr>
        <w:alias w:val="是否适用：擅自变更募集资金用途、违规占用募集资金的后续整改情况[双击切换]"/>
        <w:tag w:val="_GBC_fa6d1cac51784ab6bcfb875ffef23414"/>
        <w:id w:val="147457414"/>
        <w:placeholder>
          <w:docPart w:val="{d8014d7a-cba5-4a66-9d59-c514dac73ae3}"/>
        </w:placeholder>
      </w:sdtPr>
      <w:sdtEndPr>
        <w:rPr>
          <w:rFonts w:hint="eastAsia"/>
        </w:rPr>
      </w:sdtEndPr>
      <w:sdtContent>
        <w:p w14:paraId="37BD5DC1">
          <w:pPr>
            <w:pStyle w:val="55"/>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p w14:paraId="6B5BEA5E">
      <w:pPr>
        <w:rPr>
          <w:color w:val="000000" w:themeColor="text1"/>
          <w14:textFill>
            <w14:solidFill>
              <w14:schemeClr w14:val="tx1"/>
            </w14:solidFill>
          </w14:textFill>
        </w:rPr>
      </w:pPr>
    </w:p>
    <w:bookmarkEnd w:id="79"/>
    <w:p w14:paraId="1D51ABBA">
      <w:pPr>
        <w:pStyle w:val="3"/>
        <w:numPr>
          <w:ilvl w:val="0"/>
          <w:numId w:val="14"/>
        </w:numPr>
        <w:tabs>
          <w:tab w:val="left" w:pos="426"/>
        </w:tabs>
        <w:jc w:val="left"/>
        <w:rPr>
          <w:rFonts w:ascii="宋体" w:hAnsi="宋体"/>
          <w:color w:val="000000" w:themeColor="text1"/>
          <w14:textFill>
            <w14:solidFill>
              <w14:schemeClr w14:val="tx1"/>
            </w14:solidFill>
          </w14:textFill>
        </w:rPr>
      </w:pPr>
      <w:bookmarkStart w:id="80" w:name="_Hlk74820557"/>
      <w:bookmarkStart w:id="81" w:name="_Hlk74904700"/>
      <w:r>
        <w:rPr>
          <w:rFonts w:hint="eastAsia" w:ascii="宋体" w:hAnsi="宋体"/>
          <w:color w:val="000000" w:themeColor="text1"/>
          <w14:textFill>
            <w14:solidFill>
              <w14:schemeClr w14:val="tx1"/>
            </w14:solidFill>
          </w14:textFill>
        </w:rPr>
        <w:t>其他重大事项的说明</w:t>
      </w:r>
    </w:p>
    <w:sdt>
      <w:sdtPr>
        <w:rPr>
          <w:color w:val="000000" w:themeColor="text1"/>
          <w14:textFill>
            <w14:solidFill>
              <w14:schemeClr w14:val="tx1"/>
            </w14:solidFill>
          </w14:textFill>
        </w:rPr>
        <w:alias w:val="是否适用：其他重大事项的说明[双击切换]"/>
        <w:tag w:val="_GBC_60472543195d45309db4d042b8e09883"/>
        <w:id w:val="147479642"/>
        <w:placeholder>
          <w:docPart w:val="{d8014d7a-cba5-4a66-9d59-c514dac73ae3}"/>
        </w:placeholder>
      </w:sdtPr>
      <w:sdtEndPr>
        <w:rPr>
          <w:color w:val="000000" w:themeColor="text1"/>
          <w14:textFill>
            <w14:solidFill>
              <w14:schemeClr w14:val="tx1"/>
            </w14:solidFill>
          </w14:textFill>
        </w:rPr>
      </w:sdtEndPr>
      <w:sdtContent>
        <w:p w14:paraId="5936753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5942E23">
      <w:pPr>
        <w:rPr>
          <w:color w:val="000000" w:themeColor="text1"/>
          <w14:textFill>
            <w14:solidFill>
              <w14:schemeClr w14:val="tx1"/>
            </w14:solidFill>
          </w14:textFill>
        </w:rPr>
      </w:pPr>
    </w:p>
    <w:bookmarkEnd w:id="80"/>
    <w:bookmarkEnd w:id="81"/>
    <w:p w14:paraId="7F9B284C">
      <w:pPr>
        <w:rPr>
          <w:color w:val="000000" w:themeColor="text1"/>
          <w14:textFill>
            <w14:solidFill>
              <w14:schemeClr w14:val="tx1"/>
            </w14:solidFill>
          </w14:textFill>
        </w:rPr>
      </w:pPr>
    </w:p>
    <w:p w14:paraId="4DB5832A">
      <w:pPr>
        <w:pStyle w:val="2"/>
        <w:numPr>
          <w:ilvl w:val="0"/>
          <w:numId w:val="3"/>
        </w:numPr>
        <w:rPr>
          <w:rFonts w:ascii="黑体" w:hAnsi="黑体"/>
          <w:color w:val="000000" w:themeColor="text1"/>
          <w14:textFill>
            <w14:solidFill>
              <w14:schemeClr w14:val="tx1"/>
            </w14:solidFill>
          </w14:textFill>
        </w:rPr>
      </w:pPr>
      <w:r>
        <w:rPr>
          <w:rFonts w:hint="eastAsia" w:ascii="黑体" w:hAnsi="黑体"/>
          <w:color w:val="000000" w:themeColor="text1"/>
          <w14:textFill>
            <w14:solidFill>
              <w14:schemeClr w14:val="tx1"/>
            </w14:solidFill>
          </w14:textFill>
        </w:rPr>
        <w:t>公司治理</w:t>
      </w:r>
      <w:bookmarkEnd w:id="52"/>
      <w:r>
        <w:rPr>
          <w:rFonts w:hint="eastAsia" w:ascii="黑体" w:hAnsi="黑体"/>
          <w:color w:val="000000" w:themeColor="text1"/>
          <w14:textFill>
            <w14:solidFill>
              <w14:schemeClr w14:val="tx1"/>
            </w14:solidFill>
          </w14:textFill>
        </w:rPr>
        <w:t>、环境和社会</w:t>
      </w:r>
    </w:p>
    <w:bookmarkEnd w:id="53"/>
    <w:p w14:paraId="1D9AD391">
      <w:pPr>
        <w:pStyle w:val="3"/>
        <w:numPr>
          <w:ilvl w:val="0"/>
          <w:numId w:val="28"/>
        </w:numPr>
        <w:tabs>
          <w:tab w:val="left" w:pos="426"/>
        </w:tabs>
        <w:jc w:val="left"/>
        <w:rPr>
          <w:rFonts w:ascii="宋体" w:hAnsi="宋体"/>
          <w:color w:val="000000" w:themeColor="text1"/>
          <w14:textFill>
            <w14:solidFill>
              <w14:schemeClr w14:val="tx1"/>
            </w14:solidFill>
          </w14:textFill>
        </w:rPr>
      </w:pPr>
      <w:bookmarkStart w:id="82" w:name="_Toc342566009"/>
      <w:bookmarkStart w:id="83" w:name="_Toc342057949"/>
      <w:r>
        <w:rPr>
          <w:rFonts w:hint="eastAsia" w:ascii="宋体" w:hAnsi="宋体"/>
          <w:color w:val="000000" w:themeColor="text1"/>
          <w14:textFill>
            <w14:solidFill>
              <w14:schemeClr w14:val="tx1"/>
            </w14:solidFill>
          </w14:textFill>
        </w:rPr>
        <w:t>公司董事</w:t>
      </w:r>
      <w:sdt>
        <w:sdtPr>
          <w:tag w:val="_PLD_3637b4c0b8be4e27acfc82062bee9dc2"/>
          <w:id w:val="147462615"/>
        </w:sdtPr>
        <w:sdtContent>
          <w:r>
            <w:rPr>
              <w:rFonts w:hint="eastAsia" w:ascii="宋体" w:hAnsi="宋体"/>
              <w:color w:val="000000" w:themeColor="text1"/>
              <w14:textFill>
                <w14:solidFill>
                  <w14:schemeClr w14:val="tx1"/>
                </w14:solidFill>
              </w14:textFill>
            </w:rPr>
            <w:t>、监事</w:t>
          </w:r>
        </w:sdtContent>
      </w:sdt>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高级管理人员变动情况</w:t>
      </w:r>
      <w:bookmarkEnd w:id="82"/>
      <w:bookmarkEnd w:id="83"/>
    </w:p>
    <w:sdt>
      <w:sdtPr>
        <w:rPr>
          <w:color w:val="000000" w:themeColor="text1"/>
          <w14:textFill>
            <w14:solidFill>
              <w14:schemeClr w14:val="tx1"/>
            </w14:solidFill>
          </w14:textFill>
        </w:rPr>
        <w:alias w:val="是否适用：公司董事、监事、高级管理人员变动情况[双击切换]"/>
        <w:tag w:val="_GBC_001d837207464f1aaa52a7fb8cd9d226"/>
        <w:id w:val="147481744"/>
        <w:placeholder>
          <w:docPart w:val="GBC22222222222222222222222222222"/>
        </w:placeholder>
      </w:sdtPr>
      <w:sdtEndPr>
        <w:rPr>
          <w:color w:val="000000" w:themeColor="text1"/>
          <w14:textFill>
            <w14:solidFill>
              <w14:schemeClr w14:val="tx1"/>
            </w14:solidFill>
          </w14:textFill>
        </w:rPr>
      </w:sdtEndPr>
      <w:sdtContent>
        <w:p w14:paraId="100F8CC9">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7D34F0">
      <w:pPr>
        <w:rPr>
          <w:color w:val="000000" w:themeColor="text1"/>
          <w14:textFill>
            <w14:solidFill>
              <w14:schemeClr w14:val="tx1"/>
            </w14:solidFill>
          </w14:textFill>
        </w:rPr>
      </w:pPr>
    </w:p>
    <w:p w14:paraId="1156C60D">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公司董事</w:t>
      </w:r>
      <w:sdt>
        <w:sdtPr>
          <w:tag w:val="_PLD_613c7c20bfc34529ae9217528bf7ed10"/>
          <w:id w:val="147451658"/>
        </w:sdtPr>
        <w:sdtContent>
          <w:r>
            <w:rPr>
              <w:rFonts w:hint="eastAsia"/>
              <w:color w:val="000000" w:themeColor="text1"/>
              <w14:textFill>
                <w14:solidFill>
                  <w14:schemeClr w14:val="tx1"/>
                </w14:solidFill>
              </w14:textFill>
            </w:rPr>
            <w:t>、监事</w:t>
          </w:r>
        </w:sdtContent>
      </w:sdt>
      <w:r>
        <w:rPr>
          <w:rFonts w:hint="eastAsia"/>
          <w:color w:val="000000" w:themeColor="text1"/>
          <w14:textFill>
            <w14:solidFill>
              <w14:schemeClr w14:val="tx1"/>
            </w14:solidFill>
          </w14:textFill>
        </w:rPr>
        <w:t>、高级管理人员变动的情况说明</w:t>
      </w:r>
    </w:p>
    <w:sdt>
      <w:sdtPr>
        <w:rPr>
          <w:rFonts w:hint="eastAsia"/>
          <w:color w:val="000000" w:themeColor="text1"/>
          <w14:textFill>
            <w14:solidFill>
              <w14:schemeClr w14:val="tx1"/>
            </w14:solidFill>
          </w14:textFill>
        </w:rPr>
        <w:alias w:val="是否适用：公司董事、监事、高级管理人员变动的情况说明 [双击切换]"/>
        <w:tag w:val="_GBC_1eda708e71a542fa89f6ad1bb8abbf70"/>
        <w:id w:val="147463483"/>
        <w:placeholder>
          <w:docPart w:val="GBC22222222222222222222222222222"/>
        </w:placeholder>
      </w:sdtPr>
      <w:sdtEndPr>
        <w:rPr>
          <w:rFonts w:hint="eastAsia"/>
          <w:color w:val="000000" w:themeColor="text1"/>
          <w14:textFill>
            <w14:solidFill>
              <w14:schemeClr w14:val="tx1"/>
            </w14:solidFill>
          </w14:textFill>
        </w:rPr>
      </w:sdtEndPr>
      <w:sdtContent>
        <w:p w14:paraId="7FF4095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4D0241">
      <w:pPr>
        <w:ind w:firstLine="420" w:firstLineChars="200"/>
        <w:rPr>
          <w:color w:val="000000" w:themeColor="text1"/>
          <w14:textFill>
            <w14:solidFill>
              <w14:schemeClr w14:val="tx1"/>
            </w14:solidFill>
          </w14:textFill>
        </w:rPr>
      </w:pPr>
    </w:p>
    <w:p w14:paraId="51226BC5">
      <w:pPr>
        <w:rPr>
          <w:color w:val="000000" w:themeColor="text1"/>
          <w14:textFill>
            <w14:solidFill>
              <w14:schemeClr w14:val="tx1"/>
            </w14:solidFill>
          </w14:textFill>
        </w:rPr>
      </w:pPr>
    </w:p>
    <w:p w14:paraId="589D28ED">
      <w:pPr>
        <w:pStyle w:val="3"/>
        <w:numPr>
          <w:ilvl w:val="0"/>
          <w:numId w:val="28"/>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利润分配或资本公积金转增预案</w:t>
      </w:r>
    </w:p>
    <w:p w14:paraId="4287648A">
      <w:pPr>
        <w:rPr>
          <w:b/>
          <w:bCs w:val="0"/>
          <w:color w:val="000000" w:themeColor="text1"/>
          <w14:textFill>
            <w14:solidFill>
              <w14:schemeClr w14:val="tx1"/>
            </w14:solidFill>
          </w14:textFill>
        </w:rPr>
      </w:pPr>
      <w:r>
        <w:rPr>
          <w:b/>
          <w:color w:val="000000" w:themeColor="text1"/>
          <w14:textFill>
            <w14:solidFill>
              <w14:schemeClr w14:val="tx1"/>
            </w14:solidFill>
          </w14:textFill>
        </w:rPr>
        <w:t>半年度拟定的利润分配预案、公积金转增股本预案</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4"/>
        <w:gridCol w:w="4524"/>
      </w:tblGrid>
      <w:tr w14:paraId="2A81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ee68179c02c4ccc8a9b8d7e3f70f2c6"/>
            <w:id w:val="147472671"/>
          </w:sdtPr>
          <w:sdtContent>
            <w:tc>
              <w:tcPr>
                <w:tcW w:w="4524" w:type="dxa"/>
              </w:tcPr>
              <w:p w14:paraId="374D0E92">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是否分配或转增</w:t>
                </w:r>
              </w:p>
            </w:tc>
          </w:sdtContent>
        </w:sdt>
        <w:sdt>
          <w:sdtPr>
            <w:rPr>
              <w:rFonts w:hint="eastAsia"/>
              <w:color w:val="000000" w:themeColor="text1"/>
              <w14:textFill>
                <w14:solidFill>
                  <w14:schemeClr w14:val="tx1"/>
                </w14:solidFill>
              </w14:textFill>
            </w:rPr>
            <w:alias w:val="是否分配或转增"/>
            <w:tag w:val="_GBC_1aa3bb539f35454da0536200efcc4f60"/>
            <w:id w:val="147473437"/>
            <w:comboBox>
              <w:listItem w:displayText="是" w:value="true"/>
              <w:listItem w:displayText="否" w:value="false"/>
            </w:comboBox>
          </w:sdtPr>
          <w:sdtEndPr>
            <w:rPr>
              <w:rFonts w:hint="eastAsia"/>
              <w:color w:val="000000" w:themeColor="text1"/>
              <w14:textFill>
                <w14:solidFill>
                  <w14:schemeClr w14:val="tx1"/>
                </w14:solidFill>
              </w14:textFill>
            </w:rPr>
          </w:sdtEndPr>
          <w:sdtContent>
            <w:tc>
              <w:tcPr>
                <w:tcW w:w="4524" w:type="dxa"/>
              </w:tcPr>
              <w:p w14:paraId="55F5A107">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tc>
          </w:sdtContent>
        </w:sdt>
      </w:tr>
      <w:tr w14:paraId="49D8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2B7CCD33">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每10股送红股数（股）</w:t>
            </w:r>
          </w:p>
        </w:tc>
        <w:tc>
          <w:tcPr>
            <w:tcW w:w="4524" w:type="dxa"/>
          </w:tcPr>
          <w:p w14:paraId="32FA6A11">
            <w:pPr>
              <w:widowControl w:val="0"/>
              <w:jc w:val="right"/>
            </w:pPr>
            <w:r>
              <w:rPr>
                <w:rFonts w:hint="eastAsia"/>
              </w:rPr>
              <w:t>0</w:t>
            </w:r>
          </w:p>
        </w:tc>
      </w:tr>
      <w:tr w14:paraId="5728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2598AC20">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每10股派息数(元)（含税）</w:t>
            </w:r>
          </w:p>
        </w:tc>
        <w:tc>
          <w:tcPr>
            <w:tcW w:w="4524" w:type="dxa"/>
          </w:tcPr>
          <w:p w14:paraId="190F750B">
            <w:pPr>
              <w:widowControl w:val="0"/>
              <w:jc w:val="right"/>
            </w:pPr>
            <w:r>
              <w:rPr>
                <w:rFonts w:hint="eastAsia"/>
              </w:rPr>
              <w:t>0</w:t>
            </w:r>
          </w:p>
        </w:tc>
      </w:tr>
      <w:tr w14:paraId="1BAF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14:paraId="7BDD511D">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每10股转增数（股）</w:t>
            </w:r>
          </w:p>
        </w:tc>
        <w:tc>
          <w:tcPr>
            <w:tcW w:w="4524" w:type="dxa"/>
          </w:tcPr>
          <w:p w14:paraId="471BA9F0">
            <w:pPr>
              <w:widowControl w:val="0"/>
              <w:jc w:val="right"/>
            </w:pPr>
            <w:r>
              <w:rPr>
                <w:rFonts w:hint="eastAsia"/>
              </w:rPr>
              <w:t>0</w:t>
            </w:r>
          </w:p>
        </w:tc>
      </w:tr>
      <w:tr w14:paraId="649E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f4b1db2793f4d00b5b11589fa8a57fc"/>
            <w:id w:val="147472629"/>
          </w:sdtPr>
          <w:sdtContent>
            <w:tc>
              <w:tcPr>
                <w:tcW w:w="9048" w:type="dxa"/>
                <w:gridSpan w:val="2"/>
              </w:tcPr>
              <w:p w14:paraId="606758DF">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利润分配或资本公积金转增预案的相关情况说明</w:t>
                </w:r>
              </w:p>
            </w:tc>
          </w:sdtContent>
        </w:sdt>
      </w:tr>
    </w:tbl>
    <w:p w14:paraId="023D93EF">
      <w:pPr>
        <w:rPr>
          <w:color w:val="000000" w:themeColor="text1"/>
          <w14:textFill>
            <w14:solidFill>
              <w14:schemeClr w14:val="tx1"/>
            </w14:solidFill>
          </w14:textFill>
        </w:rPr>
      </w:pPr>
    </w:p>
    <w:p w14:paraId="59AA1B43">
      <w:pPr>
        <w:pStyle w:val="3"/>
        <w:numPr>
          <w:ilvl w:val="0"/>
          <w:numId w:val="28"/>
        </w:numPr>
        <w:tabs>
          <w:tab w:val="left" w:pos="426"/>
        </w:tabs>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公司股权激励计划、员工持股计划或其他员工激励措施的情况及其影响</w:t>
      </w:r>
    </w:p>
    <w:p w14:paraId="44FAC437">
      <w:pPr>
        <w:pStyle w:val="4"/>
        <w:numPr>
          <w:ilvl w:val="1"/>
          <w:numId w:val="29"/>
        </w:numPr>
        <w:rPr>
          <w:rFonts w:ascii="宋体" w:hAnsi="宋体"/>
          <w:color w:val="000000" w:themeColor="text1"/>
          <w:kern w:val="44"/>
          <w14:textFill>
            <w14:solidFill>
              <w14:schemeClr w14:val="tx1"/>
            </w14:solidFill>
          </w14:textFill>
        </w:rPr>
      </w:pPr>
      <w:bookmarkStart w:id="84" w:name="_Hlk74641818"/>
      <w:r>
        <w:rPr>
          <w:rFonts w:hint="eastAsia" w:ascii="宋体" w:hAnsi="宋体"/>
          <w:color w:val="000000" w:themeColor="text1"/>
          <w:kern w:val="44"/>
          <w14:textFill>
            <w14:solidFill>
              <w14:schemeClr w14:val="tx1"/>
            </w14:solidFill>
          </w14:textFill>
        </w:rPr>
        <w:t>相关股权激励事项已在临时公告披露且后续实施无进展或变化的</w:t>
      </w:r>
    </w:p>
    <w:sdt>
      <w:sdtPr>
        <w:rPr>
          <w:color w:val="000000" w:themeColor="text1"/>
          <w14:textFill>
            <w14:solidFill>
              <w14:schemeClr w14:val="tx1"/>
            </w14:solidFill>
          </w14:textFill>
        </w:rPr>
        <w:alias w:val="是否适用：相关激励事项已在临时公告披露且后续实施无进展或变化的[双击切换]"/>
        <w:tag w:val="_GBC_3c43a5cea9ef47daa40f133532dcd63c"/>
        <w:id w:val="147481231"/>
        <w:placeholder>
          <w:docPart w:val="GBC22222222222222222222222222222"/>
        </w:placeholder>
      </w:sdtPr>
      <w:sdtEndPr>
        <w:rPr>
          <w:color w:val="000000" w:themeColor="text1"/>
          <w14:textFill>
            <w14:solidFill>
              <w14:schemeClr w14:val="tx1"/>
            </w14:solidFill>
          </w14:textFill>
        </w:rPr>
      </w:sdtEndPr>
      <w:sdtContent>
        <w:p w14:paraId="42567E9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3B2FB6C">
      <w:pPr>
        <w:rPr>
          <w:color w:val="000000" w:themeColor="text1"/>
          <w14:textFill>
            <w14:solidFill>
              <w14:schemeClr w14:val="tx1"/>
            </w14:solidFill>
          </w14:textFill>
        </w:rPr>
      </w:pPr>
    </w:p>
    <w:bookmarkEnd w:id="84"/>
    <w:p w14:paraId="173EACA6">
      <w:pPr>
        <w:pStyle w:val="4"/>
        <w:numPr>
          <w:ilvl w:val="1"/>
          <w:numId w:val="29"/>
        </w:numPr>
        <w:rPr>
          <w:rFonts w:ascii="宋体" w:hAnsi="宋体"/>
          <w:color w:val="000000" w:themeColor="text1"/>
          <w:kern w:val="44"/>
          <w14:textFill>
            <w14:solidFill>
              <w14:schemeClr w14:val="tx1"/>
            </w14:solidFill>
          </w14:textFill>
        </w:rPr>
      </w:pPr>
      <w:r>
        <w:rPr>
          <w:rFonts w:hint="eastAsia" w:ascii="宋体" w:hAnsi="宋体"/>
          <w:color w:val="000000" w:themeColor="text1"/>
          <w:kern w:val="44"/>
          <w14:textFill>
            <w14:solidFill>
              <w14:schemeClr w14:val="tx1"/>
            </w14:solidFill>
          </w14:textFill>
        </w:rPr>
        <w:t>临时公告未披露或有后续进展的激励情况</w:t>
      </w:r>
    </w:p>
    <w:p w14:paraId="613A2074">
      <w:pPr>
        <w:rPr>
          <w:color w:val="000000" w:themeColor="text1"/>
          <w14:textFill>
            <w14:solidFill>
              <w14:schemeClr w14:val="tx1"/>
            </w14:solidFill>
          </w14:textFill>
        </w:rPr>
      </w:pPr>
      <w:r>
        <w:rPr>
          <w:rFonts w:hint="eastAsia"/>
          <w:color w:val="000000" w:themeColor="text1"/>
          <w14:textFill>
            <w14:solidFill>
              <w14:schemeClr w14:val="tx1"/>
            </w14:solidFill>
          </w14:textFill>
        </w:rPr>
        <w:t>股权激励情况</w:t>
      </w:r>
    </w:p>
    <w:sdt>
      <w:sdtPr>
        <w:rPr>
          <w:color w:val="000000" w:themeColor="text1"/>
          <w14:textFill>
            <w14:solidFill>
              <w14:schemeClr w14:val="tx1"/>
            </w14:solidFill>
          </w14:textFill>
        </w:rPr>
        <w:alias w:val="是否适用：股权激励情况[双击切换]"/>
        <w:tag w:val="_GBC_388221bc7be24cdca55be337256c8bc1"/>
        <w:id w:val="147465822"/>
        <w:placeholder>
          <w:docPart w:val="GBC22222222222222222222222222222"/>
        </w:placeholder>
      </w:sdtPr>
      <w:sdtEndPr>
        <w:rPr>
          <w:color w:val="000000" w:themeColor="text1"/>
          <w14:textFill>
            <w14:solidFill>
              <w14:schemeClr w14:val="tx1"/>
            </w14:solidFill>
          </w14:textFill>
        </w:rPr>
      </w:sdtEndPr>
      <w:sdtContent>
        <w:p w14:paraId="65768AC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083D490">
      <w:pPr>
        <w:rPr>
          <w:color w:val="000000" w:themeColor="text1"/>
          <w14:textFill>
            <w14:solidFill>
              <w14:schemeClr w14:val="tx1"/>
            </w14:solidFill>
          </w14:textFill>
        </w:rPr>
      </w:pPr>
    </w:p>
    <w:p w14:paraId="15399D9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14:paraId="58B61ABA">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股权激励情况的说明[双击切换]"/>
          <w:tag w:val="_GBC_e5a032ecd3e24335b29a38809f65a990"/>
          <w:id w:val="147457047"/>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4BA0BCA5">
      <w:pPr>
        <w:rPr>
          <w:color w:val="000000" w:themeColor="text1"/>
          <w14:textFill>
            <w14:solidFill>
              <w14:schemeClr w14:val="tx1"/>
            </w14:solidFill>
          </w14:textFill>
        </w:rPr>
      </w:pPr>
    </w:p>
    <w:p w14:paraId="4ECFCA76">
      <w:pPr>
        <w:rPr>
          <w:color w:val="000000" w:themeColor="text1"/>
          <w14:textFill>
            <w14:solidFill>
              <w14:schemeClr w14:val="tx1"/>
            </w14:solidFill>
          </w14:textFill>
        </w:rPr>
      </w:pPr>
      <w:r>
        <w:rPr>
          <w:rFonts w:hint="eastAsia"/>
          <w:color w:val="000000" w:themeColor="text1"/>
          <w14:textFill>
            <w14:solidFill>
              <w14:schemeClr w14:val="tx1"/>
            </w14:solidFill>
          </w14:textFill>
        </w:rPr>
        <w:t>员工持股计划情况</w:t>
      </w:r>
    </w:p>
    <w:sdt>
      <w:sdtPr>
        <w:rPr>
          <w:color w:val="000000" w:themeColor="text1"/>
          <w14:textFill>
            <w14:solidFill>
              <w14:schemeClr w14:val="tx1"/>
            </w14:solidFill>
          </w14:textFill>
        </w:rPr>
        <w:alias w:val="是否适用：员工持股计划情况[双击切换]"/>
        <w:tag w:val="_GBC_60a13b60efda4715a83fed9c5960ee3b"/>
        <w:id w:val="147473291"/>
        <w:placeholder>
          <w:docPart w:val="GBC22222222222222222222222222222"/>
        </w:placeholder>
      </w:sdtPr>
      <w:sdtEndPr>
        <w:rPr>
          <w:color w:val="000000" w:themeColor="text1"/>
          <w14:textFill>
            <w14:solidFill>
              <w14:schemeClr w14:val="tx1"/>
            </w14:solidFill>
          </w14:textFill>
        </w:rPr>
      </w:sdtEndPr>
      <w:sdtContent>
        <w:p w14:paraId="438177E3">
          <w:pPr>
            <w:rPr>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EB4C49E">
      <w:pPr>
        <w:rPr>
          <w:bCs w:val="0"/>
          <w:color w:val="000000" w:themeColor="text1"/>
          <w14:textFill>
            <w14:solidFill>
              <w14:schemeClr w14:val="tx1"/>
            </w14:solidFill>
          </w14:textFill>
        </w:rPr>
      </w:pPr>
    </w:p>
    <w:p w14:paraId="5A679950">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其他激励措施</w:t>
      </w:r>
    </w:p>
    <w:sdt>
      <w:sdtPr>
        <w:rPr>
          <w:color w:val="000000" w:themeColor="text1"/>
          <w14:textFill>
            <w14:solidFill>
              <w14:schemeClr w14:val="tx1"/>
            </w14:solidFill>
          </w14:textFill>
        </w:rPr>
        <w:alias w:val="是否适用：其他激励措施[双击切换]"/>
        <w:tag w:val="_GBC_87e3c04518ac4bed97846d84cc8784e1"/>
        <w:id w:val="147472164"/>
        <w:placeholder>
          <w:docPart w:val="GBC22222222222222222222222222222"/>
        </w:placeholder>
      </w:sdtPr>
      <w:sdtEndPr>
        <w:rPr>
          <w:color w:val="000000" w:themeColor="text1"/>
          <w14:textFill>
            <w14:solidFill>
              <w14:schemeClr w14:val="tx1"/>
            </w14:solidFill>
          </w14:textFill>
        </w:rPr>
      </w:sdtEndPr>
      <w:sdtContent>
        <w:p w14:paraId="42F2073F">
          <w:pPr>
            <w:rPr>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F927621">
      <w:pPr>
        <w:rPr>
          <w:color w:val="000000" w:themeColor="text1"/>
          <w14:textFill>
            <w14:solidFill>
              <w14:schemeClr w14:val="tx1"/>
            </w14:solidFill>
          </w14:textFill>
        </w:rPr>
      </w:pPr>
    </w:p>
    <w:p w14:paraId="03124EB8">
      <w:pPr>
        <w:pStyle w:val="3"/>
        <w:numPr>
          <w:ilvl w:val="0"/>
          <w:numId w:val="28"/>
        </w:numPr>
        <w:tabs>
          <w:tab w:val="left" w:pos="426"/>
        </w:tabs>
        <w:jc w:val="left"/>
        <w:rPr>
          <w:rFonts w:ascii="宋体" w:hAnsi="宋体"/>
          <w:color w:val="000000" w:themeColor="text1"/>
          <w14:textFill>
            <w14:solidFill>
              <w14:schemeClr w14:val="tx1"/>
            </w14:solidFill>
          </w14:textFill>
        </w:rPr>
      </w:pPr>
      <w:bookmarkStart w:id="85" w:name="_Hlk200011887"/>
      <w:bookmarkStart w:id="86" w:name="_Hlk199840683"/>
      <w:r>
        <w:rPr>
          <w:rFonts w:hint="eastAsia" w:ascii="宋体" w:hAnsi="宋体"/>
          <w:color w:val="000000" w:themeColor="text1"/>
          <w14:textFill>
            <w14:solidFill>
              <w14:schemeClr w14:val="tx1"/>
            </w14:solidFill>
          </w14:textFill>
        </w:rPr>
        <w:t>纳入环境信息依法披露企业名单的上市公司及其主要子公司的环境信息情况</w:t>
      </w:r>
    </w:p>
    <w:sdt>
      <w:sdtPr>
        <w:rPr>
          <w:rFonts w:hint="eastAsia"/>
          <w:color w:val="000000"/>
        </w:rPr>
        <w:alias w:val="是否适用：纳入环境信息依法披露企业名单的上市公司及其主要子公司的环境信息情况[双击切换]"/>
        <w:tag w:val="_GBC_b74e72cb07f94db28869a8424482d034"/>
        <w:id w:val="147460877"/>
        <w:placeholder>
          <w:docPart w:val="GBC22222222222222222222222222222"/>
        </w:placeholder>
      </w:sdtPr>
      <w:sdtEndPr>
        <w:rPr>
          <w:rFonts w:hint="eastAsia"/>
          <w:color w:val="000000"/>
        </w:rPr>
      </w:sdtEndPr>
      <w:sdtContent>
        <w:p w14:paraId="762EE191">
          <w:pPr>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2180"/>
        <w:gridCol w:w="6147"/>
      </w:tblGrid>
      <w:tr w14:paraId="6305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sdt>
          <w:sdtPr>
            <w:tag w:val="_PLD_7288e62233d246828b89afc3b35261ec"/>
            <w:id w:val="147465607"/>
          </w:sdtPr>
          <w:sdtEndPr>
            <w:rPr>
              <w:rFonts w:hint="eastAsia"/>
            </w:rPr>
          </w:sdtEndPr>
          <w:sdtContent>
            <w:tc>
              <w:tcPr>
                <w:tcW w:w="1604" w:type="pct"/>
                <w:gridSpan w:val="2"/>
                <w:vAlign w:val="center"/>
              </w:tcPr>
              <w:p w14:paraId="7EB273EA">
                <w:pPr>
                  <w:rPr>
                    <w:color w:val="000000"/>
                  </w:rPr>
                </w:pPr>
                <w:r>
                  <w:rPr>
                    <w:color w:val="000000"/>
                  </w:rPr>
                  <w:t>纳入环境信息依法披露企业名单中的企业数量</w:t>
                </w:r>
                <w:r>
                  <w:rPr>
                    <w:rFonts w:hint="eastAsia"/>
                    <w:color w:val="000000"/>
                  </w:rPr>
                  <w:t>（个）</w:t>
                </w:r>
              </w:p>
            </w:tc>
          </w:sdtContent>
        </w:sdt>
        <w:sdt>
          <w:sdtPr>
            <w:rPr>
              <w:rFonts w:hint="eastAsia"/>
              <w:color w:val="000000"/>
            </w:rPr>
            <w:alias w:val="纳入环境信息依法披露企业名单中的企业数量"/>
            <w:tag w:val="_GBC_dd7d38af30cb4c86b3e38770129e8965"/>
            <w:id w:val="147479695"/>
          </w:sdtPr>
          <w:sdtEndPr>
            <w:rPr>
              <w:rFonts w:hint="eastAsia"/>
              <w:color w:val="000000"/>
            </w:rPr>
          </w:sdtEndPr>
          <w:sdtContent>
            <w:tc>
              <w:tcPr>
                <w:tcW w:w="3396" w:type="pct"/>
                <w:vAlign w:val="center"/>
              </w:tcPr>
              <w:p w14:paraId="3AF18F14">
                <w:pPr>
                  <w:rPr>
                    <w:color w:val="000000"/>
                  </w:rPr>
                </w:pPr>
                <w:r>
                  <w:rPr>
                    <w:color w:val="000000"/>
                  </w:rPr>
                  <w:t>4</w:t>
                </w:r>
              </w:p>
            </w:tc>
          </w:sdtContent>
        </w:sdt>
      </w:tr>
      <w:tr w14:paraId="3523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sdt>
          <w:sdtPr>
            <w:tag w:val="_PLD_cd9b676999aa473ca7d99a3f88297e23"/>
            <w:id w:val="147480801"/>
          </w:sdtPr>
          <w:sdtContent>
            <w:tc>
              <w:tcPr>
                <w:tcW w:w="399" w:type="pct"/>
              </w:tcPr>
              <w:p w14:paraId="228C9DF6">
                <w:pPr>
                  <w:jc w:val="center"/>
                  <w:rPr>
                    <w:color w:val="000000"/>
                  </w:rPr>
                </w:pPr>
                <w:r>
                  <w:rPr>
                    <w:rFonts w:hint="eastAsia"/>
                    <w:color w:val="000000"/>
                  </w:rPr>
                  <w:t>序号</w:t>
                </w:r>
              </w:p>
            </w:tc>
          </w:sdtContent>
        </w:sdt>
        <w:sdt>
          <w:sdtPr>
            <w:tag w:val="_PLD_01a5b693c5604d2bb52f37ceb750fdc5"/>
            <w:id w:val="147470650"/>
          </w:sdtPr>
          <w:sdtContent>
            <w:tc>
              <w:tcPr>
                <w:tcW w:w="1205" w:type="pct"/>
                <w:vAlign w:val="center"/>
              </w:tcPr>
              <w:p w14:paraId="03E97A68">
                <w:pPr>
                  <w:jc w:val="center"/>
                  <w:rPr>
                    <w:color w:val="000000"/>
                  </w:rPr>
                </w:pPr>
                <w:r>
                  <w:rPr>
                    <w:rFonts w:hint="eastAsia"/>
                    <w:color w:val="000000"/>
                  </w:rPr>
                  <w:t>企业名称</w:t>
                </w:r>
              </w:p>
            </w:tc>
          </w:sdtContent>
        </w:sdt>
        <w:sdt>
          <w:sdtPr>
            <w:tag w:val="_PLD_452bbf5c81084d18bf0f995d0240bf2f"/>
            <w:id w:val="147463058"/>
          </w:sdtPr>
          <w:sdtContent>
            <w:tc>
              <w:tcPr>
                <w:tcW w:w="3396" w:type="pct"/>
                <w:vAlign w:val="center"/>
              </w:tcPr>
              <w:p w14:paraId="37B442F8">
                <w:pPr>
                  <w:jc w:val="center"/>
                  <w:rPr>
                    <w:iCs/>
                    <w:color w:val="000000"/>
                  </w:rPr>
                </w:pPr>
                <w:r>
                  <w:rPr>
                    <w:rFonts w:hint="eastAsia"/>
                    <w:iCs/>
                    <w:color w:val="000000"/>
                  </w:rPr>
                  <w:t>环境信息依法披露报告的查询索引</w:t>
                </w:r>
              </w:p>
            </w:tc>
          </w:sdtContent>
        </w:sdt>
      </w:tr>
      <w:tr w14:paraId="6B21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399" w:type="pct"/>
            <w:vAlign w:val="center"/>
          </w:tcPr>
          <w:p w14:paraId="104458AC">
            <w:pPr>
              <w:pStyle w:val="55"/>
              <w:jc w:val="center"/>
            </w:pPr>
            <w:r>
              <w:rPr>
                <w:rFonts w:hint="eastAsia"/>
              </w:rPr>
              <w:t>1</w:t>
            </w:r>
          </w:p>
        </w:tc>
        <w:tc>
          <w:tcPr>
            <w:tcW w:w="1205" w:type="pct"/>
            <w:vAlign w:val="center"/>
          </w:tcPr>
          <w:p w14:paraId="0FA59014">
            <w:pPr>
              <w:pStyle w:val="55"/>
            </w:pPr>
            <w:r>
              <w:rPr>
                <w:rFonts w:hint="eastAsia"/>
              </w:rPr>
              <w:t>际华三五四二纺织有限公司</w:t>
            </w:r>
          </w:p>
        </w:tc>
        <w:tc>
          <w:tcPr>
            <w:tcW w:w="3396" w:type="pct"/>
          </w:tcPr>
          <w:p w14:paraId="6F933EF7">
            <w:pPr>
              <w:pStyle w:val="55"/>
            </w:pPr>
            <w:r>
              <w:rPr>
                <w:rFonts w:hint="eastAsia"/>
              </w:rPr>
              <w:t>https://permit.mee.gov.cn/perxxgkinfo/xkgkAction!xkgk.action?xkgk=getxxgkContent&amp;dataid=9d909ee81d2c44679e187ef72d90376b</w:t>
            </w:r>
          </w:p>
        </w:tc>
      </w:tr>
      <w:tr w14:paraId="7402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399" w:type="pct"/>
            <w:vAlign w:val="center"/>
          </w:tcPr>
          <w:p w14:paraId="6BAB58E9">
            <w:pPr>
              <w:pStyle w:val="55"/>
              <w:jc w:val="center"/>
            </w:pPr>
            <w:r>
              <w:rPr>
                <w:rFonts w:hint="eastAsia"/>
              </w:rPr>
              <w:t>2</w:t>
            </w:r>
          </w:p>
        </w:tc>
        <w:tc>
          <w:tcPr>
            <w:tcW w:w="1205" w:type="pct"/>
            <w:vAlign w:val="center"/>
          </w:tcPr>
          <w:p w14:paraId="58A6D259">
            <w:pPr>
              <w:pStyle w:val="55"/>
            </w:pPr>
            <w:r>
              <w:rPr>
                <w:rFonts w:hint="eastAsia"/>
              </w:rPr>
              <w:t>际华三五四三针织服饰有限公司</w:t>
            </w:r>
          </w:p>
        </w:tc>
        <w:tc>
          <w:tcPr>
            <w:tcW w:w="3396" w:type="pct"/>
          </w:tcPr>
          <w:p w14:paraId="514985A6">
            <w:pPr>
              <w:pStyle w:val="55"/>
            </w:pPr>
            <w:r>
              <w:rPr>
                <w:rFonts w:hint="eastAsia"/>
              </w:rPr>
              <w:t>https://permit.mee.gov.cn/perxxgkinfo/xkgkAction!xkgk.action?xkgk=getxxgkContent&amp;dataid=278db234ae3f4338868d614ed650a852</w:t>
            </w:r>
          </w:p>
        </w:tc>
      </w:tr>
      <w:tr w14:paraId="1D4B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399" w:type="pct"/>
            <w:vAlign w:val="center"/>
          </w:tcPr>
          <w:p w14:paraId="2BACDA3B">
            <w:pPr>
              <w:pStyle w:val="55"/>
              <w:jc w:val="center"/>
            </w:pPr>
            <w:r>
              <w:rPr>
                <w:rFonts w:hint="eastAsia"/>
              </w:rPr>
              <w:t>3</w:t>
            </w:r>
          </w:p>
        </w:tc>
        <w:tc>
          <w:tcPr>
            <w:tcW w:w="1205" w:type="pct"/>
            <w:vAlign w:val="center"/>
          </w:tcPr>
          <w:p w14:paraId="158BF4A0">
            <w:pPr>
              <w:pStyle w:val="55"/>
            </w:pPr>
            <w:r>
              <w:rPr>
                <w:rFonts w:hint="eastAsia"/>
              </w:rPr>
              <w:t>湖北际华针织有限公司</w:t>
            </w:r>
          </w:p>
        </w:tc>
        <w:tc>
          <w:tcPr>
            <w:tcW w:w="3396" w:type="pct"/>
          </w:tcPr>
          <w:p w14:paraId="2A9DC9E0">
            <w:pPr>
              <w:pStyle w:val="55"/>
            </w:pPr>
            <w:r>
              <w:rPr>
                <w:rFonts w:hint="eastAsia"/>
              </w:rPr>
              <w:t>https://permit.mee.gov.cn/perxxgkinfo/xkgkAction!xkgk.action?xkgk=getxxgkContent&amp;dataid=6632476398c942ed8fe288db65093121</w:t>
            </w:r>
          </w:p>
        </w:tc>
      </w:tr>
      <w:tr w14:paraId="4385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399" w:type="pct"/>
            <w:vAlign w:val="center"/>
          </w:tcPr>
          <w:p w14:paraId="6F503A54">
            <w:pPr>
              <w:pStyle w:val="55"/>
              <w:jc w:val="center"/>
            </w:pPr>
            <w:r>
              <w:rPr>
                <w:rFonts w:hint="eastAsia"/>
              </w:rPr>
              <w:t>4</w:t>
            </w:r>
          </w:p>
        </w:tc>
        <w:tc>
          <w:tcPr>
            <w:tcW w:w="1205" w:type="pct"/>
            <w:vAlign w:val="center"/>
          </w:tcPr>
          <w:p w14:paraId="63450F62">
            <w:pPr>
              <w:pStyle w:val="55"/>
            </w:pPr>
            <w:r>
              <w:rPr>
                <w:rFonts w:hint="eastAsia"/>
              </w:rPr>
              <w:t>咸阳际华新三零印染有限公司</w:t>
            </w:r>
          </w:p>
        </w:tc>
        <w:tc>
          <w:tcPr>
            <w:tcW w:w="3396" w:type="pct"/>
          </w:tcPr>
          <w:p w14:paraId="449CDD6E">
            <w:pPr>
              <w:pStyle w:val="55"/>
            </w:pPr>
            <w:r>
              <w:rPr>
                <w:rFonts w:hint="eastAsia"/>
              </w:rPr>
              <w:t>https://permit.mee.gov.cn/perxxgkinfo/xkgkAction!xkgk.action?xkgk=getxxgkContent&amp;dataid=44cdaf3ca9ea4ba985b269fa5bc9aafd</w:t>
            </w:r>
          </w:p>
        </w:tc>
      </w:tr>
    </w:tbl>
    <w:p w14:paraId="621BA4C4">
      <w:pPr>
        <w:pStyle w:val="55"/>
      </w:pPr>
    </w:p>
    <w:p w14:paraId="19D3987E">
      <w:pPr>
        <w:rPr>
          <w:color w:val="000000"/>
        </w:rPr>
      </w:pPr>
      <w:r>
        <w:rPr>
          <w:rFonts w:hint="eastAsia"/>
          <w:color w:val="000000"/>
        </w:rPr>
        <w:t>其他说明</w:t>
      </w:r>
    </w:p>
    <w:sdt>
      <w:sdtPr>
        <w:rPr>
          <w:rFonts w:hint="eastAsia"/>
          <w:color w:val="000000"/>
        </w:rPr>
        <w:alias w:val="是否适用：纳入环境信息依法披露企业名单的上市公司及其主要子公司的环境信息情况其他说明[双击切换]"/>
        <w:tag w:val="_GBC_047d333fc006452891574305ff7e477a"/>
        <w:id w:val="147464301"/>
        <w:placeholder>
          <w:docPart w:val="GBC22222222222222222222222222222"/>
        </w:placeholder>
      </w:sdtPr>
      <w:sdtEndPr>
        <w:rPr>
          <w:rFonts w:hint="eastAsia"/>
          <w:color w:val="000000"/>
        </w:rPr>
      </w:sdtEndPr>
      <w:sdtContent>
        <w:p w14:paraId="154CE167">
          <w:pPr>
            <w:rPr>
              <w:color w:val="000000"/>
            </w:rPr>
          </w:pPr>
          <w:r>
            <w:rPr>
              <w:rFonts w:hint="eastAsia" w:ascii="宋体" w:hAnsi="宋体"/>
              <w:color w:val="000000"/>
            </w:rPr>
            <w:fldChar w:fldCharType="begin"/>
          </w:r>
          <w:r>
            <w:rPr>
              <w:rFonts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ascii="宋体" w:hAnsi="宋体"/>
              <w:color w:val="000000"/>
            </w:rPr>
            <w:instrText xml:space="preserve"> MACROBUTTON  SnrToggleCheckbox √不适用 </w:instrText>
          </w:r>
          <w:r>
            <w:rPr>
              <w:rFonts w:hint="eastAsia" w:ascii="宋体" w:hAnsi="宋体"/>
              <w:color w:val="000000"/>
            </w:rPr>
            <w:fldChar w:fldCharType="end"/>
          </w:r>
        </w:p>
      </w:sdtContent>
    </w:sdt>
    <w:p w14:paraId="0B9BC0F0">
      <w:pPr>
        <w:rPr>
          <w:color w:val="000000" w:themeColor="text1"/>
          <w14:textFill>
            <w14:solidFill>
              <w14:schemeClr w14:val="tx1"/>
            </w14:solidFill>
          </w14:textFill>
        </w:rPr>
      </w:pPr>
    </w:p>
    <w:bookmarkEnd w:id="85"/>
    <w:bookmarkEnd w:id="86"/>
    <w:p w14:paraId="0D2AC1A9">
      <w:pPr>
        <w:pStyle w:val="3"/>
        <w:numPr>
          <w:ilvl w:val="0"/>
          <w:numId w:val="28"/>
        </w:numPr>
        <w:tabs>
          <w:tab w:val="left" w:pos="426"/>
        </w:tabs>
        <w:jc w:val="left"/>
        <w:rPr>
          <w:rFonts w:ascii="宋体" w:hAnsi="宋体"/>
          <w:color w:val="000000" w:themeColor="text1"/>
          <w14:textFill>
            <w14:solidFill>
              <w14:schemeClr w14:val="tx1"/>
            </w14:solidFill>
          </w14:textFill>
        </w:rPr>
      </w:pPr>
      <w:bookmarkStart w:id="87" w:name="_Hlk138060542"/>
      <w:bookmarkStart w:id="88" w:name="_Hlk137046383"/>
      <w:r>
        <w:rPr>
          <w:rFonts w:hint="eastAsia" w:ascii="宋体" w:hAnsi="宋体"/>
          <w:color w:val="000000" w:themeColor="text1"/>
          <w14:textFill>
            <w14:solidFill>
              <w14:schemeClr w14:val="tx1"/>
            </w14:solidFill>
          </w14:textFill>
        </w:rPr>
        <w:t>巩固拓展脱贫攻坚成果、乡村振兴等工作具体情况</w:t>
      </w:r>
    </w:p>
    <w:sdt>
      <w:sdtPr>
        <w:rPr>
          <w:color w:val="000000" w:themeColor="text1"/>
          <w14:textFill>
            <w14:solidFill>
              <w14:schemeClr w14:val="tx1"/>
            </w14:solidFill>
          </w14:textFill>
        </w:rPr>
        <w:alias w:val="是否适用：巩固拓展脱贫攻坚成果、乡村振兴工作具体情况[双击切换]"/>
        <w:tag w:val="_GBC_7f424183824c43c9809b2bbaefe89688"/>
        <w:id w:val="147457027"/>
        <w:placeholder>
          <w:docPart w:val="GBC22222222222222222222222222222"/>
        </w:placeholder>
      </w:sdtPr>
      <w:sdtEndPr>
        <w:rPr>
          <w:color w:val="000000" w:themeColor="text1"/>
          <w14:textFill>
            <w14:solidFill>
              <w14:schemeClr w14:val="tx1"/>
            </w14:solidFill>
          </w14:textFill>
        </w:rPr>
      </w:sdtEndPr>
      <w:sdtContent>
        <w:p w14:paraId="40EF87D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巩固拓展脱贫攻坚成果、乡村振兴工作具体情况"/>
        <w:tag w:val="_GBC_47fe8bcbd1294a14b7be74e9da037113"/>
        <w:id w:val="147480927"/>
        <w:placeholder>
          <w:docPart w:val="GBC22222222222222222222222222222"/>
        </w:placeholder>
      </w:sdtPr>
      <w:sdtEndPr>
        <w:rPr>
          <w:color w:val="000000" w:themeColor="text1"/>
          <w14:textFill>
            <w14:solidFill>
              <w14:schemeClr w14:val="tx1"/>
            </w14:solidFill>
          </w14:textFill>
        </w:rPr>
      </w:sdtEndPr>
      <w:sdtContent>
        <w:p w14:paraId="5CA59FF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际华集团及所属企业坚决贯彻党中央及地方各级政府决策部署，切实履行社会责任，充分发挥自身资源优势，将巩固脱贫攻坚成果与乡村振兴战略实施作为重要政治使命。公司持续深化产业、就业、消费等多维度帮扶机制，保持既有定点帮扶关系稳定，通过产业振兴、对口支援等多元化路径，扎实推进央企定点帮扶工作，促进脱贫攻坚与乡村振兴有效衔接，为全面推进乡村振兴战略贡献企业力量。</w:t>
          </w:r>
        </w:p>
        <w:p w14:paraId="572CDF7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一是实施产业扶贫、消费帮扶，带动和促进当地经济发展。</w:t>
          </w:r>
        </w:p>
        <w:p w14:paraId="6601AC0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2025年上半年，际华集团及4户所属企业定点帮扶甘肃省定西市安定区和内蒙古自治区乌兰察布市四子王旗采购农产品共计34.45万元，其中际华3543公司积极参加“央企消费帮扶迎春活动”采购甘肃省定西市安定区农产品2.06万元。为带动定西特色产品销售，际华3511公司甄选定西市扶贫产品、地方特色农副产品，特设“甘肃定西产品区”进行专卖定西宽粉条、马铃薯手工粉条、马铃薯曲奇饼干、三炮台等系列产品，通过公司美好生活馆门店销售，以及线上网络平台进行售卖，共销售农产品0.22万元。</w:t>
          </w:r>
        </w:p>
        <w:p w14:paraId="2ED0B682">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二是定点对口扶贫，促进帮扶工作精准有效。</w:t>
          </w:r>
        </w:p>
        <w:p w14:paraId="6DC12704">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积极培育和践行社会主义核心价值观，履行社会责任。际华3542公司工会采购定点帮扶村襄阳市南漳县葫芦潭村大米2.7万斤，共计7.56万元，用于公司职工春节福利发放，增加帮扶村村集体、村民收入，同时为帮扶村村民预留了30个工作岗位，经常性进行入户宣讲。制鞋公司主要是通过驻村经济合作社，向定点帮扶村贵州省黔南布依族苗族自治州惠水县濛江街道办事处合兴村采购自产农产品的消费帮扶1.35万元，购置办公设备0.2万元，增强基层党组织的基础建设。</w:t>
          </w:r>
        </w:p>
        <w:p w14:paraId="2074E50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三是不定期走访慰问，切实提升群众幸福感。</w:t>
          </w:r>
        </w:p>
        <w:p w14:paraId="69409D6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际华3542公司在春节、端午节等重要节假日期间，到帮扶村襄阳市南漳县葫芦潭村进行调研和走访，到村走访慰问脱贫户、困难党员、老党员等，携带慰问物资，物资折款1.09万元。制鞋公司通过春节、端午节两节前夕，到驻村贵州省黔南布依族苗族自治州惠水县濛江街道办事处合兴村进行走访、慰问，了解驻村及驻村生活困难群众们关注的热点和难点问题。</w:t>
          </w:r>
        </w:p>
      </w:sdtContent>
    </w:sdt>
    <w:bookmarkEnd w:id="87"/>
    <w:p w14:paraId="45CFFEE4">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bookmarkEnd w:id="88"/>
    <w:p w14:paraId="2CEFFF1C">
      <w:pPr>
        <w:pStyle w:val="2"/>
        <w:numPr>
          <w:ilvl w:val="0"/>
          <w:numId w:val="3"/>
        </w:numPr>
        <w:rPr>
          <w:rFonts w:ascii="黑体" w:hAnsi="黑体"/>
          <w:color w:val="000000" w:themeColor="text1"/>
          <w14:textFill>
            <w14:solidFill>
              <w14:schemeClr w14:val="tx1"/>
            </w14:solidFill>
          </w14:textFill>
        </w:rPr>
      </w:pPr>
      <w:bookmarkStart w:id="89" w:name="_Toc76114278"/>
      <w:bookmarkStart w:id="90" w:name="_Toc392233016"/>
      <w:bookmarkStart w:id="91" w:name="_Toc342565988"/>
      <w:bookmarkStart w:id="92" w:name="_Toc200030544"/>
      <w:r>
        <w:rPr>
          <w:rFonts w:hint="eastAsia" w:ascii="黑体" w:hAnsi="黑体"/>
          <w:color w:val="000000" w:themeColor="text1"/>
          <w14:textFill>
            <w14:solidFill>
              <w14:schemeClr w14:val="tx1"/>
            </w14:solidFill>
          </w14:textFill>
        </w:rPr>
        <w:t>股份变动及股东情况</w:t>
      </w:r>
    </w:p>
    <w:bookmarkEnd w:id="89"/>
    <w:bookmarkEnd w:id="90"/>
    <w:bookmarkEnd w:id="91"/>
    <w:bookmarkEnd w:id="92"/>
    <w:p w14:paraId="381B9D3F">
      <w:pPr>
        <w:pStyle w:val="74"/>
        <w:numPr>
          <w:ilvl w:val="0"/>
          <w:numId w:val="30"/>
        </w:numPr>
        <w:spacing w:line="360" w:lineRule="auto"/>
        <w:ind w:left="422" w:hanging="422"/>
        <w:rPr>
          <w:rFonts w:ascii="宋体" w:hAnsi="宋体"/>
          <w:color w:val="000000" w:themeColor="text1"/>
          <w14:textFill>
            <w14:solidFill>
              <w14:schemeClr w14:val="tx1"/>
            </w14:solidFill>
          </w14:textFill>
        </w:rPr>
      </w:pPr>
      <w:bookmarkStart w:id="93" w:name="_Toc342059476"/>
      <w:bookmarkStart w:id="94" w:name="_Toc342565989"/>
      <w:r>
        <w:rPr>
          <w:rFonts w:ascii="宋体" w:hAnsi="宋体"/>
          <w:color w:val="000000" w:themeColor="text1"/>
          <w14:textFill>
            <w14:solidFill>
              <w14:schemeClr w14:val="tx1"/>
            </w14:solidFill>
          </w14:textFill>
        </w:rPr>
        <w:t>股</w:t>
      </w:r>
      <w:r>
        <w:rPr>
          <w:rFonts w:hint="eastAsia" w:ascii="宋体" w:hAnsi="宋体"/>
          <w:color w:val="000000" w:themeColor="text1"/>
          <w14:textFill>
            <w14:solidFill>
              <w14:schemeClr w14:val="tx1"/>
            </w14:solidFill>
          </w14:textFill>
        </w:rPr>
        <w:t>本变动情况</w:t>
      </w:r>
      <w:bookmarkEnd w:id="93"/>
      <w:bookmarkEnd w:id="94"/>
    </w:p>
    <w:p w14:paraId="580327F1">
      <w:pPr>
        <w:pStyle w:val="75"/>
        <w:numPr>
          <w:ilvl w:val="1"/>
          <w:numId w:val="31"/>
        </w:numPr>
        <w:rPr>
          <w:rFonts w:ascii="宋体" w:hAnsi="宋体"/>
          <w:color w:val="000000" w:themeColor="text1"/>
          <w14:textFill>
            <w14:solidFill>
              <w14:schemeClr w14:val="tx1"/>
            </w14:solidFill>
          </w14:textFill>
        </w:rPr>
      </w:pPr>
      <w:bookmarkStart w:id="95" w:name="_Toc342059477"/>
      <w:bookmarkStart w:id="96" w:name="_Toc342565990"/>
      <w:r>
        <w:rPr>
          <w:rFonts w:hint="eastAsia" w:ascii="宋体" w:hAnsi="宋体"/>
          <w:color w:val="000000" w:themeColor="text1"/>
          <w14:textFill>
            <w14:solidFill>
              <w14:schemeClr w14:val="tx1"/>
            </w14:solidFill>
          </w14:textFill>
        </w:rPr>
        <w:t>股份变动情况表</w:t>
      </w:r>
      <w:bookmarkEnd w:id="95"/>
      <w:bookmarkEnd w:id="96"/>
    </w:p>
    <w:p w14:paraId="43FA716B">
      <w:pPr>
        <w:pStyle w:val="76"/>
        <w:numPr>
          <w:ilvl w:val="2"/>
          <w:numId w:val="3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股份变动情况表</w:t>
      </w:r>
    </w:p>
    <w:p w14:paraId="3E353C84">
      <w:pPr>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w:t>
      </w:r>
      <w:sdt>
        <w:sdtPr>
          <w:tag w:val="_PLD_dec093ae39394edab2b0d11e4fc7aedd"/>
          <w:id w:val="147472311"/>
        </w:sdtPr>
        <w:sdtContent>
          <w:r>
            <w:rPr>
              <w:rFonts w:hint="eastAsia"/>
              <w:color w:val="000000" w:themeColor="text1"/>
              <w14:textFill>
                <w14:solidFill>
                  <w14:schemeClr w14:val="tx1"/>
                </w14:solidFill>
              </w14:textFill>
            </w:rPr>
            <w:t>公司股份总数及股本结构未发生变化。</w:t>
          </w:r>
        </w:sdtContent>
      </w:sdt>
    </w:p>
    <w:p w14:paraId="0F6EBEAD">
      <w:pPr>
        <w:pStyle w:val="76"/>
        <w:numPr>
          <w:ilvl w:val="2"/>
          <w:numId w:val="32"/>
        </w:numPr>
        <w:rPr>
          <w:rFonts w:ascii="宋体" w:hAnsi="宋体"/>
          <w:color w:val="000000" w:themeColor="text1"/>
          <w14:textFill>
            <w14:solidFill>
              <w14:schemeClr w14:val="tx1"/>
            </w14:solidFill>
          </w14:textFill>
        </w:rPr>
      </w:pPr>
      <w:bookmarkStart w:id="97" w:name="_Toc342059483"/>
      <w:bookmarkStart w:id="98" w:name="_Toc342565996"/>
      <w:r>
        <w:rPr>
          <w:rFonts w:hint="eastAsia" w:ascii="宋体" w:hAnsi="宋体"/>
          <w:color w:val="000000" w:themeColor="text1"/>
          <w14:textFill>
            <w14:solidFill>
              <w14:schemeClr w14:val="tx1"/>
            </w14:solidFill>
          </w14:textFill>
        </w:rPr>
        <w:t>股份变动情况说明</w:t>
      </w:r>
    </w:p>
    <w:sdt>
      <w:sdtPr>
        <w:rPr>
          <w:color w:val="000000" w:themeColor="text1"/>
          <w14:textFill>
            <w14:solidFill>
              <w14:schemeClr w14:val="tx1"/>
            </w14:solidFill>
          </w14:textFill>
        </w:rPr>
        <w:alias w:val="是否适用：普通股股份变动情况说明[双击切换]"/>
        <w:tag w:val="_GBC_28994e6dc9c649e498c0ab9c340777bf"/>
        <w:id w:val="147469672"/>
        <w:placeholder>
          <w:docPart w:val="GBC22222222222222222222222222222"/>
        </w:placeholder>
      </w:sdtPr>
      <w:sdtEndPr>
        <w:rPr>
          <w:color w:val="000000" w:themeColor="text1"/>
          <w14:textFill>
            <w14:solidFill>
              <w14:schemeClr w14:val="tx1"/>
            </w14:solidFill>
          </w14:textFill>
        </w:rPr>
      </w:sdtEndPr>
      <w:sdtContent>
        <w:p w14:paraId="57A8907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7DA1B3E">
      <w:pPr>
        <w:rPr>
          <w:color w:val="000000" w:themeColor="text1"/>
          <w14:textFill>
            <w14:solidFill>
              <w14:schemeClr w14:val="tx1"/>
            </w14:solidFill>
          </w14:textFill>
        </w:rPr>
      </w:pPr>
    </w:p>
    <w:p w14:paraId="04E351CA">
      <w:pPr>
        <w:pStyle w:val="76"/>
        <w:numPr>
          <w:ilvl w:val="2"/>
          <w:numId w:val="3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报告期后到半年报披露日期间发生股份变动对每股收益、每股净资产等财务指标的影响（如有）</w:t>
      </w:r>
    </w:p>
    <w:sdt>
      <w:sdtPr>
        <w:rPr>
          <w:rFonts w:hint="eastAsia"/>
          <w:color w:val="000000" w:themeColor="text1"/>
          <w14:textFill>
            <w14:solidFill>
              <w14:schemeClr w14:val="tx1"/>
            </w14:solidFill>
          </w14:textFill>
        </w:rPr>
        <w:alias w:val="是否适用：普通股股份变动对最近一年和最近一期每股收益、每股净资产等财务指标的影响[双击切换]"/>
        <w:tag w:val="_GBC_bb0980f1589b4db8944ca5595f342bfe"/>
        <w:id w:val="147452028"/>
        <w:placeholder>
          <w:docPart w:val="GBC22222222222222222222222222222"/>
        </w:placeholder>
      </w:sdtPr>
      <w:sdtEndPr>
        <w:rPr>
          <w:rFonts w:hint="eastAsia"/>
          <w:color w:val="000000" w:themeColor="text1"/>
          <w14:textFill>
            <w14:solidFill>
              <w14:schemeClr w14:val="tx1"/>
            </w14:solidFill>
          </w14:textFill>
        </w:rPr>
      </w:sdtEndPr>
      <w:sdtContent>
        <w:p w14:paraId="4F5B38E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1DEE802">
      <w:pPr>
        <w:rPr>
          <w:color w:val="000000" w:themeColor="text1"/>
          <w14:textFill>
            <w14:solidFill>
              <w14:schemeClr w14:val="tx1"/>
            </w14:solidFill>
          </w14:textFill>
        </w:rPr>
      </w:pPr>
    </w:p>
    <w:p w14:paraId="68D31E1E">
      <w:pPr>
        <w:pStyle w:val="76"/>
        <w:numPr>
          <w:ilvl w:val="2"/>
          <w:numId w:val="3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公司认为必要或证券监管机构要求披露的其他内容</w:t>
      </w:r>
    </w:p>
    <w:sdt>
      <w:sdtPr>
        <w:rPr>
          <w:color w:val="000000" w:themeColor="text1"/>
          <w14:textFill>
            <w14:solidFill>
              <w14:schemeClr w14:val="tx1"/>
            </w14:solidFill>
          </w14:textFill>
        </w:rPr>
        <w:alias w:val="是否适用：公司认为必要或证券监管机构要求披露的其他内容[双击切换]"/>
        <w:tag w:val="_GBC_7554eed1e25047d282437f24056d532b"/>
        <w:id w:val="147458775"/>
        <w:placeholder>
          <w:docPart w:val="GBC22222222222222222222222222222"/>
        </w:placeholder>
      </w:sdtPr>
      <w:sdtEndPr>
        <w:rPr>
          <w:color w:val="000000" w:themeColor="text1"/>
          <w14:textFill>
            <w14:solidFill>
              <w14:schemeClr w14:val="tx1"/>
            </w14:solidFill>
          </w14:textFill>
        </w:rPr>
      </w:sdtEndPr>
      <w:sdtContent>
        <w:p w14:paraId="712D4A0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10690D6">
      <w:pPr>
        <w:rPr>
          <w:color w:val="000000" w:themeColor="text1"/>
          <w14:textFill>
            <w14:solidFill>
              <w14:schemeClr w14:val="tx1"/>
            </w14:solidFill>
          </w14:textFill>
        </w:rPr>
      </w:pPr>
    </w:p>
    <w:p w14:paraId="15A9B188">
      <w:pPr>
        <w:pStyle w:val="75"/>
        <w:numPr>
          <w:ilvl w:val="1"/>
          <w:numId w:val="3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限售股份变动情况</w:t>
      </w:r>
    </w:p>
    <w:sdt>
      <w:sdtPr>
        <w:rPr>
          <w:color w:val="000000" w:themeColor="text1"/>
          <w14:textFill>
            <w14:solidFill>
              <w14:schemeClr w14:val="tx1"/>
            </w14:solidFill>
          </w14:textFill>
        </w:rPr>
        <w:alias w:val="是否适用：限售股份变动情况表[双击切换]"/>
        <w:tag w:val="_GBC_6f5978a50e224b6aa94189436cdee711"/>
        <w:id w:val="147470548"/>
        <w:placeholder>
          <w:docPart w:val="GBC22222222222222222222222222222"/>
        </w:placeholder>
      </w:sdtPr>
      <w:sdtEndPr>
        <w:rPr>
          <w:color w:val="000000" w:themeColor="text1"/>
          <w14:textFill>
            <w14:solidFill>
              <w14:schemeClr w14:val="tx1"/>
            </w14:solidFill>
          </w14:textFill>
        </w:rPr>
      </w:sdtEndPr>
      <w:sdtContent>
        <w:p w14:paraId="445BDD5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00341A5">
      <w:pPr>
        <w:rPr>
          <w:color w:val="000000" w:themeColor="text1"/>
          <w14:textFill>
            <w14:solidFill>
              <w14:schemeClr w14:val="tx1"/>
            </w14:solidFill>
          </w14:textFill>
        </w:rPr>
      </w:pPr>
    </w:p>
    <w:p w14:paraId="4ECD59E6">
      <w:pPr>
        <w:pStyle w:val="74"/>
        <w:numPr>
          <w:ilvl w:val="0"/>
          <w:numId w:val="30"/>
        </w:numPr>
        <w:spacing w:line="360" w:lineRule="auto"/>
        <w:ind w:left="422" w:hanging="422"/>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股东情况</w:t>
      </w:r>
      <w:bookmarkEnd w:id="97"/>
      <w:bookmarkEnd w:id="98"/>
    </w:p>
    <w:p w14:paraId="3D161283">
      <w:pPr>
        <w:pStyle w:val="75"/>
        <w:numPr>
          <w:ilvl w:val="1"/>
          <w:numId w:val="3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股东总数：</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0"/>
        <w:gridCol w:w="3978"/>
      </w:tblGrid>
      <w:tr w14:paraId="4295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206d6884981495295105158630a6172"/>
            <w:id w:val="147475187"/>
          </w:sdtPr>
          <w:sdtContent>
            <w:tc>
              <w:tcPr>
                <w:tcW w:w="5070" w:type="dxa"/>
              </w:tcPr>
              <w:p w14:paraId="60F9FC86">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截至报告期末</w:t>
                </w:r>
                <w:r>
                  <w:rPr>
                    <w:rFonts w:hint="eastAsia"/>
                    <w:color w:val="000000" w:themeColor="text1"/>
                    <w14:textFill>
                      <w14:solidFill>
                        <w14:schemeClr w14:val="tx1"/>
                      </w14:solidFill>
                    </w14:textFill>
                  </w:rPr>
                  <w:t>普通股</w:t>
                </w:r>
                <w:r>
                  <w:rPr>
                    <w:color w:val="000000" w:themeColor="text1"/>
                    <w14:textFill>
                      <w14:solidFill>
                        <w14:schemeClr w14:val="tx1"/>
                      </w14:solidFill>
                    </w14:textFill>
                  </w:rPr>
                  <w:t>股东总数(户)</w:t>
                </w:r>
              </w:p>
            </w:tc>
          </w:sdtContent>
        </w:sdt>
        <w:sdt>
          <w:sdtPr>
            <w:rPr>
              <w:color w:val="000000" w:themeColor="text1"/>
              <w14:textFill>
                <w14:solidFill>
                  <w14:schemeClr w14:val="tx1"/>
                </w14:solidFill>
              </w14:textFill>
            </w:rPr>
            <w:alias w:val="报告期末股东总数"/>
            <w:tag w:val="_GBC_9fd402ec66014f4e9716c7fdb0286bd2"/>
            <w:id w:val="147465805"/>
          </w:sdtPr>
          <w:sdtEndPr>
            <w:rPr>
              <w:color w:val="000000" w:themeColor="text1"/>
              <w14:textFill>
                <w14:solidFill>
                  <w14:schemeClr w14:val="tx1"/>
                </w14:solidFill>
              </w14:textFill>
            </w:rPr>
          </w:sdtEndPr>
          <w:sdtContent>
            <w:tc>
              <w:tcPr>
                <w:tcW w:w="3978" w:type="dxa"/>
              </w:tcPr>
              <w:p w14:paraId="1DC20230">
                <w:pPr>
                  <w:widowControl w:val="0"/>
                  <w:jc w:val="right"/>
                  <w:rPr>
                    <w:color w:val="000000" w:themeColor="text1"/>
                    <w14:textFill>
                      <w14:solidFill>
                        <w14:schemeClr w14:val="tx1"/>
                      </w14:solidFill>
                    </w14:textFill>
                  </w:rPr>
                </w:pPr>
                <w:r>
                  <w:rPr>
                    <w:color w:val="000000" w:themeColor="text1"/>
                    <w14:textFill>
                      <w14:solidFill>
                        <w14:schemeClr w14:val="tx1"/>
                      </w14:solidFill>
                    </w14:textFill>
                  </w:rPr>
                  <w:t>132,830</w:t>
                </w:r>
              </w:p>
            </w:tc>
          </w:sdtContent>
        </w:sdt>
      </w:tr>
      <w:tr w14:paraId="35FE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468EB595">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截至报告期末表决权恢复的优先股股东总数（户）</w:t>
            </w:r>
          </w:p>
        </w:tc>
        <w:tc>
          <w:tcPr>
            <w:tcW w:w="3978" w:type="dxa"/>
          </w:tcPr>
          <w:p w14:paraId="3225EDF1">
            <w:pPr>
              <w:widowControl w:val="0"/>
              <w:jc w:val="right"/>
            </w:pPr>
            <w:r>
              <w:rPr>
                <w:rFonts w:hint="eastAsia"/>
              </w:rPr>
              <w:t>0</w:t>
            </w:r>
          </w:p>
        </w:tc>
      </w:tr>
    </w:tbl>
    <w:p w14:paraId="34613512">
      <w:pPr>
        <w:rPr>
          <w:color w:val="000000" w:themeColor="text1"/>
          <w14:textFill>
            <w14:solidFill>
              <w14:schemeClr w14:val="tx1"/>
            </w14:solidFill>
          </w14:textFill>
        </w:rPr>
      </w:pPr>
    </w:p>
    <w:p w14:paraId="673D6F34">
      <w:pPr>
        <w:pStyle w:val="75"/>
        <w:numPr>
          <w:ilvl w:val="1"/>
          <w:numId w:val="33"/>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截至报告期末前十名股东、前十名流通股东（或无限售条件股东）持股情况表</w:t>
      </w:r>
    </w:p>
    <w:p w14:paraId="1429A018">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bCs w:val="0"/>
            <w:color w:val="000000" w:themeColor="text1"/>
            <w14:textFill>
              <w14:solidFill>
                <w14:schemeClr w14:val="tx1"/>
              </w14:solidFill>
            </w14:textFill>
          </w:rPr>
          <w:alias w:val="单位：前十名股东持股情况"/>
          <w:tag w:val="_GBC_9d020b31dcb449c980ed0856cf6dae82"/>
          <w:id w:val="147455878"/>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股</w:t>
          </w:r>
        </w:sdtContent>
      </w:sdt>
    </w:p>
    <w:tbl>
      <w:tblPr>
        <w:tblStyle w:val="72"/>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349"/>
        <w:gridCol w:w="1481"/>
        <w:gridCol w:w="711"/>
        <w:gridCol w:w="783"/>
        <w:gridCol w:w="629"/>
        <w:gridCol w:w="315"/>
        <w:gridCol w:w="682"/>
        <w:gridCol w:w="1471"/>
      </w:tblGrid>
      <w:tr w14:paraId="6289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3038da138bad4905b589aeba821a8575"/>
            <w:id w:val="147450900"/>
          </w:sdtPr>
          <w:sdtContent>
            <w:tc>
              <w:tcPr>
                <w:tcW w:w="9080" w:type="dxa"/>
                <w:gridSpan w:val="9"/>
                <w:vAlign w:val="center"/>
              </w:tcPr>
              <w:p w14:paraId="41A7B834">
                <w:pPr>
                  <w:pStyle w:val="84"/>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前十名股东持股情况</w:t>
                </w:r>
                <w:r>
                  <w:rPr>
                    <w:rFonts w:hint="eastAsia" w:ascii="宋体" w:hAnsi="宋体"/>
                    <w:color w:val="000000" w:themeColor="text1"/>
                    <w14:textFill>
                      <w14:solidFill>
                        <w14:schemeClr w14:val="tx1"/>
                      </w14:solidFill>
                    </w14:textFill>
                  </w:rPr>
                  <w:t>（不含通过转融通出借股份）</w:t>
                </w:r>
              </w:p>
            </w:tc>
          </w:sdtContent>
        </w:sdt>
      </w:tr>
      <w:tr w14:paraId="6F43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80eda5ca76254dc1b950ed7de7dc5885"/>
            <w:id w:val="147476362"/>
          </w:sdtPr>
          <w:sdtContent>
            <w:tc>
              <w:tcPr>
                <w:tcW w:w="1659" w:type="dxa"/>
                <w:vMerge w:val="restart"/>
                <w:vAlign w:val="center"/>
              </w:tcPr>
              <w:p w14:paraId="515FFABE">
                <w:pPr>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p w14:paraId="41DE815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（全称）</w:t>
                </w:r>
              </w:p>
            </w:tc>
          </w:sdtContent>
        </w:sdt>
        <w:sdt>
          <w:sdtPr>
            <w:tag w:val="_PLD_ca2ffd3fc186426e98aac562ecc1ba54"/>
            <w:id w:val="147469396"/>
          </w:sdtPr>
          <w:sdtContent>
            <w:tc>
              <w:tcPr>
                <w:tcW w:w="1349" w:type="dxa"/>
                <w:vMerge w:val="restart"/>
                <w:vAlign w:val="center"/>
              </w:tcPr>
              <w:p w14:paraId="4386BB26">
                <w:pPr>
                  <w:jc w:val="center"/>
                  <w:rPr>
                    <w:color w:val="000000" w:themeColor="text1"/>
                    <w14:textFill>
                      <w14:solidFill>
                        <w14:schemeClr w14:val="tx1"/>
                      </w14:solidFill>
                    </w14:textFill>
                  </w:rPr>
                </w:pPr>
                <w:r>
                  <w:rPr>
                    <w:color w:val="000000" w:themeColor="text1"/>
                    <w14:textFill>
                      <w14:solidFill>
                        <w14:schemeClr w14:val="tx1"/>
                      </w14:solidFill>
                    </w14:textFill>
                  </w:rPr>
                  <w:t>报告期内</w:t>
                </w:r>
              </w:p>
              <w:p w14:paraId="058ACC83">
                <w:pPr>
                  <w:jc w:val="center"/>
                  <w:rPr>
                    <w:color w:val="000000" w:themeColor="text1"/>
                    <w14:textFill>
                      <w14:solidFill>
                        <w14:schemeClr w14:val="tx1"/>
                      </w14:solidFill>
                    </w14:textFill>
                  </w:rPr>
                </w:pPr>
                <w:r>
                  <w:rPr>
                    <w:color w:val="000000" w:themeColor="text1"/>
                    <w14:textFill>
                      <w14:solidFill>
                        <w14:schemeClr w14:val="tx1"/>
                      </w14:solidFill>
                    </w14:textFill>
                  </w:rPr>
                  <w:t>增减</w:t>
                </w:r>
              </w:p>
            </w:tc>
          </w:sdtContent>
        </w:sdt>
        <w:sdt>
          <w:sdtPr>
            <w:tag w:val="_PLD_084006d53bec42bea9418fc4576a1210"/>
            <w:id w:val="147454148"/>
          </w:sdtPr>
          <w:sdtContent>
            <w:tc>
              <w:tcPr>
                <w:tcW w:w="1481" w:type="dxa"/>
                <w:vMerge w:val="restart"/>
                <w:vAlign w:val="center"/>
              </w:tcPr>
              <w:p w14:paraId="4ACC5357">
                <w:pPr>
                  <w:jc w:val="center"/>
                  <w:rPr>
                    <w:color w:val="000000" w:themeColor="text1"/>
                    <w14:textFill>
                      <w14:solidFill>
                        <w14:schemeClr w14:val="tx1"/>
                      </w14:solidFill>
                    </w14:textFill>
                  </w:rPr>
                </w:pPr>
                <w:r>
                  <w:rPr>
                    <w:color w:val="000000" w:themeColor="text1"/>
                    <w14:textFill>
                      <w14:solidFill>
                        <w14:schemeClr w14:val="tx1"/>
                      </w14:solidFill>
                    </w14:textFill>
                  </w:rPr>
                  <w:t>期末持股数量</w:t>
                </w:r>
              </w:p>
            </w:tc>
          </w:sdtContent>
        </w:sdt>
        <w:sdt>
          <w:sdtPr>
            <w:tag w:val="_PLD_f27008de77ee4b27b35e2ae22d35699c"/>
            <w:id w:val="147468831"/>
          </w:sdtPr>
          <w:sdtContent>
            <w:tc>
              <w:tcPr>
                <w:tcW w:w="711" w:type="dxa"/>
                <w:vMerge w:val="restart"/>
                <w:vAlign w:val="center"/>
              </w:tcPr>
              <w:p w14:paraId="73A99804">
                <w:pPr>
                  <w:jc w:val="center"/>
                  <w:rPr>
                    <w:color w:val="000000" w:themeColor="text1"/>
                    <w14:textFill>
                      <w14:solidFill>
                        <w14:schemeClr w14:val="tx1"/>
                      </w14:solidFill>
                    </w14:textFill>
                  </w:rPr>
                </w:pPr>
                <w:r>
                  <w:rPr>
                    <w:color w:val="000000" w:themeColor="text1"/>
                    <w14:textFill>
                      <w14:solidFill>
                        <w14:schemeClr w14:val="tx1"/>
                      </w14:solidFill>
                    </w14:textFill>
                  </w:rPr>
                  <w:t>比例(%)</w:t>
                </w:r>
              </w:p>
            </w:tc>
          </w:sdtContent>
        </w:sdt>
        <w:sdt>
          <w:sdtPr>
            <w:tag w:val="_PLD_34fcc5fa9a414555bef1b48aa74c8135"/>
            <w:id w:val="147461341"/>
          </w:sdtPr>
          <w:sdtContent>
            <w:tc>
              <w:tcPr>
                <w:tcW w:w="783" w:type="dxa"/>
                <w:vMerge w:val="restart"/>
                <w:vAlign w:val="center"/>
              </w:tcPr>
              <w:p w14:paraId="79DB8EBE">
                <w:pPr>
                  <w:pStyle w:val="81"/>
                  <w:rPr>
                    <w:rFonts w:ascii="宋体" w:hAnsi="宋体"/>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持有有限售条件股份数量</w:t>
                </w:r>
              </w:p>
            </w:tc>
          </w:sdtContent>
        </w:sdt>
        <w:sdt>
          <w:sdtPr>
            <w:tag w:val="_PLD_94fbee67e09740e59eb90272af77b58a"/>
            <w:id w:val="147462081"/>
          </w:sdtPr>
          <w:sdtContent>
            <w:tc>
              <w:tcPr>
                <w:tcW w:w="1626" w:type="dxa"/>
                <w:gridSpan w:val="3"/>
                <w:vAlign w:val="center"/>
              </w:tcPr>
              <w:p w14:paraId="070BDFD8">
                <w:pPr>
                  <w:jc w:val="center"/>
                  <w:rPr>
                    <w:color w:val="000000" w:themeColor="text1"/>
                    <w14:textFill>
                      <w14:solidFill>
                        <w14:schemeClr w14:val="tx1"/>
                      </w14:solidFill>
                    </w14:textFill>
                  </w:rPr>
                </w:pPr>
                <w:r>
                  <w:rPr>
                    <w:color w:val="000000" w:themeColor="text1"/>
                    <w14:textFill>
                      <w14:solidFill>
                        <w14:schemeClr w14:val="tx1"/>
                      </w14:solidFill>
                    </w14:textFill>
                  </w:rPr>
                  <w:t>质押</w:t>
                </w:r>
                <w:r>
                  <w:rPr>
                    <w:rFonts w:hint="eastAsia"/>
                    <w:color w:val="000000" w:themeColor="text1"/>
                    <w14:textFill>
                      <w14:solidFill>
                        <w14:schemeClr w14:val="tx1"/>
                      </w14:solidFill>
                    </w14:textFill>
                  </w:rPr>
                  <w:t>、标记</w:t>
                </w:r>
                <w:r>
                  <w:rPr>
                    <w:color w:val="000000" w:themeColor="text1"/>
                    <w14:textFill>
                      <w14:solidFill>
                        <w14:schemeClr w14:val="tx1"/>
                      </w14:solidFill>
                    </w14:textFill>
                  </w:rPr>
                  <w:t>或冻结情况</w:t>
                </w:r>
              </w:p>
            </w:tc>
          </w:sdtContent>
        </w:sdt>
        <w:sdt>
          <w:sdtPr>
            <w:tag w:val="_PLD_2228ecf4db6a4362bff11fe1e2d3c903"/>
            <w:id w:val="147474186"/>
          </w:sdtPr>
          <w:sdtContent>
            <w:tc>
              <w:tcPr>
                <w:tcW w:w="1471" w:type="dxa"/>
                <w:vMerge w:val="restart"/>
                <w:vAlign w:val="center"/>
              </w:tcPr>
              <w:p w14:paraId="108AFCA9">
                <w:pPr>
                  <w:jc w:val="center"/>
                  <w:rPr>
                    <w:color w:val="000000" w:themeColor="text1"/>
                    <w14:textFill>
                      <w14:solidFill>
                        <w14:schemeClr w14:val="tx1"/>
                      </w14:solidFill>
                    </w14:textFill>
                  </w:rPr>
                </w:pPr>
                <w:r>
                  <w:rPr>
                    <w:color w:val="000000" w:themeColor="text1"/>
                    <w14:textFill>
                      <w14:solidFill>
                        <w14:schemeClr w14:val="tx1"/>
                      </w14:solidFill>
                    </w14:textFill>
                  </w:rPr>
                  <w:t>股东性质</w:t>
                </w:r>
              </w:p>
            </w:tc>
          </w:sdtContent>
        </w:sdt>
      </w:tr>
      <w:tr w14:paraId="4221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Merge w:val="continue"/>
            <w:tcBorders>
              <w:bottom w:val="single" w:color="auto" w:sz="4" w:space="0"/>
            </w:tcBorders>
            <w:vAlign w:val="center"/>
          </w:tcPr>
          <w:p w14:paraId="63D581FA">
            <w:pPr>
              <w:jc w:val="center"/>
              <w:rPr>
                <w:color w:val="000000" w:themeColor="text1"/>
                <w14:textFill>
                  <w14:solidFill>
                    <w14:schemeClr w14:val="tx1"/>
                  </w14:solidFill>
                </w14:textFill>
              </w:rPr>
            </w:pPr>
          </w:p>
        </w:tc>
        <w:tc>
          <w:tcPr>
            <w:tcW w:w="1349" w:type="dxa"/>
            <w:vMerge w:val="continue"/>
            <w:tcBorders>
              <w:bottom w:val="single" w:color="auto" w:sz="4" w:space="0"/>
            </w:tcBorders>
            <w:vAlign w:val="center"/>
          </w:tcPr>
          <w:p w14:paraId="500B2C44">
            <w:pPr>
              <w:jc w:val="center"/>
              <w:rPr>
                <w:color w:val="000000" w:themeColor="text1"/>
                <w14:textFill>
                  <w14:solidFill>
                    <w14:schemeClr w14:val="tx1"/>
                  </w14:solidFill>
                </w14:textFill>
              </w:rPr>
            </w:pPr>
          </w:p>
        </w:tc>
        <w:tc>
          <w:tcPr>
            <w:tcW w:w="1481" w:type="dxa"/>
            <w:vMerge w:val="continue"/>
            <w:tcBorders>
              <w:bottom w:val="single" w:color="auto" w:sz="4" w:space="0"/>
            </w:tcBorders>
            <w:vAlign w:val="center"/>
          </w:tcPr>
          <w:p w14:paraId="7D4421A3">
            <w:pPr>
              <w:jc w:val="center"/>
              <w:rPr>
                <w:color w:val="000000" w:themeColor="text1"/>
                <w14:textFill>
                  <w14:solidFill>
                    <w14:schemeClr w14:val="tx1"/>
                  </w14:solidFill>
                </w14:textFill>
              </w:rPr>
            </w:pPr>
          </w:p>
        </w:tc>
        <w:tc>
          <w:tcPr>
            <w:tcW w:w="711" w:type="dxa"/>
            <w:vMerge w:val="continue"/>
            <w:tcBorders>
              <w:bottom w:val="single" w:color="auto" w:sz="4" w:space="0"/>
            </w:tcBorders>
            <w:vAlign w:val="center"/>
          </w:tcPr>
          <w:p w14:paraId="4C7D1C31">
            <w:pPr>
              <w:jc w:val="center"/>
              <w:rPr>
                <w:color w:val="000000" w:themeColor="text1"/>
                <w14:textFill>
                  <w14:solidFill>
                    <w14:schemeClr w14:val="tx1"/>
                  </w14:solidFill>
                </w14:textFill>
              </w:rPr>
            </w:pPr>
          </w:p>
        </w:tc>
        <w:tc>
          <w:tcPr>
            <w:tcW w:w="783" w:type="dxa"/>
            <w:vMerge w:val="continue"/>
            <w:tcBorders>
              <w:bottom w:val="single" w:color="auto" w:sz="4" w:space="0"/>
            </w:tcBorders>
            <w:vAlign w:val="center"/>
          </w:tcPr>
          <w:p w14:paraId="00E76B8F">
            <w:pPr>
              <w:jc w:val="center"/>
              <w:rPr>
                <w:color w:val="000000" w:themeColor="text1"/>
                <w14:textFill>
                  <w14:solidFill>
                    <w14:schemeClr w14:val="tx1"/>
                  </w14:solidFill>
                </w14:textFill>
              </w:rPr>
            </w:pPr>
          </w:p>
        </w:tc>
        <w:sdt>
          <w:sdtPr>
            <w:tag w:val="_PLD_45bf36a531de47beb596ebacadac576a"/>
            <w:id w:val="147465567"/>
          </w:sdtPr>
          <w:sdtContent>
            <w:tc>
              <w:tcPr>
                <w:tcW w:w="629" w:type="dxa"/>
                <w:tcBorders>
                  <w:bottom w:val="single" w:color="auto" w:sz="4" w:space="0"/>
                </w:tcBorders>
                <w:vAlign w:val="center"/>
              </w:tcPr>
              <w:p w14:paraId="69369536">
                <w:pPr>
                  <w:jc w:val="center"/>
                  <w:rPr>
                    <w:color w:val="000000" w:themeColor="text1"/>
                    <w14:textFill>
                      <w14:solidFill>
                        <w14:schemeClr w14:val="tx1"/>
                      </w14:solidFill>
                    </w14:textFill>
                  </w:rPr>
                </w:pPr>
                <w:r>
                  <w:rPr>
                    <w:color w:val="000000" w:themeColor="text1"/>
                    <w14:textFill>
                      <w14:solidFill>
                        <w14:schemeClr w14:val="tx1"/>
                      </w14:solidFill>
                    </w14:textFill>
                  </w:rPr>
                  <w:t>股份状态</w:t>
                </w:r>
              </w:p>
            </w:tc>
          </w:sdtContent>
        </w:sdt>
        <w:sdt>
          <w:sdtPr>
            <w:tag w:val="_PLD_bea7397233604f859f8d14f2ae0a0417"/>
            <w:id w:val="147474853"/>
          </w:sdtPr>
          <w:sdtContent>
            <w:tc>
              <w:tcPr>
                <w:tcW w:w="997" w:type="dxa"/>
                <w:gridSpan w:val="2"/>
                <w:tcBorders>
                  <w:bottom w:val="single" w:color="auto" w:sz="4" w:space="0"/>
                </w:tcBorders>
                <w:vAlign w:val="center"/>
              </w:tcPr>
              <w:p w14:paraId="1F590351">
                <w:pPr>
                  <w:jc w:val="center"/>
                  <w:rPr>
                    <w:color w:val="000000" w:themeColor="text1"/>
                    <w14:textFill>
                      <w14:solidFill>
                        <w14:schemeClr w14:val="tx1"/>
                      </w14:solidFill>
                    </w14:textFill>
                  </w:rPr>
                </w:pPr>
                <w:r>
                  <w:rPr>
                    <w:color w:val="000000" w:themeColor="text1"/>
                    <w14:textFill>
                      <w14:solidFill>
                        <w14:schemeClr w14:val="tx1"/>
                      </w14:solidFill>
                    </w14:textFill>
                  </w:rPr>
                  <w:t>数量</w:t>
                </w:r>
              </w:p>
            </w:tc>
          </w:sdtContent>
        </w:sdt>
        <w:tc>
          <w:tcPr>
            <w:tcW w:w="1471" w:type="dxa"/>
            <w:vMerge w:val="continue"/>
            <w:vAlign w:val="center"/>
          </w:tcPr>
          <w:p w14:paraId="7E467722">
            <w:pPr>
              <w:jc w:val="center"/>
              <w:rPr>
                <w:color w:val="000000" w:themeColor="text1"/>
                <w14:textFill>
                  <w14:solidFill>
                    <w14:schemeClr w14:val="tx1"/>
                  </w14:solidFill>
                </w14:textFill>
              </w:rPr>
            </w:pPr>
          </w:p>
        </w:tc>
      </w:tr>
      <w:tr w14:paraId="4E83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14B707D7">
            <w:pPr>
              <w:pStyle w:val="113"/>
              <w:rPr>
                <w:sz w:val="21"/>
                <w:szCs w:val="21"/>
              </w:rPr>
            </w:pPr>
            <w:r>
              <w:rPr>
                <w:rFonts w:hint="eastAsia"/>
                <w:color w:val="000000"/>
                <w:sz w:val="21"/>
                <w:szCs w:val="21"/>
              </w:rPr>
              <w:t>新兴际华集团有限公司</w:t>
            </w:r>
          </w:p>
        </w:tc>
        <w:tc>
          <w:tcPr>
            <w:tcW w:w="1349" w:type="dxa"/>
            <w:vAlign w:val="center"/>
          </w:tcPr>
          <w:p w14:paraId="53E1E572">
            <w:pPr>
              <w:jc w:val="right"/>
            </w:pPr>
            <w:r>
              <w:rPr>
                <w:rFonts w:hint="eastAsia"/>
                <w:color w:val="000000"/>
              </w:rPr>
              <w:t>0</w:t>
            </w:r>
          </w:p>
        </w:tc>
        <w:tc>
          <w:tcPr>
            <w:tcW w:w="1481" w:type="dxa"/>
            <w:vAlign w:val="center"/>
          </w:tcPr>
          <w:p w14:paraId="7C33560A">
            <w:pPr>
              <w:jc w:val="right"/>
            </w:pPr>
            <w:r>
              <w:rPr>
                <w:color w:val="000000"/>
              </w:rPr>
              <w:t>2,000,662,591</w:t>
            </w:r>
          </w:p>
        </w:tc>
        <w:tc>
          <w:tcPr>
            <w:tcW w:w="711" w:type="dxa"/>
            <w:vAlign w:val="center"/>
          </w:tcPr>
          <w:p w14:paraId="456355DA">
            <w:pPr>
              <w:jc w:val="right"/>
            </w:pPr>
            <w:r>
              <w:rPr>
                <w:rFonts w:hint="eastAsia"/>
                <w:color w:val="000000"/>
              </w:rPr>
              <w:t>45.56</w:t>
            </w:r>
          </w:p>
        </w:tc>
        <w:tc>
          <w:tcPr>
            <w:tcW w:w="783" w:type="dxa"/>
            <w:vAlign w:val="center"/>
          </w:tcPr>
          <w:p w14:paraId="583C6E9B">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147477399"/>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rPr>
              <w:color w:val="000000" w:themeColor="text1"/>
              <w14:textFill>
                <w14:solidFill>
                  <w14:schemeClr w14:val="tx1"/>
                </w14:solidFill>
              </w14:textFill>
            </w:rPr>
          </w:sdtEndPr>
          <w:sdtContent>
            <w:tc>
              <w:tcPr>
                <w:tcW w:w="629" w:type="dxa"/>
                <w:vAlign w:val="center"/>
              </w:tcPr>
              <w:p w14:paraId="14A4BEF7">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997" w:type="dxa"/>
            <w:gridSpan w:val="2"/>
            <w:vAlign w:val="center"/>
          </w:tcPr>
          <w:p w14:paraId="1C0574ED">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4745286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1471" w:type="dxa"/>
                <w:vAlign w:val="center"/>
              </w:tcPr>
              <w:p w14:paraId="7724B292">
                <w:pPr>
                  <w:rPr>
                    <w:color w:val="000000" w:themeColor="text1"/>
                    <w14:textFill>
                      <w14:solidFill>
                        <w14:schemeClr w14:val="tx1"/>
                      </w14:solidFill>
                    </w14:textFill>
                  </w:rPr>
                </w:pPr>
                <w:r>
                  <w:rPr>
                    <w:color w:val="000000" w:themeColor="text1"/>
                    <w14:textFill>
                      <w14:solidFill>
                        <w14:schemeClr w14:val="tx1"/>
                      </w14:solidFill>
                    </w14:textFill>
                  </w:rPr>
                  <w:t>国有法人</w:t>
                </w:r>
              </w:p>
            </w:tc>
          </w:sdtContent>
        </w:sdt>
      </w:tr>
      <w:tr w14:paraId="7DDA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2A4E7042">
            <w:pPr>
              <w:pStyle w:val="113"/>
              <w:rPr>
                <w:sz w:val="21"/>
                <w:szCs w:val="21"/>
              </w:rPr>
            </w:pPr>
            <w:r>
              <w:rPr>
                <w:rFonts w:hint="eastAsia"/>
                <w:color w:val="000000"/>
                <w:sz w:val="21"/>
                <w:szCs w:val="21"/>
              </w:rPr>
              <w:t>新兴铸管股份有限公司</w:t>
            </w:r>
          </w:p>
        </w:tc>
        <w:tc>
          <w:tcPr>
            <w:tcW w:w="1349" w:type="dxa"/>
            <w:vAlign w:val="center"/>
          </w:tcPr>
          <w:p w14:paraId="19A9EB42">
            <w:pPr>
              <w:jc w:val="right"/>
            </w:pPr>
            <w:r>
              <w:rPr>
                <w:rFonts w:hint="eastAsia"/>
                <w:color w:val="000000"/>
              </w:rPr>
              <w:t>0</w:t>
            </w:r>
          </w:p>
        </w:tc>
        <w:tc>
          <w:tcPr>
            <w:tcW w:w="1481" w:type="dxa"/>
            <w:vAlign w:val="center"/>
          </w:tcPr>
          <w:p w14:paraId="6E899193">
            <w:pPr>
              <w:jc w:val="right"/>
            </w:pPr>
            <w:r>
              <w:rPr>
                <w:color w:val="000000"/>
              </w:rPr>
              <w:t>192,850,000</w:t>
            </w:r>
          </w:p>
        </w:tc>
        <w:tc>
          <w:tcPr>
            <w:tcW w:w="711" w:type="dxa"/>
            <w:vAlign w:val="center"/>
          </w:tcPr>
          <w:p w14:paraId="1F2D48F5">
            <w:pPr>
              <w:jc w:val="right"/>
            </w:pPr>
            <w:r>
              <w:rPr>
                <w:rFonts w:hint="eastAsia"/>
                <w:color w:val="000000"/>
              </w:rPr>
              <w:t>4.39</w:t>
            </w:r>
          </w:p>
        </w:tc>
        <w:tc>
          <w:tcPr>
            <w:tcW w:w="783" w:type="dxa"/>
            <w:vAlign w:val="center"/>
          </w:tcPr>
          <w:p w14:paraId="75ACEEDB">
            <w:pPr>
              <w:jc w:val="right"/>
            </w:pPr>
            <w:r>
              <w:rPr>
                <w:rFonts w:hint="eastAsia"/>
              </w:rPr>
              <w:t>0</w:t>
            </w:r>
          </w:p>
        </w:tc>
        <w:tc>
          <w:tcPr>
            <w:tcW w:w="629" w:type="dxa"/>
            <w:vAlign w:val="center"/>
          </w:tcPr>
          <w:p w14:paraId="24A8138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c>
          <w:tcPr>
            <w:tcW w:w="997" w:type="dxa"/>
            <w:gridSpan w:val="2"/>
            <w:vAlign w:val="center"/>
          </w:tcPr>
          <w:p w14:paraId="768B8C98">
            <w:pPr>
              <w:jc w:val="right"/>
            </w:pPr>
            <w:r>
              <w:rPr>
                <w:rFonts w:hint="eastAsia"/>
              </w:rPr>
              <w:t>0</w:t>
            </w:r>
          </w:p>
        </w:tc>
        <w:tc>
          <w:tcPr>
            <w:tcW w:w="1471" w:type="dxa"/>
            <w:vAlign w:val="center"/>
          </w:tcPr>
          <w:p w14:paraId="1B6A15AF">
            <w:pPr>
              <w:rPr>
                <w:color w:val="000000" w:themeColor="text1"/>
                <w14:textFill>
                  <w14:solidFill>
                    <w14:schemeClr w14:val="tx1"/>
                  </w14:solidFill>
                </w14:textFill>
              </w:rPr>
            </w:pPr>
            <w:r>
              <w:rPr>
                <w:rFonts w:hint="eastAsia"/>
                <w:color w:val="000000" w:themeColor="text1"/>
                <w14:textFill>
                  <w14:solidFill>
                    <w14:schemeClr w14:val="tx1"/>
                  </w14:solidFill>
                </w14:textFill>
              </w:rPr>
              <w:t>国有法人</w:t>
            </w:r>
          </w:p>
        </w:tc>
      </w:tr>
      <w:tr w14:paraId="3486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22AEC0F9">
            <w:pPr>
              <w:pStyle w:val="113"/>
              <w:rPr>
                <w:sz w:val="21"/>
                <w:szCs w:val="21"/>
              </w:rPr>
            </w:pPr>
            <w:r>
              <w:rPr>
                <w:rFonts w:hint="eastAsia"/>
                <w:color w:val="000000"/>
                <w:sz w:val="21"/>
                <w:szCs w:val="21"/>
              </w:rPr>
              <w:t>宁波梅山保税港区和盛乾通股权投资合伙企业（有限合伙）</w:t>
            </w:r>
          </w:p>
        </w:tc>
        <w:tc>
          <w:tcPr>
            <w:tcW w:w="1349" w:type="dxa"/>
            <w:vAlign w:val="center"/>
          </w:tcPr>
          <w:p w14:paraId="4AEF67C1">
            <w:pPr>
              <w:jc w:val="right"/>
            </w:pPr>
            <w:r>
              <w:rPr>
                <w:rFonts w:hint="eastAsia"/>
                <w:color w:val="000000"/>
              </w:rPr>
              <w:t>0</w:t>
            </w:r>
          </w:p>
        </w:tc>
        <w:tc>
          <w:tcPr>
            <w:tcW w:w="1481" w:type="dxa"/>
            <w:vAlign w:val="center"/>
          </w:tcPr>
          <w:p w14:paraId="546A9D76">
            <w:pPr>
              <w:jc w:val="right"/>
            </w:pPr>
            <w:r>
              <w:rPr>
                <w:color w:val="000000"/>
              </w:rPr>
              <w:t>45,895,946</w:t>
            </w:r>
          </w:p>
        </w:tc>
        <w:tc>
          <w:tcPr>
            <w:tcW w:w="711" w:type="dxa"/>
            <w:vAlign w:val="center"/>
          </w:tcPr>
          <w:p w14:paraId="5898689A">
            <w:pPr>
              <w:jc w:val="right"/>
            </w:pPr>
            <w:r>
              <w:rPr>
                <w:rFonts w:hint="eastAsia"/>
                <w:color w:val="000000"/>
              </w:rPr>
              <w:t>1.05</w:t>
            </w:r>
          </w:p>
        </w:tc>
        <w:tc>
          <w:tcPr>
            <w:tcW w:w="783" w:type="dxa"/>
            <w:vAlign w:val="center"/>
          </w:tcPr>
          <w:p w14:paraId="05D0C38A">
            <w:pPr>
              <w:jc w:val="right"/>
            </w:pPr>
            <w:r>
              <w:rPr>
                <w:rFonts w:hint="eastAsia"/>
              </w:rPr>
              <w:t>0</w:t>
            </w:r>
          </w:p>
        </w:tc>
        <w:tc>
          <w:tcPr>
            <w:tcW w:w="629" w:type="dxa"/>
            <w:vAlign w:val="center"/>
          </w:tcPr>
          <w:p w14:paraId="763D69D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　</w:t>
            </w:r>
          </w:p>
        </w:tc>
        <w:tc>
          <w:tcPr>
            <w:tcW w:w="997" w:type="dxa"/>
            <w:gridSpan w:val="2"/>
            <w:vAlign w:val="center"/>
          </w:tcPr>
          <w:p w14:paraId="4105EF19">
            <w:pPr>
              <w:jc w:val="right"/>
            </w:pPr>
            <w:r>
              <w:rPr>
                <w:rFonts w:hint="eastAsia"/>
              </w:rPr>
              <w:t>0</w:t>
            </w:r>
          </w:p>
        </w:tc>
        <w:tc>
          <w:tcPr>
            <w:tcW w:w="1471" w:type="dxa"/>
            <w:vAlign w:val="center"/>
          </w:tcPr>
          <w:p w14:paraId="2CD9D7D7">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14:paraId="3BF6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281233E6">
            <w:pPr>
              <w:pStyle w:val="113"/>
              <w:rPr>
                <w:sz w:val="21"/>
                <w:szCs w:val="21"/>
              </w:rPr>
            </w:pPr>
            <w:r>
              <w:rPr>
                <w:rFonts w:hint="eastAsia"/>
                <w:color w:val="000000"/>
                <w:sz w:val="21"/>
                <w:szCs w:val="21"/>
              </w:rPr>
              <w:t>中国建设银行股份有限公司－国泰中证军工交易型开放式指数证券投资基金</w:t>
            </w:r>
          </w:p>
        </w:tc>
        <w:tc>
          <w:tcPr>
            <w:tcW w:w="1349" w:type="dxa"/>
            <w:vAlign w:val="center"/>
          </w:tcPr>
          <w:p w14:paraId="07DADAAA">
            <w:pPr>
              <w:jc w:val="right"/>
            </w:pPr>
            <w:r>
              <w:rPr>
                <w:color w:val="000000"/>
              </w:rPr>
              <w:t>8,897,503</w:t>
            </w:r>
          </w:p>
        </w:tc>
        <w:tc>
          <w:tcPr>
            <w:tcW w:w="1481" w:type="dxa"/>
            <w:vAlign w:val="center"/>
          </w:tcPr>
          <w:p w14:paraId="7CA2FC09">
            <w:pPr>
              <w:jc w:val="right"/>
            </w:pPr>
            <w:r>
              <w:rPr>
                <w:color w:val="000000"/>
              </w:rPr>
              <w:t>30,504,603</w:t>
            </w:r>
          </w:p>
        </w:tc>
        <w:tc>
          <w:tcPr>
            <w:tcW w:w="711" w:type="dxa"/>
            <w:vAlign w:val="center"/>
          </w:tcPr>
          <w:p w14:paraId="473E6E74">
            <w:pPr>
              <w:jc w:val="right"/>
            </w:pPr>
            <w:r>
              <w:rPr>
                <w:rFonts w:hint="eastAsia"/>
                <w:color w:val="000000"/>
              </w:rPr>
              <w:t>0.69</w:t>
            </w:r>
          </w:p>
        </w:tc>
        <w:tc>
          <w:tcPr>
            <w:tcW w:w="783" w:type="dxa"/>
            <w:vAlign w:val="center"/>
          </w:tcPr>
          <w:p w14:paraId="71683406">
            <w:pPr>
              <w:jc w:val="right"/>
            </w:pPr>
            <w:r>
              <w:rPr>
                <w:rFonts w:hint="eastAsia"/>
              </w:rPr>
              <w:t>0</w:t>
            </w:r>
          </w:p>
        </w:tc>
        <w:tc>
          <w:tcPr>
            <w:tcW w:w="629" w:type="dxa"/>
            <w:vAlign w:val="center"/>
          </w:tcPr>
          <w:p w14:paraId="10AFB02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c>
          <w:tcPr>
            <w:tcW w:w="997" w:type="dxa"/>
            <w:gridSpan w:val="2"/>
            <w:vAlign w:val="center"/>
          </w:tcPr>
          <w:p w14:paraId="22BB9D95">
            <w:pPr>
              <w:jc w:val="right"/>
            </w:pPr>
            <w:r>
              <w:rPr>
                <w:rFonts w:hint="eastAsia"/>
              </w:rPr>
              <w:t>0</w:t>
            </w:r>
          </w:p>
        </w:tc>
        <w:tc>
          <w:tcPr>
            <w:tcW w:w="1471" w:type="dxa"/>
            <w:vAlign w:val="center"/>
          </w:tcPr>
          <w:p w14:paraId="664968F6">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14:paraId="388C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4DC3EC9A">
            <w:pPr>
              <w:pStyle w:val="113"/>
              <w:rPr>
                <w:sz w:val="21"/>
                <w:szCs w:val="21"/>
              </w:rPr>
            </w:pPr>
            <w:r>
              <w:rPr>
                <w:rFonts w:hint="eastAsia"/>
                <w:color w:val="000000"/>
                <w:sz w:val="21"/>
                <w:szCs w:val="21"/>
              </w:rPr>
              <w:t>李国</w:t>
            </w:r>
          </w:p>
        </w:tc>
        <w:tc>
          <w:tcPr>
            <w:tcW w:w="1349" w:type="dxa"/>
            <w:vAlign w:val="center"/>
          </w:tcPr>
          <w:p w14:paraId="503425BB">
            <w:pPr>
              <w:jc w:val="right"/>
            </w:pPr>
            <w:r>
              <w:rPr>
                <w:color w:val="000000"/>
              </w:rPr>
              <w:t>16,800,000</w:t>
            </w:r>
          </w:p>
        </w:tc>
        <w:tc>
          <w:tcPr>
            <w:tcW w:w="1481" w:type="dxa"/>
            <w:vAlign w:val="center"/>
          </w:tcPr>
          <w:p w14:paraId="4EC7DF80">
            <w:pPr>
              <w:jc w:val="right"/>
            </w:pPr>
            <w:r>
              <w:rPr>
                <w:color w:val="000000"/>
              </w:rPr>
              <w:t>26,800,000</w:t>
            </w:r>
          </w:p>
        </w:tc>
        <w:tc>
          <w:tcPr>
            <w:tcW w:w="711" w:type="dxa"/>
            <w:vAlign w:val="center"/>
          </w:tcPr>
          <w:p w14:paraId="7420D193">
            <w:pPr>
              <w:jc w:val="right"/>
            </w:pPr>
            <w:r>
              <w:rPr>
                <w:rFonts w:hint="eastAsia"/>
                <w:color w:val="000000"/>
              </w:rPr>
              <w:t>0.61</w:t>
            </w:r>
          </w:p>
        </w:tc>
        <w:tc>
          <w:tcPr>
            <w:tcW w:w="783" w:type="dxa"/>
            <w:vAlign w:val="center"/>
          </w:tcPr>
          <w:p w14:paraId="0A013D1D">
            <w:pPr>
              <w:jc w:val="right"/>
            </w:pPr>
            <w:r>
              <w:rPr>
                <w:rFonts w:hint="eastAsia"/>
              </w:rPr>
              <w:t>0</w:t>
            </w:r>
          </w:p>
        </w:tc>
        <w:tc>
          <w:tcPr>
            <w:tcW w:w="629" w:type="dxa"/>
            <w:vAlign w:val="center"/>
          </w:tcPr>
          <w:p w14:paraId="290F38F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　</w:t>
            </w:r>
          </w:p>
        </w:tc>
        <w:tc>
          <w:tcPr>
            <w:tcW w:w="997" w:type="dxa"/>
            <w:gridSpan w:val="2"/>
            <w:vAlign w:val="center"/>
          </w:tcPr>
          <w:p w14:paraId="0CB8A589">
            <w:pPr>
              <w:jc w:val="right"/>
            </w:pPr>
            <w:r>
              <w:rPr>
                <w:rFonts w:hint="eastAsia"/>
              </w:rPr>
              <w:t>0</w:t>
            </w:r>
          </w:p>
        </w:tc>
        <w:tc>
          <w:tcPr>
            <w:tcW w:w="1471" w:type="dxa"/>
            <w:vAlign w:val="center"/>
          </w:tcPr>
          <w:p w14:paraId="646B28D5">
            <w:pPr>
              <w:rPr>
                <w:color w:val="000000" w:themeColor="text1"/>
                <w14:textFill>
                  <w14:solidFill>
                    <w14:schemeClr w14:val="tx1"/>
                  </w14:solidFill>
                </w14:textFill>
              </w:rPr>
            </w:pPr>
            <w:r>
              <w:rPr>
                <w:rFonts w:hint="eastAsia"/>
                <w:color w:val="000000" w:themeColor="text1"/>
                <w14:textFill>
                  <w14:solidFill>
                    <w14:schemeClr w14:val="tx1"/>
                  </w14:solidFill>
                </w14:textFill>
              </w:rPr>
              <w:t>境内自然人</w:t>
            </w:r>
          </w:p>
        </w:tc>
      </w:tr>
      <w:tr w14:paraId="49FC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243FD580">
            <w:pPr>
              <w:pStyle w:val="113"/>
              <w:rPr>
                <w:sz w:val="21"/>
                <w:szCs w:val="21"/>
              </w:rPr>
            </w:pPr>
            <w:r>
              <w:rPr>
                <w:rFonts w:hint="eastAsia"/>
                <w:color w:val="000000"/>
                <w:sz w:val="21"/>
                <w:szCs w:val="21"/>
              </w:rPr>
              <w:t>招商银行股份有限公司－南方中证1000交易型开放式指数证券投资基金</w:t>
            </w:r>
          </w:p>
        </w:tc>
        <w:tc>
          <w:tcPr>
            <w:tcW w:w="1349" w:type="dxa"/>
            <w:vAlign w:val="center"/>
          </w:tcPr>
          <w:p w14:paraId="1582755E">
            <w:pPr>
              <w:jc w:val="right"/>
            </w:pPr>
            <w:r>
              <w:rPr>
                <w:color w:val="000000"/>
              </w:rPr>
              <w:t>2,719,600</w:t>
            </w:r>
          </w:p>
        </w:tc>
        <w:tc>
          <w:tcPr>
            <w:tcW w:w="1481" w:type="dxa"/>
            <w:vAlign w:val="center"/>
          </w:tcPr>
          <w:p w14:paraId="79B15C67">
            <w:pPr>
              <w:jc w:val="right"/>
            </w:pPr>
            <w:r>
              <w:rPr>
                <w:color w:val="000000"/>
              </w:rPr>
              <w:t>24,409,400</w:t>
            </w:r>
          </w:p>
        </w:tc>
        <w:tc>
          <w:tcPr>
            <w:tcW w:w="711" w:type="dxa"/>
            <w:vAlign w:val="center"/>
          </w:tcPr>
          <w:p w14:paraId="194646C3">
            <w:pPr>
              <w:jc w:val="right"/>
            </w:pPr>
            <w:r>
              <w:rPr>
                <w:rFonts w:hint="eastAsia"/>
                <w:color w:val="000000"/>
              </w:rPr>
              <w:t>0.56</w:t>
            </w:r>
          </w:p>
        </w:tc>
        <w:tc>
          <w:tcPr>
            <w:tcW w:w="783" w:type="dxa"/>
            <w:vAlign w:val="center"/>
          </w:tcPr>
          <w:p w14:paraId="60D96040">
            <w:pPr>
              <w:jc w:val="right"/>
            </w:pPr>
            <w:r>
              <w:rPr>
                <w:rFonts w:hint="eastAsia"/>
              </w:rPr>
              <w:t>0</w:t>
            </w:r>
          </w:p>
        </w:tc>
        <w:tc>
          <w:tcPr>
            <w:tcW w:w="629" w:type="dxa"/>
            <w:vAlign w:val="center"/>
          </w:tcPr>
          <w:p w14:paraId="36F1313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　</w:t>
            </w:r>
          </w:p>
        </w:tc>
        <w:tc>
          <w:tcPr>
            <w:tcW w:w="997" w:type="dxa"/>
            <w:gridSpan w:val="2"/>
            <w:vAlign w:val="center"/>
          </w:tcPr>
          <w:p w14:paraId="0131B52A">
            <w:pPr>
              <w:jc w:val="right"/>
            </w:pPr>
            <w:r>
              <w:rPr>
                <w:rFonts w:hint="eastAsia"/>
              </w:rPr>
              <w:t>0</w:t>
            </w:r>
          </w:p>
        </w:tc>
        <w:tc>
          <w:tcPr>
            <w:tcW w:w="1471" w:type="dxa"/>
            <w:vAlign w:val="center"/>
          </w:tcPr>
          <w:p w14:paraId="09202CE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14:paraId="0D49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37469F48">
            <w:pPr>
              <w:pStyle w:val="113"/>
              <w:rPr>
                <w:sz w:val="21"/>
                <w:szCs w:val="21"/>
              </w:rPr>
            </w:pPr>
            <w:r>
              <w:rPr>
                <w:rFonts w:hint="eastAsia"/>
                <w:color w:val="000000"/>
                <w:sz w:val="21"/>
                <w:szCs w:val="21"/>
              </w:rPr>
              <w:t>香港中央结算有限公司</w:t>
            </w:r>
          </w:p>
        </w:tc>
        <w:tc>
          <w:tcPr>
            <w:tcW w:w="1349" w:type="dxa"/>
            <w:vAlign w:val="center"/>
          </w:tcPr>
          <w:p w14:paraId="2BE98827">
            <w:pPr>
              <w:jc w:val="right"/>
            </w:pPr>
            <w:r>
              <w:rPr>
                <w:color w:val="000000"/>
              </w:rPr>
              <w:t>-11,488,501</w:t>
            </w:r>
          </w:p>
        </w:tc>
        <w:tc>
          <w:tcPr>
            <w:tcW w:w="1481" w:type="dxa"/>
            <w:vAlign w:val="center"/>
          </w:tcPr>
          <w:p w14:paraId="2653B2A6">
            <w:pPr>
              <w:jc w:val="right"/>
            </w:pPr>
            <w:r>
              <w:rPr>
                <w:color w:val="000000"/>
              </w:rPr>
              <w:t>17,564,490</w:t>
            </w:r>
          </w:p>
        </w:tc>
        <w:tc>
          <w:tcPr>
            <w:tcW w:w="711" w:type="dxa"/>
            <w:vAlign w:val="center"/>
          </w:tcPr>
          <w:p w14:paraId="04B41074">
            <w:pPr>
              <w:jc w:val="right"/>
            </w:pPr>
            <w:r>
              <w:rPr>
                <w:rFonts w:hint="eastAsia"/>
                <w:color w:val="000000"/>
              </w:rPr>
              <w:t>0.40</w:t>
            </w:r>
          </w:p>
        </w:tc>
        <w:tc>
          <w:tcPr>
            <w:tcW w:w="783" w:type="dxa"/>
            <w:vAlign w:val="center"/>
          </w:tcPr>
          <w:p w14:paraId="4F76D2C5">
            <w:pPr>
              <w:jc w:val="right"/>
            </w:pPr>
            <w:r>
              <w:rPr>
                <w:rFonts w:hint="eastAsia"/>
              </w:rPr>
              <w:t>0</w:t>
            </w:r>
          </w:p>
        </w:tc>
        <w:tc>
          <w:tcPr>
            <w:tcW w:w="629" w:type="dxa"/>
            <w:vAlign w:val="center"/>
          </w:tcPr>
          <w:p w14:paraId="5B02E8A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　</w:t>
            </w:r>
          </w:p>
        </w:tc>
        <w:tc>
          <w:tcPr>
            <w:tcW w:w="997" w:type="dxa"/>
            <w:gridSpan w:val="2"/>
            <w:vAlign w:val="center"/>
          </w:tcPr>
          <w:p w14:paraId="4FA32B83">
            <w:pPr>
              <w:jc w:val="right"/>
            </w:pPr>
            <w:r>
              <w:rPr>
                <w:rFonts w:hint="eastAsia"/>
              </w:rPr>
              <w:t>0</w:t>
            </w:r>
          </w:p>
        </w:tc>
        <w:tc>
          <w:tcPr>
            <w:tcW w:w="1471" w:type="dxa"/>
            <w:vAlign w:val="center"/>
          </w:tcPr>
          <w:p w14:paraId="4369122D">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14:paraId="3659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05812DF9">
            <w:pPr>
              <w:pStyle w:val="113"/>
              <w:rPr>
                <w:sz w:val="21"/>
                <w:szCs w:val="21"/>
              </w:rPr>
            </w:pPr>
            <w:r>
              <w:rPr>
                <w:rFonts w:hint="eastAsia"/>
                <w:color w:val="000000"/>
                <w:sz w:val="21"/>
                <w:szCs w:val="21"/>
              </w:rPr>
              <w:t>信诚基金－中信证券－广州金控资本管理有限公司</w:t>
            </w:r>
          </w:p>
        </w:tc>
        <w:tc>
          <w:tcPr>
            <w:tcW w:w="1349" w:type="dxa"/>
            <w:vAlign w:val="center"/>
          </w:tcPr>
          <w:p w14:paraId="3D6C50A0">
            <w:pPr>
              <w:jc w:val="right"/>
            </w:pPr>
            <w:r>
              <w:rPr>
                <w:rFonts w:hint="eastAsia"/>
                <w:color w:val="000000"/>
              </w:rPr>
              <w:t>0</w:t>
            </w:r>
          </w:p>
        </w:tc>
        <w:tc>
          <w:tcPr>
            <w:tcW w:w="1481" w:type="dxa"/>
            <w:vAlign w:val="center"/>
          </w:tcPr>
          <w:p w14:paraId="26F77F6C">
            <w:pPr>
              <w:jc w:val="right"/>
            </w:pPr>
            <w:r>
              <w:rPr>
                <w:color w:val="000000"/>
              </w:rPr>
              <w:t>15,873,015</w:t>
            </w:r>
          </w:p>
        </w:tc>
        <w:tc>
          <w:tcPr>
            <w:tcW w:w="711" w:type="dxa"/>
            <w:vAlign w:val="center"/>
          </w:tcPr>
          <w:p w14:paraId="087C6C37">
            <w:pPr>
              <w:jc w:val="right"/>
            </w:pPr>
            <w:r>
              <w:rPr>
                <w:rFonts w:hint="eastAsia"/>
                <w:color w:val="000000"/>
              </w:rPr>
              <w:t>0.36</w:t>
            </w:r>
          </w:p>
        </w:tc>
        <w:tc>
          <w:tcPr>
            <w:tcW w:w="783" w:type="dxa"/>
            <w:vAlign w:val="center"/>
          </w:tcPr>
          <w:p w14:paraId="39DCD397">
            <w:pPr>
              <w:jc w:val="right"/>
            </w:pPr>
            <w:r>
              <w:rPr>
                <w:rFonts w:hint="eastAsia"/>
              </w:rPr>
              <w:t>0</w:t>
            </w:r>
          </w:p>
        </w:tc>
        <w:tc>
          <w:tcPr>
            <w:tcW w:w="629" w:type="dxa"/>
            <w:vAlign w:val="center"/>
          </w:tcPr>
          <w:p w14:paraId="59074D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c>
          <w:tcPr>
            <w:tcW w:w="997" w:type="dxa"/>
            <w:gridSpan w:val="2"/>
            <w:vAlign w:val="center"/>
          </w:tcPr>
          <w:p w14:paraId="23379D51">
            <w:pPr>
              <w:jc w:val="right"/>
            </w:pPr>
            <w:r>
              <w:rPr>
                <w:rFonts w:hint="eastAsia"/>
              </w:rPr>
              <w:t>0</w:t>
            </w:r>
          </w:p>
        </w:tc>
        <w:tc>
          <w:tcPr>
            <w:tcW w:w="1471" w:type="dxa"/>
            <w:vAlign w:val="center"/>
          </w:tcPr>
          <w:p w14:paraId="74548C7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14:paraId="33B1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5F77477A">
            <w:pPr>
              <w:pStyle w:val="113"/>
              <w:rPr>
                <w:sz w:val="21"/>
                <w:szCs w:val="21"/>
              </w:rPr>
            </w:pPr>
            <w:r>
              <w:rPr>
                <w:rFonts w:hint="eastAsia"/>
                <w:color w:val="000000"/>
                <w:sz w:val="21"/>
                <w:szCs w:val="21"/>
              </w:rPr>
              <w:t>招商银行股份有限公司－华夏中证1000交易型开放式指数证券投资基金</w:t>
            </w:r>
          </w:p>
        </w:tc>
        <w:tc>
          <w:tcPr>
            <w:tcW w:w="1349" w:type="dxa"/>
            <w:vAlign w:val="center"/>
          </w:tcPr>
          <w:p w14:paraId="2C03CA44">
            <w:pPr>
              <w:jc w:val="right"/>
            </w:pPr>
            <w:r>
              <w:rPr>
                <w:color w:val="000000"/>
              </w:rPr>
              <w:t>2,674,700</w:t>
            </w:r>
          </w:p>
        </w:tc>
        <w:tc>
          <w:tcPr>
            <w:tcW w:w="1481" w:type="dxa"/>
            <w:vAlign w:val="center"/>
          </w:tcPr>
          <w:p w14:paraId="3DBF3AA5">
            <w:pPr>
              <w:jc w:val="right"/>
            </w:pPr>
            <w:r>
              <w:rPr>
                <w:color w:val="000000"/>
              </w:rPr>
              <w:t>14,347,100</w:t>
            </w:r>
          </w:p>
        </w:tc>
        <w:tc>
          <w:tcPr>
            <w:tcW w:w="711" w:type="dxa"/>
            <w:vAlign w:val="center"/>
          </w:tcPr>
          <w:p w14:paraId="50621C53">
            <w:pPr>
              <w:jc w:val="right"/>
            </w:pPr>
            <w:r>
              <w:rPr>
                <w:rFonts w:hint="eastAsia"/>
                <w:color w:val="000000"/>
              </w:rPr>
              <w:t>0.33</w:t>
            </w:r>
          </w:p>
        </w:tc>
        <w:tc>
          <w:tcPr>
            <w:tcW w:w="783" w:type="dxa"/>
            <w:vAlign w:val="center"/>
          </w:tcPr>
          <w:p w14:paraId="19D99BB7">
            <w:pPr>
              <w:jc w:val="right"/>
            </w:pPr>
            <w:r>
              <w:rPr>
                <w:rFonts w:hint="eastAsia"/>
              </w:rPr>
              <w:t>0</w:t>
            </w:r>
          </w:p>
        </w:tc>
        <w:tc>
          <w:tcPr>
            <w:tcW w:w="629" w:type="dxa"/>
            <w:vAlign w:val="center"/>
          </w:tcPr>
          <w:p w14:paraId="7237E1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　</w:t>
            </w:r>
          </w:p>
        </w:tc>
        <w:tc>
          <w:tcPr>
            <w:tcW w:w="997" w:type="dxa"/>
            <w:gridSpan w:val="2"/>
            <w:vAlign w:val="center"/>
          </w:tcPr>
          <w:p w14:paraId="4D4630DA">
            <w:pPr>
              <w:jc w:val="right"/>
            </w:pPr>
            <w:r>
              <w:rPr>
                <w:rFonts w:hint="eastAsia"/>
              </w:rPr>
              <w:t>0</w:t>
            </w:r>
          </w:p>
        </w:tc>
        <w:tc>
          <w:tcPr>
            <w:tcW w:w="1471" w:type="dxa"/>
            <w:vAlign w:val="center"/>
          </w:tcPr>
          <w:p w14:paraId="41B5DDF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14:paraId="5D16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59" w:type="dxa"/>
            <w:vAlign w:val="center"/>
          </w:tcPr>
          <w:p w14:paraId="44C9ED70">
            <w:pPr>
              <w:pStyle w:val="113"/>
              <w:rPr>
                <w:sz w:val="21"/>
                <w:szCs w:val="21"/>
              </w:rPr>
            </w:pPr>
            <w:r>
              <w:rPr>
                <w:rFonts w:hint="eastAsia"/>
                <w:color w:val="000000"/>
                <w:sz w:val="21"/>
                <w:szCs w:val="21"/>
              </w:rPr>
              <w:t>赵凯</w:t>
            </w:r>
          </w:p>
        </w:tc>
        <w:tc>
          <w:tcPr>
            <w:tcW w:w="1349" w:type="dxa"/>
            <w:vAlign w:val="center"/>
          </w:tcPr>
          <w:p w14:paraId="6613EDC2">
            <w:pPr>
              <w:jc w:val="right"/>
            </w:pPr>
            <w:r>
              <w:t>7,303,583</w:t>
            </w:r>
          </w:p>
        </w:tc>
        <w:tc>
          <w:tcPr>
            <w:tcW w:w="1481" w:type="dxa"/>
            <w:vAlign w:val="center"/>
          </w:tcPr>
          <w:p w14:paraId="189B7623">
            <w:pPr>
              <w:jc w:val="right"/>
            </w:pPr>
            <w:r>
              <w:rPr>
                <w:color w:val="000000"/>
              </w:rPr>
              <w:t>12,921,783</w:t>
            </w:r>
          </w:p>
        </w:tc>
        <w:tc>
          <w:tcPr>
            <w:tcW w:w="711" w:type="dxa"/>
            <w:vAlign w:val="center"/>
          </w:tcPr>
          <w:p w14:paraId="68AFE117">
            <w:pPr>
              <w:jc w:val="right"/>
            </w:pPr>
            <w:r>
              <w:rPr>
                <w:rFonts w:hint="eastAsia"/>
                <w:color w:val="000000"/>
              </w:rPr>
              <w:t>0.29</w:t>
            </w:r>
          </w:p>
        </w:tc>
        <w:tc>
          <w:tcPr>
            <w:tcW w:w="783" w:type="dxa"/>
            <w:vAlign w:val="center"/>
          </w:tcPr>
          <w:p w14:paraId="76EAC9DF">
            <w:pPr>
              <w:jc w:val="right"/>
            </w:pPr>
            <w:r>
              <w:rPr>
                <w:rFonts w:hint="eastAsia"/>
              </w:rPr>
              <w:t>0</w:t>
            </w:r>
          </w:p>
        </w:tc>
        <w:tc>
          <w:tcPr>
            <w:tcW w:w="629" w:type="dxa"/>
            <w:vAlign w:val="center"/>
          </w:tcPr>
          <w:p w14:paraId="30B9D23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　</w:t>
            </w:r>
          </w:p>
        </w:tc>
        <w:tc>
          <w:tcPr>
            <w:tcW w:w="997" w:type="dxa"/>
            <w:gridSpan w:val="2"/>
            <w:vAlign w:val="center"/>
          </w:tcPr>
          <w:p w14:paraId="49F148FE">
            <w:pPr>
              <w:jc w:val="right"/>
            </w:pPr>
            <w:r>
              <w:rPr>
                <w:rFonts w:hint="eastAsia"/>
              </w:rPr>
              <w:t>0</w:t>
            </w:r>
          </w:p>
        </w:tc>
        <w:tc>
          <w:tcPr>
            <w:tcW w:w="1471" w:type="dxa"/>
            <w:vAlign w:val="center"/>
          </w:tcPr>
          <w:p w14:paraId="00638BC8">
            <w:pPr>
              <w:rPr>
                <w:color w:val="000000" w:themeColor="text1"/>
                <w14:textFill>
                  <w14:solidFill>
                    <w14:schemeClr w14:val="tx1"/>
                  </w14:solidFill>
                </w14:textFill>
              </w:rPr>
            </w:pPr>
            <w:r>
              <w:rPr>
                <w:rFonts w:hint="eastAsia"/>
                <w:color w:val="000000" w:themeColor="text1"/>
                <w14:textFill>
                  <w14:solidFill>
                    <w14:schemeClr w14:val="tx1"/>
                  </w14:solidFill>
                </w14:textFill>
              </w:rPr>
              <w:t>境内自然人</w:t>
            </w:r>
          </w:p>
        </w:tc>
      </w:tr>
      <w:tr w14:paraId="5A70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6f36efd0621247ffb7b2462dd9753e27"/>
            <w:id w:val="147468868"/>
          </w:sdtPr>
          <w:sdtContent>
            <w:tc>
              <w:tcPr>
                <w:tcW w:w="9080" w:type="dxa"/>
                <w:gridSpan w:val="9"/>
                <w:vAlign w:val="center"/>
              </w:tcPr>
              <w:p w14:paraId="57FAA35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前十名无限售条件股东持股情况（不含通过转融通出借股份）</w:t>
                </w:r>
              </w:p>
            </w:tc>
          </w:sdtContent>
        </w:sdt>
      </w:tr>
      <w:tr w14:paraId="6AE7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6c8c7d50ba2b44858757eeaaa20b5499"/>
            <w:id w:val="147476095"/>
          </w:sdtPr>
          <w:sdtContent>
            <w:tc>
              <w:tcPr>
                <w:tcW w:w="3008" w:type="dxa"/>
                <w:gridSpan w:val="2"/>
                <w:vMerge w:val="restart"/>
                <w:vAlign w:val="center"/>
              </w:tcPr>
              <w:p w14:paraId="5A451857">
                <w:pPr>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tc>
          </w:sdtContent>
        </w:sdt>
        <w:sdt>
          <w:sdtPr>
            <w:tag w:val="_PLD_e4987b1a07a6489c82ab5ef0aa3370ea"/>
            <w:id w:val="147461163"/>
          </w:sdtPr>
          <w:sdtContent>
            <w:tc>
              <w:tcPr>
                <w:tcW w:w="2975" w:type="dxa"/>
                <w:gridSpan w:val="3"/>
                <w:vMerge w:val="restart"/>
                <w:vAlign w:val="center"/>
              </w:tcPr>
              <w:p w14:paraId="25AE721F">
                <w:pPr>
                  <w:jc w:val="center"/>
                  <w:rPr>
                    <w:color w:val="000000" w:themeColor="text1"/>
                    <w14:textFill>
                      <w14:solidFill>
                        <w14:schemeClr w14:val="tx1"/>
                      </w14:solidFill>
                    </w14:textFill>
                  </w:rPr>
                </w:pPr>
                <w:r>
                  <w:rPr>
                    <w:color w:val="000000" w:themeColor="text1"/>
                    <w14:textFill>
                      <w14:solidFill>
                        <w14:schemeClr w14:val="tx1"/>
                      </w14:solidFill>
                    </w14:textFill>
                  </w:rPr>
                  <w:t>持有无限售条件流通股的数量</w:t>
                </w:r>
              </w:p>
            </w:tc>
          </w:sdtContent>
        </w:sdt>
        <w:sdt>
          <w:sdtPr>
            <w:tag w:val="_PLD_26ce78cac14a427ca05aa80b21b65936"/>
            <w:id w:val="147476317"/>
          </w:sdtPr>
          <w:sdtContent>
            <w:tc>
              <w:tcPr>
                <w:tcW w:w="3097" w:type="dxa"/>
                <w:gridSpan w:val="4"/>
                <w:tcBorders>
                  <w:bottom w:val="single" w:color="auto" w:sz="4" w:space="0"/>
                </w:tcBorders>
                <w:vAlign w:val="center"/>
              </w:tcPr>
              <w:p w14:paraId="16FBCC3B">
                <w:pPr>
                  <w:jc w:val="center"/>
                  <w:rPr>
                    <w:color w:val="000000" w:themeColor="text1"/>
                    <w14:textFill>
                      <w14:solidFill>
                        <w14:schemeClr w14:val="tx1"/>
                      </w14:solidFill>
                    </w14:textFill>
                  </w:rPr>
                </w:pPr>
                <w:r>
                  <w:rPr>
                    <w:color w:val="000000" w:themeColor="text1"/>
                    <w14:textFill>
                      <w14:solidFill>
                        <w14:schemeClr w14:val="tx1"/>
                      </w14:solidFill>
                    </w14:textFill>
                  </w:rPr>
                  <w:t>股份种类</w:t>
                </w:r>
                <w:r>
                  <w:rPr>
                    <w:rFonts w:hint="eastAsia"/>
                    <w:color w:val="000000" w:themeColor="text1"/>
                    <w14:textFill>
                      <w14:solidFill>
                        <w14:schemeClr w14:val="tx1"/>
                      </w14:solidFill>
                    </w14:textFill>
                  </w:rPr>
                  <w:t>及数量</w:t>
                </w:r>
              </w:p>
            </w:tc>
          </w:sdtContent>
        </w:sdt>
      </w:tr>
      <w:tr w14:paraId="2B23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Merge w:val="continue"/>
            <w:vAlign w:val="center"/>
          </w:tcPr>
          <w:p w14:paraId="03A53F76">
            <w:pPr>
              <w:jc w:val="center"/>
              <w:rPr>
                <w:color w:val="000000" w:themeColor="text1"/>
                <w14:textFill>
                  <w14:solidFill>
                    <w14:schemeClr w14:val="tx1"/>
                  </w14:solidFill>
                </w14:textFill>
              </w:rPr>
            </w:pPr>
          </w:p>
        </w:tc>
        <w:tc>
          <w:tcPr>
            <w:tcW w:w="2975" w:type="dxa"/>
            <w:gridSpan w:val="3"/>
            <w:vMerge w:val="continue"/>
            <w:vAlign w:val="center"/>
          </w:tcPr>
          <w:p w14:paraId="41FC964E">
            <w:pPr>
              <w:jc w:val="center"/>
              <w:rPr>
                <w:color w:val="000000" w:themeColor="text1"/>
                <w14:textFill>
                  <w14:solidFill>
                    <w14:schemeClr w14:val="tx1"/>
                  </w14:solidFill>
                </w14:textFill>
              </w:rPr>
            </w:pPr>
          </w:p>
        </w:tc>
        <w:sdt>
          <w:sdtPr>
            <w:tag w:val="_PLD_05580a00e3f942c0b2da618818a84669"/>
            <w:id w:val="147466042"/>
          </w:sdtPr>
          <w:sdtContent>
            <w:tc>
              <w:tcPr>
                <w:tcW w:w="944" w:type="dxa"/>
                <w:gridSpan w:val="2"/>
                <w:vAlign w:val="center"/>
              </w:tcPr>
              <w:p w14:paraId="39F1CD2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p>
            </w:tc>
          </w:sdtContent>
        </w:sdt>
        <w:sdt>
          <w:sdtPr>
            <w:tag w:val="_PLD_7f8ec6251e234192b411b34b07ccd732"/>
            <w:id w:val="147470618"/>
          </w:sdtPr>
          <w:sdtContent>
            <w:tc>
              <w:tcPr>
                <w:tcW w:w="2153" w:type="dxa"/>
                <w:gridSpan w:val="2"/>
                <w:vAlign w:val="center"/>
              </w:tcPr>
              <w:p w14:paraId="6F9E9B1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tr>
      <w:tr w14:paraId="1E38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01D8FE6B">
            <w:pPr>
              <w:pStyle w:val="113"/>
              <w:rPr>
                <w:sz w:val="21"/>
                <w:szCs w:val="21"/>
              </w:rPr>
            </w:pPr>
            <w:r>
              <w:rPr>
                <w:rFonts w:hint="eastAsia"/>
                <w:color w:val="000000"/>
                <w:sz w:val="21"/>
                <w:szCs w:val="21"/>
              </w:rPr>
              <w:t>新兴际华集团有限公司</w:t>
            </w:r>
          </w:p>
        </w:tc>
        <w:tc>
          <w:tcPr>
            <w:tcW w:w="2975" w:type="dxa"/>
            <w:gridSpan w:val="3"/>
            <w:vAlign w:val="center"/>
          </w:tcPr>
          <w:p w14:paraId="3659181D">
            <w:pPr>
              <w:jc w:val="right"/>
            </w:pPr>
            <w:r>
              <w:rPr>
                <w:color w:val="000000"/>
              </w:rPr>
              <w:t>2,000,662,591</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47477925"/>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4" w:type="dxa"/>
                <w:gridSpan w:val="2"/>
                <w:vAlign w:val="center"/>
              </w:tcPr>
              <w:p w14:paraId="11CF7CAE">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2153" w:type="dxa"/>
            <w:gridSpan w:val="2"/>
            <w:vAlign w:val="center"/>
          </w:tcPr>
          <w:p w14:paraId="5B0700A5">
            <w:pPr>
              <w:jc w:val="right"/>
            </w:pPr>
            <w:r>
              <w:rPr>
                <w:color w:val="000000"/>
              </w:rPr>
              <w:t>2,000,662,591</w:t>
            </w:r>
          </w:p>
        </w:tc>
      </w:tr>
      <w:tr w14:paraId="41E0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045D2952">
            <w:pPr>
              <w:pStyle w:val="113"/>
              <w:rPr>
                <w:sz w:val="21"/>
                <w:szCs w:val="21"/>
              </w:rPr>
            </w:pPr>
            <w:r>
              <w:rPr>
                <w:rFonts w:hint="eastAsia"/>
                <w:color w:val="000000"/>
                <w:sz w:val="21"/>
                <w:szCs w:val="21"/>
              </w:rPr>
              <w:t>新兴铸管股份有限公司</w:t>
            </w:r>
          </w:p>
        </w:tc>
        <w:tc>
          <w:tcPr>
            <w:tcW w:w="2975" w:type="dxa"/>
            <w:gridSpan w:val="3"/>
            <w:vAlign w:val="center"/>
          </w:tcPr>
          <w:p w14:paraId="64E40D23">
            <w:pPr>
              <w:jc w:val="right"/>
            </w:pPr>
            <w:r>
              <w:rPr>
                <w:color w:val="000000"/>
              </w:rPr>
              <w:t>192,850,000</w:t>
            </w:r>
          </w:p>
        </w:tc>
        <w:tc>
          <w:tcPr>
            <w:tcW w:w="944" w:type="dxa"/>
            <w:gridSpan w:val="2"/>
            <w:vAlign w:val="center"/>
          </w:tcPr>
          <w:p w14:paraId="47E1C76B">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　</w:t>
            </w:r>
          </w:p>
        </w:tc>
        <w:tc>
          <w:tcPr>
            <w:tcW w:w="2153" w:type="dxa"/>
            <w:gridSpan w:val="2"/>
            <w:vAlign w:val="center"/>
          </w:tcPr>
          <w:p w14:paraId="4030F259">
            <w:pPr>
              <w:jc w:val="right"/>
            </w:pPr>
            <w:r>
              <w:rPr>
                <w:color w:val="000000"/>
              </w:rPr>
              <w:t>192,850,000</w:t>
            </w:r>
          </w:p>
        </w:tc>
      </w:tr>
      <w:tr w14:paraId="75D6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18B8789F">
            <w:pPr>
              <w:pStyle w:val="113"/>
              <w:rPr>
                <w:sz w:val="21"/>
                <w:szCs w:val="21"/>
              </w:rPr>
            </w:pPr>
            <w:r>
              <w:rPr>
                <w:rFonts w:hint="eastAsia"/>
                <w:color w:val="000000"/>
                <w:sz w:val="21"/>
                <w:szCs w:val="21"/>
              </w:rPr>
              <w:t>宁波梅山保税港区和盛乾通股权投资合伙企业（有限合伙）</w:t>
            </w:r>
          </w:p>
        </w:tc>
        <w:tc>
          <w:tcPr>
            <w:tcW w:w="2975" w:type="dxa"/>
            <w:gridSpan w:val="3"/>
            <w:vAlign w:val="center"/>
          </w:tcPr>
          <w:p w14:paraId="6EBCC824">
            <w:pPr>
              <w:jc w:val="right"/>
            </w:pPr>
            <w:r>
              <w:rPr>
                <w:color w:val="000000"/>
              </w:rPr>
              <w:t>45,895,946</w:t>
            </w:r>
          </w:p>
        </w:tc>
        <w:tc>
          <w:tcPr>
            <w:tcW w:w="944" w:type="dxa"/>
            <w:gridSpan w:val="2"/>
            <w:vAlign w:val="center"/>
          </w:tcPr>
          <w:p w14:paraId="4527C814">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w:t>
            </w:r>
          </w:p>
        </w:tc>
        <w:tc>
          <w:tcPr>
            <w:tcW w:w="2153" w:type="dxa"/>
            <w:gridSpan w:val="2"/>
            <w:vAlign w:val="center"/>
          </w:tcPr>
          <w:p w14:paraId="7FF9C3D8">
            <w:pPr>
              <w:jc w:val="right"/>
            </w:pPr>
            <w:r>
              <w:rPr>
                <w:color w:val="000000"/>
              </w:rPr>
              <w:t>45,895,946</w:t>
            </w:r>
          </w:p>
        </w:tc>
      </w:tr>
      <w:tr w14:paraId="61F8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276254C1">
            <w:pPr>
              <w:pStyle w:val="113"/>
              <w:rPr>
                <w:sz w:val="21"/>
                <w:szCs w:val="21"/>
              </w:rPr>
            </w:pPr>
            <w:r>
              <w:rPr>
                <w:rFonts w:hint="eastAsia"/>
                <w:color w:val="000000"/>
                <w:sz w:val="21"/>
                <w:szCs w:val="21"/>
              </w:rPr>
              <w:t>中国建设银行股份有限公司－国泰中证军工交易型开放式指数证券投资基金</w:t>
            </w:r>
          </w:p>
        </w:tc>
        <w:tc>
          <w:tcPr>
            <w:tcW w:w="2975" w:type="dxa"/>
            <w:gridSpan w:val="3"/>
            <w:vAlign w:val="center"/>
          </w:tcPr>
          <w:p w14:paraId="52F1A6E3">
            <w:pPr>
              <w:jc w:val="right"/>
            </w:pPr>
            <w:r>
              <w:rPr>
                <w:color w:val="000000"/>
              </w:rPr>
              <w:t>30,504,603</w:t>
            </w:r>
          </w:p>
        </w:tc>
        <w:tc>
          <w:tcPr>
            <w:tcW w:w="944" w:type="dxa"/>
            <w:gridSpan w:val="2"/>
            <w:vAlign w:val="center"/>
          </w:tcPr>
          <w:p w14:paraId="791050F3">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　</w:t>
            </w:r>
          </w:p>
        </w:tc>
        <w:tc>
          <w:tcPr>
            <w:tcW w:w="2153" w:type="dxa"/>
            <w:gridSpan w:val="2"/>
            <w:vAlign w:val="center"/>
          </w:tcPr>
          <w:p w14:paraId="3A4476E4">
            <w:pPr>
              <w:jc w:val="right"/>
            </w:pPr>
            <w:r>
              <w:rPr>
                <w:color w:val="000000"/>
              </w:rPr>
              <w:t>30,504,603</w:t>
            </w:r>
          </w:p>
        </w:tc>
      </w:tr>
      <w:tr w14:paraId="1767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463B6701">
            <w:pPr>
              <w:pStyle w:val="113"/>
              <w:rPr>
                <w:sz w:val="21"/>
                <w:szCs w:val="21"/>
              </w:rPr>
            </w:pPr>
            <w:r>
              <w:rPr>
                <w:rFonts w:hint="eastAsia"/>
                <w:color w:val="000000"/>
                <w:sz w:val="21"/>
                <w:szCs w:val="21"/>
              </w:rPr>
              <w:t>李国</w:t>
            </w:r>
          </w:p>
        </w:tc>
        <w:tc>
          <w:tcPr>
            <w:tcW w:w="2975" w:type="dxa"/>
            <w:gridSpan w:val="3"/>
            <w:vAlign w:val="center"/>
          </w:tcPr>
          <w:p w14:paraId="0EA23752">
            <w:pPr>
              <w:jc w:val="right"/>
            </w:pPr>
            <w:r>
              <w:rPr>
                <w:color w:val="000000"/>
              </w:rPr>
              <w:t>26,800,000</w:t>
            </w:r>
          </w:p>
        </w:tc>
        <w:tc>
          <w:tcPr>
            <w:tcW w:w="944" w:type="dxa"/>
            <w:gridSpan w:val="2"/>
            <w:vAlign w:val="center"/>
          </w:tcPr>
          <w:p w14:paraId="7E1F3F82">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w:t>
            </w:r>
          </w:p>
        </w:tc>
        <w:tc>
          <w:tcPr>
            <w:tcW w:w="2153" w:type="dxa"/>
            <w:gridSpan w:val="2"/>
            <w:vAlign w:val="center"/>
          </w:tcPr>
          <w:p w14:paraId="7A659557">
            <w:pPr>
              <w:jc w:val="right"/>
            </w:pPr>
            <w:r>
              <w:rPr>
                <w:color w:val="000000"/>
              </w:rPr>
              <w:t>26,800,000</w:t>
            </w:r>
          </w:p>
        </w:tc>
      </w:tr>
      <w:tr w14:paraId="25B1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3317E536">
            <w:pPr>
              <w:pStyle w:val="113"/>
              <w:rPr>
                <w:sz w:val="21"/>
                <w:szCs w:val="21"/>
              </w:rPr>
            </w:pPr>
            <w:r>
              <w:rPr>
                <w:rFonts w:hint="eastAsia"/>
                <w:color w:val="000000"/>
                <w:sz w:val="21"/>
                <w:szCs w:val="21"/>
              </w:rPr>
              <w:t>招商银行股份有限公司－南方中证1000交易型开放式指数证券投资基金</w:t>
            </w:r>
          </w:p>
        </w:tc>
        <w:tc>
          <w:tcPr>
            <w:tcW w:w="2975" w:type="dxa"/>
            <w:gridSpan w:val="3"/>
            <w:vAlign w:val="center"/>
          </w:tcPr>
          <w:p w14:paraId="125D383D">
            <w:pPr>
              <w:jc w:val="right"/>
            </w:pPr>
            <w:r>
              <w:rPr>
                <w:color w:val="000000"/>
              </w:rPr>
              <w:t>24,409,400</w:t>
            </w:r>
          </w:p>
        </w:tc>
        <w:tc>
          <w:tcPr>
            <w:tcW w:w="944" w:type="dxa"/>
            <w:gridSpan w:val="2"/>
            <w:vAlign w:val="center"/>
          </w:tcPr>
          <w:p w14:paraId="5E8B734D">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w:t>
            </w:r>
          </w:p>
        </w:tc>
        <w:tc>
          <w:tcPr>
            <w:tcW w:w="2153" w:type="dxa"/>
            <w:gridSpan w:val="2"/>
            <w:vAlign w:val="center"/>
          </w:tcPr>
          <w:p w14:paraId="55F92366">
            <w:pPr>
              <w:jc w:val="right"/>
            </w:pPr>
            <w:r>
              <w:rPr>
                <w:color w:val="000000"/>
              </w:rPr>
              <w:t>24,409,400</w:t>
            </w:r>
          </w:p>
        </w:tc>
      </w:tr>
      <w:tr w14:paraId="62BB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18E33AE6">
            <w:pPr>
              <w:pStyle w:val="113"/>
              <w:rPr>
                <w:sz w:val="21"/>
                <w:szCs w:val="21"/>
              </w:rPr>
            </w:pPr>
            <w:r>
              <w:rPr>
                <w:rFonts w:hint="eastAsia"/>
                <w:color w:val="000000"/>
                <w:sz w:val="21"/>
                <w:szCs w:val="21"/>
              </w:rPr>
              <w:t>香港中央结算有限公司</w:t>
            </w:r>
          </w:p>
        </w:tc>
        <w:tc>
          <w:tcPr>
            <w:tcW w:w="2975" w:type="dxa"/>
            <w:gridSpan w:val="3"/>
            <w:vAlign w:val="center"/>
          </w:tcPr>
          <w:p w14:paraId="5E7E6D90">
            <w:pPr>
              <w:jc w:val="right"/>
            </w:pPr>
            <w:r>
              <w:rPr>
                <w:color w:val="000000"/>
              </w:rPr>
              <w:t>17,564,490</w:t>
            </w:r>
          </w:p>
        </w:tc>
        <w:tc>
          <w:tcPr>
            <w:tcW w:w="944" w:type="dxa"/>
            <w:gridSpan w:val="2"/>
            <w:vAlign w:val="center"/>
          </w:tcPr>
          <w:p w14:paraId="14D4AE5E">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w:t>
            </w:r>
          </w:p>
        </w:tc>
        <w:tc>
          <w:tcPr>
            <w:tcW w:w="2153" w:type="dxa"/>
            <w:gridSpan w:val="2"/>
            <w:vAlign w:val="center"/>
          </w:tcPr>
          <w:p w14:paraId="60FC56D4">
            <w:pPr>
              <w:jc w:val="right"/>
            </w:pPr>
            <w:r>
              <w:rPr>
                <w:color w:val="000000"/>
              </w:rPr>
              <w:t>17,564,490</w:t>
            </w:r>
          </w:p>
        </w:tc>
      </w:tr>
      <w:tr w14:paraId="4FEA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60F6D1D8">
            <w:pPr>
              <w:pStyle w:val="113"/>
              <w:rPr>
                <w:sz w:val="21"/>
                <w:szCs w:val="21"/>
              </w:rPr>
            </w:pPr>
            <w:r>
              <w:rPr>
                <w:rFonts w:hint="eastAsia"/>
                <w:color w:val="000000"/>
                <w:sz w:val="21"/>
                <w:szCs w:val="21"/>
              </w:rPr>
              <w:t>信诚基金－中信证券－广州金控资本管理有限公司</w:t>
            </w:r>
          </w:p>
        </w:tc>
        <w:tc>
          <w:tcPr>
            <w:tcW w:w="2975" w:type="dxa"/>
            <w:gridSpan w:val="3"/>
            <w:vAlign w:val="center"/>
          </w:tcPr>
          <w:p w14:paraId="794DF40D">
            <w:pPr>
              <w:jc w:val="right"/>
            </w:pPr>
            <w:r>
              <w:rPr>
                <w:color w:val="000000"/>
              </w:rPr>
              <w:t>15,873,015</w:t>
            </w:r>
          </w:p>
        </w:tc>
        <w:tc>
          <w:tcPr>
            <w:tcW w:w="944" w:type="dxa"/>
            <w:gridSpan w:val="2"/>
            <w:vAlign w:val="center"/>
          </w:tcPr>
          <w:p w14:paraId="0D1FE83F">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w:t>
            </w:r>
          </w:p>
        </w:tc>
        <w:tc>
          <w:tcPr>
            <w:tcW w:w="2153" w:type="dxa"/>
            <w:gridSpan w:val="2"/>
            <w:vAlign w:val="center"/>
          </w:tcPr>
          <w:p w14:paraId="436D6E59">
            <w:pPr>
              <w:jc w:val="right"/>
            </w:pPr>
            <w:r>
              <w:rPr>
                <w:color w:val="000000"/>
              </w:rPr>
              <w:t>15,873,015</w:t>
            </w:r>
          </w:p>
        </w:tc>
      </w:tr>
      <w:tr w14:paraId="0180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10F3C088">
            <w:pPr>
              <w:pStyle w:val="113"/>
              <w:rPr>
                <w:sz w:val="21"/>
                <w:szCs w:val="21"/>
              </w:rPr>
            </w:pPr>
            <w:r>
              <w:rPr>
                <w:rFonts w:hint="eastAsia"/>
                <w:color w:val="000000"/>
                <w:sz w:val="21"/>
                <w:szCs w:val="21"/>
              </w:rPr>
              <w:t>招商银行股份有限公司－华夏中证1000交易型开放式指数证券投资基金</w:t>
            </w:r>
          </w:p>
        </w:tc>
        <w:tc>
          <w:tcPr>
            <w:tcW w:w="2975" w:type="dxa"/>
            <w:gridSpan w:val="3"/>
            <w:vAlign w:val="center"/>
          </w:tcPr>
          <w:p w14:paraId="3E690F7A">
            <w:pPr>
              <w:jc w:val="right"/>
            </w:pPr>
            <w:r>
              <w:rPr>
                <w:color w:val="000000"/>
              </w:rPr>
              <w:t>14,347,100</w:t>
            </w:r>
          </w:p>
        </w:tc>
        <w:tc>
          <w:tcPr>
            <w:tcW w:w="944" w:type="dxa"/>
            <w:gridSpan w:val="2"/>
            <w:vAlign w:val="center"/>
          </w:tcPr>
          <w:p w14:paraId="7A70D810">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　</w:t>
            </w:r>
          </w:p>
        </w:tc>
        <w:tc>
          <w:tcPr>
            <w:tcW w:w="2153" w:type="dxa"/>
            <w:gridSpan w:val="2"/>
            <w:vAlign w:val="center"/>
          </w:tcPr>
          <w:p w14:paraId="046C563B">
            <w:pPr>
              <w:jc w:val="right"/>
            </w:pPr>
            <w:r>
              <w:rPr>
                <w:color w:val="000000"/>
              </w:rPr>
              <w:t>14,347,100</w:t>
            </w:r>
          </w:p>
        </w:tc>
      </w:tr>
      <w:tr w14:paraId="4DE0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1F16696D">
            <w:pPr>
              <w:pStyle w:val="113"/>
              <w:rPr>
                <w:sz w:val="21"/>
                <w:szCs w:val="21"/>
              </w:rPr>
            </w:pPr>
            <w:r>
              <w:rPr>
                <w:rFonts w:hint="eastAsia"/>
                <w:color w:val="000000"/>
                <w:sz w:val="21"/>
                <w:szCs w:val="21"/>
              </w:rPr>
              <w:t>赵凯</w:t>
            </w:r>
          </w:p>
        </w:tc>
        <w:tc>
          <w:tcPr>
            <w:tcW w:w="2975" w:type="dxa"/>
            <w:gridSpan w:val="3"/>
            <w:vAlign w:val="center"/>
          </w:tcPr>
          <w:p w14:paraId="54063238">
            <w:pPr>
              <w:jc w:val="right"/>
            </w:pPr>
            <w:r>
              <w:rPr>
                <w:color w:val="000000"/>
              </w:rPr>
              <w:t>12,921,783</w:t>
            </w:r>
          </w:p>
        </w:tc>
        <w:tc>
          <w:tcPr>
            <w:tcW w:w="944" w:type="dxa"/>
            <w:gridSpan w:val="2"/>
            <w:vAlign w:val="center"/>
          </w:tcPr>
          <w:p w14:paraId="7E07B760">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人民币普通股　</w:t>
            </w:r>
          </w:p>
        </w:tc>
        <w:tc>
          <w:tcPr>
            <w:tcW w:w="2153" w:type="dxa"/>
            <w:gridSpan w:val="2"/>
            <w:vAlign w:val="center"/>
          </w:tcPr>
          <w:p w14:paraId="569E8E35">
            <w:pPr>
              <w:jc w:val="right"/>
            </w:pPr>
            <w:r>
              <w:rPr>
                <w:color w:val="000000"/>
              </w:rPr>
              <w:t>12,921,783</w:t>
            </w:r>
          </w:p>
        </w:tc>
      </w:tr>
      <w:tr w14:paraId="63A8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268700DE">
            <w:pPr>
              <w:rPr>
                <w:color w:val="000000" w:themeColor="text1"/>
                <w14:textFill>
                  <w14:solidFill>
                    <w14:schemeClr w14:val="tx1"/>
                  </w14:solidFill>
                </w14:textFill>
              </w:rPr>
            </w:pPr>
            <w:r>
              <w:rPr>
                <w:rFonts w:hint="eastAsia"/>
                <w:color w:val="000000" w:themeColor="text1"/>
                <w14:textFill>
                  <w14:solidFill>
                    <w14:schemeClr w14:val="tx1"/>
                  </w14:solidFill>
                </w14:textFill>
              </w:rPr>
              <w:t>前十名股东中回购专户情况说明</w:t>
            </w:r>
          </w:p>
        </w:tc>
        <w:tc>
          <w:tcPr>
            <w:tcW w:w="6072" w:type="dxa"/>
            <w:gridSpan w:val="7"/>
            <w:vAlign w:val="center"/>
          </w:tcPr>
          <w:p w14:paraId="08B5A466">
            <w:pPr>
              <w:pStyle w:val="113"/>
              <w:jc w:val="both"/>
              <w:rPr>
                <w:sz w:val="21"/>
                <w:szCs w:val="21"/>
              </w:rPr>
            </w:pPr>
            <w:r>
              <w:rPr>
                <w:rFonts w:hint="eastAsia"/>
                <w:sz w:val="21"/>
                <w:szCs w:val="21"/>
              </w:rPr>
              <w:t>公司回购专用账户未在“前十名股东持股情况”中列示，截至报告期末，际华集团股份有限公司回购专用证券账户持有人民币普通股</w:t>
            </w:r>
            <w:r>
              <w:rPr>
                <w:sz w:val="21"/>
                <w:szCs w:val="21"/>
              </w:rPr>
              <w:t>15</w:t>
            </w:r>
            <w:r>
              <w:rPr>
                <w:rFonts w:hint="eastAsia"/>
                <w:sz w:val="21"/>
                <w:szCs w:val="21"/>
              </w:rPr>
              <w:t>,</w:t>
            </w:r>
            <w:r>
              <w:rPr>
                <w:sz w:val="21"/>
                <w:szCs w:val="21"/>
              </w:rPr>
              <w:t>240</w:t>
            </w:r>
            <w:r>
              <w:rPr>
                <w:rFonts w:hint="eastAsia"/>
                <w:sz w:val="21"/>
                <w:szCs w:val="21"/>
              </w:rPr>
              <w:t>,</w:t>
            </w:r>
            <w:r>
              <w:rPr>
                <w:sz w:val="21"/>
                <w:szCs w:val="21"/>
              </w:rPr>
              <w:t>401</w:t>
            </w:r>
            <w:r>
              <w:rPr>
                <w:rFonts w:hint="eastAsia"/>
                <w:sz w:val="21"/>
                <w:szCs w:val="21"/>
              </w:rPr>
              <w:t>股，持有比例0.35%。</w:t>
            </w:r>
          </w:p>
        </w:tc>
      </w:tr>
      <w:tr w14:paraId="471C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5310B070">
            <w:pPr>
              <w:rPr>
                <w:color w:val="000000" w:themeColor="text1"/>
                <w14:textFill>
                  <w14:solidFill>
                    <w14:schemeClr w14:val="tx1"/>
                  </w14:solidFill>
                </w14:textFill>
              </w:rPr>
            </w:pPr>
            <w:r>
              <w:rPr>
                <w:color w:val="000000" w:themeColor="text1"/>
                <w14:textFill>
                  <w14:solidFill>
                    <w14:schemeClr w14:val="tx1"/>
                  </w14:solidFill>
                </w14:textFill>
              </w:rPr>
              <w:t>上述股东</w:t>
            </w:r>
            <w:r>
              <w:rPr>
                <w:rFonts w:hint="eastAsia"/>
                <w:color w:val="000000" w:themeColor="text1"/>
                <w14:textFill>
                  <w14:solidFill>
                    <w14:schemeClr w14:val="tx1"/>
                  </w14:solidFill>
                </w14:textFill>
              </w:rPr>
              <w:t>委托表决权、受托表决权、放弃表决权</w:t>
            </w:r>
            <w:r>
              <w:rPr>
                <w:color w:val="000000" w:themeColor="text1"/>
                <w14:textFill>
                  <w14:solidFill>
                    <w14:schemeClr w14:val="tx1"/>
                  </w14:solidFill>
                </w14:textFill>
              </w:rPr>
              <w:t>的说明</w:t>
            </w:r>
          </w:p>
        </w:tc>
        <w:tc>
          <w:tcPr>
            <w:tcW w:w="6072" w:type="dxa"/>
            <w:gridSpan w:val="7"/>
            <w:vAlign w:val="center"/>
          </w:tcPr>
          <w:p w14:paraId="22FA606C">
            <w:pPr>
              <w:pStyle w:val="113"/>
              <w:rPr>
                <w:sz w:val="21"/>
                <w:szCs w:val="21"/>
              </w:rPr>
            </w:pPr>
            <w:r>
              <w:rPr>
                <w:rFonts w:hint="eastAsia"/>
                <w:sz w:val="21"/>
                <w:szCs w:val="21"/>
              </w:rPr>
              <w:t>不涉及</w:t>
            </w:r>
          </w:p>
        </w:tc>
      </w:tr>
      <w:tr w14:paraId="488E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1FD3355A">
            <w:pPr>
              <w:rPr>
                <w:color w:val="000000" w:themeColor="text1"/>
                <w14:textFill>
                  <w14:solidFill>
                    <w14:schemeClr w14:val="tx1"/>
                  </w14:solidFill>
                </w14:textFill>
              </w:rPr>
            </w:pPr>
            <w:r>
              <w:rPr>
                <w:color w:val="000000" w:themeColor="text1"/>
                <w14:textFill>
                  <w14:solidFill>
                    <w14:schemeClr w14:val="tx1"/>
                  </w14:solidFill>
                </w14:textFill>
              </w:rPr>
              <w:t>上述股东关联关系或一致行动的说明</w:t>
            </w:r>
          </w:p>
        </w:tc>
        <w:tc>
          <w:tcPr>
            <w:tcW w:w="6072" w:type="dxa"/>
            <w:gridSpan w:val="7"/>
            <w:vAlign w:val="center"/>
          </w:tcPr>
          <w:p w14:paraId="71A648AD">
            <w:pPr>
              <w:pStyle w:val="113"/>
              <w:rPr>
                <w:sz w:val="21"/>
                <w:szCs w:val="21"/>
              </w:rPr>
            </w:pPr>
            <w:r>
              <w:rPr>
                <w:sz w:val="21"/>
                <w:szCs w:val="21"/>
              </w:rPr>
              <w:t>新兴铸管股份有限公司系新兴际华集团有限公司的控股子公司。未知其余股东之间是否存在关联关系。</w:t>
            </w:r>
          </w:p>
        </w:tc>
      </w:tr>
      <w:tr w14:paraId="722F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08" w:type="dxa"/>
            <w:gridSpan w:val="2"/>
            <w:vAlign w:val="center"/>
          </w:tcPr>
          <w:p w14:paraId="1E2E7A87">
            <w:pPr>
              <w:rPr>
                <w:color w:val="000000" w:themeColor="text1"/>
                <w14:textFill>
                  <w14:solidFill>
                    <w14:schemeClr w14:val="tx1"/>
                  </w14:solidFill>
                </w14:textFill>
              </w:rPr>
            </w:pPr>
            <w:r>
              <w:rPr>
                <w:rFonts w:hint="eastAsia"/>
                <w:color w:val="000000" w:themeColor="text1"/>
                <w14:textFill>
                  <w14:solidFill>
                    <w14:schemeClr w14:val="tx1"/>
                  </w14:solidFill>
                </w14:textFill>
              </w:rPr>
              <w:t>表决权恢复的优先股股东及持股数量的说明</w:t>
            </w:r>
          </w:p>
        </w:tc>
        <w:tc>
          <w:tcPr>
            <w:tcW w:w="6072" w:type="dxa"/>
            <w:gridSpan w:val="7"/>
            <w:vAlign w:val="center"/>
          </w:tcPr>
          <w:p w14:paraId="212F6CA1">
            <w:pPr>
              <w:pStyle w:val="113"/>
              <w:rPr>
                <w:sz w:val="21"/>
                <w:szCs w:val="21"/>
              </w:rPr>
            </w:pPr>
            <w:r>
              <w:rPr>
                <w:rFonts w:hint="eastAsia"/>
                <w:sz w:val="21"/>
                <w:szCs w:val="21"/>
              </w:rPr>
              <w:t>不涉及</w:t>
            </w:r>
          </w:p>
        </w:tc>
      </w:tr>
    </w:tbl>
    <w:p w14:paraId="03F8C8FF">
      <w:pPr>
        <w:rPr>
          <w:color w:val="000000" w:themeColor="text1"/>
          <w14:textFill>
            <w14:solidFill>
              <w14:schemeClr w14:val="tx1"/>
            </w14:solidFill>
          </w14:textFill>
        </w:rPr>
      </w:pPr>
    </w:p>
    <w:p w14:paraId="6D3BA7F4">
      <w:pPr>
        <w:rPr>
          <w:color w:val="000000" w:themeColor="text1"/>
          <w14:textFill>
            <w14:solidFill>
              <w14:schemeClr w14:val="tx1"/>
            </w14:solidFill>
          </w14:textFill>
        </w:rPr>
      </w:pPr>
      <w:bookmarkStart w:id="99" w:name="_Hlk155094173"/>
      <w:bookmarkStart w:id="100" w:name="_Hlk161321917"/>
      <w:bookmarkStart w:id="101" w:name="_Hlk167799956"/>
      <w:bookmarkStart w:id="102" w:name="_Hlk161154245"/>
      <w:bookmarkStart w:id="103" w:name="_Hlk169006123"/>
      <w:r>
        <w:rPr>
          <w:rFonts w:hint="eastAsia"/>
          <w:color w:val="000000" w:themeColor="text1"/>
          <w14:textFill>
            <w14:solidFill>
              <w14:schemeClr w14:val="tx1"/>
            </w14:solidFill>
          </w14:textFill>
        </w:rPr>
        <w:t>持股</w:t>
      </w:r>
      <w:r>
        <w:rPr>
          <w:color w:val="000000" w:themeColor="text1"/>
          <w14:textFill>
            <w14:solidFill>
              <w14:schemeClr w14:val="tx1"/>
            </w14:solidFill>
          </w14:textFill>
        </w:rPr>
        <w:t>5%以上股东、前</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名股东及前</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名无限售流通股股东参与转融通业务出借股份情况</w:t>
      </w:r>
    </w:p>
    <w:sdt>
      <w:sdtPr>
        <w:rPr>
          <w:bCs w:val="0"/>
          <w:color w:val="000000" w:themeColor="text1"/>
          <w14:textFill>
            <w14:solidFill>
              <w14:schemeClr w14:val="tx1"/>
            </w14:solidFill>
          </w14:textFill>
        </w:rPr>
        <w:alias w:val="是否适用：前十名股东参与转融通业务出借股份情况[双击切换]"/>
        <w:tag w:val="_GBC_781f403c98a6480ab0058d21456ae70f"/>
        <w:id w:val="147451343"/>
        <w:placeholder>
          <w:docPart w:val="GBC22222222222222222222222222222"/>
        </w:placeholder>
      </w:sdtPr>
      <w:sdtEndPr>
        <w:rPr>
          <w:bCs w:val="0"/>
          <w:color w:val="000000" w:themeColor="text1"/>
          <w14:textFill>
            <w14:solidFill>
              <w14:schemeClr w14:val="tx1"/>
            </w14:solidFill>
          </w14:textFill>
        </w:rPr>
      </w:sdtEndPr>
      <w:sdtContent>
        <w:p w14:paraId="4DBFB40E">
          <w:pPr>
            <w:rPr>
              <w:bCs w:val="0"/>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14:paraId="240D0267">
      <w:pPr>
        <w:rPr>
          <w:color w:val="000000" w:themeColor="text1"/>
          <w14:textFill>
            <w14:solidFill>
              <w14:schemeClr w14:val="tx1"/>
            </w14:solidFill>
          </w14:textFill>
        </w:rPr>
      </w:pPr>
    </w:p>
    <w:bookmarkEnd w:id="99"/>
    <w:p w14:paraId="05A895C0">
      <w:pPr>
        <w:rPr>
          <w:color w:val="000000" w:themeColor="text1"/>
          <w14:textFill>
            <w14:solidFill>
              <w14:schemeClr w14:val="tx1"/>
            </w14:solidFill>
          </w14:textFill>
        </w:rPr>
      </w:pPr>
      <w:bookmarkStart w:id="104" w:name="_Hlk155094189"/>
      <w:r>
        <w:rPr>
          <w:rFonts w:hint="eastAsia"/>
          <w:color w:val="000000" w:themeColor="text1"/>
          <w14:textFill>
            <w14:solidFill>
              <w14:schemeClr w14:val="tx1"/>
            </w14:solidFill>
          </w14:textFill>
        </w:rPr>
        <w:t>前十</w:t>
      </w:r>
      <w:r>
        <w:rPr>
          <w:color w:val="000000" w:themeColor="text1"/>
          <w14:textFill>
            <w14:solidFill>
              <w14:schemeClr w14:val="tx1"/>
            </w14:solidFill>
          </w14:textFill>
        </w:rPr>
        <w:t>名股东及前</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名无限售流通股股东因转融通出借/归还原因导致较上期发生变化</w:t>
      </w:r>
    </w:p>
    <w:sdt>
      <w:sdtPr>
        <w:rPr>
          <w:rFonts w:hint="eastAsia"/>
          <w:color w:val="000000" w:themeColor="text1"/>
          <w14:textFill>
            <w14:solidFill>
              <w14:schemeClr w14:val="tx1"/>
            </w14:solidFill>
          </w14:textFill>
        </w:rPr>
        <w:alias w:val="是否适用：前十名股东较上期发生变化[双击切换]"/>
        <w:tag w:val="_GBC_892ba31f016544c894d3e29851e8125d"/>
        <w:id w:val="147451650"/>
        <w:placeholder>
          <w:docPart w:val="GBC22222222222222222222222222222"/>
        </w:placeholder>
      </w:sdtPr>
      <w:sdtEndPr>
        <w:rPr>
          <w:rFonts w:hint="eastAsia"/>
          <w:color w:val="000000" w:themeColor="text1"/>
          <w14:textFill>
            <w14:solidFill>
              <w14:schemeClr w14:val="tx1"/>
            </w14:solidFill>
          </w14:textFill>
        </w:rPr>
      </w:sdtEndPr>
      <w:sdtContent>
        <w:p w14:paraId="7CDFF3F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A12F6B3">
      <w:pPr>
        <w:rPr>
          <w:color w:val="000000" w:themeColor="text1"/>
          <w14:textFill>
            <w14:solidFill>
              <w14:schemeClr w14:val="tx1"/>
            </w14:solidFill>
          </w14:textFill>
        </w:rPr>
      </w:pPr>
    </w:p>
    <w:bookmarkEnd w:id="100"/>
    <w:bookmarkEnd w:id="101"/>
    <w:bookmarkEnd w:id="102"/>
    <w:bookmarkEnd w:id="103"/>
    <w:bookmarkEnd w:id="104"/>
    <w:p w14:paraId="40AC8746">
      <w:pPr>
        <w:rPr>
          <w:color w:val="000000" w:themeColor="text1"/>
          <w14:textFill>
            <w14:solidFill>
              <w14:schemeClr w14:val="tx1"/>
            </w14:solidFill>
          </w14:textFill>
        </w:rPr>
      </w:pPr>
      <w:r>
        <w:rPr>
          <w:color w:val="000000" w:themeColor="text1"/>
          <w14:textFill>
            <w14:solidFill>
              <w14:schemeClr w14:val="tx1"/>
            </w14:solidFill>
          </w14:textFill>
        </w:rPr>
        <w:t>前十名有限售条件股东持股数量及限售条件</w:t>
      </w:r>
    </w:p>
    <w:sdt>
      <w:sdtPr>
        <w:rPr>
          <w:bCs w:val="0"/>
          <w:color w:val="000000" w:themeColor="text1"/>
          <w14:textFill>
            <w14:solidFill>
              <w14:schemeClr w14:val="tx1"/>
            </w14:solidFill>
          </w14:textFill>
        </w:rPr>
        <w:alias w:val="是否适用：前十名有限售条件股东持股数量及限售条件[双击切换]"/>
        <w:tag w:val="_GBC_681c25d581914cb19d4b007c00511b6a"/>
        <w:id w:val="147461407"/>
        <w:placeholder>
          <w:docPart w:val="GBC22222222222222222222222222222"/>
        </w:placeholder>
      </w:sdtPr>
      <w:sdtEndPr>
        <w:rPr>
          <w:bCs w:val="0"/>
          <w:color w:val="000000" w:themeColor="text1"/>
          <w14:textFill>
            <w14:solidFill>
              <w14:schemeClr w14:val="tx1"/>
            </w14:solidFill>
          </w14:textFill>
        </w:rPr>
      </w:sdtEndPr>
      <w:sdtContent>
        <w:p w14:paraId="5B93D62B">
          <w:pPr>
            <w:rPr>
              <w:bCs w:val="0"/>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14:paraId="7EA2A4BD">
      <w:pPr>
        <w:rPr>
          <w:color w:val="000000" w:themeColor="text1"/>
          <w14:textFill>
            <w14:solidFill>
              <w14:schemeClr w14:val="tx1"/>
            </w14:solidFill>
          </w14:textFill>
        </w:rPr>
      </w:pPr>
    </w:p>
    <w:p w14:paraId="4F833CAE">
      <w:pPr>
        <w:pStyle w:val="75"/>
        <w:numPr>
          <w:ilvl w:val="1"/>
          <w:numId w:val="33"/>
        </w:numPr>
        <w:rPr>
          <w:rFonts w:ascii="宋体" w:hAnsi="宋体"/>
          <w:color w:val="000000" w:themeColor="text1"/>
          <w14:textFill>
            <w14:solidFill>
              <w14:schemeClr w14:val="tx1"/>
            </w14:solidFill>
          </w14:textFill>
        </w:rPr>
      </w:pPr>
      <w:bookmarkStart w:id="105" w:name="_Hlk167800260"/>
      <w:bookmarkEnd w:id="105"/>
      <w:bookmarkStart w:id="106" w:name="_Toc342566000"/>
      <w:bookmarkStart w:id="107" w:name="_Toc342059487"/>
      <w:r>
        <w:rPr>
          <w:rFonts w:ascii="宋体" w:hAnsi="宋体"/>
          <w:color w:val="000000" w:themeColor="text1"/>
          <w14:textFill>
            <w14:solidFill>
              <w14:schemeClr w14:val="tx1"/>
            </w14:solidFill>
          </w14:textFill>
        </w:rPr>
        <w:t>战略投资者或一般法人因配售新股成为前十名股东</w:t>
      </w:r>
    </w:p>
    <w:sdt>
      <w:sdtPr>
        <w:rPr>
          <w:color w:val="000000" w:themeColor="text1"/>
          <w14:textFill>
            <w14:solidFill>
              <w14:schemeClr w14:val="tx1"/>
            </w14:solidFill>
          </w14:textFill>
        </w:rPr>
        <w:alias w:val="是否适用：战略投资者或一般法人因配售新股成为前10名股东[双击切换]"/>
        <w:tag w:val="_GBC_fe7bdc72bd78490fb48d0f3eaca6248e"/>
        <w:id w:val="147476792"/>
        <w:placeholder>
          <w:docPart w:val="GBC22222222222222222222222222222"/>
        </w:placeholder>
      </w:sdtPr>
      <w:sdtEndPr>
        <w:rPr>
          <w:color w:val="000000" w:themeColor="text1"/>
          <w14:textFill>
            <w14:solidFill>
              <w14:schemeClr w14:val="tx1"/>
            </w14:solidFill>
          </w14:textFill>
        </w:rPr>
      </w:sdtEndPr>
      <w:sdtContent>
        <w:p w14:paraId="6DFEAB1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C93F57">
      <w:pPr>
        <w:rPr>
          <w:color w:val="000000" w:themeColor="text1"/>
          <w14:textFill>
            <w14:solidFill>
              <w14:schemeClr w14:val="tx1"/>
            </w14:solidFill>
          </w14:textFill>
        </w:rPr>
      </w:pPr>
    </w:p>
    <w:p w14:paraId="735F556F">
      <w:pPr>
        <w:pStyle w:val="74"/>
        <w:numPr>
          <w:ilvl w:val="0"/>
          <w:numId w:val="30"/>
        </w:numPr>
        <w:spacing w:line="360" w:lineRule="auto"/>
        <w:ind w:left="422" w:hanging="422"/>
        <w:rPr>
          <w:rFonts w:ascii="宋体" w:hAnsi="宋体"/>
          <w:color w:val="000000" w:themeColor="text1"/>
          <w14:textFill>
            <w14:solidFill>
              <w14:schemeClr w14:val="tx1"/>
            </w14:solidFill>
          </w14:textFill>
        </w:rPr>
      </w:pPr>
      <w:bookmarkStart w:id="108" w:name="_Toc342566004"/>
      <w:bookmarkStart w:id="109" w:name="_Toc342057944"/>
      <w:r>
        <w:rPr>
          <w:rFonts w:ascii="宋体" w:hAnsi="宋体"/>
          <w:color w:val="000000" w:themeColor="text1"/>
          <w14:textFill>
            <w14:solidFill>
              <w14:schemeClr w14:val="tx1"/>
            </w14:solidFill>
          </w14:textFill>
        </w:rPr>
        <w:t>董事</w:t>
      </w:r>
      <w:sdt>
        <w:sdtPr>
          <w:tag w:val="_PLD_9d2c0b803c8340e89586e10920d012bd"/>
          <w:id w:val="147476207"/>
        </w:sdtPr>
        <w:sdtContent>
          <w:r>
            <w:rPr>
              <w:rFonts w:ascii="宋体" w:hAnsi="宋体"/>
              <w:color w:val="000000" w:themeColor="text1"/>
              <w14:textFill>
                <w14:solidFill>
                  <w14:schemeClr w14:val="tx1"/>
                </w14:solidFill>
              </w14:textFill>
            </w:rPr>
            <w:t>、监事</w:t>
          </w:r>
        </w:sdtContent>
      </w:sdt>
      <w:r>
        <w:rPr>
          <w:rFonts w:ascii="宋体" w:hAnsi="宋体"/>
          <w:color w:val="000000" w:themeColor="text1"/>
          <w14:textFill>
            <w14:solidFill>
              <w14:schemeClr w14:val="tx1"/>
            </w14:solidFill>
          </w14:textFill>
        </w:rPr>
        <w:t>和高级管理人员情况</w:t>
      </w:r>
    </w:p>
    <w:p w14:paraId="6A87DE11">
      <w:pPr>
        <w:pStyle w:val="4"/>
        <w:numPr>
          <w:ilvl w:val="2"/>
          <w:numId w:val="34"/>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现任及报告期内离任董事</w:t>
      </w:r>
      <w:sdt>
        <w:sdtPr>
          <w:tag w:val="_PLD_1ff8c390f3134ec1834631fe7f4c5106"/>
          <w:id w:val="147480181"/>
        </w:sdtPr>
        <w:sdtContent>
          <w:r>
            <w:rPr>
              <w:rFonts w:ascii="宋体" w:hAnsi="宋体"/>
              <w:color w:val="000000" w:themeColor="text1"/>
              <w14:textFill>
                <w14:solidFill>
                  <w14:schemeClr w14:val="tx1"/>
                </w14:solidFill>
              </w14:textFill>
            </w:rPr>
            <w:t>、监事</w:t>
          </w:r>
        </w:sdtContent>
      </w:sdt>
      <w:r>
        <w:rPr>
          <w:rFonts w:ascii="宋体" w:hAnsi="宋体"/>
          <w:color w:val="000000" w:themeColor="text1"/>
          <w14:textFill>
            <w14:solidFill>
              <w14:schemeClr w14:val="tx1"/>
            </w14:solidFill>
          </w14:textFill>
        </w:rPr>
        <w:t>和高级管理人员持股变动情况</w:t>
      </w:r>
    </w:p>
    <w:sdt>
      <w:sdtPr>
        <w:rPr>
          <w:color w:val="000000" w:themeColor="text1"/>
          <w14:textFill>
            <w14:solidFill>
              <w14:schemeClr w14:val="tx1"/>
            </w14:solidFill>
          </w14:textFill>
        </w:rPr>
        <w:alias w:val="是否适用：董事、监事和高级管理人员持股变动[双击切换]"/>
        <w:tag w:val="_GBC_e4aa9f89c24b4cbb80c479762adcf568"/>
        <w:id w:val="147452720"/>
        <w:placeholder>
          <w:docPart w:val="GBC22222222222222222222222222222"/>
        </w:placeholder>
      </w:sdtPr>
      <w:sdtEndPr>
        <w:rPr>
          <w:color w:val="000000" w:themeColor="text1"/>
          <w14:textFill>
            <w14:solidFill>
              <w14:schemeClr w14:val="tx1"/>
            </w14:solidFill>
          </w14:textFill>
        </w:rPr>
      </w:sdtEndPr>
      <w:sdtContent>
        <w:p w14:paraId="37A90DC8">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3FCF8D">
      <w:pPr>
        <w:rPr>
          <w:color w:val="000000" w:themeColor="text1"/>
          <w14:textFill>
            <w14:solidFill>
              <w14:schemeClr w14:val="tx1"/>
            </w14:solidFill>
          </w14:textFill>
        </w:rPr>
      </w:pPr>
    </w:p>
    <w:p w14:paraId="1161ECD2">
      <w:pPr>
        <w:rPr>
          <w:color w:val="000000" w:themeColor="text1"/>
          <w14:textFill>
            <w14:solidFill>
              <w14:schemeClr w14:val="tx1"/>
            </w14:solidFill>
          </w14:textFill>
        </w:rPr>
      </w:pPr>
      <w:r>
        <w:rPr>
          <w:color w:val="000000" w:themeColor="text1"/>
          <w14:textFill>
            <w14:solidFill>
              <w14:schemeClr w14:val="tx1"/>
            </w14:solidFill>
          </w14:textFill>
        </w:rPr>
        <w:t>其它情况说明</w:t>
      </w:r>
    </w:p>
    <w:sdt>
      <w:sdtPr>
        <w:rPr>
          <w:color w:val="000000" w:themeColor="text1"/>
          <w14:textFill>
            <w14:solidFill>
              <w14:schemeClr w14:val="tx1"/>
            </w14:solidFill>
          </w14:textFill>
        </w:rPr>
        <w:alias w:val="是否适用：董事、监事 和高级管理人员持股变动及报酬情况其他情况说明[双击切换]"/>
        <w:tag w:val="_GBC_6604d619d6f94a81b12f8155637bb211"/>
        <w:id w:val="147452861"/>
        <w:placeholder>
          <w:docPart w:val="GBC22222222222222222222222222222"/>
        </w:placeholder>
      </w:sdtPr>
      <w:sdtEndPr>
        <w:rPr>
          <w:color w:val="000000" w:themeColor="text1"/>
          <w14:textFill>
            <w14:solidFill>
              <w14:schemeClr w14:val="tx1"/>
            </w14:solidFill>
          </w14:textFill>
        </w:rPr>
      </w:sdtEndPr>
      <w:sdtContent>
        <w:p w14:paraId="5577CDA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6DDB12A">
      <w:pPr>
        <w:rPr>
          <w:color w:val="000000" w:themeColor="text1"/>
          <w14:textFill>
            <w14:solidFill>
              <w14:schemeClr w14:val="tx1"/>
            </w14:solidFill>
          </w14:textFill>
        </w:rPr>
      </w:pPr>
    </w:p>
    <w:bookmarkEnd w:id="108"/>
    <w:bookmarkEnd w:id="109"/>
    <w:p w14:paraId="0D229CEF">
      <w:pPr>
        <w:pStyle w:val="4"/>
        <w:numPr>
          <w:ilvl w:val="2"/>
          <w:numId w:val="34"/>
        </w:numPr>
        <w:rPr>
          <w:rFonts w:ascii="宋体" w:hAnsi="宋体"/>
          <w:color w:val="000000" w:themeColor="text1"/>
          <w14:textFill>
            <w14:solidFill>
              <w14:schemeClr w14:val="tx1"/>
            </w14:solidFill>
          </w14:textFill>
        </w:rPr>
      </w:pPr>
      <w:bookmarkStart w:id="110" w:name="_Toc342057945"/>
      <w:bookmarkStart w:id="111" w:name="_Toc342566005"/>
      <w:r>
        <w:rPr>
          <w:rFonts w:ascii="宋体" w:hAnsi="宋体"/>
          <w:color w:val="000000" w:themeColor="text1"/>
          <w14:textFill>
            <w14:solidFill>
              <w14:schemeClr w14:val="tx1"/>
            </w14:solidFill>
          </w14:textFill>
        </w:rPr>
        <w:t>董事</w:t>
      </w:r>
      <w:sdt>
        <w:sdtPr>
          <w:tag w:val="_PLD_d53045f6bb004480a3f318a5ce5ef801"/>
          <w:id w:val="147467110"/>
        </w:sdtPr>
        <w:sdtContent>
          <w:r>
            <w:rPr>
              <w:rFonts w:ascii="宋体" w:hAnsi="宋体"/>
              <w:color w:val="000000" w:themeColor="text1"/>
              <w14:textFill>
                <w14:solidFill>
                  <w14:schemeClr w14:val="tx1"/>
                </w14:solidFill>
              </w14:textFill>
            </w:rPr>
            <w:t>、监事</w:t>
          </w:r>
        </w:sdtContent>
      </w:sdt>
      <w:r>
        <w:rPr>
          <w:rFonts w:ascii="宋体" w:hAnsi="宋体"/>
          <w:color w:val="000000" w:themeColor="text1"/>
          <w14:textFill>
            <w14:solidFill>
              <w14:schemeClr w14:val="tx1"/>
            </w14:solidFill>
          </w14:textFill>
        </w:rPr>
        <w:t>、高级管理人员报告期内被授予的股权激励情况</w:t>
      </w:r>
      <w:bookmarkEnd w:id="110"/>
      <w:bookmarkEnd w:id="111"/>
    </w:p>
    <w:p w14:paraId="6D392853">
      <w:pPr>
        <w:kinsoku w:val="0"/>
        <w:overflowPunct w:val="0"/>
        <w:autoSpaceDE w:val="0"/>
        <w:autoSpaceDN w:val="0"/>
        <w:adjustRightInd w:val="0"/>
        <w:snapToGrid w:val="0"/>
      </w:pPr>
      <w:sdt>
        <w:sdtPr>
          <w:rPr>
            <w:rFonts w:hint="eastAsia"/>
            <w:color w:val="000000" w:themeColor="text1"/>
            <w14:textFill>
              <w14:solidFill>
                <w14:schemeClr w14:val="tx1"/>
              </w14:solidFill>
            </w14:textFill>
          </w:rPr>
          <w:alias w:val="是否适用：董事、监事、高级管理人员报告期内被授予的股权激励情况[双击切换]"/>
          <w:tag w:val="_GBC_3c204ebee7cf4fc2a7c4a3ad63ffe1c4"/>
          <w:id w:val="147470284"/>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0CCFA324">
      <w:pPr>
        <w:rPr>
          <w:color w:val="000000" w:themeColor="text1"/>
          <w14:textFill>
            <w14:solidFill>
              <w14:schemeClr w14:val="tx1"/>
            </w14:solidFill>
          </w14:textFill>
        </w:rPr>
      </w:pPr>
    </w:p>
    <w:p w14:paraId="7F1ECA3E">
      <w:pPr>
        <w:pStyle w:val="4"/>
        <w:numPr>
          <w:ilvl w:val="2"/>
          <w:numId w:val="34"/>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董事、监事、高级管理人员情况说明[双击切换]"/>
        <w:tag w:val="_GBC_8e7eb434c4c34c1b86cdb9f39b70c323"/>
        <w:id w:val="147462792"/>
        <w:placeholder>
          <w:docPart w:val="GBC22222222222222222222222222222"/>
        </w:placeholder>
      </w:sdtPr>
      <w:sdtEndPr>
        <w:rPr>
          <w:color w:val="000000" w:themeColor="text1"/>
          <w14:textFill>
            <w14:solidFill>
              <w14:schemeClr w14:val="tx1"/>
            </w14:solidFill>
          </w14:textFill>
        </w:rPr>
      </w:sdtEndPr>
      <w:sdtContent>
        <w:p w14:paraId="7291CB9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15DB75A">
      <w:pPr>
        <w:rPr>
          <w:color w:val="000000" w:themeColor="text1"/>
          <w14:textFill>
            <w14:solidFill>
              <w14:schemeClr w14:val="tx1"/>
            </w14:solidFill>
          </w14:textFill>
        </w:rPr>
      </w:pPr>
    </w:p>
    <w:bookmarkEnd w:id="106"/>
    <w:bookmarkEnd w:id="107"/>
    <w:p w14:paraId="55E718B6">
      <w:pPr>
        <w:pStyle w:val="74"/>
        <w:numPr>
          <w:ilvl w:val="0"/>
          <w:numId w:val="30"/>
        </w:numPr>
        <w:spacing w:line="360" w:lineRule="auto"/>
        <w:ind w:left="422" w:hanging="422"/>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控股股东或实际控制人变更情况</w:t>
      </w:r>
    </w:p>
    <w:sdt>
      <w:sdtPr>
        <w:rPr>
          <w:color w:val="000000" w:themeColor="text1"/>
          <w14:textFill>
            <w14:solidFill>
              <w14:schemeClr w14:val="tx1"/>
            </w14:solidFill>
          </w14:textFill>
        </w:rPr>
        <w:alias w:val="是否适用：控股股东及实际控制人变更情况[双击切换]"/>
        <w:tag w:val="_GBC_84ff369a3f714dbbbec5a13460906f4b"/>
        <w:id w:val="147469408"/>
        <w:placeholder>
          <w:docPart w:val="GBC22222222222222222222222222222"/>
        </w:placeholder>
      </w:sdtPr>
      <w:sdtEndPr>
        <w:rPr>
          <w:color w:val="000000" w:themeColor="text1"/>
          <w14:textFill>
            <w14:solidFill>
              <w14:schemeClr w14:val="tx1"/>
            </w14:solidFill>
          </w14:textFill>
        </w:rPr>
      </w:sdtEndPr>
      <w:sdtContent>
        <w:p w14:paraId="2D6AEC1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23F057">
      <w:pPr>
        <w:rPr>
          <w:color w:val="000000" w:themeColor="text1"/>
          <w14:textFill>
            <w14:solidFill>
              <w14:schemeClr w14:val="tx1"/>
            </w14:solidFill>
          </w14:textFill>
        </w:rPr>
      </w:pPr>
    </w:p>
    <w:p w14:paraId="5188B8B5">
      <w:pPr>
        <w:pStyle w:val="74"/>
        <w:numPr>
          <w:ilvl w:val="0"/>
          <w:numId w:val="30"/>
        </w:numPr>
        <w:spacing w:line="360" w:lineRule="auto"/>
        <w:ind w:left="422" w:hanging="422"/>
        <w:rPr>
          <w:rFonts w:ascii="宋体" w:hAnsi="宋体"/>
          <w:color w:val="000000" w:themeColor="text1"/>
          <w14:textFill>
            <w14:solidFill>
              <w14:schemeClr w14:val="tx1"/>
            </w14:solidFill>
          </w14:textFill>
        </w:rPr>
      </w:pPr>
      <w:bookmarkStart w:id="112" w:name="_Toc392233017"/>
      <w:bookmarkStart w:id="113" w:name="_Toc76114279"/>
      <w:r>
        <w:rPr>
          <w:rFonts w:ascii="宋体" w:hAnsi="宋体"/>
          <w:color w:val="000000" w:themeColor="text1"/>
          <w14:textFill>
            <w14:solidFill>
              <w14:schemeClr w14:val="tx1"/>
            </w14:solidFill>
          </w14:textFill>
        </w:rPr>
        <w:t>优先股相关情况</w:t>
      </w:r>
    </w:p>
    <w:bookmarkEnd w:id="112"/>
    <w:bookmarkEnd w:id="113"/>
    <w:sdt>
      <w:sdtPr>
        <w:rPr>
          <w:color w:val="000000" w:themeColor="text1"/>
          <w14:textFill>
            <w14:solidFill>
              <w14:schemeClr w14:val="tx1"/>
            </w14:solidFill>
          </w14:textFill>
        </w:rPr>
        <w:alias w:val="是否适用：优先股相关情况[双击切换]"/>
        <w:tag w:val="_GBC_2113adbee8464e1c828b3d6d35c60abf"/>
        <w:id w:val="147477316"/>
        <w:placeholder>
          <w:docPart w:val="GBC22222222222222222222222222222"/>
        </w:placeholder>
      </w:sdtPr>
      <w:sdtEndPr>
        <w:rPr>
          <w:color w:val="000000" w:themeColor="text1"/>
          <w14:textFill>
            <w14:solidFill>
              <w14:schemeClr w14:val="tx1"/>
            </w14:solidFill>
          </w14:textFill>
        </w:rPr>
      </w:sdtEndPr>
      <w:sdtContent>
        <w:p w14:paraId="7AA123A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8E5813B">
      <w:pPr>
        <w:rPr>
          <w:color w:val="000000" w:themeColor="text1"/>
          <w14:textFill>
            <w14:solidFill>
              <w14:schemeClr w14:val="tx1"/>
            </w14:solidFill>
          </w14:textFill>
        </w:rPr>
      </w:pPr>
    </w:p>
    <w:p w14:paraId="0F1993FB">
      <w:pPr>
        <w:rPr>
          <w:color w:val="000000" w:themeColor="text1"/>
          <w14:textFill>
            <w14:solidFill>
              <w14:schemeClr w14:val="tx1"/>
            </w14:solidFill>
          </w14:textFill>
        </w:rPr>
      </w:pPr>
    </w:p>
    <w:p w14:paraId="15ED4A95">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62D6D66B">
      <w:pPr>
        <w:pStyle w:val="2"/>
        <w:numPr>
          <w:ilvl w:val="0"/>
          <w:numId w:val="3"/>
        </w:numPr>
        <w:rPr>
          <w:rFonts w:ascii="黑体" w:hAnsi="黑体"/>
          <w:color w:val="000000" w:themeColor="text1"/>
          <w14:textFill>
            <w14:solidFill>
              <w14:schemeClr w14:val="tx1"/>
            </w14:solidFill>
          </w14:textFill>
        </w:rPr>
      </w:pPr>
      <w:bookmarkStart w:id="114" w:name="_Toc76114280"/>
      <w:bookmarkStart w:id="115" w:name="_Toc437440717"/>
      <w:bookmarkStart w:id="116" w:name="_Toc200030545"/>
      <w:bookmarkStart w:id="117" w:name="_Toc438111012"/>
      <w:r>
        <w:rPr>
          <w:rFonts w:hint="eastAsia" w:ascii="黑体" w:hAnsi="黑体"/>
          <w:color w:val="000000" w:themeColor="text1"/>
          <w14:textFill>
            <w14:solidFill>
              <w14:schemeClr w14:val="tx1"/>
            </w14:solidFill>
          </w14:textFill>
        </w:rPr>
        <w:t>债券相关情况</w:t>
      </w:r>
    </w:p>
    <w:bookmarkEnd w:id="114"/>
    <w:bookmarkEnd w:id="115"/>
    <w:bookmarkEnd w:id="116"/>
    <w:bookmarkEnd w:id="117"/>
    <w:p w14:paraId="1D0E5E9D">
      <w:pPr>
        <w:pStyle w:val="56"/>
        <w:numPr>
          <w:ilvl w:val="0"/>
          <w:numId w:val="3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公司债券（含企业债券）和非金融企业债务融资工具</w:t>
      </w:r>
    </w:p>
    <w:sdt>
      <w:sdtPr>
        <w:rPr>
          <w:color w:val="000000" w:themeColor="text1"/>
          <w14:textFill>
            <w14:solidFill>
              <w14:schemeClr w14:val="tx1"/>
            </w14:solidFill>
          </w14:textFill>
        </w:rPr>
        <w:alias w:val="是否适用：债券相关情况[双击切换]"/>
        <w:tag w:val="_GBC_8e6b9cf2d8c24a6faf41199f98e408b3"/>
        <w:id w:val="147476860"/>
        <w:lock w:val="contentLocked"/>
        <w:placeholder>
          <w:docPart w:val="GBC22222222222222222222222222222"/>
        </w:placeholder>
      </w:sdtPr>
      <w:sdtEndPr>
        <w:rPr>
          <w:color w:val="000000" w:themeColor="text1"/>
          <w14:textFill>
            <w14:solidFill>
              <w14:schemeClr w14:val="tx1"/>
            </w14:solidFill>
          </w14:textFill>
        </w:rPr>
      </w:sdtEndPr>
      <w:sdtContent>
        <w:p w14:paraId="711186E1">
          <w:pPr>
            <w:rPr>
              <w:color w:val="000000" w:themeColor="text1"/>
              <w14:textFill>
                <w14:solidFill>
                  <w14:schemeClr w14:val="tx1"/>
                </w14:solidFill>
              </w14:textFill>
            </w:rPr>
          </w:pPr>
          <w:bookmarkStart w:id="118" w:name="_Hlk73352152"/>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18"/>
    <w:p w14:paraId="5DEDF238">
      <w:pPr>
        <w:rPr>
          <w:color w:val="000000" w:themeColor="text1"/>
          <w14:textFill>
            <w14:solidFill>
              <w14:schemeClr w14:val="tx1"/>
            </w14:solidFill>
          </w14:textFill>
        </w:rPr>
      </w:pPr>
    </w:p>
    <w:p w14:paraId="77434DF4">
      <w:pPr>
        <w:pStyle w:val="57"/>
        <w:numPr>
          <w:ilvl w:val="0"/>
          <w:numId w:val="3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公司债券（含企业债券）</w:t>
      </w:r>
    </w:p>
    <w:sdt>
      <w:sdtPr>
        <w:rPr>
          <w:color w:val="000000" w:themeColor="text1"/>
          <w14:textFill>
            <w14:solidFill>
              <w14:schemeClr w14:val="tx1"/>
            </w14:solidFill>
          </w14:textFill>
        </w:rPr>
        <w:alias w:val="是否适用：公司债券相关情况[双击切换]"/>
        <w:tag w:val="_GBC_0aefba4fc6d84d32a7c7d372906dfb2e"/>
        <w:id w:val="147475270"/>
        <w:lock w:val="contentLocked"/>
        <w:placeholder>
          <w:docPart w:val="GBC22222222222222222222222222222"/>
        </w:placeholder>
      </w:sdtPr>
      <w:sdtEndPr>
        <w:rPr>
          <w:color w:val="000000" w:themeColor="text1"/>
          <w14:textFill>
            <w14:solidFill>
              <w14:schemeClr w14:val="tx1"/>
            </w14:solidFill>
          </w14:textFill>
        </w:rPr>
      </w:sdtEndPr>
      <w:sdtContent>
        <w:p w14:paraId="25A8EAB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A0B1600">
      <w:pPr>
        <w:pStyle w:val="58"/>
        <w:numPr>
          <w:ilvl w:val="0"/>
          <w:numId w:val="3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公司债券基本情况</w:t>
      </w:r>
    </w:p>
    <w:p w14:paraId="5ABF47B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财务附注：公司债券基本情况"/>
          <w:tag w:val="_GBC_bd658d77218145d782a67ef68bab687b"/>
          <w:id w:val="-104953323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r>
        <w:rPr>
          <w:color w:val="000000" w:themeColor="text1"/>
          <w14:textFill>
            <w14:solidFill>
              <w14:schemeClr w14:val="tx1"/>
            </w14:solidFill>
          </w14:textFill>
        </w:rPr>
        <w:t>：</w:t>
      </w:r>
      <w:sdt>
        <w:sdtPr>
          <w:rPr>
            <w:color w:val="000000" w:themeColor="text1"/>
            <w14:textFill>
              <w14:solidFill>
                <w14:schemeClr w14:val="tx1"/>
              </w14:solidFill>
            </w14:textFill>
          </w:rPr>
          <w:alias w:val="币种：财务附注：公司债券基本情况"/>
          <w:tag w:val="_GBC_99178ae7acc84ea696b56df7822a8594"/>
          <w:id w:val="-5594218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596"/>
        <w:gridCol w:w="778"/>
        <w:gridCol w:w="1021"/>
        <w:gridCol w:w="961"/>
        <w:gridCol w:w="613"/>
        <w:gridCol w:w="998"/>
        <w:gridCol w:w="550"/>
        <w:gridCol w:w="660"/>
        <w:gridCol w:w="1491"/>
        <w:gridCol w:w="623"/>
        <w:gridCol w:w="612"/>
        <w:gridCol w:w="586"/>
        <w:gridCol w:w="2046"/>
        <w:gridCol w:w="854"/>
        <w:gridCol w:w="849"/>
      </w:tblGrid>
      <w:tr w14:paraId="737D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8"/>
              <w:szCs w:val="18"/>
            </w:rPr>
            <w:tag w:val="_PLD_ee9ae463d25e492ca21fbb706dc69510"/>
            <w:id w:val="1463459861"/>
          </w:sdtPr>
          <w:sdtEndPr>
            <w:rPr>
              <w:sz w:val="18"/>
              <w:szCs w:val="18"/>
            </w:rPr>
          </w:sdtEndPr>
          <w:sdtContent>
            <w:tc>
              <w:tcPr>
                <w:tcW w:w="302" w:type="pct"/>
                <w:vAlign w:val="center"/>
              </w:tcPr>
              <w:p w14:paraId="214D1E2A">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债券</w:t>
                </w:r>
              </w:p>
              <w:p w14:paraId="338FE2D6">
                <w:pPr>
                  <w:jc w:val="center"/>
                  <w:rPr>
                    <w:rFonts w:cs="Times New Roman"/>
                    <w:b/>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名称</w:t>
                </w:r>
              </w:p>
            </w:tc>
          </w:sdtContent>
        </w:sdt>
        <w:sdt>
          <w:sdtPr>
            <w:rPr>
              <w:sz w:val="18"/>
              <w:szCs w:val="18"/>
            </w:rPr>
            <w:tag w:val="_PLD_7cfab760046e4722b30a3d9d7139915a"/>
            <w:id w:val="-1247348010"/>
          </w:sdtPr>
          <w:sdtEndPr>
            <w:rPr>
              <w:sz w:val="18"/>
              <w:szCs w:val="18"/>
            </w:rPr>
          </w:sdtEndPr>
          <w:sdtContent>
            <w:tc>
              <w:tcPr>
                <w:tcW w:w="211" w:type="pct"/>
                <w:vAlign w:val="center"/>
              </w:tcPr>
              <w:p w14:paraId="237FE10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简称</w:t>
                </w:r>
              </w:p>
            </w:tc>
          </w:sdtContent>
        </w:sdt>
        <w:sdt>
          <w:sdtPr>
            <w:rPr>
              <w:sz w:val="18"/>
              <w:szCs w:val="18"/>
            </w:rPr>
            <w:tag w:val="_PLD_158dc23ab6eb449eb1af98db4f76a461"/>
            <w:id w:val="1591357757"/>
          </w:sdtPr>
          <w:sdtEndPr>
            <w:rPr>
              <w:sz w:val="18"/>
              <w:szCs w:val="18"/>
            </w:rPr>
          </w:sdtEndPr>
          <w:sdtContent>
            <w:tc>
              <w:tcPr>
                <w:tcW w:w="276" w:type="pct"/>
                <w:vAlign w:val="center"/>
              </w:tcPr>
              <w:p w14:paraId="1890E28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代码</w:t>
                </w:r>
              </w:p>
            </w:tc>
          </w:sdtContent>
        </w:sdt>
        <w:sdt>
          <w:sdtPr>
            <w:rPr>
              <w:sz w:val="18"/>
              <w:szCs w:val="18"/>
            </w:rPr>
            <w:tag w:val="_PLD_0786059317ff458e8abe297727e93701"/>
            <w:id w:val="1241827968"/>
          </w:sdtPr>
          <w:sdtEndPr>
            <w:rPr>
              <w:sz w:val="18"/>
              <w:szCs w:val="18"/>
            </w:rPr>
          </w:sdtEndPr>
          <w:sdtContent>
            <w:tc>
              <w:tcPr>
                <w:tcW w:w="361" w:type="pct"/>
                <w:vAlign w:val="center"/>
              </w:tcPr>
              <w:p w14:paraId="1017750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发行日</w:t>
                </w:r>
              </w:p>
            </w:tc>
          </w:sdtContent>
        </w:sdt>
        <w:tc>
          <w:tcPr>
            <w:tcW w:w="340" w:type="pct"/>
            <w:vAlign w:val="center"/>
          </w:tcPr>
          <w:sdt>
            <w:sdtPr>
              <w:rPr>
                <w:sz w:val="18"/>
                <w:szCs w:val="18"/>
              </w:rPr>
              <w:tag w:val="_PLD_4b6f0176cf0c49b1887cd73b4c82c54c"/>
              <w:id w:val="-208110163"/>
            </w:sdtPr>
            <w:sdtEndPr>
              <w:rPr>
                <w:sz w:val="18"/>
                <w:szCs w:val="18"/>
              </w:rPr>
            </w:sdtEndPr>
            <w:sdtContent>
              <w:p w14:paraId="5B9AF8C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起息日</w:t>
                </w:r>
              </w:p>
            </w:sdtContent>
          </w:sdt>
        </w:tc>
        <w:sdt>
          <w:sdtPr>
            <w:rPr>
              <w:sz w:val="18"/>
              <w:szCs w:val="18"/>
            </w:rPr>
            <w:tag w:val="_PLD_f2ee989273ee44cbbba2e06175ede53a"/>
            <w:id w:val="-1058168164"/>
          </w:sdtPr>
          <w:sdtEndPr>
            <w:rPr>
              <w:sz w:val="18"/>
              <w:szCs w:val="18"/>
            </w:rPr>
          </w:sdtEndPr>
          <w:sdtContent>
            <w:tc>
              <w:tcPr>
                <w:tcW w:w="217" w:type="pct"/>
                <w:vAlign w:val="center"/>
              </w:tcPr>
              <w:p w14:paraId="72A70295">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2025年8月31日后的最近回售日</w:t>
                </w:r>
              </w:p>
            </w:tc>
          </w:sdtContent>
        </w:sdt>
        <w:sdt>
          <w:sdtPr>
            <w:rPr>
              <w:sz w:val="18"/>
              <w:szCs w:val="18"/>
            </w:rPr>
            <w:tag w:val="_PLD_73414814a5554ab9a3b2f77ed7981a78"/>
            <w:id w:val="-1463956561"/>
          </w:sdtPr>
          <w:sdtEndPr>
            <w:rPr>
              <w:sz w:val="18"/>
              <w:szCs w:val="18"/>
            </w:rPr>
          </w:sdtEndPr>
          <w:sdtContent>
            <w:tc>
              <w:tcPr>
                <w:tcW w:w="353" w:type="pct"/>
                <w:vAlign w:val="center"/>
              </w:tcPr>
              <w:p w14:paraId="69FFC581">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到期日</w:t>
                </w:r>
              </w:p>
            </w:tc>
          </w:sdtContent>
        </w:sdt>
        <w:sdt>
          <w:sdtPr>
            <w:rPr>
              <w:sz w:val="18"/>
              <w:szCs w:val="18"/>
            </w:rPr>
            <w:tag w:val="_PLD_5e1a5c514ba44564b503b46180ef32f6"/>
            <w:id w:val="1902716903"/>
          </w:sdtPr>
          <w:sdtEndPr>
            <w:rPr>
              <w:sz w:val="18"/>
              <w:szCs w:val="18"/>
            </w:rPr>
          </w:sdtEndPr>
          <w:sdtContent>
            <w:tc>
              <w:tcPr>
                <w:tcW w:w="195" w:type="pct"/>
                <w:vAlign w:val="center"/>
              </w:tcPr>
              <w:p w14:paraId="49640DF3">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债券</w:t>
                </w:r>
              </w:p>
              <w:p w14:paraId="092A8E6F">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余额</w:t>
                </w:r>
              </w:p>
            </w:tc>
          </w:sdtContent>
        </w:sdt>
        <w:sdt>
          <w:sdtPr>
            <w:rPr>
              <w:sz w:val="18"/>
              <w:szCs w:val="18"/>
            </w:rPr>
            <w:tag w:val="_PLD_dad6727aad3e47e9a90174643bbb9999"/>
            <w:id w:val="300582399"/>
          </w:sdtPr>
          <w:sdtEndPr>
            <w:rPr>
              <w:sz w:val="18"/>
              <w:szCs w:val="18"/>
            </w:rPr>
          </w:sdtEndPr>
          <w:sdtContent>
            <w:tc>
              <w:tcPr>
                <w:tcW w:w="234" w:type="pct"/>
                <w:vAlign w:val="center"/>
              </w:tcPr>
              <w:p w14:paraId="2235FB5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利率（%）</w:t>
                </w:r>
              </w:p>
            </w:tc>
          </w:sdtContent>
        </w:sdt>
        <w:sdt>
          <w:sdtPr>
            <w:rPr>
              <w:sz w:val="18"/>
              <w:szCs w:val="18"/>
            </w:rPr>
            <w:tag w:val="_PLD_0dc08131a697459984a729607a3f1745"/>
            <w:id w:val="-286968780"/>
          </w:sdtPr>
          <w:sdtEndPr>
            <w:rPr>
              <w:sz w:val="18"/>
              <w:szCs w:val="18"/>
            </w:rPr>
          </w:sdtEndPr>
          <w:sdtContent>
            <w:tc>
              <w:tcPr>
                <w:tcW w:w="528" w:type="pct"/>
                <w:vAlign w:val="center"/>
              </w:tcPr>
              <w:p w14:paraId="5014E042">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还本付息方式</w:t>
                </w:r>
              </w:p>
            </w:tc>
          </w:sdtContent>
        </w:sdt>
        <w:sdt>
          <w:sdtPr>
            <w:rPr>
              <w:sz w:val="18"/>
              <w:szCs w:val="18"/>
            </w:rPr>
            <w:tag w:val="_PLD_a52870a0bed34b6f81618fdbf439c3e2"/>
            <w:id w:val="81188804"/>
          </w:sdtPr>
          <w:sdtEndPr>
            <w:rPr>
              <w:sz w:val="18"/>
              <w:szCs w:val="18"/>
            </w:rPr>
          </w:sdtEndPr>
          <w:sdtContent>
            <w:tc>
              <w:tcPr>
                <w:tcW w:w="221" w:type="pct"/>
                <w:vAlign w:val="center"/>
              </w:tcPr>
              <w:p w14:paraId="7A50641B">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交易场所</w:t>
                </w:r>
              </w:p>
            </w:tc>
          </w:sdtContent>
        </w:sdt>
        <w:sdt>
          <w:sdtPr>
            <w:rPr>
              <w:sz w:val="18"/>
              <w:szCs w:val="18"/>
            </w:rPr>
            <w:tag w:val="_PLD_a60a4b62043a4e2ebb28961958689632"/>
            <w:id w:val="-271631235"/>
          </w:sdtPr>
          <w:sdtEndPr>
            <w:rPr>
              <w:sz w:val="18"/>
              <w:szCs w:val="18"/>
            </w:rPr>
          </w:sdtEndPr>
          <w:sdtContent>
            <w:tc>
              <w:tcPr>
                <w:tcW w:w="217" w:type="pct"/>
                <w:vAlign w:val="center"/>
              </w:tcPr>
              <w:p w14:paraId="664BBE9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主承销商</w:t>
                </w:r>
              </w:p>
            </w:tc>
          </w:sdtContent>
        </w:sdt>
        <w:sdt>
          <w:sdtPr>
            <w:rPr>
              <w:sz w:val="18"/>
              <w:szCs w:val="18"/>
            </w:rPr>
            <w:tag w:val="_PLD_4518e0c6aeb241fe81b71295b70603c5"/>
            <w:id w:val="-908537034"/>
          </w:sdtPr>
          <w:sdtEndPr>
            <w:rPr>
              <w:sz w:val="18"/>
              <w:szCs w:val="18"/>
            </w:rPr>
          </w:sdtEndPr>
          <w:sdtContent>
            <w:tc>
              <w:tcPr>
                <w:tcW w:w="208" w:type="pct"/>
                <w:vAlign w:val="center"/>
              </w:tcPr>
              <w:p w14:paraId="7839493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受托管理人</w:t>
                </w:r>
              </w:p>
            </w:tc>
          </w:sdtContent>
        </w:sdt>
        <w:sdt>
          <w:sdtPr>
            <w:rPr>
              <w:sz w:val="18"/>
              <w:szCs w:val="18"/>
            </w:rPr>
            <w:tag w:val="_PLD_2b5f840745ff4e6fade269d44347ba29"/>
            <w:id w:val="882367033"/>
          </w:sdtPr>
          <w:sdtEndPr>
            <w:rPr>
              <w:sz w:val="18"/>
              <w:szCs w:val="18"/>
            </w:rPr>
          </w:sdtEndPr>
          <w:sdtContent>
            <w:tc>
              <w:tcPr>
                <w:tcW w:w="725" w:type="pct"/>
                <w:vAlign w:val="center"/>
              </w:tcPr>
              <w:p w14:paraId="0C659A8E">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投资者适当性安排（如有）</w:t>
                </w:r>
              </w:p>
            </w:tc>
          </w:sdtContent>
        </w:sdt>
        <w:tc>
          <w:tcPr>
            <w:tcW w:w="303" w:type="pct"/>
            <w:vAlign w:val="center"/>
          </w:tcPr>
          <w:sdt>
            <w:sdtPr>
              <w:rPr>
                <w:sz w:val="18"/>
                <w:szCs w:val="18"/>
              </w:rPr>
              <w:tag w:val="_PLD_02d29026295c4cbc93c2501c0d82e582"/>
              <w:id w:val="788853225"/>
            </w:sdtPr>
            <w:sdtEndPr>
              <w:rPr>
                <w:sz w:val="18"/>
                <w:szCs w:val="18"/>
              </w:rPr>
            </w:sdtEndPr>
            <w:sdtContent>
              <w:p w14:paraId="189F673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交易机制</w:t>
                </w:r>
              </w:p>
            </w:sdtContent>
          </w:sdt>
        </w:tc>
        <w:sdt>
          <w:sdtPr>
            <w:rPr>
              <w:sz w:val="18"/>
              <w:szCs w:val="18"/>
            </w:rPr>
            <w:tag w:val="_PLD_537d595e1283406a968193650e8334f1"/>
            <w:id w:val="-241186784"/>
          </w:sdtPr>
          <w:sdtEndPr>
            <w:rPr>
              <w:sz w:val="18"/>
              <w:szCs w:val="18"/>
            </w:rPr>
          </w:sdtEndPr>
          <w:sdtContent>
            <w:tc>
              <w:tcPr>
                <w:tcW w:w="301" w:type="pct"/>
                <w:vAlign w:val="center"/>
              </w:tcPr>
              <w:p w14:paraId="71A1891D">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是否存在终止上市交易的风险</w:t>
                </w:r>
              </w:p>
            </w:tc>
          </w:sdtContent>
        </w:sdt>
      </w:tr>
      <w:sdt>
        <w:sdtPr>
          <w:rPr>
            <w:rFonts w:hint="eastAsia"/>
            <w:color w:val="000000" w:themeColor="text1"/>
            <w:sz w:val="18"/>
            <w:szCs w:val="18"/>
            <w14:textFill>
              <w14:solidFill>
                <w14:schemeClr w14:val="tx1"/>
              </w14:solidFill>
            </w14:textFill>
          </w:rPr>
          <w:alias w:val="公司债券基本情况明细"/>
          <w:tag w:val="_TUP_f9a2be8b4d794140bf70d041ece6adeb"/>
          <w:id w:val="-2111567387"/>
          <w:placeholder>
            <w:docPart w:val="{1e954a86-87fb-4bed-80e0-8ce8c7a1a6d1}"/>
          </w:placeholder>
        </w:sdtPr>
        <w:sdtEndPr>
          <w:rPr>
            <w:rFonts w:hint="eastAsia"/>
            <w:color w:val="000000" w:themeColor="text1"/>
            <w:sz w:val="18"/>
            <w:szCs w:val="18"/>
            <w14:textFill>
              <w14:solidFill>
                <w14:schemeClr w14:val="tx1"/>
              </w14:solidFill>
            </w14:textFill>
          </w:rPr>
        </w:sdtEndPr>
        <w:sdtContent>
          <w:tr w14:paraId="58A1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596F6D07">
                <w:pPr>
                  <w:rPr>
                    <w:rFonts w:cs="Times New Roman"/>
                    <w:bCs w:val="0"/>
                    <w:sz w:val="18"/>
                    <w:szCs w:val="18"/>
                  </w:rPr>
                </w:pPr>
                <w:r>
                  <w:rPr>
                    <w:rFonts w:hint="eastAsia"/>
                    <w:sz w:val="18"/>
                    <w:szCs w:val="18"/>
                  </w:rPr>
                  <w:t>际华集团股份有限公司2020年公司债券（第一期）</w:t>
                </w:r>
              </w:p>
            </w:tc>
            <w:tc>
              <w:tcPr>
                <w:tcW w:w="211" w:type="pct"/>
                <w:vAlign w:val="center"/>
              </w:tcPr>
              <w:p w14:paraId="66B8213B">
                <w:pPr>
                  <w:rPr>
                    <w:rFonts w:cs="Times New Roman"/>
                    <w:bCs w:val="0"/>
                    <w:sz w:val="18"/>
                    <w:szCs w:val="18"/>
                  </w:rPr>
                </w:pPr>
                <w:r>
                  <w:rPr>
                    <w:rFonts w:hint="eastAsia"/>
                    <w:sz w:val="18"/>
                    <w:szCs w:val="18"/>
                  </w:rPr>
                  <w:t>20际华01</w:t>
                </w:r>
              </w:p>
            </w:tc>
            <w:tc>
              <w:tcPr>
                <w:tcW w:w="276" w:type="pct"/>
                <w:vAlign w:val="center"/>
              </w:tcPr>
              <w:p w14:paraId="6AA24A81">
                <w:pPr>
                  <w:jc w:val="center"/>
                  <w:rPr>
                    <w:rFonts w:cs="Times New Roman"/>
                    <w:bCs w:val="0"/>
                    <w:sz w:val="18"/>
                    <w:szCs w:val="18"/>
                  </w:rPr>
                </w:pPr>
                <w:r>
                  <w:rPr>
                    <w:rFonts w:hint="eastAsia"/>
                    <w:sz w:val="18"/>
                    <w:szCs w:val="18"/>
                  </w:rPr>
                  <w:t>163574</w:t>
                </w:r>
              </w:p>
            </w:tc>
            <w:tc>
              <w:tcPr>
                <w:tcW w:w="361" w:type="pct"/>
                <w:vAlign w:val="center"/>
              </w:tcPr>
              <w:p w14:paraId="249EA84E">
                <w:pPr>
                  <w:jc w:val="center"/>
                  <w:rPr>
                    <w:rFonts w:cs="Times New Roman"/>
                    <w:bCs w:val="0"/>
                    <w:sz w:val="18"/>
                    <w:szCs w:val="18"/>
                  </w:rPr>
                </w:pPr>
                <w:r>
                  <w:rPr>
                    <w:rFonts w:hint="eastAsia"/>
                    <w:sz w:val="18"/>
                    <w:szCs w:val="18"/>
                  </w:rPr>
                  <w:t>2020/6/15</w:t>
                </w:r>
              </w:p>
            </w:tc>
            <w:tc>
              <w:tcPr>
                <w:tcW w:w="340" w:type="pct"/>
                <w:vAlign w:val="center"/>
              </w:tcPr>
              <w:p w14:paraId="2015A653">
                <w:pPr>
                  <w:jc w:val="center"/>
                  <w:rPr>
                    <w:sz w:val="18"/>
                    <w:szCs w:val="18"/>
                  </w:rPr>
                </w:pPr>
                <w:r>
                  <w:rPr>
                    <w:rFonts w:hint="eastAsia"/>
                    <w:sz w:val="18"/>
                    <w:szCs w:val="18"/>
                  </w:rPr>
                  <w:t>2020/6/15</w:t>
                </w:r>
              </w:p>
            </w:tc>
            <w:tc>
              <w:tcPr>
                <w:tcW w:w="217" w:type="pct"/>
                <w:vAlign w:val="center"/>
              </w:tcPr>
              <w:p w14:paraId="176ACC7C">
                <w:pPr>
                  <w:jc w:val="center"/>
                  <w:rPr>
                    <w:sz w:val="18"/>
                    <w:szCs w:val="18"/>
                  </w:rPr>
                </w:pPr>
                <w:r>
                  <w:rPr>
                    <w:rFonts w:hint="eastAsia"/>
                    <w:sz w:val="18"/>
                    <w:szCs w:val="18"/>
                  </w:rPr>
                  <w:t>/</w:t>
                </w:r>
              </w:p>
            </w:tc>
            <w:tc>
              <w:tcPr>
                <w:tcW w:w="353" w:type="pct"/>
                <w:vAlign w:val="center"/>
              </w:tcPr>
              <w:p w14:paraId="573953D8">
                <w:pPr>
                  <w:rPr>
                    <w:rFonts w:cs="Times New Roman"/>
                    <w:bCs w:val="0"/>
                    <w:sz w:val="18"/>
                    <w:szCs w:val="18"/>
                  </w:rPr>
                </w:pPr>
                <w:r>
                  <w:rPr>
                    <w:rFonts w:hint="eastAsia"/>
                    <w:sz w:val="18"/>
                    <w:szCs w:val="18"/>
                  </w:rPr>
                  <w:t>2025/6/15</w:t>
                </w:r>
              </w:p>
            </w:tc>
            <w:tc>
              <w:tcPr>
                <w:tcW w:w="195" w:type="pct"/>
                <w:vAlign w:val="center"/>
              </w:tcPr>
              <w:p w14:paraId="47742A87">
                <w:pPr>
                  <w:jc w:val="center"/>
                  <w:rPr>
                    <w:sz w:val="18"/>
                    <w:szCs w:val="18"/>
                  </w:rPr>
                </w:pPr>
                <w:r>
                  <w:rPr>
                    <w:rFonts w:hint="eastAsia"/>
                    <w:sz w:val="18"/>
                    <w:szCs w:val="18"/>
                  </w:rPr>
                  <w:t>/</w:t>
                </w:r>
              </w:p>
            </w:tc>
            <w:tc>
              <w:tcPr>
                <w:tcW w:w="234" w:type="pct"/>
                <w:vAlign w:val="center"/>
              </w:tcPr>
              <w:p w14:paraId="18333B40">
                <w:pPr>
                  <w:jc w:val="right"/>
                  <w:rPr>
                    <w:sz w:val="18"/>
                    <w:szCs w:val="18"/>
                  </w:rPr>
                </w:pPr>
                <w:r>
                  <w:rPr>
                    <w:rFonts w:hint="eastAsia"/>
                    <w:sz w:val="18"/>
                    <w:szCs w:val="18"/>
                  </w:rPr>
                  <w:t>2.6</w:t>
                </w:r>
              </w:p>
            </w:tc>
            <w:tc>
              <w:tcPr>
                <w:tcW w:w="528" w:type="pct"/>
                <w:vAlign w:val="center"/>
              </w:tcPr>
              <w:p w14:paraId="523699BE">
                <w:pPr>
                  <w:jc w:val="both"/>
                  <w:rPr>
                    <w:rFonts w:cs="Times New Roman"/>
                    <w:bCs w:val="0"/>
                    <w:sz w:val="18"/>
                    <w:szCs w:val="18"/>
                  </w:rPr>
                </w:pPr>
                <w:r>
                  <w:rPr>
                    <w:rFonts w:hint="eastAsia"/>
                    <w:sz w:val="18"/>
                    <w:szCs w:val="18"/>
                  </w:rPr>
                  <w:t>本期债券采用单利按年计息，不计复利，每年付息一次，最后一期利息随本金的兑付一起支付。</w:t>
                </w:r>
              </w:p>
            </w:tc>
            <w:tc>
              <w:tcPr>
                <w:tcW w:w="221" w:type="pct"/>
                <w:vAlign w:val="center"/>
              </w:tcPr>
              <w:p w14:paraId="7E07D184">
                <w:pPr>
                  <w:jc w:val="both"/>
                  <w:rPr>
                    <w:rFonts w:cs="Times New Roman"/>
                    <w:bCs w:val="0"/>
                    <w:sz w:val="18"/>
                    <w:szCs w:val="18"/>
                  </w:rPr>
                </w:pPr>
                <w:r>
                  <w:rPr>
                    <w:rFonts w:hint="eastAsia"/>
                    <w:sz w:val="18"/>
                    <w:szCs w:val="18"/>
                  </w:rPr>
                  <w:t>上海证券交易所</w:t>
                </w:r>
              </w:p>
            </w:tc>
            <w:tc>
              <w:tcPr>
                <w:tcW w:w="217" w:type="pct"/>
                <w:vAlign w:val="center"/>
              </w:tcPr>
              <w:p w14:paraId="4317E3EE">
                <w:pPr>
                  <w:jc w:val="both"/>
                  <w:rPr>
                    <w:sz w:val="18"/>
                    <w:szCs w:val="18"/>
                  </w:rPr>
                </w:pPr>
                <w:r>
                  <w:rPr>
                    <w:rFonts w:hint="eastAsia"/>
                    <w:sz w:val="18"/>
                    <w:szCs w:val="18"/>
                  </w:rPr>
                  <w:t>瑞银证券有限责任公司</w:t>
                </w:r>
              </w:p>
            </w:tc>
            <w:tc>
              <w:tcPr>
                <w:tcW w:w="208" w:type="pct"/>
                <w:vAlign w:val="center"/>
              </w:tcPr>
              <w:p w14:paraId="49468B91">
                <w:pPr>
                  <w:jc w:val="both"/>
                  <w:rPr>
                    <w:sz w:val="18"/>
                    <w:szCs w:val="18"/>
                  </w:rPr>
                </w:pPr>
                <w:r>
                  <w:rPr>
                    <w:rFonts w:hint="eastAsia"/>
                    <w:sz w:val="18"/>
                    <w:szCs w:val="18"/>
                  </w:rPr>
                  <w:t>瑞银证券有限责任公司</w:t>
                </w:r>
              </w:p>
            </w:tc>
            <w:tc>
              <w:tcPr>
                <w:tcW w:w="725" w:type="pct"/>
                <w:vAlign w:val="center"/>
              </w:tcPr>
              <w:p w14:paraId="55908C2C">
                <w:pPr>
                  <w:jc w:val="center"/>
                  <w:rPr>
                    <w:sz w:val="18"/>
                    <w:szCs w:val="18"/>
                  </w:rPr>
                </w:pPr>
                <w:r>
                  <w:rPr>
                    <w:rFonts w:hint="eastAsia"/>
                    <w:sz w:val="18"/>
                    <w:szCs w:val="18"/>
                  </w:rPr>
                  <w:t>本期债券发行对象为符合《公司债券发行与交易管理办法》、《上海证券交易所债券市场投资者适当性管理办法》等相关规定并在债券登记机构开立合格证券账户的合格投资者（法律、法规禁止购买者除外）</w:t>
                </w:r>
              </w:p>
            </w:tc>
            <w:tc>
              <w:tcPr>
                <w:tcW w:w="303" w:type="pct"/>
                <w:vAlign w:val="center"/>
              </w:tcPr>
              <w:p w14:paraId="02883AB3">
                <w:pPr>
                  <w:jc w:val="center"/>
                  <w:rPr>
                    <w:sz w:val="18"/>
                    <w:szCs w:val="18"/>
                  </w:rPr>
                </w:pPr>
                <w:r>
                  <w:rPr>
                    <w:rFonts w:hint="eastAsia"/>
                    <w:sz w:val="18"/>
                    <w:szCs w:val="18"/>
                  </w:rPr>
                  <w:t>匹配成交、点击成交、询价成交、竞买成交和协商成交</w:t>
                </w:r>
              </w:p>
            </w:tc>
            <w:sdt>
              <w:sdtPr>
                <w:rPr>
                  <w:color w:val="000000" w:themeColor="text1"/>
                  <w:sz w:val="18"/>
                  <w:szCs w:val="18"/>
                  <w14:textFill>
                    <w14:solidFill>
                      <w14:schemeClr w14:val="tx1"/>
                    </w14:solidFill>
                  </w14:textFill>
                </w:rPr>
                <w:alias w:val="公司债券基本情况明细_是否存在终止上市交易的风险 "/>
                <w:tag w:val="_GBC_02667000c78f476fba73f0964c9865b3"/>
                <w:id w:val="-568422788"/>
                <w:comboBox>
                  <w:listItem w:displayText="是" w:value="是"/>
                  <w:listItem w:displayText="否" w:value="否"/>
                </w:comboBox>
              </w:sdtPr>
              <w:sdtEndPr>
                <w:rPr>
                  <w:color w:val="000000" w:themeColor="text1"/>
                  <w:sz w:val="18"/>
                  <w:szCs w:val="18"/>
                  <w14:textFill>
                    <w14:solidFill>
                      <w14:schemeClr w14:val="tx1"/>
                    </w14:solidFill>
                  </w14:textFill>
                </w:rPr>
              </w:sdtEndPr>
              <w:sdtContent>
                <w:tc>
                  <w:tcPr>
                    <w:tcW w:w="301" w:type="pct"/>
                    <w:vAlign w:val="center"/>
                  </w:tcPr>
                  <w:p w14:paraId="2978091B">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否</w:t>
                    </w:r>
                  </w:p>
                </w:tc>
              </w:sdtContent>
            </w:sdt>
          </w:tr>
        </w:sdtContent>
      </w:sdt>
    </w:tbl>
    <w:p w14:paraId="701363C1">
      <w:pPr>
        <w:rPr>
          <w:color w:val="000000" w:themeColor="text1"/>
          <w14:textFill>
            <w14:solidFill>
              <w14:schemeClr w14:val="tx1"/>
            </w14:solidFill>
          </w14:textFill>
        </w:rPr>
      </w:pPr>
    </w:p>
    <w:p w14:paraId="3011E2BD">
      <w:pPr>
        <w:rPr>
          <w:color w:val="000000" w:themeColor="text1"/>
          <w14:textFill>
            <w14:solidFill>
              <w14:schemeClr w14:val="tx1"/>
            </w14:solidFill>
          </w14:textFill>
        </w:rPr>
      </w:pPr>
    </w:p>
    <w:p w14:paraId="4AE94B9C">
      <w:pPr>
        <w:rPr>
          <w:color w:val="000000" w:themeColor="text1"/>
          <w14:textFill>
            <w14:solidFill>
              <w14:schemeClr w14:val="tx1"/>
            </w14:solidFill>
          </w14:textFill>
        </w:rPr>
      </w:pPr>
    </w:p>
    <w:p w14:paraId="2C314A82">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公司对债券终止上市交易风险的应对措施</w:t>
      </w:r>
    </w:p>
    <w:sdt>
      <w:sdtPr>
        <w:rPr>
          <w:rFonts w:cs="Times New Roman"/>
          <w:bCs w:val="0"/>
          <w:color w:val="000000" w:themeColor="text1"/>
          <w:kern w:val="2"/>
          <w14:textFill>
            <w14:solidFill>
              <w14:schemeClr w14:val="tx1"/>
            </w14:solidFill>
          </w14:textFill>
        </w:rPr>
        <w:alias w:val="是否适用：公司对债券终止上市交易风险的应对措施 [双击切换]"/>
        <w:tag w:val="_GBC_fa1265d9d8f2402a80462c3b9ee0681e"/>
        <w:id w:val="147452280"/>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21A5D81E">
          <w:pPr>
            <w:rPr>
              <w:color w:val="000000" w:themeColor="text1"/>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5D545F15">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2070AC80">
      <w:pPr>
        <w:rPr>
          <w:color w:val="000000" w:themeColor="text1"/>
          <w14:textFill>
            <w14:solidFill>
              <w14:schemeClr w14:val="tx1"/>
            </w14:solidFill>
          </w14:textFill>
        </w:rPr>
      </w:pPr>
    </w:p>
    <w:p w14:paraId="632EF9FD">
      <w:pPr>
        <w:pStyle w:val="58"/>
        <w:numPr>
          <w:ilvl w:val="0"/>
          <w:numId w:val="37"/>
        </w:numPr>
        <w:rPr>
          <w:rFonts w:ascii="宋体" w:hAnsi="宋体"/>
          <w:color w:val="000000" w:themeColor="text1"/>
          <w14:textFill>
            <w14:solidFill>
              <w14:schemeClr w14:val="tx1"/>
            </w14:solidFill>
          </w14:textFill>
        </w:rPr>
      </w:pPr>
      <w:bookmarkStart w:id="119" w:name="_Hlk41317963"/>
      <w:r>
        <w:rPr>
          <w:rFonts w:hint="eastAsia" w:ascii="宋体" w:hAnsi="宋体"/>
          <w:color w:val="000000" w:themeColor="text1"/>
          <w14:textFill>
            <w14:solidFill>
              <w14:schemeClr w14:val="tx1"/>
            </w14:solidFill>
          </w14:textFill>
        </w:rPr>
        <w:t>公司或投资者选择权条款、投资者保护条款的触发和执行情况</w:t>
      </w:r>
    </w:p>
    <w:sdt>
      <w:sdtPr>
        <w:rPr>
          <w:rFonts w:cs="Times New Roman"/>
          <w:bCs w:val="0"/>
          <w:color w:val="000000" w:themeColor="text1"/>
          <w:kern w:val="2"/>
          <w14:textFill>
            <w14:solidFill>
              <w14:schemeClr w14:val="tx1"/>
            </w14:solidFill>
          </w14:textFill>
        </w:rPr>
        <w:alias w:val="是否适用：发行人或投资者选择权条款、投资者保护条款的触发和执行情况[双击切换]"/>
        <w:tag w:val="_GBC_185e6a8631e94bd5ac84f901f842a806"/>
        <w:id w:val="147480366"/>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1407D654">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0D61D495">
      <w:pPr>
        <w:rPr>
          <w:rFonts w:cs="Times New Roman"/>
          <w:bCs w:val="0"/>
          <w:color w:val="000000" w:themeColor="text1"/>
          <w:kern w:val="2"/>
          <w14:textFill>
            <w14:solidFill>
              <w14:schemeClr w14:val="tx1"/>
            </w14:solidFill>
          </w14:textFill>
        </w:rPr>
      </w:pPr>
    </w:p>
    <w:bookmarkEnd w:id="119"/>
    <w:p w14:paraId="05813DB0">
      <w:pPr>
        <w:pStyle w:val="58"/>
        <w:numPr>
          <w:ilvl w:val="0"/>
          <w:numId w:val="37"/>
        </w:numPr>
        <w:rPr>
          <w:rFonts w:ascii="宋体" w:hAnsi="宋体"/>
          <w:color w:val="000000" w:themeColor="text1"/>
          <w14:textFill>
            <w14:solidFill>
              <w14:schemeClr w14:val="tx1"/>
            </w14:solidFill>
          </w14:textFill>
        </w:rPr>
      </w:pPr>
      <w:bookmarkStart w:id="120" w:name="_Hlk200358802"/>
      <w:bookmarkStart w:id="121" w:name="_Hlk105685913"/>
      <w:bookmarkStart w:id="122" w:name="_Hlk105762728"/>
      <w:r>
        <w:rPr>
          <w:rFonts w:hint="eastAsia" w:ascii="宋体" w:hAnsi="宋体"/>
          <w:color w:val="000000" w:themeColor="text1"/>
          <w14:textFill>
            <w14:solidFill>
              <w14:schemeClr w14:val="tx1"/>
            </w14:solidFill>
          </w14:textFill>
        </w:rPr>
        <w:t>信用评级结果调整情况</w:t>
      </w:r>
    </w:p>
    <w:sdt>
      <w:sdtPr>
        <w:rPr>
          <w:rFonts w:hint="eastAsia" w:cs="Times New Roman"/>
          <w:bCs w:val="0"/>
          <w:color w:val="000000" w:themeColor="text1"/>
          <w:kern w:val="2"/>
          <w14:textFill>
            <w14:solidFill>
              <w14:schemeClr w14:val="tx1"/>
            </w14:solidFill>
          </w14:textFill>
        </w:rPr>
        <w:alias w:val="是否适用：公司债券评级情况[双击切换]"/>
        <w:tag w:val="_GBC_964e49aa0366415fa055308c9faddb13"/>
        <w:id w:val="147460686"/>
        <w:placeholder>
          <w:docPart w:val="GBC22222222222222222222222222222"/>
        </w:placeholder>
      </w:sdtPr>
      <w:sdtEndPr>
        <w:rPr>
          <w:rFonts w:hint="eastAsia" w:cs="Times New Roman"/>
          <w:bCs w:val="0"/>
          <w:color w:val="000000" w:themeColor="text1"/>
          <w:kern w:val="2"/>
          <w14:textFill>
            <w14:solidFill>
              <w14:schemeClr w14:val="tx1"/>
            </w14:solidFill>
          </w14:textFill>
        </w:rPr>
      </w:sdtEndPr>
      <w:sdtContent>
        <w:p w14:paraId="7A6C1E4C">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17C508C6">
      <w:pPr>
        <w:rPr>
          <w:rFonts w:cs="Times New Roman"/>
          <w:bCs w:val="0"/>
          <w:color w:val="000000" w:themeColor="text1"/>
          <w:kern w:val="2"/>
          <w14:textFill>
            <w14:solidFill>
              <w14:schemeClr w14:val="tx1"/>
            </w14:solidFill>
          </w14:textFill>
        </w:rPr>
      </w:pPr>
    </w:p>
    <w:bookmarkEnd w:id="120"/>
    <w:bookmarkEnd w:id="121"/>
    <w:p w14:paraId="1B9205E8">
      <w:pPr>
        <w:adjustRightInd w:val="0"/>
        <w:snapToGrid w:val="0"/>
        <w:rPr>
          <w:rFonts w:hAnsi="Arial" w:cs="Times New Roman"/>
          <w:bCs w:val="0"/>
          <w:color w:val="000000" w:themeColor="text1"/>
          <w:kern w:val="2"/>
          <w14:textFill>
            <w14:solidFill>
              <w14:schemeClr w14:val="tx1"/>
            </w14:solidFill>
          </w14:textFill>
        </w:rPr>
      </w:pPr>
      <w:bookmarkStart w:id="123" w:name="_Hlk105685972"/>
      <w:r>
        <w:rPr>
          <w:rFonts w:hint="eastAsia" w:ascii="Arial" w:hAnsi="Arial" w:cs="Times New Roman"/>
          <w:color w:val="000000" w:themeColor="text1"/>
          <w:kern w:val="2"/>
          <w14:textFill>
            <w14:solidFill>
              <w14:schemeClr w14:val="tx1"/>
            </w14:solidFill>
          </w14:textFill>
        </w:rPr>
        <w:t>其他说明</w:t>
      </w:r>
    </w:p>
    <w:sdt>
      <w:sdtPr>
        <w:rPr>
          <w:rFonts w:cs="Times New Roman"/>
          <w:bCs w:val="0"/>
          <w:color w:val="000000" w:themeColor="text1"/>
          <w:kern w:val="2"/>
          <w14:textFill>
            <w14:solidFill>
              <w14:schemeClr w14:val="tx1"/>
            </w14:solidFill>
          </w14:textFill>
        </w:rPr>
        <w:alias w:val="信用评级结果调整情况其他说明"/>
        <w:tag w:val="_GBC_8374c35808984d628ccf92147840f4dc"/>
        <w:id w:val="147469116"/>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2BB5CB4A">
          <w:pPr>
            <w:rPr>
              <w:rFonts w:cs="Times New Roman"/>
              <w:bCs w:val="0"/>
              <w:color w:val="000000" w:themeColor="text1"/>
              <w:kern w:val="2"/>
              <w14:textFill>
                <w14:solidFill>
                  <w14:schemeClr w14:val="tx1"/>
                </w14:solidFill>
              </w14:textFill>
            </w:rPr>
          </w:pPr>
          <w:r>
            <w:rPr>
              <w:rFonts w:hint="eastAsia" w:cs="Times New Roman"/>
              <w:bCs w:val="0"/>
              <w:color w:val="000000" w:themeColor="text1"/>
              <w:kern w:val="2"/>
              <w14:textFill>
                <w14:solidFill>
                  <w14:schemeClr w14:val="tx1"/>
                </w14:solidFill>
              </w14:textFill>
            </w:rPr>
            <w:t>无</w:t>
          </w:r>
        </w:p>
      </w:sdtContent>
    </w:sdt>
    <w:p w14:paraId="73BC518B">
      <w:pPr>
        <w:rPr>
          <w:rFonts w:cs="Times New Roman"/>
          <w:b/>
          <w:bCs w:val="0"/>
          <w:color w:val="000000" w:themeColor="text1"/>
          <w:kern w:val="2"/>
          <w14:textFill>
            <w14:solidFill>
              <w14:schemeClr w14:val="tx1"/>
            </w14:solidFill>
          </w14:textFill>
        </w:rPr>
      </w:pPr>
    </w:p>
    <w:bookmarkEnd w:id="123"/>
    <w:p w14:paraId="13CC5CCD">
      <w:pPr>
        <w:pStyle w:val="58"/>
        <w:numPr>
          <w:ilvl w:val="0"/>
          <w:numId w:val="37"/>
        </w:numPr>
        <w:rPr>
          <w:rFonts w:ascii="宋体" w:hAnsi="宋体"/>
          <w:color w:val="000000" w:themeColor="text1"/>
          <w14:textFill>
            <w14:solidFill>
              <w14:schemeClr w14:val="tx1"/>
            </w14:solidFill>
          </w14:textFill>
        </w:rPr>
      </w:pPr>
      <w:bookmarkStart w:id="124" w:name="_Hlk105686033"/>
      <w:r>
        <w:rPr>
          <w:rFonts w:hint="eastAsia" w:ascii="宋体" w:hAnsi="宋体"/>
          <w:color w:val="000000" w:themeColor="text1"/>
          <w14:textFill>
            <w14:solidFill>
              <w14:schemeClr w14:val="tx1"/>
            </w14:solidFill>
          </w14:textFill>
        </w:rPr>
        <w:t>担保情况、偿债计划及其他偿债保障措施在报告期内的执行和变化情况及其影响</w:t>
      </w:r>
    </w:p>
    <w:sdt>
      <w:sdtPr>
        <w:rPr>
          <w:rFonts w:cs="Times New Roman"/>
          <w:bCs w:val="0"/>
          <w:color w:val="000000" w:themeColor="text1"/>
          <w:kern w:val="2"/>
          <w14:textFill>
            <w14:solidFill>
              <w14:schemeClr w14:val="tx1"/>
            </w14:solidFill>
          </w14:textFill>
        </w:rPr>
        <w:alias w:val="是否适用：担保情况、偿债计划及其他偿债保障措施在报告期内的执行情况和变化情况及对债券投资者权益的影响[双击切换]"/>
        <w:tag w:val="_GBC_ad1e9e8b0cdb4fc6835d46e0c897eb78"/>
        <w:id w:val="147477591"/>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69AA6469">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762CFDD9">
      <w:pPr>
        <w:rPr>
          <w:rFonts w:cs="Times New Roman"/>
          <w:bCs w:val="0"/>
          <w:color w:val="000000" w:themeColor="text1"/>
          <w:kern w:val="2"/>
          <w14:textFill>
            <w14:solidFill>
              <w14:schemeClr w14:val="tx1"/>
            </w14:solidFill>
          </w14:textFill>
        </w:rPr>
      </w:pPr>
    </w:p>
    <w:bookmarkEnd w:id="124"/>
    <w:p w14:paraId="20D2C314">
      <w:pPr>
        <w:pStyle w:val="57"/>
        <w:numPr>
          <w:ilvl w:val="0"/>
          <w:numId w:val="36"/>
        </w:numPr>
        <w:rPr>
          <w:rFonts w:ascii="宋体" w:hAnsi="宋体"/>
          <w:color w:val="000000" w:themeColor="text1"/>
          <w14:textFill>
            <w14:solidFill>
              <w14:schemeClr w14:val="tx1"/>
            </w14:solidFill>
          </w14:textFill>
        </w:rPr>
      </w:pPr>
      <w:bookmarkStart w:id="125" w:name="_Hlk200456483"/>
      <w:r>
        <w:rPr>
          <w:rFonts w:hint="eastAsia" w:ascii="宋体" w:hAnsi="宋体"/>
          <w:color w:val="000000" w:themeColor="text1"/>
          <w14:textFill>
            <w14:solidFill>
              <w14:schemeClr w14:val="tx1"/>
            </w14:solidFill>
          </w14:textFill>
        </w:rPr>
        <w:t>公司债券募集资金情况</w:t>
      </w:r>
    </w:p>
    <w:sdt>
      <w:sdtPr>
        <w:rPr>
          <w:bCs w:val="0"/>
          <w:color w:val="000000" w:themeColor="text1"/>
          <w14:textFill>
            <w14:solidFill>
              <w14:schemeClr w14:val="tx1"/>
            </w14:solidFill>
          </w14:textFill>
        </w:rPr>
        <w:alias w:val="是否：在报告期内使用募集资金"/>
        <w:tag w:val="_GBC_a9fc2a22a6aa4f7bb7f1d88774b6e37e"/>
        <w:id w:val="147459303"/>
        <w:placeholder>
          <w:docPart w:val="GBC22222222222222222222222222222"/>
        </w:placeholder>
      </w:sdtPr>
      <w:sdtEndPr>
        <w:rPr>
          <w:b/>
          <w:bCs w:val="0"/>
          <w:color w:val="000000" w:themeColor="text1"/>
          <w14:textFill>
            <w14:solidFill>
              <w14:schemeClr w14:val="tx1"/>
            </w14:solidFill>
          </w14:textFill>
        </w:rPr>
      </w:sdtEndPr>
      <w:sdtContent>
        <w:p w14:paraId="77B0BF26">
          <w:pPr>
            <w:kinsoku w:val="0"/>
            <w:overflowPunct w:val="0"/>
            <w:rPr>
              <w:b/>
              <w:bCs w:val="0"/>
              <w:color w:val="000000" w:themeColor="text1"/>
              <w14:textFill>
                <w14:solidFill>
                  <w14:schemeClr w14:val="tx1"/>
                </w14:solidFill>
              </w14:textFill>
            </w:rPr>
          </w:pPr>
          <w:r>
            <w:rPr>
              <w:rFonts w:asciiTheme="majorEastAsia" w:hAnsiTheme="majorEastAsia" w:eastAsiaTheme="majorEastAsia"/>
              <w:bCs w:val="0"/>
              <w:color w:val="000000" w:themeColor="text1"/>
              <w14:textFill>
                <w14:solidFill>
                  <w14:schemeClr w14:val="tx1"/>
                </w14:solidFill>
              </w14:textFill>
            </w:rPr>
            <w:fldChar w:fldCharType="begin"/>
          </w:r>
          <w:r>
            <w:rPr>
              <w:rFonts w:hint="eastAsia" w:asciiTheme="majorEastAsia" w:hAnsiTheme="majorEastAsia" w:eastAsiaTheme="majorEastAsia"/>
              <w:bCs w:val="0"/>
              <w:color w:val="000000" w:themeColor="text1"/>
              <w14:textFill>
                <w14:solidFill>
                  <w14:schemeClr w14:val="tx1"/>
                </w14:solidFill>
              </w14:textFill>
            </w:rPr>
            <w:instrText xml:space="preserve"> MACROBUTTON  SnrToggleCheckbox □公司债券在报告期内涉及募集资金使用或者整改 </w:instrText>
          </w:r>
          <w:r>
            <w:rPr>
              <w:rFonts w:asciiTheme="majorEastAsia" w:hAnsiTheme="majorEastAsia" w:eastAsiaTheme="majorEastAsia"/>
              <w:bCs w:val="0"/>
              <w:color w:val="000000" w:themeColor="text1"/>
              <w14:textFill>
                <w14:solidFill>
                  <w14:schemeClr w14:val="tx1"/>
                </w14:solidFill>
              </w14:textFill>
            </w:rPr>
            <w:fldChar w:fldCharType="end"/>
          </w:r>
          <w:r>
            <w:rPr>
              <w:rFonts w:asciiTheme="majorEastAsia" w:hAnsiTheme="majorEastAsia" w:eastAsiaTheme="majorEastAsia"/>
              <w:bCs w:val="0"/>
              <w:color w:val="000000" w:themeColor="text1"/>
              <w14:textFill>
                <w14:solidFill>
                  <w14:schemeClr w14:val="tx1"/>
                </w14:solidFill>
              </w14:textFill>
            </w:rPr>
            <w:fldChar w:fldCharType="begin"/>
          </w:r>
          <w:r>
            <w:rPr>
              <w:rFonts w:hint="eastAsia" w:asciiTheme="majorEastAsia" w:hAnsiTheme="majorEastAsia" w:eastAsiaTheme="majorEastAsia"/>
              <w:bCs w:val="0"/>
              <w:color w:val="000000" w:themeColor="text1"/>
              <w14:textFill>
                <w14:solidFill>
                  <w14:schemeClr w14:val="tx1"/>
                </w14:solidFill>
              </w14:textFill>
            </w:rPr>
            <w:instrText xml:space="preserve"> MACROBUTTON  SnrToggleCheckbox √本公司所有公司债券在报告期内均不涉及募集资金使用或者整改 </w:instrText>
          </w:r>
          <w:r>
            <w:rPr>
              <w:rFonts w:asciiTheme="majorEastAsia" w:hAnsiTheme="majorEastAsia" w:eastAsiaTheme="majorEastAsia"/>
              <w:bCs w:val="0"/>
              <w:color w:val="000000" w:themeColor="text1"/>
              <w14:textFill>
                <w14:solidFill>
                  <w14:schemeClr w14:val="tx1"/>
                </w14:solidFill>
              </w14:textFill>
            </w:rPr>
            <w:fldChar w:fldCharType="end"/>
          </w:r>
        </w:p>
      </w:sdtContent>
    </w:sdt>
    <w:p w14:paraId="0496623B">
      <w:pPr>
        <w:kinsoku w:val="0"/>
        <w:overflowPunct w:val="0"/>
        <w:rPr>
          <w:b/>
          <w:bCs w:val="0"/>
          <w:color w:val="000000" w:themeColor="text1"/>
          <w14:textFill>
            <w14:solidFill>
              <w14:schemeClr w14:val="tx1"/>
            </w14:solidFill>
          </w14:textFill>
        </w:rPr>
      </w:pPr>
    </w:p>
    <w:bookmarkEnd w:id="125"/>
    <w:p w14:paraId="3CF361E8">
      <w:pPr>
        <w:pStyle w:val="57"/>
        <w:numPr>
          <w:ilvl w:val="0"/>
          <w:numId w:val="3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专项品种债券应当披露的其他事项</w:t>
      </w:r>
    </w:p>
    <w:p w14:paraId="7D1EE03F">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专项品种债券事项[双击切换]"/>
          <w:tag w:val="_GBC_8990cd09e94e41caa21161912e5ca382"/>
          <w:id w:val="147478752"/>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1BD7C2E8">
      <w:pPr>
        <w:kinsoku w:val="0"/>
        <w:overflowPunct w:val="0"/>
        <w:rPr>
          <w:color w:val="000000"/>
        </w:rPr>
      </w:pPr>
    </w:p>
    <w:bookmarkEnd w:id="122"/>
    <w:p w14:paraId="2B849EEB">
      <w:pPr>
        <w:pStyle w:val="57"/>
        <w:numPr>
          <w:ilvl w:val="0"/>
          <w:numId w:val="3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报告期内公司债券相关重要事项</w:t>
      </w:r>
    </w:p>
    <w:sdt>
      <w:sdtPr>
        <w:rPr>
          <w:color w:val="000000" w:themeColor="text1"/>
          <w14:textFill>
            <w14:solidFill>
              <w14:schemeClr w14:val="tx1"/>
            </w14:solidFill>
          </w14:textFill>
        </w:rPr>
        <w:alias w:val="是否适用：报告期内公司债券相关重要事项[双击切换]"/>
        <w:tag w:val="_GBC_b5c1f1bb171d41db987ae555bddecbbd"/>
        <w:id w:val="147453960"/>
        <w:lock w:val="contentLocked"/>
        <w:placeholder>
          <w:docPart w:val="GBC22222222222222222222222222222"/>
        </w:placeholder>
      </w:sdtPr>
      <w:sdtEndPr>
        <w:rPr>
          <w:color w:val="000000" w:themeColor="text1"/>
          <w14:textFill>
            <w14:solidFill>
              <w14:schemeClr w14:val="tx1"/>
            </w14:solidFill>
          </w14:textFill>
        </w:rPr>
      </w:sdtEndPr>
      <w:sdtContent>
        <w:p w14:paraId="57360C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4396C36">
      <w:pPr>
        <w:kinsoku w:val="0"/>
        <w:overflowPunct w:val="0"/>
        <w:rPr>
          <w:color w:val="000000" w:themeColor="text1"/>
          <w14:textFill>
            <w14:solidFill>
              <w14:schemeClr w14:val="tx1"/>
            </w14:solidFill>
          </w14:textFill>
        </w:rPr>
      </w:pPr>
    </w:p>
    <w:p w14:paraId="198117E9">
      <w:pPr>
        <w:pStyle w:val="58"/>
        <w:numPr>
          <w:ilvl w:val="0"/>
          <w:numId w:val="38"/>
        </w:numPr>
        <w:rPr>
          <w:color w:val="000000" w:themeColor="text1"/>
          <w14:textFill>
            <w14:solidFill>
              <w14:schemeClr w14:val="tx1"/>
            </w14:solidFill>
          </w14:textFill>
        </w:rPr>
      </w:pPr>
      <w:bookmarkStart w:id="126" w:name="_Hlk169619094"/>
      <w:r>
        <w:rPr>
          <w:rFonts w:hint="eastAsia"/>
          <w:color w:val="000000" w:themeColor="text1"/>
          <w14:textFill>
            <w14:solidFill>
              <w14:schemeClr w14:val="tx1"/>
            </w14:solidFill>
          </w14:textFill>
        </w:rPr>
        <w:t>非经营性往来占款和资金拆借</w:t>
      </w:r>
    </w:p>
    <w:p w14:paraId="04E820F0">
      <w:pPr>
        <w:pStyle w:val="59"/>
        <w:numPr>
          <w:ilvl w:val="0"/>
          <w:numId w:val="39"/>
        </w:numPr>
        <w:rPr>
          <w:color w:val="000000" w:themeColor="text1"/>
          <w14:textFill>
            <w14:solidFill>
              <w14:schemeClr w14:val="tx1"/>
            </w14:solidFill>
          </w14:textFill>
        </w:rPr>
      </w:pPr>
      <w:r>
        <w:rPr>
          <w:rFonts w:hint="eastAsia"/>
          <w:color w:val="000000" w:themeColor="text1"/>
          <w14:textFill>
            <w14:solidFill>
              <w14:schemeClr w14:val="tx1"/>
            </w14:solidFill>
          </w14:textFill>
        </w:rPr>
        <w:t>非经营性往来占款和资金拆借余额</w:t>
      </w:r>
    </w:p>
    <w:p w14:paraId="37786692">
      <w:pPr>
        <w:pStyle w:val="60"/>
        <w:kinsoku w:val="0"/>
        <w:overflowPunct w:val="0"/>
        <w:spacing w:before="120" w:beforeLines="50" w:after="120" w:afterLines="5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报告期初，公司合并口径应收的非因生产经营直接产生的对其他方的往来占款和资金拆借（以下简称非经营性往来占款和资金拆借）余额：</w:t>
      </w:r>
      <w:sdt>
        <w:sdtPr>
          <w:rPr>
            <w:rFonts w:hint="eastAsia"/>
            <w:color w:val="000000" w:themeColor="text1"/>
            <w14:textFill>
              <w14:solidFill>
                <w14:schemeClr w14:val="tx1"/>
              </w14:solidFill>
            </w14:textFill>
          </w:rPr>
          <w:alias w:val="非经营性往来占款和资金拆借金额"/>
          <w:tag w:val="_GBC_bee19427389e4555b75ba410c9d16be7"/>
          <w:id w:val="147456933"/>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非经营性往来占款和资金拆借"/>
          <w:tag w:val="_GBC_f75a7c511cc74cf9a1f2dd0563598af8"/>
          <w:id w:val="147472492"/>
          <w:placeholder>
            <w:docPart w:val="GBC22222222222222222222222222222"/>
          </w:placeholder>
          <w:dataBinding w:prefixMappings="xmlns:bond='bond'" w:xpath="/*/bond:DanWeiFeiJingYingXingWangLaiZhanKuanHeZiJinChaiJi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lang w:eastAsia="zh-CN"/>
              <w14:textFill>
                <w14:solidFill>
                  <w14:schemeClr w14:val="tx1"/>
                </w14:solidFill>
              </w14:textFill>
            </w:rPr>
            <w:t>亿元</w:t>
          </w:r>
        </w:sdtContent>
      </w:sdt>
      <w:r>
        <w:rPr>
          <w:rFonts w:hint="eastAsia"/>
          <w:color w:val="000000" w:themeColor="text1"/>
          <w14:textFill>
            <w14:solidFill>
              <w14:schemeClr w14:val="tx1"/>
            </w14:solidFill>
          </w14:textFill>
        </w:rPr>
        <w:t>；</w:t>
      </w:r>
    </w:p>
    <w:p w14:paraId="301D2240">
      <w:pPr>
        <w:pStyle w:val="60"/>
        <w:kinsoku w:val="0"/>
        <w:overflowPunct w:val="0"/>
        <w:spacing w:before="120" w:beforeLines="50" w:after="120" w:afterLines="5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报告期内，非经营性往来占款或资金拆借情形是否存在违反募集说明书相关约定或承诺的情况</w:t>
      </w:r>
    </w:p>
    <w:sdt>
      <w:sdtPr>
        <w:rPr>
          <w:rFonts w:asciiTheme="minorEastAsia" w:hAnsiTheme="minorEastAsia" w:eastAsiaTheme="minorEastAsia"/>
          <w:color w:val="000000" w:themeColor="text1"/>
          <w14:textFill>
            <w14:solidFill>
              <w14:schemeClr w14:val="tx1"/>
            </w14:solidFill>
          </w14:textFill>
        </w:rPr>
        <w:alias w:val="非经营性往来占款或资金拆借情形是否存在违反募集说明书相关约定或承诺的情况[双击切换]"/>
        <w:tag w:val="_GBC_7302cd4d6be44bbcab134f00193c8454"/>
        <w:id w:val="147470177"/>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14:paraId="166DAEDD">
          <w:pPr>
            <w:rPr>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□是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√否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13286EFE">
      <w:pPr>
        <w:rPr>
          <w:color w:val="000000" w:themeColor="text1"/>
          <w14:textFill>
            <w14:solidFill>
              <w14:schemeClr w14:val="tx1"/>
            </w14:solidFill>
          </w14:textFill>
        </w:rPr>
      </w:pPr>
    </w:p>
    <w:p w14:paraId="1E013BBC">
      <w:pPr>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报告期末，未收回的非经营性往来占款和资金拆借合计：</w:t>
      </w:r>
      <w:sdt>
        <w:sdtPr>
          <w:rPr>
            <w:rFonts w:hint="eastAsia"/>
            <w:color w:val="000000" w:themeColor="text1"/>
            <w14:textFill>
              <w14:solidFill>
                <w14:schemeClr w14:val="tx1"/>
              </w14:solidFill>
            </w14:textFill>
          </w:rPr>
          <w:alias w:val="未回收的非经营性往来占款和资金拆借占款金额合计"/>
          <w:tag w:val="_GBC_3b72d6534263473ba1502e58f23ed40c"/>
          <w:id w:val="147470645"/>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非经营性往来占款和资金拆借"/>
          <w:tag w:val="_GBC_65e2c15e26634a0e8d47357f4c34b8e7"/>
          <w:id w:val="147452918"/>
          <w:placeholder>
            <w:docPart w:val="GBC22222222222222222222222222222"/>
          </w:placeholder>
          <w:dataBinding w:prefixMappings="xmlns:bond='bond'" w:xpath="/*/bond:DanWeiFeiJingYingXingWangLaiZhanKuanHeZiJinChaiJi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lang w:eastAsia="zh-CN"/>
              <w14:textFill>
                <w14:solidFill>
                  <w14:schemeClr w14:val="tx1"/>
                </w14:solidFill>
              </w14:textFill>
            </w:rPr>
            <w:t>亿元</w:t>
          </w:r>
        </w:sdtContent>
      </w:sdt>
    </w:p>
    <w:p w14:paraId="187A8D0F">
      <w:pPr>
        <w:rPr>
          <w:color w:val="000000" w:themeColor="text1"/>
          <w14:textFill>
            <w14:solidFill>
              <w14:schemeClr w14:val="tx1"/>
            </w14:solidFill>
          </w14:textFill>
        </w:rPr>
      </w:pPr>
    </w:p>
    <w:p w14:paraId="40B1A57A">
      <w:pPr>
        <w:pStyle w:val="59"/>
        <w:numPr>
          <w:ilvl w:val="0"/>
          <w:numId w:val="39"/>
        </w:numPr>
        <w:rPr>
          <w:color w:val="000000" w:themeColor="text1"/>
          <w14:textFill>
            <w14:solidFill>
              <w14:schemeClr w14:val="tx1"/>
            </w14:solidFill>
          </w14:textFill>
        </w:rPr>
      </w:pPr>
      <w:r>
        <w:rPr>
          <w:rFonts w:hint="eastAsia"/>
          <w:color w:val="000000" w:themeColor="text1"/>
          <w14:textFill>
            <w14:solidFill>
              <w14:schemeClr w14:val="tx1"/>
            </w14:solidFill>
          </w14:textFill>
        </w:rPr>
        <w:t>非经营性往来占款和资金拆借明细</w:t>
      </w:r>
    </w:p>
    <w:p w14:paraId="0B5B3A16">
      <w:pPr>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报告期末，公司合并口径未收回的非经营性往来占款和资金拆借占合并口径净资产的比例：</w:t>
      </w:r>
      <w:sdt>
        <w:sdtPr>
          <w:rPr>
            <w:rFonts w:hint="eastAsia"/>
            <w:color w:val="000000" w:themeColor="text1"/>
            <w14:textFill>
              <w14:solidFill>
                <w14:schemeClr w14:val="tx1"/>
              </w14:solidFill>
            </w14:textFill>
          </w:rPr>
          <w:alias w:val="报告期末非经营性往来占款和资金拆借合计占净资产的比例"/>
          <w:tag w:val="_GBC_a35edbb6aef648bd990d7e323162cba2"/>
          <w:id w:val="147482123"/>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w:t>
      </w:r>
    </w:p>
    <w:p w14:paraId="23D30FD4">
      <w:pPr>
        <w:rPr>
          <w:color w:val="000000" w:themeColor="text1"/>
          <w14:textFill>
            <w14:solidFill>
              <w14:schemeClr w14:val="tx1"/>
            </w14:solidFill>
          </w14:textFill>
        </w:rPr>
      </w:pPr>
      <w:r>
        <w:rPr>
          <w:rFonts w:hint="eastAsia"/>
          <w:color w:val="000000" w:themeColor="text1"/>
          <w14:textFill>
            <w14:solidFill>
              <w14:schemeClr w14:val="tx1"/>
            </w14:solidFill>
          </w14:textFill>
        </w:rPr>
        <w:t>是否超过合并口径净资产的10%：</w:t>
      </w:r>
      <w:sdt>
        <w:sdtPr>
          <w:rPr>
            <w:rFonts w:hint="eastAsia"/>
            <w:color w:val="000000" w:themeColor="text1"/>
            <w14:textFill>
              <w14:solidFill>
                <w14:schemeClr w14:val="tx1"/>
              </w14:solidFill>
            </w14:textFill>
          </w:rPr>
          <w:alias w:val="报告期末非经营性往来占款和资金拆借合计占净资产的比例是否超过10%[双击切换]"/>
          <w:tag w:val="_GBC_21e7cc88877444fbafcb0d3f2afac497"/>
          <w:id w:val="147472276"/>
          <w:placeholder>
            <w:docPart w:val="GBC22222222222222222222222222222"/>
          </w:placeholder>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□是 </w:instrText>
          </w:r>
          <w:r>
            <w:rPr>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√否 </w:instrText>
          </w:r>
          <w:r>
            <w:rPr>
              <w:rFonts w:asciiTheme="minorEastAsia" w:hAnsiTheme="minorEastAsia" w:eastAsiaTheme="minorEastAsia"/>
              <w:color w:val="000000" w:themeColor="text1"/>
              <w14:textFill>
                <w14:solidFill>
                  <w14:schemeClr w14:val="tx1"/>
                </w14:solidFill>
              </w14:textFill>
            </w:rPr>
            <w:fldChar w:fldCharType="end"/>
          </w:r>
        </w:sdtContent>
      </w:sdt>
    </w:p>
    <w:bookmarkEnd w:id="126"/>
    <w:p w14:paraId="0F5966AB">
      <w:pPr>
        <w:rPr>
          <w:color w:val="000000" w:themeColor="text1"/>
          <w14:textFill>
            <w14:solidFill>
              <w14:schemeClr w14:val="tx1"/>
            </w14:solidFill>
          </w14:textFill>
        </w:rPr>
      </w:pPr>
      <w:bookmarkStart w:id="127" w:name="_Hlk169619769"/>
    </w:p>
    <w:p w14:paraId="03F65262">
      <w:pPr>
        <w:pStyle w:val="59"/>
        <w:numPr>
          <w:ilvl w:val="0"/>
          <w:numId w:val="39"/>
        </w:numPr>
        <w:rPr>
          <w:color w:val="000000" w:themeColor="text1"/>
          <w14:textFill>
            <w14:solidFill>
              <w14:schemeClr w14:val="tx1"/>
            </w14:solidFill>
          </w14:textFill>
        </w:rPr>
      </w:pPr>
      <w:r>
        <w:rPr>
          <w:rFonts w:hint="eastAsia"/>
          <w:color w:val="000000" w:themeColor="text1"/>
          <w14:textFill>
            <w14:solidFill>
              <w14:schemeClr w14:val="tx1"/>
            </w14:solidFill>
          </w14:textFill>
        </w:rPr>
        <w:t>以前报告期内披露的回款安排的执行情况</w:t>
      </w:r>
    </w:p>
    <w:sdt>
      <w:sdtPr>
        <w:rPr>
          <w:rFonts w:hint="eastAsia"/>
          <w:color w:val="000000" w:themeColor="text1"/>
          <w14:textFill>
            <w14:solidFill>
              <w14:schemeClr w14:val="tx1"/>
            </w14:solidFill>
          </w14:textFill>
        </w:rPr>
        <w:alias w:val="是否完全执行：以前报告期内披露的回款安排的执行情况"/>
        <w:tag w:val="_GBC_301bdaf81e754f7484a7ac6de000c4cd"/>
        <w:id w:val="147463980"/>
        <w:placeholder>
          <w:docPart w:val="GBC22222222222222222222222222222"/>
        </w:placeholder>
      </w:sdtPr>
      <w:sdtEndPr>
        <w:rPr>
          <w:rFonts w:hint="eastAsia"/>
          <w:color w:val="000000" w:themeColor="text1"/>
          <w14:textFill>
            <w14:solidFill>
              <w14:schemeClr w14:val="tx1"/>
            </w14:solidFill>
          </w14:textFill>
        </w:rPr>
      </w:sdtEndPr>
      <w:sdtContent>
        <w:p w14:paraId="706FCC51">
          <w:pPr>
            <w:tabs>
              <w:tab w:val="left" w:pos="1080"/>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MACROBUTTON  SnrToggleCheckbox √完全执行 </w:instrText>
          </w:r>
          <w:r>
            <w:rPr>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□未完全执行 </w:instrText>
          </w:r>
          <w:r>
            <w:rPr>
              <w:rFonts w:asciiTheme="minorEastAsia" w:hAnsiTheme="minorEastAsia" w:eastAsiaTheme="minorEastAsia"/>
              <w:color w:val="000000" w:themeColor="text1"/>
              <w14:textFill>
                <w14:solidFill>
                  <w14:schemeClr w14:val="tx1"/>
                </w14:solidFill>
              </w14:textFill>
            </w:rPr>
            <w:fldChar w:fldCharType="end"/>
          </w:r>
        </w:p>
      </w:sdtContent>
    </w:sdt>
    <w:p w14:paraId="30940572">
      <w:pPr>
        <w:rPr>
          <w:color w:val="000000" w:themeColor="text1"/>
          <w14:textFill>
            <w14:solidFill>
              <w14:schemeClr w14:val="tx1"/>
            </w14:solidFill>
          </w14:textFill>
        </w:rPr>
      </w:pPr>
    </w:p>
    <w:bookmarkEnd w:id="127"/>
    <w:p w14:paraId="4B4F59A7">
      <w:pPr>
        <w:pStyle w:val="58"/>
        <w:numPr>
          <w:ilvl w:val="0"/>
          <w:numId w:val="38"/>
        </w:numPr>
        <w:rPr>
          <w:color w:val="000000" w:themeColor="text1"/>
          <w14:textFill>
            <w14:solidFill>
              <w14:schemeClr w14:val="tx1"/>
            </w14:solidFill>
          </w14:textFill>
        </w:rPr>
      </w:pPr>
      <w:bookmarkStart w:id="128" w:name="_Toc141452811"/>
      <w:bookmarkStart w:id="129" w:name="_Hlk169620115"/>
      <w:r>
        <w:rPr>
          <w:rFonts w:hint="eastAsia"/>
          <w:color w:val="000000" w:themeColor="text1"/>
          <w14:textFill>
            <w14:solidFill>
              <w14:schemeClr w14:val="tx1"/>
            </w14:solidFill>
          </w14:textFill>
        </w:rPr>
        <w:t>负债情况</w:t>
      </w:r>
      <w:bookmarkEnd w:id="128"/>
    </w:p>
    <w:p w14:paraId="42FCC761">
      <w:pPr>
        <w:pStyle w:val="59"/>
        <w:numPr>
          <w:ilvl w:val="0"/>
          <w:numId w:val="40"/>
        </w:numPr>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有息债务及其变动情况</w:t>
      </w:r>
    </w:p>
    <w:p w14:paraId="6A4DA427">
      <w:pPr>
        <w:pStyle w:val="63"/>
        <w:numPr>
          <w:ilvl w:val="0"/>
          <w:numId w:val="41"/>
        </w:numPr>
        <w:ind w:left="420" w:firstLineChars="0"/>
        <w:outlineLvl w:val="5"/>
        <w:rPr>
          <w:b/>
          <w:color w:val="000000" w:themeColor="text1"/>
          <w14:textFill>
            <w14:solidFill>
              <w14:schemeClr w14:val="tx1"/>
            </w14:solidFill>
          </w14:textFill>
        </w:rPr>
      </w:pPr>
      <w:bookmarkStart w:id="130" w:name="_Hlk200359969"/>
      <w:r>
        <w:rPr>
          <w:rFonts w:hint="eastAsia"/>
          <w:b/>
          <w:color w:val="000000" w:themeColor="text1"/>
          <w14:textFill>
            <w14:solidFill>
              <w14:schemeClr w14:val="tx1"/>
            </w14:solidFill>
          </w14:textFill>
        </w:rPr>
        <w:t>公司债务结构情况</w:t>
      </w:r>
    </w:p>
    <w:p w14:paraId="52598CE5">
      <w:pPr>
        <w:pStyle w:val="63"/>
        <w:ind w:firstLine="4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报告期初和报告期末，公司（非公司合并范围口径）有息债务余额分别为</w:t>
      </w:r>
      <w:sdt>
        <w:sdtPr>
          <w:rPr>
            <w:rFonts w:ascii="Times New Roman" w:hAnsi="Times New Roman"/>
            <w:color w:val="000000" w:themeColor="text1"/>
            <w14:textFill>
              <w14:solidFill>
                <w14:schemeClr w14:val="tx1"/>
              </w14:solidFill>
            </w14:textFill>
          </w:rPr>
          <w:alias w:val="有息债务"/>
          <w:tag w:val="_GBC_b3542d7d369643879d02099ffb14e6a8"/>
          <w:id w:val="147474809"/>
          <w:placeholder>
            <w:docPart w:val="GBC22222222222222222222222222222"/>
          </w:placeholder>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12.43</w:t>
          </w:r>
        </w:sdtContent>
      </w:sdt>
      <w:sdt>
        <w:sdtPr>
          <w:rPr>
            <w:rFonts w:ascii="Times New Roman" w:hAnsi="Times New Roman"/>
            <w:color w:val="000000" w:themeColor="text1"/>
            <w14:textFill>
              <w14:solidFill>
                <w14:schemeClr w14:val="tx1"/>
              </w14:solidFill>
            </w14:textFill>
          </w:rPr>
          <w:alias w:val="单位：母公司有息债务"/>
          <w:tag w:val="_GBC_6565ff86bbdd44e9a5dd16ddba451e23"/>
          <w:id w:val="147474023"/>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亿元</w:t>
          </w:r>
        </w:sdtContent>
      </w:sdt>
      <w:r>
        <w:rPr>
          <w:rFonts w:ascii="Times New Roman" w:hAnsi="Times New Roman"/>
          <w:color w:val="000000" w:themeColor="text1"/>
          <w14:textFill>
            <w14:solidFill>
              <w14:schemeClr w14:val="tx1"/>
            </w14:solidFill>
          </w14:textFill>
        </w:rPr>
        <w:t>和</w:t>
      </w:r>
      <w:sdt>
        <w:sdtPr>
          <w:rPr>
            <w:rFonts w:ascii="Times New Roman" w:hAnsi="Times New Roman"/>
            <w:color w:val="000000" w:themeColor="text1"/>
            <w14:textFill>
              <w14:solidFill>
                <w14:schemeClr w14:val="tx1"/>
              </w14:solidFill>
            </w14:textFill>
          </w:rPr>
          <w:alias w:val="有息债务"/>
          <w:tag w:val="_GBC_8e6091c8bc0846ff859bebec3d77bbb2"/>
          <w:id w:val="147463729"/>
          <w:placeholder>
            <w:docPart w:val="GBC22222222222222222222222222222"/>
          </w:placeholder>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32.05</w:t>
          </w:r>
        </w:sdtContent>
      </w:sdt>
      <w:sdt>
        <w:sdtPr>
          <w:rPr>
            <w:rFonts w:ascii="Times New Roman" w:hAnsi="Times New Roman"/>
            <w:color w:val="000000" w:themeColor="text1"/>
            <w14:textFill>
              <w14:solidFill>
                <w14:schemeClr w14:val="tx1"/>
              </w14:solidFill>
            </w14:textFill>
          </w:rPr>
          <w:alias w:val="单位：母公司有息债务"/>
          <w:tag w:val="_GBC_44fc6fb130534a4b8fb8b625266fdb93"/>
          <w:id w:val="147463460"/>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亿元</w:t>
          </w:r>
        </w:sdtContent>
      </w:sdt>
      <w:r>
        <w:rPr>
          <w:rFonts w:ascii="Times New Roman" w:hAnsi="Times New Roman"/>
          <w:color w:val="000000" w:themeColor="text1"/>
          <w14:textFill>
            <w14:solidFill>
              <w14:schemeClr w14:val="tx1"/>
            </w14:solidFill>
          </w14:textFill>
        </w:rPr>
        <w:t>，报告期内有息债务余额同比变动</w:t>
      </w:r>
      <w:sdt>
        <w:sdtPr>
          <w:rPr>
            <w:rFonts w:ascii="Times New Roman" w:hAnsi="Times New Roman"/>
            <w:color w:val="000000" w:themeColor="text1"/>
            <w14:textFill>
              <w14:solidFill>
                <w14:schemeClr w14:val="tx1"/>
              </w14:solidFill>
            </w14:textFill>
          </w:rPr>
          <w:alias w:val="有息债务变动比例"/>
          <w:tag w:val="_GBC_61e74095990b4d298b097f5be2b1c3e9"/>
          <w:id w:val="147453739"/>
          <w:placeholder>
            <w:docPart w:val="GBC22222222222222222222222222222"/>
          </w:placeholder>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157.84</w:t>
          </w:r>
        </w:sdtContent>
      </w:sdt>
      <w:r>
        <w:rPr>
          <w:rFonts w:ascii="Times New Roman" w:hAnsi="Times New Roman"/>
          <w:color w:val="000000" w:themeColor="text1"/>
          <w14:textFill>
            <w14:solidFill>
              <w14:schemeClr w14:val="tx1"/>
            </w14:solidFill>
          </w14:textFill>
        </w:rPr>
        <w:t>%。</w:t>
      </w:r>
    </w:p>
    <w:p w14:paraId="7A1B55B6">
      <w:pPr>
        <w:kinsoku w:val="0"/>
        <w:overflowPunct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有息债务"/>
          <w:tag w:val="_GBC_336b849a956648e1b5213813d45f5bfc"/>
          <w:id w:val="147482375"/>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有息债务"/>
          <w:tag w:val="_GBC_ece73dbbb3a146daaf99703fc7bcecf3"/>
          <w:id w:val="1474779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617"/>
        <w:gridCol w:w="1459"/>
        <w:gridCol w:w="1466"/>
        <w:gridCol w:w="1457"/>
        <w:gridCol w:w="1584"/>
      </w:tblGrid>
      <w:tr w14:paraId="4A71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ef1148713b54f0680ef79a24b76a1e1"/>
            <w:id w:val="147481823"/>
          </w:sdtPr>
          <w:sdtContent>
            <w:tc>
              <w:tcPr>
                <w:tcW w:w="1363" w:type="pct"/>
                <w:vMerge w:val="restart"/>
                <w:vAlign w:val="center"/>
              </w:tcPr>
              <w:p w14:paraId="2751EE54">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有息债务类别</w:t>
                </w:r>
              </w:p>
            </w:tc>
          </w:sdtContent>
        </w:sdt>
        <w:sdt>
          <w:sdtPr>
            <w:tag w:val="_PLD_7efc3ca703ea4655a3f44df63d300281"/>
            <w:id w:val="147464180"/>
          </w:sdtPr>
          <w:sdtContent>
            <w:tc>
              <w:tcPr>
                <w:tcW w:w="1957" w:type="pct"/>
                <w:gridSpan w:val="3"/>
                <w:vAlign w:val="center"/>
              </w:tcPr>
              <w:p w14:paraId="16361D27">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到期时间</w:t>
                </w:r>
              </w:p>
            </w:tc>
          </w:sdtContent>
        </w:sdt>
        <w:sdt>
          <w:sdtPr>
            <w:tag w:val="_PLD_923a00a476a144b5bb079c8daad6335a"/>
            <w:id w:val="147457657"/>
          </w:sdtPr>
          <w:sdtContent>
            <w:tc>
              <w:tcPr>
                <w:tcW w:w="805" w:type="pct"/>
                <w:vMerge w:val="restart"/>
                <w:vAlign w:val="center"/>
              </w:tcPr>
              <w:p w14:paraId="3FAC28CC">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金额合计</w:t>
                </w:r>
              </w:p>
            </w:tc>
          </w:sdtContent>
        </w:sdt>
        <w:tc>
          <w:tcPr>
            <w:tcW w:w="875" w:type="pct"/>
            <w:vMerge w:val="restart"/>
            <w:vAlign w:val="center"/>
          </w:tcPr>
          <w:sdt>
            <w:sdtPr>
              <w:tag w:val="_PLD_ba4e8cce08494d4e8305f2995a3f864a"/>
              <w:id w:val="147479789"/>
            </w:sdtPr>
            <w:sdtContent>
              <w:p w14:paraId="747A7433">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金额占有息债务的占比（%）</w:t>
                </w:r>
              </w:p>
            </w:sdtContent>
          </w:sdt>
        </w:tc>
      </w:tr>
      <w:tr w14:paraId="733F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Merge w:val="continue"/>
            <w:vAlign w:val="center"/>
          </w:tcPr>
          <w:p w14:paraId="0443AB90">
            <w:pPr>
              <w:widowControl w:val="0"/>
              <w:kinsoku w:val="0"/>
              <w:overflowPunct w:val="0"/>
              <w:jc w:val="center"/>
              <w:rPr>
                <w:color w:val="000000" w:themeColor="text1"/>
                <w14:textFill>
                  <w14:solidFill>
                    <w14:schemeClr w14:val="tx1"/>
                  </w14:solidFill>
                </w14:textFill>
              </w:rPr>
            </w:pPr>
          </w:p>
        </w:tc>
        <w:sdt>
          <w:sdtPr>
            <w:tag w:val="_PLD_f3ef537965d5419f8c633911eae25658"/>
            <w:id w:val="147457944"/>
          </w:sdtPr>
          <w:sdtContent>
            <w:tc>
              <w:tcPr>
                <w:tcW w:w="341" w:type="pct"/>
                <w:vAlign w:val="center"/>
              </w:tcPr>
              <w:p w14:paraId="6F5718D4">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已逾期</w:t>
                </w:r>
              </w:p>
            </w:tc>
          </w:sdtContent>
        </w:sdt>
        <w:sdt>
          <w:sdtPr>
            <w:tag w:val="_PLD_d6eb29fd6d254197829d34b9859efa0b"/>
            <w:id w:val="147478872"/>
          </w:sdtPr>
          <w:sdtContent>
            <w:tc>
              <w:tcPr>
                <w:tcW w:w="806" w:type="pct"/>
                <w:vAlign w:val="center"/>
              </w:tcPr>
              <w:p w14:paraId="682061C0">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1年以内</w:t>
                </w:r>
              </w:p>
              <w:p w14:paraId="6583BAAD">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（含）</w:t>
                </w:r>
              </w:p>
            </w:tc>
          </w:sdtContent>
        </w:sdt>
        <w:sdt>
          <w:sdtPr>
            <w:tag w:val="_PLD_ea78a9d7426c48d5b116013ec7782eaf"/>
            <w:id w:val="147463009"/>
          </w:sdtPr>
          <w:sdtContent>
            <w:tc>
              <w:tcPr>
                <w:tcW w:w="810" w:type="pct"/>
                <w:vAlign w:val="center"/>
              </w:tcPr>
              <w:p w14:paraId="6DEB50E2">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超过</w:t>
                </w:r>
                <w:r>
                  <w:rPr>
                    <w:color w:val="000000" w:themeColor="text1"/>
                    <w14:textFill>
                      <w14:solidFill>
                        <w14:schemeClr w14:val="tx1"/>
                      </w14:solidFill>
                    </w14:textFill>
                  </w:rPr>
                  <w:t>1年</w:t>
                </w:r>
              </w:p>
              <w:p w14:paraId="2687C54A">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（不含）</w:t>
                </w:r>
              </w:p>
            </w:tc>
          </w:sdtContent>
        </w:sdt>
        <w:tc>
          <w:tcPr>
            <w:tcW w:w="805" w:type="pct"/>
            <w:vMerge w:val="continue"/>
            <w:vAlign w:val="center"/>
          </w:tcPr>
          <w:p w14:paraId="09C8CAE4">
            <w:pPr>
              <w:widowControl w:val="0"/>
              <w:kinsoku w:val="0"/>
              <w:overflowPunct w:val="0"/>
              <w:jc w:val="center"/>
              <w:rPr>
                <w:color w:val="000000" w:themeColor="text1"/>
                <w14:textFill>
                  <w14:solidFill>
                    <w14:schemeClr w14:val="tx1"/>
                  </w14:solidFill>
                </w14:textFill>
              </w:rPr>
            </w:pPr>
          </w:p>
        </w:tc>
        <w:tc>
          <w:tcPr>
            <w:tcW w:w="875" w:type="pct"/>
            <w:vMerge w:val="continue"/>
            <w:vAlign w:val="center"/>
          </w:tcPr>
          <w:p w14:paraId="76316749">
            <w:pPr>
              <w:widowControl w:val="0"/>
              <w:kinsoku w:val="0"/>
              <w:overflowPunct w:val="0"/>
              <w:jc w:val="center"/>
              <w:rPr>
                <w:color w:val="000000" w:themeColor="text1"/>
                <w14:textFill>
                  <w14:solidFill>
                    <w14:schemeClr w14:val="tx1"/>
                  </w14:solidFill>
                </w14:textFill>
              </w:rPr>
            </w:pPr>
          </w:p>
        </w:tc>
      </w:tr>
      <w:tr w14:paraId="68B8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3B4C1381">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公司信用类债券</w:t>
            </w:r>
          </w:p>
        </w:tc>
        <w:tc>
          <w:tcPr>
            <w:tcW w:w="341" w:type="pct"/>
            <w:vAlign w:val="center"/>
          </w:tcPr>
          <w:p w14:paraId="16E5B786">
            <w:pPr>
              <w:widowControl w:val="0"/>
              <w:kinsoku w:val="0"/>
              <w:overflowPunct w:val="0"/>
              <w:jc w:val="right"/>
              <w:rPr>
                <w:rFonts w:cs="Times New Roman"/>
              </w:rPr>
            </w:pPr>
          </w:p>
        </w:tc>
        <w:tc>
          <w:tcPr>
            <w:tcW w:w="806" w:type="pct"/>
            <w:vAlign w:val="center"/>
          </w:tcPr>
          <w:p w14:paraId="32FE4490">
            <w:pPr>
              <w:widowControl/>
              <w:jc w:val="right"/>
              <w:textAlignment w:val="center"/>
              <w:rPr>
                <w:rFonts w:cs="Times New Roman"/>
              </w:rPr>
            </w:pPr>
            <w:r>
              <w:rPr>
                <w:rFonts w:eastAsia="等线" w:cs="Times New Roman"/>
                <w:color w:val="000000"/>
                <w:lang w:bidi="ar"/>
              </w:rPr>
              <w:t xml:space="preserve">5.01 </w:t>
            </w:r>
          </w:p>
        </w:tc>
        <w:tc>
          <w:tcPr>
            <w:tcW w:w="810" w:type="pct"/>
            <w:vAlign w:val="center"/>
          </w:tcPr>
          <w:p w14:paraId="49F5FF87">
            <w:pPr>
              <w:widowControl w:val="0"/>
              <w:jc w:val="right"/>
              <w:rPr>
                <w:rFonts w:cs="Times New Roman"/>
              </w:rPr>
            </w:pPr>
          </w:p>
        </w:tc>
        <w:tc>
          <w:tcPr>
            <w:tcW w:w="805" w:type="pct"/>
            <w:vAlign w:val="center"/>
          </w:tcPr>
          <w:p w14:paraId="1A326B62">
            <w:pPr>
              <w:widowControl/>
              <w:jc w:val="right"/>
              <w:textAlignment w:val="center"/>
              <w:rPr>
                <w:rFonts w:cs="Times New Roman"/>
              </w:rPr>
            </w:pPr>
            <w:r>
              <w:rPr>
                <w:rFonts w:eastAsia="等线" w:cs="Times New Roman"/>
                <w:color w:val="000000"/>
                <w:lang w:bidi="ar"/>
              </w:rPr>
              <w:t xml:space="preserve">5.01 </w:t>
            </w:r>
          </w:p>
        </w:tc>
        <w:tc>
          <w:tcPr>
            <w:tcW w:w="875" w:type="pct"/>
            <w:vAlign w:val="center"/>
          </w:tcPr>
          <w:p w14:paraId="1737C8E2">
            <w:pPr>
              <w:widowControl/>
              <w:jc w:val="right"/>
              <w:textAlignment w:val="center"/>
              <w:rPr>
                <w:rFonts w:cs="Times New Roman"/>
              </w:rPr>
            </w:pPr>
            <w:r>
              <w:rPr>
                <w:rFonts w:eastAsia="等线" w:cs="Times New Roman"/>
                <w:color w:val="000000"/>
                <w:lang w:bidi="ar"/>
              </w:rPr>
              <w:t xml:space="preserve">15.63 </w:t>
            </w:r>
          </w:p>
        </w:tc>
      </w:tr>
      <w:tr w14:paraId="0AB2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15B83E7">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银行贷款</w:t>
            </w:r>
          </w:p>
        </w:tc>
        <w:tc>
          <w:tcPr>
            <w:tcW w:w="341" w:type="pct"/>
            <w:vAlign w:val="center"/>
          </w:tcPr>
          <w:p w14:paraId="25BD455A">
            <w:pPr>
              <w:widowControl w:val="0"/>
              <w:kinsoku w:val="0"/>
              <w:overflowPunct w:val="0"/>
              <w:jc w:val="right"/>
              <w:rPr>
                <w:rFonts w:cs="Times New Roman"/>
              </w:rPr>
            </w:pPr>
          </w:p>
        </w:tc>
        <w:tc>
          <w:tcPr>
            <w:tcW w:w="806" w:type="pct"/>
            <w:vAlign w:val="center"/>
          </w:tcPr>
          <w:p w14:paraId="4D47FA3D">
            <w:pPr>
              <w:widowControl/>
              <w:jc w:val="right"/>
              <w:textAlignment w:val="center"/>
              <w:rPr>
                <w:rFonts w:cs="Times New Roman"/>
              </w:rPr>
            </w:pPr>
            <w:r>
              <w:rPr>
                <w:rFonts w:eastAsia="等线" w:cs="Times New Roman"/>
                <w:color w:val="000000"/>
                <w:lang w:bidi="ar"/>
              </w:rPr>
              <w:t>0.03</w:t>
            </w:r>
          </w:p>
        </w:tc>
        <w:tc>
          <w:tcPr>
            <w:tcW w:w="810" w:type="pct"/>
            <w:vAlign w:val="center"/>
          </w:tcPr>
          <w:p w14:paraId="5B55676A">
            <w:pPr>
              <w:widowControl/>
              <w:jc w:val="right"/>
              <w:textAlignment w:val="center"/>
              <w:rPr>
                <w:rFonts w:cs="Times New Roman"/>
              </w:rPr>
            </w:pPr>
            <w:r>
              <w:rPr>
                <w:rFonts w:eastAsia="等线" w:cs="Times New Roman"/>
                <w:color w:val="000000"/>
                <w:lang w:bidi="ar"/>
              </w:rPr>
              <w:t xml:space="preserve">19.88 </w:t>
            </w:r>
          </w:p>
        </w:tc>
        <w:tc>
          <w:tcPr>
            <w:tcW w:w="805" w:type="pct"/>
            <w:vAlign w:val="center"/>
          </w:tcPr>
          <w:p w14:paraId="72203AF8">
            <w:pPr>
              <w:widowControl/>
              <w:jc w:val="right"/>
              <w:textAlignment w:val="center"/>
              <w:rPr>
                <w:rFonts w:cs="Times New Roman"/>
              </w:rPr>
            </w:pPr>
            <w:r>
              <w:rPr>
                <w:rFonts w:eastAsia="等线" w:cs="Times New Roman"/>
                <w:color w:val="000000"/>
                <w:lang w:bidi="ar"/>
              </w:rPr>
              <w:t xml:space="preserve">19.91 </w:t>
            </w:r>
          </w:p>
        </w:tc>
        <w:tc>
          <w:tcPr>
            <w:tcW w:w="875" w:type="pct"/>
            <w:vAlign w:val="center"/>
          </w:tcPr>
          <w:p w14:paraId="01D4CB49">
            <w:pPr>
              <w:widowControl/>
              <w:jc w:val="right"/>
              <w:textAlignment w:val="center"/>
              <w:rPr>
                <w:rFonts w:cs="Times New Roman"/>
              </w:rPr>
            </w:pPr>
            <w:r>
              <w:rPr>
                <w:rFonts w:eastAsia="等线" w:cs="Times New Roman"/>
                <w:color w:val="000000"/>
                <w:lang w:bidi="ar"/>
              </w:rPr>
              <w:t xml:space="preserve">62.12 </w:t>
            </w:r>
          </w:p>
        </w:tc>
      </w:tr>
      <w:tr w14:paraId="4DC0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3DD1E21">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非银行金融机构贷款</w:t>
            </w:r>
          </w:p>
        </w:tc>
        <w:tc>
          <w:tcPr>
            <w:tcW w:w="341" w:type="pct"/>
            <w:vAlign w:val="center"/>
          </w:tcPr>
          <w:p w14:paraId="24547E91">
            <w:pPr>
              <w:widowControl w:val="0"/>
              <w:kinsoku w:val="0"/>
              <w:overflowPunct w:val="0"/>
              <w:jc w:val="right"/>
              <w:rPr>
                <w:rFonts w:cs="Times New Roman"/>
              </w:rPr>
            </w:pPr>
          </w:p>
        </w:tc>
        <w:tc>
          <w:tcPr>
            <w:tcW w:w="806" w:type="pct"/>
            <w:vAlign w:val="center"/>
          </w:tcPr>
          <w:p w14:paraId="2EB0DC7B">
            <w:pPr>
              <w:widowControl/>
              <w:jc w:val="right"/>
              <w:textAlignment w:val="center"/>
              <w:rPr>
                <w:rFonts w:cs="Times New Roman"/>
              </w:rPr>
            </w:pPr>
            <w:r>
              <w:rPr>
                <w:rFonts w:eastAsia="等线" w:cs="Times New Roman"/>
                <w:color w:val="000000"/>
                <w:lang w:bidi="ar"/>
              </w:rPr>
              <w:t xml:space="preserve">0.02 </w:t>
            </w:r>
          </w:p>
        </w:tc>
        <w:tc>
          <w:tcPr>
            <w:tcW w:w="810" w:type="pct"/>
            <w:vAlign w:val="center"/>
          </w:tcPr>
          <w:p w14:paraId="756868EB">
            <w:pPr>
              <w:widowControl/>
              <w:jc w:val="right"/>
              <w:textAlignment w:val="center"/>
              <w:rPr>
                <w:rFonts w:cs="Times New Roman"/>
              </w:rPr>
            </w:pPr>
            <w:r>
              <w:rPr>
                <w:rFonts w:eastAsia="等线" w:cs="Times New Roman"/>
                <w:color w:val="000000"/>
                <w:lang w:bidi="ar"/>
              </w:rPr>
              <w:t xml:space="preserve">4.96 </w:t>
            </w:r>
          </w:p>
        </w:tc>
        <w:tc>
          <w:tcPr>
            <w:tcW w:w="805" w:type="pct"/>
            <w:vAlign w:val="center"/>
          </w:tcPr>
          <w:p w14:paraId="2FAE074E">
            <w:pPr>
              <w:widowControl/>
              <w:jc w:val="right"/>
              <w:textAlignment w:val="center"/>
              <w:rPr>
                <w:rFonts w:cs="Times New Roman"/>
              </w:rPr>
            </w:pPr>
            <w:r>
              <w:rPr>
                <w:rFonts w:eastAsia="等线" w:cs="Times New Roman"/>
                <w:color w:val="000000"/>
                <w:lang w:bidi="ar"/>
              </w:rPr>
              <w:t xml:space="preserve">4.98 </w:t>
            </w:r>
          </w:p>
        </w:tc>
        <w:tc>
          <w:tcPr>
            <w:tcW w:w="875" w:type="pct"/>
            <w:vAlign w:val="center"/>
          </w:tcPr>
          <w:p w14:paraId="6EEF5C95">
            <w:pPr>
              <w:widowControl/>
              <w:jc w:val="right"/>
              <w:textAlignment w:val="center"/>
              <w:rPr>
                <w:rFonts w:cs="Times New Roman"/>
              </w:rPr>
            </w:pPr>
            <w:r>
              <w:rPr>
                <w:rFonts w:eastAsia="等线" w:cs="Times New Roman"/>
                <w:color w:val="000000"/>
                <w:lang w:bidi="ar"/>
              </w:rPr>
              <w:t xml:space="preserve">15.54 </w:t>
            </w:r>
          </w:p>
        </w:tc>
      </w:tr>
      <w:tr w14:paraId="00CF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7E80A44">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其他有息债务</w:t>
            </w:r>
          </w:p>
        </w:tc>
        <w:tc>
          <w:tcPr>
            <w:tcW w:w="341" w:type="pct"/>
            <w:vAlign w:val="center"/>
          </w:tcPr>
          <w:p w14:paraId="61E13515">
            <w:pPr>
              <w:widowControl w:val="0"/>
              <w:kinsoku w:val="0"/>
              <w:overflowPunct w:val="0"/>
              <w:jc w:val="right"/>
              <w:rPr>
                <w:rFonts w:cs="Times New Roman"/>
              </w:rPr>
            </w:pPr>
          </w:p>
        </w:tc>
        <w:tc>
          <w:tcPr>
            <w:tcW w:w="806" w:type="pct"/>
            <w:vAlign w:val="center"/>
          </w:tcPr>
          <w:p w14:paraId="428CD14E">
            <w:pPr>
              <w:widowControl/>
              <w:jc w:val="right"/>
              <w:textAlignment w:val="center"/>
              <w:rPr>
                <w:rFonts w:cs="Times New Roman"/>
              </w:rPr>
            </w:pPr>
            <w:r>
              <w:rPr>
                <w:rFonts w:eastAsia="Arial Narrow" w:cs="Times New Roman"/>
                <w:color w:val="000000"/>
                <w:lang w:bidi="ar"/>
              </w:rPr>
              <w:t xml:space="preserve">2.15 </w:t>
            </w:r>
          </w:p>
        </w:tc>
        <w:tc>
          <w:tcPr>
            <w:tcW w:w="810" w:type="pct"/>
            <w:vAlign w:val="center"/>
          </w:tcPr>
          <w:p w14:paraId="6E9FB7CD">
            <w:pPr>
              <w:widowControl/>
              <w:jc w:val="right"/>
              <w:textAlignment w:val="center"/>
              <w:rPr>
                <w:rFonts w:cs="Times New Roman"/>
              </w:rPr>
            </w:pPr>
            <w:r>
              <w:rPr>
                <w:rFonts w:eastAsia="Arial Narrow" w:cs="Times New Roman"/>
                <w:color w:val="000000"/>
                <w:lang w:bidi="ar"/>
              </w:rPr>
              <w:t xml:space="preserve">   </w:t>
            </w:r>
          </w:p>
        </w:tc>
        <w:tc>
          <w:tcPr>
            <w:tcW w:w="805" w:type="pct"/>
            <w:vAlign w:val="center"/>
          </w:tcPr>
          <w:p w14:paraId="708DFABB">
            <w:pPr>
              <w:widowControl/>
              <w:jc w:val="right"/>
              <w:textAlignment w:val="center"/>
              <w:rPr>
                <w:rFonts w:cs="Times New Roman"/>
              </w:rPr>
            </w:pPr>
            <w:r>
              <w:rPr>
                <w:rFonts w:eastAsia="等线" w:cs="Times New Roman"/>
                <w:color w:val="000000"/>
                <w:lang w:bidi="ar"/>
              </w:rPr>
              <w:t xml:space="preserve">2.15 </w:t>
            </w:r>
          </w:p>
        </w:tc>
        <w:tc>
          <w:tcPr>
            <w:tcW w:w="875" w:type="pct"/>
            <w:vAlign w:val="center"/>
          </w:tcPr>
          <w:p w14:paraId="672152B7">
            <w:pPr>
              <w:widowControl/>
              <w:jc w:val="right"/>
              <w:textAlignment w:val="center"/>
              <w:rPr>
                <w:rFonts w:cs="Times New Roman"/>
              </w:rPr>
            </w:pPr>
            <w:r>
              <w:rPr>
                <w:rFonts w:eastAsia="等线" w:cs="Times New Roman"/>
                <w:color w:val="000000"/>
                <w:lang w:bidi="ar"/>
              </w:rPr>
              <w:t xml:space="preserve">6.71 </w:t>
            </w:r>
          </w:p>
        </w:tc>
      </w:tr>
      <w:tr w14:paraId="2369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02D9C3E">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341" w:type="pct"/>
            <w:vAlign w:val="center"/>
          </w:tcPr>
          <w:p w14:paraId="0E41C157">
            <w:pPr>
              <w:widowControl w:val="0"/>
              <w:kinsoku w:val="0"/>
              <w:overflowPunct w:val="0"/>
              <w:jc w:val="right"/>
              <w:rPr>
                <w:rFonts w:cs="Times New Roman"/>
              </w:rPr>
            </w:pPr>
          </w:p>
        </w:tc>
        <w:tc>
          <w:tcPr>
            <w:tcW w:w="806" w:type="pct"/>
            <w:vAlign w:val="center"/>
          </w:tcPr>
          <w:p w14:paraId="20B16959">
            <w:pPr>
              <w:widowControl/>
              <w:jc w:val="right"/>
              <w:textAlignment w:val="center"/>
              <w:rPr>
                <w:rFonts w:cs="Times New Roman"/>
              </w:rPr>
            </w:pPr>
            <w:r>
              <w:rPr>
                <w:rFonts w:eastAsia="等线" w:cs="Times New Roman"/>
                <w:color w:val="000000"/>
                <w:lang w:bidi="ar"/>
              </w:rPr>
              <w:t xml:space="preserve">7.21 </w:t>
            </w:r>
          </w:p>
        </w:tc>
        <w:tc>
          <w:tcPr>
            <w:tcW w:w="810" w:type="pct"/>
            <w:vAlign w:val="center"/>
          </w:tcPr>
          <w:p w14:paraId="511B8AF6">
            <w:pPr>
              <w:widowControl/>
              <w:jc w:val="right"/>
              <w:textAlignment w:val="center"/>
              <w:rPr>
                <w:rFonts w:cs="Times New Roman"/>
              </w:rPr>
            </w:pPr>
            <w:r>
              <w:rPr>
                <w:rFonts w:eastAsia="等线" w:cs="Times New Roman"/>
                <w:color w:val="000000"/>
                <w:lang w:bidi="ar"/>
              </w:rPr>
              <w:t xml:space="preserve">24.84 </w:t>
            </w:r>
          </w:p>
        </w:tc>
        <w:tc>
          <w:tcPr>
            <w:tcW w:w="805" w:type="pct"/>
            <w:vAlign w:val="center"/>
          </w:tcPr>
          <w:p w14:paraId="6E6E5557">
            <w:pPr>
              <w:widowControl/>
              <w:jc w:val="right"/>
              <w:textAlignment w:val="center"/>
              <w:rPr>
                <w:rFonts w:cs="Times New Roman"/>
              </w:rPr>
            </w:pPr>
            <w:r>
              <w:rPr>
                <w:rFonts w:eastAsia="等线" w:cs="Times New Roman"/>
                <w:color w:val="000000"/>
                <w:lang w:bidi="ar"/>
              </w:rPr>
              <w:t xml:space="preserve">32.05 </w:t>
            </w:r>
          </w:p>
        </w:tc>
        <w:tc>
          <w:tcPr>
            <w:tcW w:w="875" w:type="pct"/>
            <w:vAlign w:val="center"/>
          </w:tcPr>
          <w:p w14:paraId="1A0994B3">
            <w:pPr>
              <w:widowControl w:val="0"/>
              <w:kinsoku w:val="0"/>
              <w:overflowPunct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63D860ED">
      <w:pPr>
        <w:rPr>
          <w:color w:val="000000" w:themeColor="text1"/>
          <w14:textFill>
            <w14:solidFill>
              <w14:schemeClr w14:val="tx1"/>
            </w14:solidFill>
          </w14:textFill>
        </w:rPr>
      </w:pPr>
    </w:p>
    <w:p w14:paraId="7587389D">
      <w:pPr>
        <w:ind w:firstLine="525" w:firstLineChars="25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报告期末公司存续的公司信用类债券中，公司债券余额</w:t>
      </w:r>
      <w:sdt>
        <w:sdtPr>
          <w:rPr>
            <w:rFonts w:hint="eastAsia"/>
            <w:color w:val="000000" w:themeColor="text1"/>
            <w14:textFill>
              <w14:solidFill>
                <w14:schemeClr w14:val="tx1"/>
              </w14:solidFill>
            </w14:textFill>
          </w:rPr>
          <w:alias w:val="公司信用类债券中公司债券余额"/>
          <w:tag w:val="_GBC_dffa26633bd6458a9c7b442d4c9ae2f8"/>
          <w:id w:val="147483064"/>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母公司有息债务"/>
          <w:tag w:val="_GBC_9ce635ec89b04a87be4b9992768f867a"/>
          <w:id w:val="147477104"/>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，企业债券余额</w:t>
      </w:r>
      <w:sdt>
        <w:sdtPr>
          <w:rPr>
            <w:rFonts w:hint="eastAsia"/>
            <w:color w:val="000000" w:themeColor="text1"/>
            <w14:textFill>
              <w14:solidFill>
                <w14:schemeClr w14:val="tx1"/>
              </w14:solidFill>
            </w14:textFill>
          </w:rPr>
          <w:alias w:val="公司信用类债券中企业债券余额"/>
          <w:tag w:val="_GBC_d13c54270a354a0eb8a10f0e10850d2a"/>
          <w:id w:val="147466720"/>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母公司有息债务"/>
          <w:tag w:val="_GBC_1652639abbb0499abd11923d81bb6efd"/>
          <w:id w:val="147458135"/>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，非金融企业债务融资工具余额</w:t>
      </w:r>
      <w:sdt>
        <w:sdtPr>
          <w:rPr>
            <w:rFonts w:hint="eastAsia"/>
            <w:color w:val="000000" w:themeColor="text1"/>
            <w14:textFill>
              <w14:solidFill>
                <w14:schemeClr w14:val="tx1"/>
              </w14:solidFill>
            </w14:textFill>
          </w:rPr>
          <w:alias w:val="公司信用类债券中非金融企业债务融资工具余额"/>
          <w:tag w:val="_GBC_20d8ce5fadfa41f8916b5939011cb226"/>
          <w:id w:val="147475495"/>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5.01</w:t>
          </w:r>
        </w:sdtContent>
      </w:sdt>
      <w:sdt>
        <w:sdtPr>
          <w:rPr>
            <w:rFonts w:hint="eastAsia"/>
            <w:color w:val="000000" w:themeColor="text1"/>
            <w14:textFill>
              <w14:solidFill>
                <w14:schemeClr w14:val="tx1"/>
              </w14:solidFill>
            </w14:textFill>
          </w:rPr>
          <w:alias w:val="单位：母公司有息债务"/>
          <w:tag w:val="_GBC_3c1eff66be7044e685167494c568abae"/>
          <w:id w:val="147473985"/>
          <w:placeholder>
            <w:docPart w:val="GBC22222222222222222222222222222"/>
          </w:placeholder>
          <w:dataBinding w:prefixMappings="xmlns:bond='bond'" w:xpath="/*/bond:DanWeiMuGongS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w:t>
      </w:r>
    </w:p>
    <w:p w14:paraId="78DD76DA">
      <w:pPr>
        <w:rPr>
          <w:color w:val="000000" w:themeColor="text1"/>
          <w14:textFill>
            <w14:solidFill>
              <w14:schemeClr w14:val="tx1"/>
            </w14:solidFill>
          </w14:textFill>
        </w:rPr>
      </w:pPr>
    </w:p>
    <w:p w14:paraId="4E9A6874">
      <w:pPr>
        <w:pStyle w:val="63"/>
        <w:numPr>
          <w:ilvl w:val="0"/>
          <w:numId w:val="41"/>
        </w:numPr>
        <w:ind w:left="420" w:firstLineChars="0"/>
        <w:outlineLvl w:val="5"/>
        <w:rPr>
          <w:b/>
          <w:color w:val="000000" w:themeColor="text1"/>
          <w14:textFill>
            <w14:solidFill>
              <w14:schemeClr w14:val="tx1"/>
            </w14:solidFill>
          </w14:textFill>
        </w:rPr>
      </w:pPr>
      <w:r>
        <w:rPr>
          <w:rFonts w:hint="eastAsia"/>
          <w:b/>
          <w:color w:val="000000" w:themeColor="text1"/>
          <w14:textFill>
            <w14:solidFill>
              <w14:schemeClr w14:val="tx1"/>
            </w14:solidFill>
          </w14:textFill>
        </w:rPr>
        <w:t>公司合并口径有息债务结构情况</w:t>
      </w:r>
    </w:p>
    <w:p w14:paraId="2A851DFE">
      <w:pPr>
        <w:pStyle w:val="63"/>
        <w:ind w:firstLine="4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报告期初和报告期末，公司合并报表范围内公司有息债务余额分别为</w:t>
      </w:r>
      <w:sdt>
        <w:sdtPr>
          <w:rPr>
            <w:rFonts w:ascii="Times New Roman" w:hAnsi="Times New Roman"/>
            <w:color w:val="000000" w:themeColor="text1"/>
            <w14:textFill>
              <w14:solidFill>
                <w14:schemeClr w14:val="tx1"/>
              </w14:solidFill>
            </w14:textFill>
          </w:rPr>
          <w:alias w:val="有息债务"/>
          <w:tag w:val="_GBC_9384d19728344a8da30ff4584793135e"/>
          <w:id w:val="147461220"/>
          <w:placeholder>
            <w:docPart w:val="GBC22222222222222222222222222222"/>
          </w:placeholder>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17.69</w:t>
          </w:r>
        </w:sdtContent>
      </w:sdt>
      <w:sdt>
        <w:sdtPr>
          <w:rPr>
            <w:rFonts w:ascii="Times New Roman" w:hAnsi="Times New Roman"/>
            <w:color w:val="000000" w:themeColor="text1"/>
            <w14:textFill>
              <w14:solidFill>
                <w14:schemeClr w14:val="tx1"/>
              </w14:solidFill>
            </w14:textFill>
          </w:rPr>
          <w:alias w:val="单位：有息债务"/>
          <w:tag w:val="_GBC_97ad5639f55c4cee885aa12237aecdba"/>
          <w:id w:val="147452148"/>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亿元</w:t>
          </w:r>
        </w:sdtContent>
      </w:sdt>
      <w:r>
        <w:rPr>
          <w:rFonts w:ascii="Times New Roman" w:hAnsi="Times New Roman"/>
          <w:color w:val="000000" w:themeColor="text1"/>
          <w14:textFill>
            <w14:solidFill>
              <w14:schemeClr w14:val="tx1"/>
            </w14:solidFill>
          </w14:textFill>
        </w:rPr>
        <w:t>和</w:t>
      </w:r>
      <w:sdt>
        <w:sdtPr>
          <w:rPr>
            <w:rFonts w:ascii="Times New Roman" w:hAnsi="Times New Roman"/>
            <w:color w:val="000000" w:themeColor="text1"/>
            <w14:textFill>
              <w14:solidFill>
                <w14:schemeClr w14:val="tx1"/>
              </w14:solidFill>
            </w14:textFill>
          </w:rPr>
          <w:alias w:val="有息债务"/>
          <w:tag w:val="_GBC_c70977b4bb4a43bbb055fa1ebdfad87f"/>
          <w:id w:val="147476847"/>
          <w:placeholder>
            <w:docPart w:val="GBC22222222222222222222222222222"/>
          </w:placeholder>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35.95</w:t>
          </w:r>
        </w:sdtContent>
      </w:sdt>
      <w:sdt>
        <w:sdtPr>
          <w:rPr>
            <w:rFonts w:ascii="Times New Roman" w:hAnsi="Times New Roman"/>
            <w:color w:val="000000" w:themeColor="text1"/>
            <w14:textFill>
              <w14:solidFill>
                <w14:schemeClr w14:val="tx1"/>
              </w14:solidFill>
            </w14:textFill>
          </w:rPr>
          <w:alias w:val="单位：有息债务"/>
          <w:tag w:val="_GBC_7d102e4467984b689099515899a9116d"/>
          <w:id w:val="147467345"/>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亿元</w:t>
          </w:r>
        </w:sdtContent>
      </w:sdt>
      <w:r>
        <w:rPr>
          <w:rFonts w:ascii="Times New Roman" w:hAnsi="Times New Roman"/>
          <w:color w:val="000000" w:themeColor="text1"/>
          <w14:textFill>
            <w14:solidFill>
              <w14:schemeClr w14:val="tx1"/>
            </w14:solidFill>
          </w14:textFill>
        </w:rPr>
        <w:t>，报告期内有息债务余额同比变动</w:t>
      </w:r>
      <w:sdt>
        <w:sdtPr>
          <w:rPr>
            <w:rFonts w:ascii="Times New Roman" w:hAnsi="Times New Roman"/>
            <w:color w:val="000000" w:themeColor="text1"/>
            <w14:textFill>
              <w14:solidFill>
                <w14:schemeClr w14:val="tx1"/>
              </w14:solidFill>
            </w14:textFill>
          </w:rPr>
          <w:alias w:val="有息债务变动比例"/>
          <w:tag w:val="_GBC_5d2bce29346e4f0fa938e51afa2edcde"/>
          <w:id w:val="147475007"/>
          <w:placeholder>
            <w:docPart w:val="GBC22222222222222222222222222222"/>
          </w:placeholder>
        </w:sdtPr>
        <w:sdtEndPr>
          <w:rPr>
            <w:rFonts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103.22</w:t>
          </w:r>
        </w:sdtContent>
      </w:sdt>
      <w:r>
        <w:rPr>
          <w:rFonts w:ascii="Times New Roman" w:hAnsi="Times New Roman"/>
          <w:color w:val="000000" w:themeColor="text1"/>
          <w14:textFill>
            <w14:solidFill>
              <w14:schemeClr w14:val="tx1"/>
            </w14:solidFill>
          </w14:textFill>
        </w:rPr>
        <w:t>%。</w:t>
      </w:r>
    </w:p>
    <w:p w14:paraId="47D7A2D9">
      <w:pPr>
        <w:kinsoku w:val="0"/>
        <w:overflowPunct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有息债务"/>
          <w:tag w:val="_GBC_78dd63cff4a64eeb9f91324054e58386"/>
          <w:id w:val="147470854"/>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有息债务"/>
          <w:tag w:val="_GBC_bd96460d75e2466b9504fdc2e878f98c"/>
          <w:id w:val="1474759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6"/>
        <w:gridCol w:w="932"/>
        <w:gridCol w:w="1458"/>
        <w:gridCol w:w="1461"/>
        <w:gridCol w:w="1458"/>
        <w:gridCol w:w="1584"/>
      </w:tblGrid>
      <w:tr w14:paraId="22F0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f01df12987344659c3cecde3da1e809"/>
            <w:id w:val="147482537"/>
          </w:sdtPr>
          <w:sdtContent>
            <w:tc>
              <w:tcPr>
                <w:tcW w:w="1191" w:type="pct"/>
                <w:vMerge w:val="restart"/>
                <w:vAlign w:val="center"/>
              </w:tcPr>
              <w:p w14:paraId="7583ECFB">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有息债务类别</w:t>
                </w:r>
              </w:p>
            </w:tc>
          </w:sdtContent>
        </w:sdt>
        <w:sdt>
          <w:sdtPr>
            <w:tag w:val="_PLD_6b5533ba1ebe48559158efa77197624d"/>
            <w:id w:val="147479110"/>
          </w:sdtPr>
          <w:sdtContent>
            <w:tc>
              <w:tcPr>
                <w:tcW w:w="2127" w:type="pct"/>
                <w:gridSpan w:val="3"/>
                <w:vAlign w:val="center"/>
              </w:tcPr>
              <w:p w14:paraId="08CDB18D">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到期时间</w:t>
                </w:r>
              </w:p>
            </w:tc>
          </w:sdtContent>
        </w:sdt>
        <w:sdt>
          <w:sdtPr>
            <w:tag w:val="_PLD_296f377c4198465faa99049e3f107485"/>
            <w:id w:val="147473021"/>
          </w:sdtPr>
          <w:sdtContent>
            <w:tc>
              <w:tcPr>
                <w:tcW w:w="805" w:type="pct"/>
                <w:vMerge w:val="restart"/>
                <w:vAlign w:val="center"/>
              </w:tcPr>
              <w:p w14:paraId="75CA1D27">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金额合计</w:t>
                </w:r>
              </w:p>
            </w:tc>
          </w:sdtContent>
        </w:sdt>
        <w:tc>
          <w:tcPr>
            <w:tcW w:w="875" w:type="pct"/>
            <w:vMerge w:val="restart"/>
            <w:vAlign w:val="center"/>
          </w:tcPr>
          <w:sdt>
            <w:sdtPr>
              <w:tag w:val="_PLD_e141af3b051a4a5598f71ca45e8ab064"/>
              <w:id w:val="147459774"/>
            </w:sdtPr>
            <w:sdtContent>
              <w:p w14:paraId="4F52C78F">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金额占有息债务的占比（%）</w:t>
                </w:r>
              </w:p>
            </w:sdtContent>
          </w:sdt>
        </w:tc>
      </w:tr>
      <w:tr w14:paraId="0488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Merge w:val="continue"/>
            <w:vAlign w:val="center"/>
          </w:tcPr>
          <w:p w14:paraId="51A9592B">
            <w:pPr>
              <w:widowControl w:val="0"/>
              <w:kinsoku w:val="0"/>
              <w:overflowPunct w:val="0"/>
              <w:jc w:val="center"/>
              <w:rPr>
                <w:color w:val="000000" w:themeColor="text1"/>
                <w14:textFill>
                  <w14:solidFill>
                    <w14:schemeClr w14:val="tx1"/>
                  </w14:solidFill>
                </w14:textFill>
              </w:rPr>
            </w:pPr>
          </w:p>
        </w:tc>
        <w:sdt>
          <w:sdtPr>
            <w:tag w:val="_PLD_8f4451cba9094329842d5a5bae1d3417"/>
            <w:id w:val="147459097"/>
          </w:sdtPr>
          <w:sdtContent>
            <w:tc>
              <w:tcPr>
                <w:tcW w:w="515" w:type="pct"/>
                <w:vAlign w:val="center"/>
              </w:tcPr>
              <w:p w14:paraId="6C5E107D">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已逾期</w:t>
                </w:r>
              </w:p>
            </w:tc>
          </w:sdtContent>
        </w:sdt>
        <w:sdt>
          <w:sdtPr>
            <w:tag w:val="_PLD_e66855704f2c40f5bcb838280fcd7da2"/>
            <w:id w:val="147479358"/>
          </w:sdtPr>
          <w:sdtContent>
            <w:tc>
              <w:tcPr>
                <w:tcW w:w="805" w:type="pct"/>
                <w:vAlign w:val="center"/>
              </w:tcPr>
              <w:p w14:paraId="0856841B">
                <w:pPr>
                  <w:widowControl w:val="0"/>
                  <w:kinsoku w:val="0"/>
                  <w:overflowPunct w:val="0"/>
                  <w:jc w:val="center"/>
                  <w:rPr>
                    <w:color w:val="000000" w:themeColor="text1"/>
                    <w14:textFill>
                      <w14:solidFill>
                        <w14:schemeClr w14:val="tx1"/>
                      </w14:solidFill>
                    </w14:textFill>
                  </w:rPr>
                </w:pPr>
                <w:r>
                  <w:rPr>
                    <w:color w:val="000000" w:themeColor="text1"/>
                    <w14:textFill>
                      <w14:solidFill>
                        <w14:schemeClr w14:val="tx1"/>
                      </w14:solidFill>
                    </w14:textFill>
                  </w:rPr>
                  <w:t>1年以内</w:t>
                </w:r>
              </w:p>
              <w:p w14:paraId="424E04B2">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（含）</w:t>
                </w:r>
              </w:p>
            </w:tc>
          </w:sdtContent>
        </w:sdt>
        <w:sdt>
          <w:sdtPr>
            <w:tag w:val="_PLD_63a6e1ec465b48dda16454fa1c0fecf4"/>
            <w:id w:val="147459968"/>
          </w:sdtPr>
          <w:sdtContent>
            <w:tc>
              <w:tcPr>
                <w:tcW w:w="807" w:type="pct"/>
                <w:vAlign w:val="center"/>
              </w:tcPr>
              <w:p w14:paraId="79C25C94">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超过</w:t>
                </w:r>
                <w:r>
                  <w:rPr>
                    <w:color w:val="000000" w:themeColor="text1"/>
                    <w14:textFill>
                      <w14:solidFill>
                        <w14:schemeClr w14:val="tx1"/>
                      </w14:solidFill>
                    </w14:textFill>
                  </w:rPr>
                  <w:t>1年（不含）</w:t>
                </w:r>
              </w:p>
            </w:tc>
          </w:sdtContent>
        </w:sdt>
        <w:tc>
          <w:tcPr>
            <w:tcW w:w="805" w:type="pct"/>
            <w:vMerge w:val="continue"/>
            <w:vAlign w:val="center"/>
          </w:tcPr>
          <w:p w14:paraId="7EBC17AB">
            <w:pPr>
              <w:widowControl w:val="0"/>
              <w:kinsoku w:val="0"/>
              <w:overflowPunct w:val="0"/>
              <w:jc w:val="center"/>
              <w:rPr>
                <w:color w:val="000000" w:themeColor="text1"/>
                <w14:textFill>
                  <w14:solidFill>
                    <w14:schemeClr w14:val="tx1"/>
                  </w14:solidFill>
                </w14:textFill>
              </w:rPr>
            </w:pPr>
          </w:p>
        </w:tc>
        <w:tc>
          <w:tcPr>
            <w:tcW w:w="875" w:type="pct"/>
            <w:vMerge w:val="continue"/>
            <w:vAlign w:val="center"/>
          </w:tcPr>
          <w:p w14:paraId="73194B5F">
            <w:pPr>
              <w:widowControl w:val="0"/>
              <w:kinsoku w:val="0"/>
              <w:overflowPunct w:val="0"/>
              <w:jc w:val="center"/>
              <w:rPr>
                <w:color w:val="000000" w:themeColor="text1"/>
                <w14:textFill>
                  <w14:solidFill>
                    <w14:schemeClr w14:val="tx1"/>
                  </w14:solidFill>
                </w14:textFill>
              </w:rPr>
            </w:pPr>
          </w:p>
        </w:tc>
      </w:tr>
      <w:tr w14:paraId="6D5C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Align w:val="center"/>
          </w:tcPr>
          <w:p w14:paraId="4CCF419E">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公司信用类债券</w:t>
            </w:r>
          </w:p>
        </w:tc>
        <w:tc>
          <w:tcPr>
            <w:tcW w:w="515" w:type="pct"/>
            <w:vAlign w:val="center"/>
          </w:tcPr>
          <w:p w14:paraId="7B691C52">
            <w:pPr>
              <w:widowControl w:val="0"/>
              <w:kinsoku w:val="0"/>
              <w:overflowPunct w:val="0"/>
              <w:jc w:val="right"/>
              <w:rPr>
                <w:rFonts w:cs="Times New Roman"/>
              </w:rPr>
            </w:pPr>
          </w:p>
        </w:tc>
        <w:tc>
          <w:tcPr>
            <w:tcW w:w="805" w:type="pct"/>
            <w:vAlign w:val="center"/>
          </w:tcPr>
          <w:p w14:paraId="0185741D">
            <w:pPr>
              <w:widowControl/>
              <w:jc w:val="right"/>
              <w:textAlignment w:val="center"/>
              <w:rPr>
                <w:rFonts w:cs="Times New Roman"/>
              </w:rPr>
            </w:pPr>
            <w:r>
              <w:rPr>
                <w:rFonts w:eastAsia="等线" w:cs="Times New Roman"/>
                <w:color w:val="000000"/>
                <w:lang w:bidi="ar"/>
              </w:rPr>
              <w:t>5.01</w:t>
            </w:r>
          </w:p>
        </w:tc>
        <w:tc>
          <w:tcPr>
            <w:tcW w:w="807" w:type="pct"/>
            <w:vAlign w:val="center"/>
          </w:tcPr>
          <w:p w14:paraId="5E288F90">
            <w:pPr>
              <w:widowControl/>
              <w:jc w:val="right"/>
              <w:textAlignment w:val="center"/>
              <w:rPr>
                <w:rFonts w:cs="Times New Roman"/>
              </w:rPr>
            </w:pPr>
          </w:p>
        </w:tc>
        <w:tc>
          <w:tcPr>
            <w:tcW w:w="805" w:type="pct"/>
            <w:vAlign w:val="center"/>
          </w:tcPr>
          <w:p w14:paraId="0A6FB39D">
            <w:pPr>
              <w:widowControl/>
              <w:jc w:val="right"/>
              <w:textAlignment w:val="center"/>
              <w:rPr>
                <w:rFonts w:cs="Times New Roman"/>
              </w:rPr>
            </w:pPr>
            <w:r>
              <w:rPr>
                <w:rFonts w:eastAsia="等线" w:cs="Times New Roman"/>
                <w:color w:val="000000"/>
                <w:lang w:bidi="ar"/>
              </w:rPr>
              <w:t>5.01</w:t>
            </w:r>
          </w:p>
        </w:tc>
        <w:tc>
          <w:tcPr>
            <w:tcW w:w="875" w:type="pct"/>
            <w:vAlign w:val="center"/>
          </w:tcPr>
          <w:p w14:paraId="0522B908">
            <w:pPr>
              <w:widowControl/>
              <w:jc w:val="right"/>
              <w:textAlignment w:val="center"/>
              <w:rPr>
                <w:rFonts w:cs="Times New Roman"/>
              </w:rPr>
            </w:pPr>
            <w:r>
              <w:rPr>
                <w:rFonts w:eastAsia="等线" w:cs="Times New Roman"/>
                <w:color w:val="000000"/>
                <w:lang w:bidi="ar"/>
              </w:rPr>
              <w:t xml:space="preserve">13.94 </w:t>
            </w:r>
          </w:p>
        </w:tc>
      </w:tr>
      <w:tr w14:paraId="19E9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Align w:val="center"/>
          </w:tcPr>
          <w:p w14:paraId="5E03122B">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银行贷款</w:t>
            </w:r>
          </w:p>
        </w:tc>
        <w:tc>
          <w:tcPr>
            <w:tcW w:w="515" w:type="pct"/>
            <w:vAlign w:val="center"/>
          </w:tcPr>
          <w:p w14:paraId="0E03DBD1">
            <w:pPr>
              <w:widowControl w:val="0"/>
              <w:kinsoku w:val="0"/>
              <w:overflowPunct w:val="0"/>
              <w:jc w:val="right"/>
              <w:rPr>
                <w:rFonts w:cs="Times New Roman"/>
              </w:rPr>
            </w:pPr>
          </w:p>
        </w:tc>
        <w:tc>
          <w:tcPr>
            <w:tcW w:w="805" w:type="pct"/>
            <w:vAlign w:val="center"/>
          </w:tcPr>
          <w:p w14:paraId="004555E5">
            <w:pPr>
              <w:widowControl/>
              <w:jc w:val="right"/>
              <w:textAlignment w:val="center"/>
              <w:rPr>
                <w:rFonts w:cs="Times New Roman"/>
              </w:rPr>
            </w:pPr>
            <w:r>
              <w:rPr>
                <w:rFonts w:eastAsia="等线" w:cs="Times New Roman"/>
                <w:color w:val="000000"/>
                <w:lang w:bidi="ar"/>
              </w:rPr>
              <w:t xml:space="preserve">2.95 </w:t>
            </w:r>
          </w:p>
        </w:tc>
        <w:tc>
          <w:tcPr>
            <w:tcW w:w="807" w:type="pct"/>
            <w:vAlign w:val="center"/>
          </w:tcPr>
          <w:p w14:paraId="0184C925">
            <w:pPr>
              <w:widowControl/>
              <w:jc w:val="right"/>
              <w:textAlignment w:val="center"/>
              <w:rPr>
                <w:rFonts w:cs="Times New Roman"/>
              </w:rPr>
            </w:pPr>
            <w:r>
              <w:rPr>
                <w:rFonts w:eastAsia="等线" w:cs="Times New Roman"/>
                <w:color w:val="000000"/>
                <w:lang w:bidi="ar"/>
              </w:rPr>
              <w:t xml:space="preserve">20.19 </w:t>
            </w:r>
          </w:p>
        </w:tc>
        <w:tc>
          <w:tcPr>
            <w:tcW w:w="805" w:type="pct"/>
            <w:vAlign w:val="center"/>
          </w:tcPr>
          <w:p w14:paraId="1A2C5B4D">
            <w:pPr>
              <w:widowControl/>
              <w:jc w:val="right"/>
              <w:textAlignment w:val="center"/>
              <w:rPr>
                <w:rFonts w:cs="Times New Roman"/>
              </w:rPr>
            </w:pPr>
            <w:r>
              <w:rPr>
                <w:rFonts w:eastAsia="等线" w:cs="Times New Roman"/>
                <w:color w:val="000000"/>
                <w:lang w:bidi="ar"/>
              </w:rPr>
              <w:t xml:space="preserve">23.14 </w:t>
            </w:r>
          </w:p>
        </w:tc>
        <w:tc>
          <w:tcPr>
            <w:tcW w:w="875" w:type="pct"/>
            <w:vAlign w:val="center"/>
          </w:tcPr>
          <w:p w14:paraId="28AFFB8D">
            <w:pPr>
              <w:widowControl/>
              <w:jc w:val="right"/>
              <w:textAlignment w:val="center"/>
              <w:rPr>
                <w:rFonts w:cs="Times New Roman"/>
              </w:rPr>
            </w:pPr>
            <w:r>
              <w:rPr>
                <w:rFonts w:eastAsia="等线" w:cs="Times New Roman"/>
                <w:color w:val="000000"/>
                <w:lang w:bidi="ar"/>
              </w:rPr>
              <w:t xml:space="preserve">64.36 </w:t>
            </w:r>
          </w:p>
        </w:tc>
      </w:tr>
      <w:tr w14:paraId="294B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Align w:val="center"/>
          </w:tcPr>
          <w:p w14:paraId="170B44A7">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非银行金融机构贷款</w:t>
            </w:r>
          </w:p>
        </w:tc>
        <w:tc>
          <w:tcPr>
            <w:tcW w:w="515" w:type="pct"/>
            <w:vAlign w:val="center"/>
          </w:tcPr>
          <w:p w14:paraId="6B3362C3">
            <w:pPr>
              <w:widowControl w:val="0"/>
              <w:kinsoku w:val="0"/>
              <w:overflowPunct w:val="0"/>
              <w:jc w:val="right"/>
              <w:rPr>
                <w:rFonts w:cs="Times New Roman"/>
              </w:rPr>
            </w:pPr>
          </w:p>
        </w:tc>
        <w:tc>
          <w:tcPr>
            <w:tcW w:w="805" w:type="pct"/>
            <w:vAlign w:val="center"/>
          </w:tcPr>
          <w:p w14:paraId="1F46EFE5">
            <w:pPr>
              <w:widowControl/>
              <w:jc w:val="right"/>
              <w:textAlignment w:val="center"/>
              <w:rPr>
                <w:rFonts w:cs="Times New Roman"/>
              </w:rPr>
            </w:pPr>
            <w:r>
              <w:rPr>
                <w:rFonts w:eastAsia="等线" w:cs="Times New Roman"/>
                <w:color w:val="000000"/>
                <w:lang w:bidi="ar"/>
              </w:rPr>
              <w:t xml:space="preserve">0.09 </w:t>
            </w:r>
          </w:p>
        </w:tc>
        <w:tc>
          <w:tcPr>
            <w:tcW w:w="807" w:type="pct"/>
            <w:vAlign w:val="center"/>
          </w:tcPr>
          <w:p w14:paraId="2A40F02B">
            <w:pPr>
              <w:widowControl/>
              <w:jc w:val="right"/>
              <w:textAlignment w:val="center"/>
              <w:rPr>
                <w:rFonts w:cs="Times New Roman"/>
              </w:rPr>
            </w:pPr>
            <w:r>
              <w:rPr>
                <w:rFonts w:eastAsia="等线" w:cs="Times New Roman"/>
                <w:color w:val="000000"/>
                <w:lang w:bidi="ar"/>
              </w:rPr>
              <w:t xml:space="preserve">4.96 </w:t>
            </w:r>
          </w:p>
        </w:tc>
        <w:tc>
          <w:tcPr>
            <w:tcW w:w="805" w:type="pct"/>
            <w:vAlign w:val="center"/>
          </w:tcPr>
          <w:p w14:paraId="27E47242">
            <w:pPr>
              <w:widowControl/>
              <w:jc w:val="right"/>
              <w:textAlignment w:val="center"/>
              <w:rPr>
                <w:rFonts w:cs="Times New Roman"/>
              </w:rPr>
            </w:pPr>
            <w:r>
              <w:rPr>
                <w:rFonts w:eastAsia="等线" w:cs="Times New Roman"/>
                <w:color w:val="000000"/>
                <w:lang w:bidi="ar"/>
              </w:rPr>
              <w:t xml:space="preserve">5.05 </w:t>
            </w:r>
          </w:p>
        </w:tc>
        <w:tc>
          <w:tcPr>
            <w:tcW w:w="875" w:type="pct"/>
            <w:vAlign w:val="center"/>
          </w:tcPr>
          <w:p w14:paraId="1F408A48">
            <w:pPr>
              <w:widowControl/>
              <w:jc w:val="right"/>
              <w:textAlignment w:val="center"/>
              <w:rPr>
                <w:rFonts w:cs="Times New Roman"/>
              </w:rPr>
            </w:pPr>
            <w:r>
              <w:rPr>
                <w:rFonts w:eastAsia="等线" w:cs="Times New Roman"/>
                <w:color w:val="000000"/>
                <w:lang w:bidi="ar"/>
              </w:rPr>
              <w:t xml:space="preserve">14.05 </w:t>
            </w:r>
          </w:p>
        </w:tc>
      </w:tr>
      <w:tr w14:paraId="310E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Align w:val="center"/>
          </w:tcPr>
          <w:p w14:paraId="7DA8F8E9">
            <w:pPr>
              <w:widowControl w:val="0"/>
              <w:kinsoku w:val="0"/>
              <w:overflowPunct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其他有息债务</w:t>
            </w:r>
          </w:p>
        </w:tc>
        <w:tc>
          <w:tcPr>
            <w:tcW w:w="515" w:type="pct"/>
            <w:vAlign w:val="center"/>
          </w:tcPr>
          <w:p w14:paraId="285D51F4">
            <w:pPr>
              <w:widowControl w:val="0"/>
              <w:kinsoku w:val="0"/>
              <w:overflowPunct w:val="0"/>
              <w:jc w:val="right"/>
              <w:rPr>
                <w:rFonts w:cs="Times New Roman"/>
              </w:rPr>
            </w:pPr>
          </w:p>
        </w:tc>
        <w:tc>
          <w:tcPr>
            <w:tcW w:w="805" w:type="pct"/>
            <w:vAlign w:val="center"/>
          </w:tcPr>
          <w:p w14:paraId="1994B8EB">
            <w:pPr>
              <w:widowControl/>
              <w:jc w:val="right"/>
              <w:textAlignment w:val="center"/>
              <w:rPr>
                <w:rFonts w:cs="Times New Roman"/>
              </w:rPr>
            </w:pPr>
            <w:r>
              <w:rPr>
                <w:rFonts w:eastAsia="等线" w:cs="Times New Roman"/>
                <w:color w:val="000000"/>
                <w:lang w:bidi="ar"/>
              </w:rPr>
              <w:t xml:space="preserve">2.75 </w:t>
            </w:r>
          </w:p>
        </w:tc>
        <w:tc>
          <w:tcPr>
            <w:tcW w:w="807" w:type="pct"/>
            <w:vAlign w:val="center"/>
          </w:tcPr>
          <w:p w14:paraId="6378F50F">
            <w:pPr>
              <w:widowControl/>
              <w:jc w:val="right"/>
              <w:textAlignment w:val="center"/>
              <w:rPr>
                <w:rFonts w:cs="Times New Roman"/>
              </w:rPr>
            </w:pPr>
            <w:r>
              <w:rPr>
                <w:rFonts w:eastAsia="等线" w:cs="Times New Roman"/>
                <w:color w:val="000000"/>
                <w:lang w:bidi="ar"/>
              </w:rPr>
              <w:t xml:space="preserve">   </w:t>
            </w:r>
          </w:p>
        </w:tc>
        <w:tc>
          <w:tcPr>
            <w:tcW w:w="805" w:type="pct"/>
            <w:vAlign w:val="center"/>
          </w:tcPr>
          <w:p w14:paraId="20063200">
            <w:pPr>
              <w:widowControl/>
              <w:jc w:val="right"/>
              <w:textAlignment w:val="center"/>
              <w:rPr>
                <w:rFonts w:cs="Times New Roman"/>
              </w:rPr>
            </w:pPr>
            <w:r>
              <w:rPr>
                <w:rFonts w:eastAsia="等线" w:cs="Times New Roman"/>
                <w:color w:val="000000"/>
                <w:lang w:bidi="ar"/>
              </w:rPr>
              <w:t xml:space="preserve">2.75 </w:t>
            </w:r>
          </w:p>
        </w:tc>
        <w:tc>
          <w:tcPr>
            <w:tcW w:w="875" w:type="pct"/>
            <w:vAlign w:val="center"/>
          </w:tcPr>
          <w:p w14:paraId="126AD957">
            <w:pPr>
              <w:widowControl/>
              <w:jc w:val="right"/>
              <w:textAlignment w:val="center"/>
              <w:rPr>
                <w:rFonts w:cs="Times New Roman"/>
              </w:rPr>
            </w:pPr>
            <w:r>
              <w:rPr>
                <w:rFonts w:eastAsia="等线" w:cs="Times New Roman"/>
                <w:color w:val="000000"/>
                <w:lang w:bidi="ar"/>
              </w:rPr>
              <w:t xml:space="preserve">7.65 </w:t>
            </w:r>
          </w:p>
        </w:tc>
      </w:tr>
      <w:tr w14:paraId="2CD2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Align w:val="center"/>
          </w:tcPr>
          <w:p w14:paraId="7C8BB793">
            <w:pPr>
              <w:widowControl w:val="0"/>
              <w:kinsoku w:val="0"/>
              <w:overflowPunct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15" w:type="pct"/>
            <w:vAlign w:val="center"/>
          </w:tcPr>
          <w:p w14:paraId="27601CD6">
            <w:pPr>
              <w:widowControl w:val="0"/>
              <w:kinsoku w:val="0"/>
              <w:overflowPunct w:val="0"/>
              <w:jc w:val="right"/>
              <w:rPr>
                <w:rFonts w:cs="Times New Roman"/>
              </w:rPr>
            </w:pPr>
          </w:p>
        </w:tc>
        <w:tc>
          <w:tcPr>
            <w:tcW w:w="805" w:type="pct"/>
            <w:vAlign w:val="center"/>
          </w:tcPr>
          <w:p w14:paraId="19A2AE37">
            <w:pPr>
              <w:widowControl/>
              <w:jc w:val="right"/>
              <w:textAlignment w:val="center"/>
              <w:rPr>
                <w:rFonts w:cs="Times New Roman"/>
              </w:rPr>
            </w:pPr>
            <w:r>
              <w:rPr>
                <w:rFonts w:eastAsia="等线" w:cs="Times New Roman"/>
                <w:color w:val="000000"/>
                <w:lang w:bidi="ar"/>
              </w:rPr>
              <w:t xml:space="preserve">10.80 </w:t>
            </w:r>
          </w:p>
        </w:tc>
        <w:tc>
          <w:tcPr>
            <w:tcW w:w="807" w:type="pct"/>
            <w:vAlign w:val="center"/>
          </w:tcPr>
          <w:p w14:paraId="03EB3143">
            <w:pPr>
              <w:widowControl/>
              <w:jc w:val="right"/>
              <w:textAlignment w:val="center"/>
              <w:rPr>
                <w:rFonts w:cs="Times New Roman"/>
              </w:rPr>
            </w:pPr>
            <w:r>
              <w:rPr>
                <w:rFonts w:eastAsia="等线" w:cs="Times New Roman"/>
                <w:color w:val="000000"/>
                <w:lang w:bidi="ar"/>
              </w:rPr>
              <w:t xml:space="preserve">25.15 </w:t>
            </w:r>
          </w:p>
        </w:tc>
        <w:tc>
          <w:tcPr>
            <w:tcW w:w="805" w:type="pct"/>
            <w:vAlign w:val="center"/>
          </w:tcPr>
          <w:p w14:paraId="549E141D">
            <w:pPr>
              <w:widowControl/>
              <w:jc w:val="right"/>
              <w:textAlignment w:val="center"/>
              <w:rPr>
                <w:rFonts w:cs="Times New Roman"/>
              </w:rPr>
            </w:pPr>
            <w:r>
              <w:rPr>
                <w:rFonts w:eastAsia="等线" w:cs="Times New Roman"/>
                <w:color w:val="000000"/>
                <w:lang w:bidi="ar"/>
              </w:rPr>
              <w:t xml:space="preserve">35.95 </w:t>
            </w:r>
          </w:p>
        </w:tc>
        <w:tc>
          <w:tcPr>
            <w:tcW w:w="875" w:type="pct"/>
            <w:vAlign w:val="center"/>
          </w:tcPr>
          <w:p w14:paraId="4D32F98B">
            <w:pPr>
              <w:widowControl w:val="0"/>
              <w:kinsoku w:val="0"/>
              <w:overflowPunct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5CDFFCBA">
      <w:pPr>
        <w:rPr>
          <w:color w:val="000000" w:themeColor="text1"/>
          <w14:textFill>
            <w14:solidFill>
              <w14:schemeClr w14:val="tx1"/>
            </w14:solidFill>
          </w14:textFill>
        </w:rPr>
      </w:pPr>
    </w:p>
    <w:p w14:paraId="2B60CCB3">
      <w:pPr>
        <w:ind w:firstLine="525" w:firstLineChars="25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报告期末，公司合并口径存续的公司信用类债券中，公司债券余额</w:t>
      </w:r>
      <w:sdt>
        <w:sdtPr>
          <w:rPr>
            <w:rFonts w:hint="eastAsia"/>
            <w:color w:val="000000" w:themeColor="text1"/>
            <w14:textFill>
              <w14:solidFill>
                <w14:schemeClr w14:val="tx1"/>
              </w14:solidFill>
            </w14:textFill>
          </w:rPr>
          <w:alias w:val="公司信用类债券中公司债券余额"/>
          <w:tag w:val="_GBC_afd8c63d566b4f6ca50e8f1240387d49"/>
          <w:id w:val="147482557"/>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有息债务"/>
          <w:tag w:val="_GBC_6b44394c25d24bf996fc8c3099d322c9"/>
          <w:id w:val="147468752"/>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，企业债券余额</w:t>
      </w:r>
      <w:sdt>
        <w:sdtPr>
          <w:rPr>
            <w:rFonts w:hint="eastAsia"/>
            <w:color w:val="000000" w:themeColor="text1"/>
            <w14:textFill>
              <w14:solidFill>
                <w14:schemeClr w14:val="tx1"/>
              </w14:solidFill>
            </w14:textFill>
          </w:rPr>
          <w:alias w:val="公司信用类债券中企业债券余额"/>
          <w:tag w:val="_GBC_3843c89a14db43019945efd3e33c0011"/>
          <w:id w:val="147457482"/>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有息债务"/>
          <w:tag w:val="_GBC_95da1cc3b8f047d09fe0a8279291c318"/>
          <w:id w:val="147469200"/>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，非金融企业债务融资工具余额</w:t>
      </w:r>
      <w:sdt>
        <w:sdtPr>
          <w:rPr>
            <w:rFonts w:hint="eastAsia"/>
            <w:color w:val="000000" w:themeColor="text1"/>
            <w14:textFill>
              <w14:solidFill>
                <w14:schemeClr w14:val="tx1"/>
              </w14:solidFill>
            </w14:textFill>
          </w:rPr>
          <w:alias w:val="公司信用类债券中非金融企业债务融资工具余额"/>
          <w:tag w:val="_GBC_32eb8fe545914e11be3670bebc0a7e29"/>
          <w:id w:val="147467313"/>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5.01</w:t>
          </w:r>
        </w:sdtContent>
      </w:sdt>
      <w:sdt>
        <w:sdtPr>
          <w:rPr>
            <w:rFonts w:hint="eastAsia"/>
            <w:color w:val="000000" w:themeColor="text1"/>
            <w14:textFill>
              <w14:solidFill>
                <w14:schemeClr w14:val="tx1"/>
              </w14:solidFill>
            </w14:textFill>
          </w:rPr>
          <w:alias w:val="单位：有息债务"/>
          <w:tag w:val="_GBC_f554d7b07e8d43bbbc81f8ae4605ac7d"/>
          <w:id w:val="147455814"/>
          <w:placeholder>
            <w:docPart w:val="GBC22222222222222222222222222222"/>
          </w:placeholder>
          <w:dataBinding w:prefixMappings="xmlns:bond='bond'" w:xpath="/*/bond:DanWeiYouXiZhaiWu[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w:t>
      </w:r>
    </w:p>
    <w:p w14:paraId="526F462E">
      <w:pPr>
        <w:rPr>
          <w:color w:val="000000" w:themeColor="text1"/>
          <w14:textFill>
            <w14:solidFill>
              <w14:schemeClr w14:val="tx1"/>
            </w14:solidFill>
          </w14:textFill>
        </w:rPr>
      </w:pPr>
    </w:p>
    <w:bookmarkEnd w:id="130"/>
    <w:p w14:paraId="736078FD">
      <w:pPr>
        <w:pStyle w:val="63"/>
        <w:numPr>
          <w:ilvl w:val="0"/>
          <w:numId w:val="41"/>
        </w:numPr>
        <w:ind w:left="420" w:firstLineChars="0"/>
        <w:outlineLvl w:val="5"/>
        <w:rPr>
          <w:b/>
          <w:color w:val="000000" w:themeColor="text1"/>
          <w14:textFill>
            <w14:solidFill>
              <w14:schemeClr w14:val="tx1"/>
            </w14:solidFill>
          </w14:textFill>
        </w:rPr>
      </w:pPr>
      <w:r>
        <w:rPr>
          <w:rFonts w:hint="eastAsia"/>
          <w:b/>
          <w:color w:val="000000" w:themeColor="text1"/>
          <w14:textFill>
            <w14:solidFill>
              <w14:schemeClr w14:val="tx1"/>
            </w14:solidFill>
          </w14:textFill>
        </w:rPr>
        <w:t>境外债券情况</w:t>
      </w:r>
    </w:p>
    <w:p w14:paraId="4D0A65AF">
      <w:pPr>
        <w:ind w:firstLine="420" w:firstLineChars="200"/>
      </w:pPr>
      <w:r>
        <w:rPr>
          <w:rFonts w:hint="eastAsia"/>
          <w:color w:val="000000" w:themeColor="text1"/>
          <w14:textFill>
            <w14:solidFill>
              <w14:schemeClr w14:val="tx1"/>
            </w14:solidFill>
          </w14:textFill>
        </w:rPr>
        <w:t>截止报告期末，公司合并报表范围内发行的境外债券余额</w:t>
      </w:r>
      <w:sdt>
        <w:sdtPr>
          <w:rPr>
            <w:rFonts w:hint="eastAsia"/>
            <w:color w:val="000000" w:themeColor="text1"/>
            <w14:textFill>
              <w14:solidFill>
                <w14:schemeClr w14:val="tx1"/>
              </w14:solidFill>
            </w14:textFill>
          </w:rPr>
          <w:alias w:val="境外债券"/>
          <w:tag w:val="_GBC_afb4d168938544c3a82db96e007d8a2f"/>
          <w:id w:val="147474091"/>
          <w:placeholder>
            <w:docPart w:val="GBC22222222222222222222222222222"/>
          </w:placeholder>
          <w:dataBinding w:prefixMappings="xmlns:bond='bond'" w:xpath="/*/bond:JingWaiZhaiQuan[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sdt>
        <w:sdtPr>
          <w:rPr>
            <w:rFonts w:hint="eastAsia"/>
            <w:color w:val="000000" w:themeColor="text1"/>
            <w14:textFill>
              <w14:solidFill>
                <w14:schemeClr w14:val="tx1"/>
              </w14:solidFill>
            </w14:textFill>
          </w:rPr>
          <w:alias w:val="单位：发行人境外市场发行债券"/>
          <w:tag w:val="_GBC_4968d9e540e44414b345d17103fde1f7"/>
          <w:id w:val="147458010"/>
          <w:placeholder>
            <w:docPart w:val="GBC22222222222222222222222222222"/>
          </w:placeholder>
          <w:dataBinding w:prefixMappings="xmlns:bond='bond'" w:xpath="/*/bond:DanWeiFaXingRenJingWaiShiChangFaXingZhaiQuan[not(@periodRef)]" w:storeItemID="{89EBAB94-44A0-46A2-B712-30D997D04A6D}"/>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亿元</w:t>
          </w:r>
        </w:sdtContent>
      </w:sdt>
      <w:sdt>
        <w:sdtPr>
          <w:rPr>
            <w:rFonts w:hint="eastAsia"/>
            <w:color w:val="000000" w:themeColor="text1"/>
            <w14:textFill>
              <w14:solidFill>
                <w14:schemeClr w14:val="tx1"/>
              </w14:solidFill>
            </w14:textFill>
          </w:rPr>
          <w:alias w:val="币种：发行人境外市场发行债券"/>
          <w:tag w:val="_GBC_0dd954c100414c9e8a625f5767bd5682"/>
          <w:id w:val="147468869"/>
          <w:placeholder>
            <w:docPart w:val="GBC22222222222222222222222222222"/>
          </w:placeholder>
          <w:dataBinding w:prefixMappings="xmlns:bond='bond'" w:xpath="/*/bond:BiZhongFaXingRenJingWaiShiChangFaXingZhaiQuan[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bookmarkStart w:id="131" w:name="_Hlk200553537"/>
      <w:bookmarkStart w:id="132" w:name="_Hlk200703962"/>
      <w:r>
        <w:rPr>
          <w:rFonts w:hint="eastAsia"/>
        </w:rPr>
        <w:t>其中1年以内（含）到期本金规模为</w:t>
      </w:r>
      <w:sdt>
        <w:sdtPr>
          <w:rPr>
            <w:rFonts w:hint="eastAsia"/>
          </w:rPr>
          <w:alias w:val="一年内到期的境外债券"/>
          <w:tag w:val="_GBC_4b3f56a73f674beea2fba7c2ebf58ce5"/>
          <w:id w:val="147459312"/>
          <w:placeholder>
            <w:docPart w:val="GBC22222222222222222222222222222"/>
          </w:placeholder>
        </w:sdtPr>
        <w:sdtEndPr>
          <w:rPr>
            <w:rFonts w:hint="eastAsia"/>
          </w:rPr>
        </w:sdtEndPr>
        <w:sdtContent>
          <w:r>
            <w:rPr>
              <w:rFonts w:hint="eastAsia"/>
            </w:rPr>
            <w:t>0</w:t>
          </w:r>
        </w:sdtContent>
      </w:sdt>
      <w:sdt>
        <w:sdtPr>
          <w:rPr>
            <w:rFonts w:hint="eastAsia"/>
          </w:rPr>
          <w:alias w:val="单位：发行人境外市场发行债券"/>
          <w:tag w:val="_GBC_f7d0da6a3e4f41c99a830a728c8d4bf6"/>
          <w:id w:val="147473340"/>
          <w:placeholder>
            <w:docPart w:val="GBC22222222222222222222222222222"/>
          </w:placeholder>
          <w:dataBinding w:prefixMappings="xmlns:bond='bond'" w:xpath="/*/bond:DanWeiFaXingRenJingWaiShiChangFaXingZhaiQuan[not(@periodRef)]" w:storeItemID="{89EBAB94-44A0-46A2-B712-30D997D04A6D}"/>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亿元</w:t>
          </w:r>
        </w:sdtContent>
      </w:sdt>
      <w:sdt>
        <w:sdtPr>
          <w:rPr>
            <w:rFonts w:hint="eastAsia"/>
          </w:rPr>
          <w:alias w:val="币种：发行人境外市场发行债券"/>
          <w:tag w:val="_GBC_551d60ccf91c4291b7003b867723dcd2"/>
          <w:id w:val="1474593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r>
        <w:rPr>
          <w:rFonts w:hint="eastAsia"/>
        </w:rPr>
        <w:t>。</w:t>
      </w:r>
      <w:bookmarkEnd w:id="131"/>
    </w:p>
    <w:p w14:paraId="15D88400">
      <w:pPr>
        <w:rPr>
          <w:color w:val="000000" w:themeColor="text1"/>
          <w14:textFill>
            <w14:solidFill>
              <w14:schemeClr w14:val="tx1"/>
            </w14:solidFill>
          </w14:textFill>
        </w:rPr>
      </w:pPr>
    </w:p>
    <w:bookmarkEnd w:id="132"/>
    <w:p w14:paraId="6DC5D1E5">
      <w:pPr>
        <w:pStyle w:val="59"/>
        <w:numPr>
          <w:ilvl w:val="0"/>
          <w:numId w:val="40"/>
        </w:numPr>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报告期末公司及其子公司存在逾期金额超过1000万元的有息债务或者公司信用类债券逾期情况</w:t>
      </w:r>
    </w:p>
    <w:sdt>
      <w:sdtPr>
        <w:rPr>
          <w:color w:val="000000" w:themeColor="text1"/>
          <w14:textFill>
            <w14:solidFill>
              <w14:schemeClr w14:val="tx1"/>
            </w14:solidFill>
          </w14:textFill>
        </w:rPr>
        <w:alias w:val="是否适用：逾期金额较大的有息债务或者公司信用类债券逾期[双击切换]"/>
        <w:tag w:val="_GBC_417a5ca9f1d5453481794d3a0ce950a7"/>
        <w:id w:val="147480578"/>
        <w:placeholder>
          <w:docPart w:val="GBC22222222222222222222222222222"/>
        </w:placeholder>
      </w:sdtPr>
      <w:sdtEndPr>
        <w:rPr>
          <w:color w:val="000000" w:themeColor="text1"/>
          <w14:textFill>
            <w14:solidFill>
              <w14:schemeClr w14:val="tx1"/>
            </w14:solidFill>
          </w14:textFill>
        </w:rPr>
      </w:sdtEndPr>
      <w:sdtContent>
        <w:p w14:paraId="506782A9">
          <w:pPr>
            <w:kinsoku w:val="0"/>
            <w:overflowPunct w:val="0"/>
            <w:spacing w:before="120" w:beforeLines="50" w:after="120" w:afterLine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0A3974B">
      <w:pPr>
        <w:pStyle w:val="59"/>
        <w:numPr>
          <w:ilvl w:val="0"/>
          <w:numId w:val="40"/>
        </w:numPr>
        <w:rPr>
          <w:color w:val="000000" w:themeColor="text1"/>
          <w14:textFill>
            <w14:solidFill>
              <w14:schemeClr w14:val="tx1"/>
            </w14:solidFill>
          </w14:textFill>
        </w:rPr>
      </w:pPr>
      <w:r>
        <w:rPr>
          <w:rFonts w:hint="eastAsia"/>
          <w:color w:val="000000" w:themeColor="text1"/>
          <w14:textFill>
            <w14:solidFill>
              <w14:schemeClr w14:val="tx1"/>
            </w14:solidFill>
          </w14:textFill>
        </w:rPr>
        <w:t>可对抗第三人的优先偿付负债情况</w:t>
      </w:r>
    </w:p>
    <w:p w14:paraId="75099751">
      <w:pPr>
        <w:spacing w:before="120" w:beforeLines="50" w:after="120" w:afterLines="50"/>
        <w:rPr>
          <w:color w:val="000000" w:themeColor="text1"/>
          <w14:textFill>
            <w14:solidFill>
              <w14:schemeClr w14:val="tx1"/>
            </w14:solidFill>
          </w14:textFill>
        </w:rPr>
      </w:pPr>
      <w:r>
        <w:rPr>
          <w:color w:val="000000" w:themeColor="text1"/>
          <w14:textFill>
            <w14:solidFill>
              <w14:schemeClr w14:val="tx1"/>
            </w14:solidFill>
          </w14:textFill>
        </w:rPr>
        <w:t>截至报告期末</w:t>
      </w:r>
      <w:r>
        <w:rPr>
          <w:rFonts w:hint="eastAsia"/>
          <w:color w:val="000000" w:themeColor="text1"/>
          <w14:textFill>
            <w14:solidFill>
              <w14:schemeClr w14:val="tx1"/>
            </w14:solidFill>
          </w14:textFill>
        </w:rPr>
        <w:t>，公司合并报表范围内存在</w:t>
      </w:r>
      <w:r>
        <w:rPr>
          <w:color w:val="000000" w:themeColor="text1"/>
          <w14:textFill>
            <w14:solidFill>
              <w14:schemeClr w14:val="tx1"/>
            </w14:solidFill>
          </w14:textFill>
        </w:rPr>
        <w:t>可对抗第三人的优先偿付负债</w:t>
      </w:r>
      <w:r>
        <w:rPr>
          <w:rFonts w:hint="eastAsia"/>
          <w:color w:val="000000" w:themeColor="text1"/>
          <w14:textFill>
            <w14:solidFill>
              <w14:schemeClr w14:val="tx1"/>
            </w14:solidFill>
          </w14:textFill>
        </w:rPr>
        <w:t>：</w:t>
      </w:r>
    </w:p>
    <w:sdt>
      <w:sdtPr>
        <w:rPr>
          <w:rFonts w:hint="eastAsia"/>
          <w:color w:val="000000" w:themeColor="text1"/>
          <w14:textFill>
            <w14:solidFill>
              <w14:schemeClr w14:val="tx1"/>
            </w14:solidFill>
          </w14:textFill>
        </w:rPr>
        <w:alias w:val="是否适用：可对抗第三人的优先偿付负债情况[双击切换]"/>
        <w:tag w:val="_GBC_a48d3a8bca9d48c888f8b7f2142ae0d6"/>
        <w:id w:val="147467937"/>
        <w:placeholder>
          <w:docPart w:val="GBC22222222222222222222222222222"/>
        </w:placeholder>
      </w:sdtPr>
      <w:sdtEndPr>
        <w:rPr>
          <w:rFonts w:hint="eastAsia"/>
          <w:color w:val="000000" w:themeColor="text1"/>
          <w14:textFill>
            <w14:solidFill>
              <w14:schemeClr w14:val="tx1"/>
            </w14:solidFill>
          </w14:textFill>
        </w:rPr>
      </w:sdtEndPr>
      <w:sdtContent>
        <w:p w14:paraId="36837406">
          <w:pPr>
            <w:spacing w:before="120" w:beforeLines="50" w:after="120" w:afterLines="50"/>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29"/>
    <w:p w14:paraId="2BD15946">
      <w:pPr>
        <w:pStyle w:val="59"/>
        <w:numPr>
          <w:ilvl w:val="0"/>
          <w:numId w:val="40"/>
        </w:numPr>
        <w:rPr>
          <w:color w:val="000000" w:themeColor="text1"/>
          <w14:textFill>
            <w14:solidFill>
              <w14:schemeClr w14:val="tx1"/>
            </w14:solidFill>
          </w14:textFill>
        </w:rPr>
      </w:pPr>
      <w:bookmarkStart w:id="133" w:name="_Hlk89434062"/>
      <w:r>
        <w:rPr>
          <w:rFonts w:hint="eastAsia"/>
          <w:color w:val="000000" w:themeColor="text1"/>
          <w14:textFill>
            <w14:solidFill>
              <w14:schemeClr w14:val="tx1"/>
            </w14:solidFill>
          </w14:textFill>
        </w:rPr>
        <w:t>违反规定及约定情况</w:t>
      </w:r>
    </w:p>
    <w:p w14:paraId="7AB2C77F">
      <w:pPr>
        <w:rPr>
          <w:rFonts w:ascii="宋体" w:hAnsi="宋体"/>
          <w:szCs w:val="24"/>
        </w:rPr>
      </w:pPr>
      <w:r>
        <w:rPr>
          <w:rFonts w:ascii="宋体" w:hAnsi="宋体"/>
          <w:szCs w:val="24"/>
        </w:rPr>
        <w:t>报告期内</w:t>
      </w:r>
      <w:r>
        <w:t>违反</w:t>
      </w:r>
      <w:r>
        <w:rPr>
          <w:rFonts w:hint="eastAsia"/>
        </w:rPr>
        <w:t>法律法规、自律</w:t>
      </w:r>
      <w:r>
        <w:t>规则</w:t>
      </w:r>
      <w:r>
        <w:rPr>
          <w:rFonts w:hint="eastAsia"/>
        </w:rPr>
        <w:t>、公司章程、信息披露事务管理制度等规定以及债券募集说明书约定或承诺的情况，以及相关</w:t>
      </w:r>
      <w:r>
        <w:t>情况</w:t>
      </w:r>
      <w:r>
        <w:rPr>
          <w:rFonts w:hint="eastAsia"/>
        </w:rPr>
        <w:t>对债券投资者权益的影响</w:t>
      </w:r>
    </w:p>
    <w:sdt>
      <w:sdtPr>
        <w:rPr>
          <w:rFonts w:ascii="Arial" w:hAnsi="Arial" w:cs="Times New Roman"/>
          <w:bCs w:val="0"/>
          <w:kern w:val="2"/>
        </w:rPr>
        <w:alias w:val="是否适用：报告期内违反情况以及对债券投资者权益的影响 [双击切换]"/>
        <w:tag w:val="_GBC_46856cea96874e4584d17d3d568d3708"/>
        <w:id w:val="147468204"/>
        <w:placeholder>
          <w:docPart w:val="GBC22222222222222222222222222222"/>
        </w:placeholder>
      </w:sdtPr>
      <w:sdtEndPr>
        <w:rPr>
          <w:rFonts w:ascii="Arial" w:hAnsi="Arial" w:cs="Times New Roman"/>
          <w:bCs w:val="0"/>
          <w:kern w:val="2"/>
        </w:rPr>
      </w:sdtEndPr>
      <w:sdtContent>
        <w:p w14:paraId="25FD1845">
          <w:pPr>
            <w:rPr>
              <w:rFonts w:cs="Times New Roman"/>
              <w:bCs w:val="0"/>
              <w:kern w:val="2"/>
            </w:rPr>
          </w:pPr>
          <w:r>
            <w:rPr>
              <w:rFonts w:ascii="宋体" w:hAnsi="宋体" w:cs="Times New Roman"/>
              <w:bCs w:val="0"/>
              <w:kern w:val="2"/>
            </w:rPr>
            <w:fldChar w:fldCharType="begin"/>
          </w:r>
          <w:r>
            <w:rPr>
              <w:rFonts w:hint="eastAsia" w:ascii="宋体" w:hAnsi="宋体" w:cs="Times New Roman"/>
              <w:bCs w:val="0"/>
              <w:kern w:val="2"/>
            </w:rPr>
            <w:instrText xml:space="preserve"> MACROBUTTON  SnrToggleCheckbox □适用 </w:instrText>
          </w:r>
          <w:r>
            <w:rPr>
              <w:rFonts w:ascii="宋体" w:hAnsi="宋体" w:cs="Times New Roman"/>
              <w:bCs w:val="0"/>
              <w:kern w:val="2"/>
            </w:rPr>
            <w:fldChar w:fldCharType="end"/>
          </w:r>
          <w:r>
            <w:rPr>
              <w:rFonts w:ascii="宋体" w:hAnsi="宋体" w:cs="Times New Roman"/>
              <w:bCs w:val="0"/>
              <w:kern w:val="2"/>
            </w:rPr>
            <w:fldChar w:fldCharType="begin"/>
          </w:r>
          <w:r>
            <w:rPr>
              <w:rFonts w:hint="eastAsia" w:ascii="宋体" w:hAnsi="宋体" w:cs="Times New Roman"/>
              <w:bCs w:val="0"/>
              <w:kern w:val="2"/>
            </w:rPr>
            <w:instrText xml:space="preserve"> MACROBUTTON  SnrToggleCheckbox √不适用 </w:instrText>
          </w:r>
          <w:r>
            <w:rPr>
              <w:rFonts w:ascii="宋体" w:hAnsi="宋体" w:cs="Times New Roman"/>
              <w:bCs w:val="0"/>
              <w:kern w:val="2"/>
            </w:rPr>
            <w:fldChar w:fldCharType="end"/>
          </w:r>
        </w:p>
      </w:sdtContent>
    </w:sdt>
    <w:bookmarkEnd w:id="133"/>
    <w:p w14:paraId="45C1AFC5">
      <w:pPr>
        <w:rPr>
          <w:color w:val="000000" w:themeColor="text1"/>
          <w14:textFill>
            <w14:solidFill>
              <w14:schemeClr w14:val="tx1"/>
            </w14:solidFill>
          </w14:textFill>
        </w:rPr>
      </w:pPr>
    </w:p>
    <w:p w14:paraId="42222E1F">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5E903CDC">
      <w:pPr>
        <w:rPr>
          <w:color w:val="000000" w:themeColor="text1"/>
          <w14:textFill>
            <w14:solidFill>
              <w14:schemeClr w14:val="tx1"/>
            </w14:solidFill>
          </w14:textFill>
        </w:rPr>
      </w:pPr>
    </w:p>
    <w:p w14:paraId="542B22B3">
      <w:pPr>
        <w:pStyle w:val="57"/>
        <w:numPr>
          <w:ilvl w:val="0"/>
          <w:numId w:val="3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银行间债券市场非金融企业债务融资工具</w:t>
      </w:r>
    </w:p>
    <w:sdt>
      <w:sdtPr>
        <w:rPr>
          <w:rFonts w:hint="eastAsia"/>
          <w:color w:val="000000" w:themeColor="text1"/>
          <w14:textFill>
            <w14:solidFill>
              <w14:schemeClr w14:val="tx1"/>
            </w14:solidFill>
          </w14:textFill>
        </w:rPr>
        <w:alias w:val="是否适用：银行间债券市场非金融企业债务融资工具相关情况[双击切换]"/>
        <w:tag w:val="_GBC_26e1b928d11c47bfad361d998e446706"/>
        <w:id w:val="147480873"/>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14:paraId="2BF2322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C74AA6">
      <w:pPr>
        <w:pStyle w:val="58"/>
        <w:numPr>
          <w:ilvl w:val="0"/>
          <w:numId w:val="42"/>
        </w:numPr>
        <w:rPr>
          <w:rFonts w:ascii="宋体" w:hAnsi="宋体" w:cs="宋体"/>
          <w:color w:val="000000" w:themeColor="text1"/>
          <w:kern w:val="0"/>
          <w:szCs w:val="24"/>
          <w14:textFill>
            <w14:solidFill>
              <w14:schemeClr w14:val="tx1"/>
            </w14:solidFill>
          </w14:textFill>
        </w:rPr>
      </w:pPr>
      <w:bookmarkStart w:id="134" w:name="_Hlk74747055"/>
      <w:r>
        <w:rPr>
          <w:rFonts w:ascii="宋体" w:hAnsi="宋体" w:cs="宋体"/>
          <w:color w:val="000000" w:themeColor="text1"/>
          <w:kern w:val="0"/>
          <w:szCs w:val="24"/>
          <w14:textFill>
            <w14:solidFill>
              <w14:schemeClr w14:val="tx1"/>
            </w14:solidFill>
          </w14:textFill>
        </w:rPr>
        <w:t>非金融企业债务融资工具</w:t>
      </w:r>
      <w:r>
        <w:rPr>
          <w:rFonts w:hint="eastAsia" w:ascii="宋体" w:hAnsi="宋体" w:cs="宋体"/>
          <w:color w:val="000000" w:themeColor="text1"/>
          <w:kern w:val="0"/>
          <w:szCs w:val="24"/>
          <w14:textFill>
            <w14:solidFill>
              <w14:schemeClr w14:val="tx1"/>
            </w14:solidFill>
          </w14:textFill>
        </w:rPr>
        <w:t>基本情况</w:t>
      </w:r>
    </w:p>
    <w:p w14:paraId="53DB32C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财务附注：公司债券基本情况"/>
          <w:tag w:val="_GBC_7df1b0ddc1ae48d2a74c0fa42ce9eb2d"/>
          <w:id w:val="1474524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亿元</w:t>
          </w:r>
        </w:sdtContent>
      </w:sdt>
      <w:r>
        <w:rPr>
          <w:rFonts w:hint="eastAsia"/>
          <w:color w:val="000000" w:themeColor="text1"/>
          <w14:textFill>
            <w14:solidFill>
              <w14:schemeClr w14:val="tx1"/>
            </w14:solidFill>
          </w14:textFill>
        </w:rPr>
        <w:t xml:space="preserve">  币种</w:t>
      </w:r>
      <w:r>
        <w:rPr>
          <w:color w:val="000000" w:themeColor="text1"/>
          <w14:textFill>
            <w14:solidFill>
              <w14:schemeClr w14:val="tx1"/>
            </w14:solidFill>
          </w14:textFill>
        </w:rPr>
        <w:t>：</w:t>
      </w:r>
      <w:sdt>
        <w:sdtPr>
          <w:rPr>
            <w:color w:val="000000" w:themeColor="text1"/>
            <w14:textFill>
              <w14:solidFill>
                <w14:schemeClr w14:val="tx1"/>
              </w14:solidFill>
            </w14:textFill>
          </w:rPr>
          <w:alias w:val="币种：财务附注：公司债券基本情况"/>
          <w:tag w:val="_GBC_7135d7c4f3914194be67f9b07af24f15"/>
          <w:id w:val="1474735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6"/>
        <w:gridCol w:w="1136"/>
        <w:gridCol w:w="1041"/>
        <w:gridCol w:w="906"/>
        <w:gridCol w:w="934"/>
        <w:gridCol w:w="759"/>
        <w:gridCol w:w="999"/>
        <w:gridCol w:w="999"/>
        <w:gridCol w:w="813"/>
        <w:gridCol w:w="1172"/>
        <w:gridCol w:w="2094"/>
        <w:gridCol w:w="967"/>
      </w:tblGrid>
      <w:tr w14:paraId="79CD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efc9fa0055f44cfbb3ae7a661706d4c"/>
            <w:id w:val="147474223"/>
          </w:sdtPr>
          <w:sdtContent>
            <w:tc>
              <w:tcPr>
                <w:tcW w:w="402" w:type="pct"/>
                <w:vAlign w:val="center"/>
              </w:tcPr>
              <w:p w14:paraId="2EFAF305">
                <w:pPr>
                  <w:widowControl w:val="0"/>
                  <w:jc w:val="center"/>
                  <w:rPr>
                    <w:rFonts w:cs="Times New Roman"/>
                    <w:b/>
                    <w:bCs w:val="0"/>
                    <w:color w:val="000000" w:themeColor="text1"/>
                    <w:kern w:val="2"/>
                    <w14:textFill>
                      <w14:solidFill>
                        <w14:schemeClr w14:val="tx1"/>
                      </w14:solidFill>
                    </w14:textFill>
                  </w:rPr>
                </w:pPr>
                <w:r>
                  <w:rPr>
                    <w:rFonts w:hint="eastAsia"/>
                    <w:color w:val="000000" w:themeColor="text1"/>
                    <w14:textFill>
                      <w14:solidFill>
                        <w14:schemeClr w14:val="tx1"/>
                      </w14:solidFill>
                    </w14:textFill>
                  </w:rPr>
                  <w:t>债券名称</w:t>
                </w:r>
              </w:p>
            </w:tc>
          </w:sdtContent>
        </w:sdt>
        <w:sdt>
          <w:sdtPr>
            <w:tag w:val="_PLD_14ccfc2bb9ad4cb8b4a686db812a0260"/>
            <w:id w:val="147463342"/>
          </w:sdtPr>
          <w:sdtContent>
            <w:tc>
              <w:tcPr>
                <w:tcW w:w="403" w:type="pct"/>
                <w:vAlign w:val="center"/>
              </w:tcPr>
              <w:p w14:paraId="5BF09B8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简称</w:t>
                </w:r>
              </w:p>
            </w:tc>
          </w:sdtContent>
        </w:sdt>
        <w:sdt>
          <w:sdtPr>
            <w:tag w:val="_PLD_91751b709ecb43eea4bbb230f28a4472"/>
            <w:id w:val="147480477"/>
          </w:sdtPr>
          <w:sdtContent>
            <w:tc>
              <w:tcPr>
                <w:tcW w:w="403" w:type="pct"/>
                <w:vAlign w:val="center"/>
              </w:tcPr>
              <w:p w14:paraId="26EAB739">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代码</w:t>
                </w:r>
              </w:p>
            </w:tc>
          </w:sdtContent>
        </w:sdt>
        <w:sdt>
          <w:sdtPr>
            <w:tag w:val="_PLD_5cd0c320e788477eb40e6b1e1a0b21d3"/>
            <w:id w:val="147453088"/>
          </w:sdtPr>
          <w:sdtContent>
            <w:tc>
              <w:tcPr>
                <w:tcW w:w="369" w:type="pct"/>
                <w:vAlign w:val="center"/>
              </w:tcPr>
              <w:p w14:paraId="4D067AD3">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发行日</w:t>
                </w:r>
              </w:p>
            </w:tc>
          </w:sdtContent>
        </w:sdt>
        <w:tc>
          <w:tcPr>
            <w:tcW w:w="321" w:type="pct"/>
            <w:vAlign w:val="center"/>
          </w:tcPr>
          <w:sdt>
            <w:sdtPr>
              <w:tag w:val="_PLD_a179a38dcf5742f6924600a59e8c23df"/>
              <w:id w:val="147481590"/>
            </w:sdtPr>
            <w:sdtContent>
              <w:p w14:paraId="3E071C5A">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起息日</w:t>
                </w:r>
              </w:p>
            </w:sdtContent>
          </w:sdt>
        </w:tc>
        <w:sdt>
          <w:sdtPr>
            <w:tag w:val="_PLD_57eb03616af54594b8b86984ce9ae577"/>
            <w:id w:val="147452770"/>
          </w:sdtPr>
          <w:sdtContent>
            <w:tc>
              <w:tcPr>
                <w:tcW w:w="331" w:type="pct"/>
                <w:vAlign w:val="center"/>
              </w:tcPr>
              <w:p w14:paraId="1C1FF71E">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到期日</w:t>
                </w:r>
              </w:p>
            </w:tc>
          </w:sdtContent>
        </w:sdt>
        <w:sdt>
          <w:sdtPr>
            <w:tag w:val="_PLD_8519bda52cad4bbb90b70955340d3ce9"/>
            <w:id w:val="147469094"/>
          </w:sdtPr>
          <w:sdtContent>
            <w:tc>
              <w:tcPr>
                <w:tcW w:w="269" w:type="pct"/>
                <w:vAlign w:val="center"/>
              </w:tcPr>
              <w:p w14:paraId="448BF29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债券余额</w:t>
                </w:r>
              </w:p>
            </w:tc>
          </w:sdtContent>
        </w:sdt>
        <w:sdt>
          <w:sdtPr>
            <w:tag w:val="_PLD_284486936ee94f7ba1480887494dcdf9"/>
            <w:id w:val="147478228"/>
          </w:sdtPr>
          <w:sdtContent>
            <w:tc>
              <w:tcPr>
                <w:tcW w:w="354" w:type="pct"/>
                <w:vAlign w:val="center"/>
              </w:tcPr>
              <w:p w14:paraId="32358C1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利率（%）</w:t>
                </w:r>
              </w:p>
            </w:tc>
          </w:sdtContent>
        </w:sdt>
        <w:sdt>
          <w:sdtPr>
            <w:tag w:val="_PLD_9c5aaa44f2284f91ad1e98d6975891cb"/>
            <w:id w:val="147454898"/>
          </w:sdtPr>
          <w:sdtContent>
            <w:tc>
              <w:tcPr>
                <w:tcW w:w="354" w:type="pct"/>
                <w:vAlign w:val="center"/>
              </w:tcPr>
              <w:p w14:paraId="6F8EECB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还本付息方式</w:t>
                </w:r>
              </w:p>
            </w:tc>
          </w:sdtContent>
        </w:sdt>
        <w:sdt>
          <w:sdtPr>
            <w:tag w:val="_PLD_6f95e644000d48a497b513d88ac448b2"/>
            <w:id w:val="147452655"/>
          </w:sdtPr>
          <w:sdtContent>
            <w:tc>
              <w:tcPr>
                <w:tcW w:w="288" w:type="pct"/>
                <w:vAlign w:val="center"/>
              </w:tcPr>
              <w:p w14:paraId="1C8F4A36">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交易场所</w:t>
                </w:r>
              </w:p>
            </w:tc>
          </w:sdtContent>
        </w:sdt>
        <w:sdt>
          <w:sdtPr>
            <w:tag w:val="_PLD_4f8bb6ea216146418807f05b78ac10dc"/>
            <w:id w:val="147479298"/>
          </w:sdtPr>
          <w:sdtContent>
            <w:tc>
              <w:tcPr>
                <w:tcW w:w="416" w:type="pct"/>
                <w:vAlign w:val="center"/>
              </w:tcPr>
              <w:p w14:paraId="22BC2E0D">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投资者适当性安排（如有）</w:t>
                </w:r>
              </w:p>
            </w:tc>
          </w:sdtContent>
        </w:sdt>
        <w:tc>
          <w:tcPr>
            <w:tcW w:w="742" w:type="pct"/>
            <w:vAlign w:val="center"/>
          </w:tcPr>
          <w:sdt>
            <w:sdtPr>
              <w:tag w:val="_PLD_d192663cc211442b88877c029c729869"/>
              <w:id w:val="147454845"/>
            </w:sdtPr>
            <w:sdtContent>
              <w:p w14:paraId="38ECA60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交易机制</w:t>
                </w:r>
              </w:p>
            </w:sdtContent>
          </w:sdt>
        </w:tc>
        <w:sdt>
          <w:sdtPr>
            <w:tag w:val="_PLD_0f76b4981a9049cbbe1a608fda9cd3b0"/>
            <w:id w:val="147458495"/>
          </w:sdtPr>
          <w:sdtContent>
            <w:tc>
              <w:tcPr>
                <w:tcW w:w="343" w:type="pct"/>
              </w:tcPr>
              <w:p w14:paraId="5A382E03">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是否存在终止上市交易的风险</w:t>
                </w:r>
              </w:p>
            </w:tc>
          </w:sdtContent>
        </w:sdt>
      </w:tr>
      <w:tr w14:paraId="591D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vAlign w:val="center"/>
          </w:tcPr>
          <w:p w14:paraId="55CCD392">
            <w:pPr>
              <w:jc w:val="both"/>
              <w:textAlignment w:val="center"/>
              <w:rPr>
                <w:rFonts w:cs="Times New Roman"/>
                <w:sz w:val="18"/>
                <w:szCs w:val="18"/>
              </w:rPr>
            </w:pPr>
            <w:r>
              <w:rPr>
                <w:rFonts w:cs="Times New Roman"/>
                <w:color w:val="000000"/>
                <w:sz w:val="18"/>
                <w:szCs w:val="18"/>
                <w:lang w:bidi="ar"/>
              </w:rPr>
              <w:t>际华集团股份有限公司2023年度第一期中期票据</w:t>
            </w:r>
          </w:p>
        </w:tc>
        <w:tc>
          <w:tcPr>
            <w:tcW w:w="403" w:type="pct"/>
            <w:vAlign w:val="center"/>
          </w:tcPr>
          <w:p w14:paraId="6FDADE01">
            <w:pPr>
              <w:jc w:val="both"/>
              <w:textAlignment w:val="center"/>
              <w:rPr>
                <w:rFonts w:cs="Times New Roman"/>
                <w:sz w:val="18"/>
                <w:szCs w:val="18"/>
              </w:rPr>
            </w:pPr>
            <w:r>
              <w:rPr>
                <w:rFonts w:eastAsia="Arial Narrow" w:cs="Times New Roman"/>
                <w:color w:val="000000"/>
                <w:sz w:val="18"/>
                <w:szCs w:val="18"/>
                <w:lang w:bidi="ar"/>
              </w:rPr>
              <w:t>23</w:t>
            </w:r>
            <w:r>
              <w:rPr>
                <w:rFonts w:hint="eastAsia" w:asciiTheme="minorEastAsia" w:hAnsiTheme="minorEastAsia" w:eastAsiaTheme="minorEastAsia" w:cstheme="minorEastAsia"/>
                <w:color w:val="000000"/>
                <w:sz w:val="18"/>
                <w:szCs w:val="18"/>
                <w:lang w:bidi="ar"/>
              </w:rPr>
              <w:t>际华集团</w:t>
            </w:r>
            <w:r>
              <w:rPr>
                <w:rFonts w:eastAsia="Arial Narrow" w:cs="Times New Roman"/>
                <w:color w:val="000000"/>
                <w:sz w:val="18"/>
                <w:szCs w:val="18"/>
                <w:lang w:bidi="ar"/>
              </w:rPr>
              <w:t>MTN001</w:t>
            </w:r>
          </w:p>
        </w:tc>
        <w:tc>
          <w:tcPr>
            <w:tcW w:w="403" w:type="pct"/>
            <w:vAlign w:val="center"/>
          </w:tcPr>
          <w:p w14:paraId="275E373D">
            <w:pPr>
              <w:jc w:val="both"/>
              <w:textAlignment w:val="center"/>
              <w:rPr>
                <w:rFonts w:cs="Times New Roman"/>
                <w:sz w:val="18"/>
                <w:szCs w:val="18"/>
              </w:rPr>
            </w:pPr>
            <w:r>
              <w:rPr>
                <w:rFonts w:eastAsia="Arial Narrow" w:cs="Times New Roman"/>
                <w:color w:val="000000"/>
                <w:sz w:val="18"/>
                <w:szCs w:val="18"/>
                <w:lang w:bidi="ar"/>
              </w:rPr>
              <w:t>102381286.IB</w:t>
            </w:r>
          </w:p>
        </w:tc>
        <w:tc>
          <w:tcPr>
            <w:tcW w:w="369" w:type="pct"/>
            <w:vAlign w:val="center"/>
          </w:tcPr>
          <w:p w14:paraId="32F5862B">
            <w:pPr>
              <w:jc w:val="both"/>
              <w:textAlignment w:val="center"/>
              <w:rPr>
                <w:rFonts w:eastAsia="Arial Narrow" w:cs="Times New Roman"/>
                <w:color w:val="000000"/>
                <w:sz w:val="18"/>
                <w:szCs w:val="18"/>
                <w:lang w:bidi="ar"/>
              </w:rPr>
            </w:pPr>
            <w:r>
              <w:rPr>
                <w:rFonts w:eastAsia="Arial Narrow" w:cs="Times New Roman"/>
                <w:color w:val="000000"/>
                <w:sz w:val="18"/>
                <w:szCs w:val="18"/>
                <w:lang w:bidi="ar"/>
              </w:rPr>
              <w:t>2023</w:t>
            </w:r>
            <w:r>
              <w:rPr>
                <w:rFonts w:cs="Times New Roman"/>
                <w:color w:val="000000"/>
                <w:sz w:val="18"/>
                <w:szCs w:val="18"/>
                <w:lang w:bidi="ar"/>
              </w:rPr>
              <w:t>/</w:t>
            </w:r>
            <w:r>
              <w:rPr>
                <w:rFonts w:eastAsia="Arial Narrow" w:cs="Times New Roman"/>
                <w:color w:val="000000"/>
                <w:sz w:val="18"/>
                <w:szCs w:val="18"/>
                <w:lang w:bidi="ar"/>
              </w:rPr>
              <w:t>6</w:t>
            </w:r>
            <w:r>
              <w:rPr>
                <w:rFonts w:cs="Times New Roman"/>
                <w:color w:val="000000"/>
                <w:sz w:val="18"/>
                <w:szCs w:val="18"/>
                <w:lang w:bidi="ar"/>
              </w:rPr>
              <w:t>/</w:t>
            </w:r>
            <w:r>
              <w:rPr>
                <w:rFonts w:eastAsia="Arial Narrow" w:cs="Times New Roman"/>
                <w:color w:val="000000"/>
                <w:sz w:val="18"/>
                <w:szCs w:val="18"/>
                <w:lang w:bidi="ar"/>
              </w:rPr>
              <w:t>1-</w:t>
            </w:r>
          </w:p>
          <w:p w14:paraId="76017AD4">
            <w:pPr>
              <w:jc w:val="both"/>
              <w:textAlignment w:val="center"/>
              <w:rPr>
                <w:rFonts w:cs="Times New Roman"/>
                <w:sz w:val="18"/>
                <w:szCs w:val="18"/>
              </w:rPr>
            </w:pPr>
            <w:r>
              <w:rPr>
                <w:rFonts w:eastAsia="Arial Narrow" w:cs="Times New Roman"/>
                <w:color w:val="000000"/>
                <w:sz w:val="18"/>
                <w:szCs w:val="18"/>
                <w:lang w:bidi="ar"/>
              </w:rPr>
              <w:t>2023</w:t>
            </w:r>
            <w:r>
              <w:rPr>
                <w:rFonts w:cs="Times New Roman"/>
                <w:color w:val="000000"/>
                <w:sz w:val="18"/>
                <w:szCs w:val="18"/>
                <w:lang w:bidi="ar"/>
              </w:rPr>
              <w:t>/</w:t>
            </w:r>
            <w:r>
              <w:rPr>
                <w:rFonts w:eastAsia="Arial Narrow" w:cs="Times New Roman"/>
                <w:color w:val="000000"/>
                <w:sz w:val="18"/>
                <w:szCs w:val="18"/>
                <w:lang w:bidi="ar"/>
              </w:rPr>
              <w:t>6</w:t>
            </w:r>
            <w:r>
              <w:rPr>
                <w:rFonts w:cs="Times New Roman"/>
                <w:color w:val="000000"/>
                <w:sz w:val="18"/>
                <w:szCs w:val="18"/>
                <w:lang w:bidi="ar"/>
              </w:rPr>
              <w:t>/</w:t>
            </w:r>
            <w:r>
              <w:rPr>
                <w:rFonts w:eastAsia="Arial Narrow" w:cs="Times New Roman"/>
                <w:color w:val="000000"/>
                <w:sz w:val="18"/>
                <w:szCs w:val="18"/>
                <w:lang w:bidi="ar"/>
              </w:rPr>
              <w:t>2</w:t>
            </w:r>
          </w:p>
        </w:tc>
        <w:tc>
          <w:tcPr>
            <w:tcW w:w="321" w:type="pct"/>
            <w:vAlign w:val="center"/>
          </w:tcPr>
          <w:p w14:paraId="02D0A676">
            <w:pPr>
              <w:jc w:val="both"/>
              <w:textAlignment w:val="center"/>
              <w:rPr>
                <w:rFonts w:cs="Times New Roman"/>
                <w:sz w:val="18"/>
                <w:szCs w:val="18"/>
              </w:rPr>
            </w:pPr>
            <w:r>
              <w:rPr>
                <w:rFonts w:eastAsia="Arial Narrow" w:cs="Times New Roman"/>
                <w:color w:val="000000"/>
                <w:sz w:val="18"/>
                <w:szCs w:val="18"/>
                <w:lang w:bidi="ar"/>
              </w:rPr>
              <w:t>2023</w:t>
            </w:r>
            <w:r>
              <w:rPr>
                <w:rFonts w:cs="Times New Roman"/>
                <w:color w:val="000000"/>
                <w:sz w:val="18"/>
                <w:szCs w:val="18"/>
                <w:lang w:bidi="ar"/>
              </w:rPr>
              <w:t>/</w:t>
            </w:r>
            <w:r>
              <w:rPr>
                <w:rFonts w:eastAsia="Arial Narrow" w:cs="Times New Roman"/>
                <w:color w:val="000000"/>
                <w:sz w:val="18"/>
                <w:szCs w:val="18"/>
                <w:lang w:bidi="ar"/>
              </w:rPr>
              <w:t>6</w:t>
            </w:r>
            <w:r>
              <w:rPr>
                <w:rFonts w:cs="Times New Roman"/>
                <w:color w:val="000000"/>
                <w:sz w:val="18"/>
                <w:szCs w:val="18"/>
                <w:lang w:bidi="ar"/>
              </w:rPr>
              <w:t>/</w:t>
            </w:r>
            <w:r>
              <w:rPr>
                <w:rFonts w:eastAsia="Arial Narrow" w:cs="Times New Roman"/>
                <w:color w:val="000000"/>
                <w:sz w:val="18"/>
                <w:szCs w:val="18"/>
                <w:lang w:bidi="ar"/>
              </w:rPr>
              <w:t>5</w:t>
            </w:r>
          </w:p>
        </w:tc>
        <w:tc>
          <w:tcPr>
            <w:tcW w:w="331" w:type="pct"/>
            <w:vAlign w:val="center"/>
          </w:tcPr>
          <w:p w14:paraId="1C741C15">
            <w:pPr>
              <w:jc w:val="both"/>
              <w:textAlignment w:val="center"/>
              <w:rPr>
                <w:rFonts w:cs="Times New Roman"/>
                <w:sz w:val="18"/>
                <w:szCs w:val="18"/>
              </w:rPr>
            </w:pPr>
            <w:r>
              <w:rPr>
                <w:rFonts w:eastAsia="Arial Narrow" w:cs="Times New Roman"/>
                <w:color w:val="000000"/>
                <w:sz w:val="18"/>
                <w:szCs w:val="18"/>
                <w:lang w:bidi="ar"/>
              </w:rPr>
              <w:t>2026</w:t>
            </w:r>
            <w:r>
              <w:rPr>
                <w:rFonts w:cs="Times New Roman"/>
                <w:color w:val="000000"/>
                <w:sz w:val="18"/>
                <w:szCs w:val="18"/>
                <w:lang w:bidi="ar"/>
              </w:rPr>
              <w:t>/</w:t>
            </w:r>
            <w:r>
              <w:rPr>
                <w:rFonts w:eastAsia="Arial Narrow" w:cs="Times New Roman"/>
                <w:color w:val="000000"/>
                <w:sz w:val="18"/>
                <w:szCs w:val="18"/>
                <w:lang w:bidi="ar"/>
              </w:rPr>
              <w:t>6</w:t>
            </w:r>
            <w:r>
              <w:rPr>
                <w:rFonts w:cs="Times New Roman"/>
                <w:color w:val="000000"/>
                <w:sz w:val="18"/>
                <w:szCs w:val="18"/>
                <w:lang w:bidi="ar"/>
              </w:rPr>
              <w:t>/</w:t>
            </w:r>
            <w:r>
              <w:rPr>
                <w:rFonts w:eastAsia="Arial Narrow" w:cs="Times New Roman"/>
                <w:color w:val="000000"/>
                <w:sz w:val="18"/>
                <w:szCs w:val="18"/>
                <w:lang w:bidi="ar"/>
              </w:rPr>
              <w:t>5</w:t>
            </w:r>
          </w:p>
        </w:tc>
        <w:tc>
          <w:tcPr>
            <w:tcW w:w="269" w:type="pct"/>
            <w:vAlign w:val="center"/>
          </w:tcPr>
          <w:p w14:paraId="55D679D3">
            <w:pPr>
              <w:jc w:val="center"/>
              <w:textAlignment w:val="center"/>
              <w:rPr>
                <w:rFonts w:cs="Times New Roman"/>
                <w:sz w:val="18"/>
                <w:szCs w:val="18"/>
              </w:rPr>
            </w:pPr>
            <w:r>
              <w:rPr>
                <w:rFonts w:eastAsia="Arial Narrow" w:cs="Times New Roman"/>
                <w:color w:val="000000"/>
                <w:sz w:val="18"/>
                <w:szCs w:val="18"/>
                <w:lang w:bidi="ar"/>
              </w:rPr>
              <w:t>5</w:t>
            </w:r>
          </w:p>
        </w:tc>
        <w:tc>
          <w:tcPr>
            <w:tcW w:w="354" w:type="pct"/>
            <w:vAlign w:val="center"/>
          </w:tcPr>
          <w:p w14:paraId="5859F9D0">
            <w:pPr>
              <w:jc w:val="center"/>
              <w:textAlignment w:val="center"/>
              <w:rPr>
                <w:rFonts w:cs="Times New Roman"/>
                <w:sz w:val="18"/>
                <w:szCs w:val="18"/>
              </w:rPr>
            </w:pPr>
            <w:r>
              <w:rPr>
                <w:rFonts w:eastAsia="Arial Narrow" w:cs="Times New Roman"/>
                <w:color w:val="000000"/>
                <w:sz w:val="18"/>
                <w:szCs w:val="18"/>
                <w:lang w:bidi="ar"/>
              </w:rPr>
              <w:t>3.07</w:t>
            </w:r>
          </w:p>
        </w:tc>
        <w:tc>
          <w:tcPr>
            <w:tcW w:w="354" w:type="pct"/>
            <w:vAlign w:val="center"/>
          </w:tcPr>
          <w:p w14:paraId="27FC0608">
            <w:pPr>
              <w:jc w:val="both"/>
              <w:textAlignment w:val="center"/>
              <w:rPr>
                <w:rFonts w:cs="Times New Roman"/>
                <w:sz w:val="18"/>
                <w:szCs w:val="18"/>
              </w:rPr>
            </w:pPr>
            <w:r>
              <w:rPr>
                <w:rFonts w:cs="Times New Roman"/>
                <w:color w:val="000000"/>
                <w:sz w:val="18"/>
                <w:szCs w:val="18"/>
                <w:lang w:bidi="ar"/>
              </w:rPr>
              <w:t>按年付息到期一次性还本</w:t>
            </w:r>
          </w:p>
        </w:tc>
        <w:tc>
          <w:tcPr>
            <w:tcW w:w="288" w:type="pct"/>
            <w:vAlign w:val="center"/>
          </w:tcPr>
          <w:p w14:paraId="347C0C70">
            <w:pPr>
              <w:jc w:val="both"/>
              <w:textAlignment w:val="center"/>
              <w:rPr>
                <w:rFonts w:cs="Times New Roman"/>
                <w:sz w:val="18"/>
                <w:szCs w:val="18"/>
              </w:rPr>
            </w:pPr>
            <w:r>
              <w:rPr>
                <w:rFonts w:cs="Times New Roman"/>
                <w:color w:val="000000"/>
                <w:sz w:val="18"/>
                <w:szCs w:val="18"/>
                <w:lang w:bidi="ar"/>
              </w:rPr>
              <w:t>银行间市场</w:t>
            </w:r>
          </w:p>
        </w:tc>
        <w:tc>
          <w:tcPr>
            <w:tcW w:w="416" w:type="pct"/>
            <w:vAlign w:val="center"/>
          </w:tcPr>
          <w:p w14:paraId="351CFBE8">
            <w:pPr>
              <w:jc w:val="both"/>
              <w:textAlignment w:val="center"/>
              <w:rPr>
                <w:rFonts w:cs="Times New Roman"/>
                <w:sz w:val="18"/>
                <w:szCs w:val="18"/>
              </w:rPr>
            </w:pPr>
            <w:r>
              <w:rPr>
                <w:rFonts w:cs="Times New Roman"/>
                <w:color w:val="000000"/>
                <w:sz w:val="18"/>
                <w:szCs w:val="18"/>
                <w:lang w:bidi="ar"/>
              </w:rPr>
              <w:t>银行间市场的机构投资者（国家法律法规禁止购买者除外）</w:t>
            </w:r>
          </w:p>
        </w:tc>
        <w:tc>
          <w:tcPr>
            <w:tcW w:w="742" w:type="pct"/>
            <w:vAlign w:val="center"/>
          </w:tcPr>
          <w:p w14:paraId="56432CA0">
            <w:pPr>
              <w:jc w:val="both"/>
              <w:textAlignment w:val="center"/>
              <w:rPr>
                <w:rFonts w:cs="Times New Roman"/>
                <w:sz w:val="18"/>
                <w:szCs w:val="18"/>
              </w:rPr>
            </w:pPr>
            <w:r>
              <w:rPr>
                <w:rFonts w:cs="Times New Roman"/>
                <w:color w:val="000000"/>
                <w:sz w:val="18"/>
                <w:szCs w:val="18"/>
                <w:lang w:bidi="ar"/>
              </w:rPr>
              <w:t>本期中期票据在债权登记日的次一工作日(2023年6月6日)，即可以在全国银行间债券市场流通转让。按照全国银行间同业拆借中心颁布的相关规定进行。</w:t>
            </w:r>
          </w:p>
        </w:tc>
        <w:sdt>
          <w:sdtPr>
            <w:rPr>
              <w:rFonts w:cs="Times New Roman"/>
              <w:color w:val="000000" w:themeColor="text1"/>
              <w:sz w:val="18"/>
              <w:szCs w:val="18"/>
              <w14:textFill>
                <w14:solidFill>
                  <w14:schemeClr w14:val="tx1"/>
                </w14:solidFill>
              </w14:textFill>
            </w:rPr>
            <w:alias w:val="公司债券基本情况明细_是否存在终止上市交易的风险 "/>
            <w:tag w:val="_GBC_55933d0e33804432bc2d8ad90d191ec6"/>
            <w:id w:val="147481197"/>
            <w:comboBox>
              <w:listItem w:displayText="是" w:value="是"/>
              <w:listItem w:displayText="否" w:value="否"/>
            </w:comboBox>
          </w:sdtPr>
          <w:sdtEndPr>
            <w:rPr>
              <w:rFonts w:cs="Times New Roman"/>
              <w:color w:val="000000" w:themeColor="text1"/>
              <w:sz w:val="18"/>
              <w:szCs w:val="18"/>
              <w14:textFill>
                <w14:solidFill>
                  <w14:schemeClr w14:val="tx1"/>
                </w14:solidFill>
              </w14:textFill>
            </w:rPr>
          </w:sdtEndPr>
          <w:sdtContent>
            <w:tc>
              <w:tcPr>
                <w:tcW w:w="343" w:type="pct"/>
                <w:vAlign w:val="center"/>
              </w:tcPr>
              <w:p w14:paraId="546CCD18">
                <w:pPr>
                  <w:widowControl w:val="0"/>
                  <w:jc w:val="center"/>
                  <w:rPr>
                    <w:rFonts w:cs="Times New Roman"/>
                    <w:color w:val="000000" w:themeColor="text1"/>
                    <w:sz w:val="18"/>
                    <w:szCs w:val="18"/>
                    <w14:textFill>
                      <w14:solidFill>
                        <w14:schemeClr w14:val="tx1"/>
                      </w14:solidFill>
                    </w14:textFill>
                  </w:rPr>
                </w:pPr>
                <w:r>
                  <w:rPr>
                    <w:rFonts w:cs="Times New Roman"/>
                    <w:color w:val="000000" w:themeColor="text1"/>
                    <w:sz w:val="18"/>
                    <w:szCs w:val="18"/>
                    <w14:textFill>
                      <w14:solidFill>
                        <w14:schemeClr w14:val="tx1"/>
                      </w14:solidFill>
                    </w14:textFill>
                  </w:rPr>
                  <w:t>否</w:t>
                </w:r>
              </w:p>
            </w:tc>
          </w:sdtContent>
        </w:sdt>
      </w:tr>
    </w:tbl>
    <w:p w14:paraId="3655165F">
      <w:pPr>
        <w:rPr>
          <w:color w:val="000000" w:themeColor="text1"/>
          <w14:textFill>
            <w14:solidFill>
              <w14:schemeClr w14:val="tx1"/>
            </w14:solidFill>
          </w14:textFill>
        </w:rPr>
      </w:pPr>
    </w:p>
    <w:bookmarkEnd w:id="134"/>
    <w:p w14:paraId="429EAD9B">
      <w:pPr>
        <w:rPr>
          <w:color w:val="000000" w:themeColor="text1"/>
          <w14:textFill>
            <w14:solidFill>
              <w14:schemeClr w14:val="tx1"/>
            </w14:solidFill>
          </w14:textFill>
        </w:rPr>
      </w:pPr>
      <w:bookmarkStart w:id="135" w:name="_Hlk74747078"/>
      <w:r>
        <w:rPr>
          <w:rFonts w:hint="eastAsia"/>
          <w:color w:val="000000" w:themeColor="text1"/>
          <w14:textFill>
            <w14:solidFill>
              <w14:schemeClr w14:val="tx1"/>
            </w14:solidFill>
          </w14:textFill>
        </w:rPr>
        <w:t>公司对债券终止上市交易风险的应对措施</w:t>
      </w:r>
    </w:p>
    <w:sdt>
      <w:sdtPr>
        <w:rPr>
          <w:rFonts w:cs="Times New Roman"/>
          <w:bCs w:val="0"/>
          <w:color w:val="000000" w:themeColor="text1"/>
          <w:kern w:val="2"/>
          <w14:textFill>
            <w14:solidFill>
              <w14:schemeClr w14:val="tx1"/>
            </w14:solidFill>
          </w14:textFill>
        </w:rPr>
        <w:alias w:val="是否适用：公司对债券终止上市交易风险的应对措施 [双击切换]"/>
        <w:tag w:val="_GBC_0bf7144a544f49b783e7bb7f2a3c8140"/>
        <w:id w:val="147461714"/>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2EEFAA09">
          <w:pPr>
            <w:rPr>
              <w:color w:val="000000" w:themeColor="text1"/>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0B1386BD">
      <w:pPr>
        <w:rPr>
          <w:rFonts w:cs="Times New Roman"/>
          <w:bCs w:val="0"/>
          <w:color w:val="000000" w:themeColor="text1"/>
          <w:kern w:val="2"/>
          <w14:textFill>
            <w14:solidFill>
              <w14:schemeClr w14:val="tx1"/>
            </w14:solidFill>
          </w14:textFill>
        </w:rPr>
      </w:pPr>
    </w:p>
    <w:bookmarkEnd w:id="135"/>
    <w:p w14:paraId="7CCCA0EE">
      <w:pPr>
        <w:pStyle w:val="55"/>
      </w:pPr>
      <w:r>
        <w:t>逾期未偿还债券</w:t>
      </w:r>
    </w:p>
    <w:sdt>
      <w:sdtPr>
        <w:rPr>
          <w:rFonts w:hint="eastAsia"/>
        </w:rPr>
        <w:alias w:val="是否适用：逾期未偿还债券[双击切换]"/>
        <w:tag w:val="_GBC_c6b3c4ac625949b18b2e62f38b4bb870"/>
        <w:id w:val="147466217"/>
        <w:placeholder>
          <w:docPart w:val="GBC22222222222222222222222222222"/>
        </w:placeholder>
      </w:sdtPr>
      <w:sdtEndPr>
        <w:rPr>
          <w:rFonts w:hint="eastAsia"/>
        </w:rPr>
      </w:sdtEndPr>
      <w:sdtContent>
        <w:p w14:paraId="3ECB7B67">
          <w:pPr>
            <w:pStyle w:val="55"/>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0E43ED0C">
      <w:pPr>
        <w:rPr>
          <w:rFonts w:cs="Times New Roman"/>
          <w:bCs w:val="0"/>
          <w:kern w:val="2"/>
        </w:rPr>
      </w:pPr>
    </w:p>
    <w:p w14:paraId="29D22872">
      <w:pPr>
        <w:pStyle w:val="55"/>
      </w:pPr>
      <w:bookmarkStart w:id="136" w:name="_Hlk199924947"/>
      <w:bookmarkStart w:id="137" w:name="_Hlk74833699"/>
      <w:bookmarkStart w:id="138" w:name="_Hlk74747129"/>
      <w:r>
        <w:t>关于逾期债项的说明</w:t>
      </w:r>
    </w:p>
    <w:sdt>
      <w:sdtPr>
        <w:rPr>
          <w:rFonts w:hint="eastAsia"/>
        </w:rPr>
        <w:alias w:val="是否适用：关于逾期债项的说明 [双击切换]"/>
        <w:tag w:val="_GBC_d4354302b24f47d5946fa3fd141b16b7"/>
        <w:id w:val="147453478"/>
        <w:placeholder>
          <w:docPart w:val="GBC22222222222222222222222222222"/>
        </w:placeholder>
      </w:sdtPr>
      <w:sdtEndPr>
        <w:rPr>
          <w:rFonts w:hint="eastAsia"/>
        </w:rPr>
      </w:sdtEndPr>
      <w:sdtContent>
        <w:p w14:paraId="527B9982">
          <w:pPr>
            <w:pStyle w:val="55"/>
          </w:pPr>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14:paraId="4DA5CB0D">
      <w:pPr>
        <w:pStyle w:val="55"/>
      </w:pPr>
    </w:p>
    <w:bookmarkEnd w:id="136"/>
    <w:bookmarkEnd w:id="137"/>
    <w:bookmarkEnd w:id="138"/>
    <w:p w14:paraId="61F43126">
      <w:pPr>
        <w:pStyle w:val="58"/>
        <w:numPr>
          <w:ilvl w:val="0"/>
          <w:numId w:val="42"/>
        </w:numPr>
        <w:rPr>
          <w:rFonts w:ascii="宋体" w:hAnsi="宋体" w:cs="宋体"/>
          <w:color w:val="000000" w:themeColor="text1"/>
          <w:kern w:val="0"/>
          <w:szCs w:val="24"/>
          <w14:textFill>
            <w14:solidFill>
              <w14:schemeClr w14:val="tx1"/>
            </w14:solidFill>
          </w14:textFill>
        </w:rPr>
      </w:pPr>
      <w:bookmarkStart w:id="139" w:name="_Hlk74747153"/>
      <w:r>
        <w:rPr>
          <w:rFonts w:ascii="宋体" w:hAnsi="宋体" w:cs="宋体"/>
          <w:color w:val="000000" w:themeColor="text1"/>
          <w:kern w:val="0"/>
          <w:szCs w:val="24"/>
          <w14:textFill>
            <w14:solidFill>
              <w14:schemeClr w14:val="tx1"/>
            </w14:solidFill>
          </w14:textFill>
        </w:rPr>
        <w:t>公司或投资者选择权条款、投资者保护条款的触发和执行情况</w:t>
      </w:r>
    </w:p>
    <w:sdt>
      <w:sdtPr>
        <w:rPr>
          <w:rFonts w:cs="Times New Roman"/>
          <w:bCs w:val="0"/>
          <w:color w:val="000000" w:themeColor="text1"/>
          <w:kern w:val="2"/>
          <w14:textFill>
            <w14:solidFill>
              <w14:schemeClr w14:val="tx1"/>
            </w14:solidFill>
          </w14:textFill>
        </w:rPr>
        <w:alias w:val="是否适用：发行人或投资者选择权条款、投资者保护条款的触发和执行情况[双击切换]"/>
        <w:tag w:val="_GBC_272e98a7f8184f1abf1274b7fb444f09"/>
        <w:id w:val="147464693"/>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49F3741E">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6FC17681">
      <w:pPr>
        <w:rPr>
          <w:color w:val="000000" w:themeColor="text1"/>
          <w14:textFill>
            <w14:solidFill>
              <w14:schemeClr w14:val="tx1"/>
            </w14:solidFill>
          </w14:textFill>
        </w:rPr>
      </w:pPr>
    </w:p>
    <w:bookmarkEnd w:id="139"/>
    <w:p w14:paraId="55E74FDD">
      <w:pPr>
        <w:pStyle w:val="58"/>
        <w:numPr>
          <w:ilvl w:val="0"/>
          <w:numId w:val="42"/>
        </w:numPr>
        <w:rPr>
          <w:rFonts w:ascii="宋体" w:hAnsi="宋体" w:cs="宋体"/>
          <w:color w:val="000000" w:themeColor="text1"/>
          <w:kern w:val="0"/>
          <w:szCs w:val="24"/>
          <w14:textFill>
            <w14:solidFill>
              <w14:schemeClr w14:val="tx1"/>
            </w14:solidFill>
          </w14:textFill>
        </w:rPr>
      </w:pPr>
      <w:bookmarkStart w:id="140" w:name="_Hlk105686306"/>
      <w:bookmarkStart w:id="141" w:name="_Hlk105762790"/>
      <w:r>
        <w:rPr>
          <w:rFonts w:ascii="宋体" w:hAnsi="宋体" w:cs="宋体"/>
          <w:color w:val="000000" w:themeColor="text1"/>
          <w:kern w:val="0"/>
          <w:szCs w:val="24"/>
          <w14:textFill>
            <w14:solidFill>
              <w14:schemeClr w14:val="tx1"/>
            </w14:solidFill>
          </w14:textFill>
        </w:rPr>
        <w:t>信用评级结果调整情况</w:t>
      </w:r>
    </w:p>
    <w:sdt>
      <w:sdtPr>
        <w:rPr>
          <w:rFonts w:hint="eastAsia" w:cs="Times New Roman"/>
          <w:bCs w:val="0"/>
          <w:color w:val="000000" w:themeColor="text1"/>
          <w:kern w:val="2"/>
          <w14:textFill>
            <w14:solidFill>
              <w14:schemeClr w14:val="tx1"/>
            </w14:solidFill>
          </w14:textFill>
        </w:rPr>
        <w:alias w:val="是否适用：公司债券评级情况[双击切换]"/>
        <w:tag w:val="_GBC_bbc1fd646553402a82fb0612b4175686"/>
        <w:id w:val="147471424"/>
        <w:placeholder>
          <w:docPart w:val="GBC22222222222222222222222222222"/>
        </w:placeholder>
      </w:sdtPr>
      <w:sdtEndPr>
        <w:rPr>
          <w:rFonts w:hint="eastAsia" w:cs="Times New Roman"/>
          <w:bCs w:val="0"/>
          <w:color w:val="000000" w:themeColor="text1"/>
          <w:kern w:val="2"/>
          <w14:textFill>
            <w14:solidFill>
              <w14:schemeClr w14:val="tx1"/>
            </w14:solidFill>
          </w14:textFill>
        </w:rPr>
      </w:sdtEndPr>
      <w:sdtContent>
        <w:p w14:paraId="1BA24FBF">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183F11A9">
      <w:pPr>
        <w:rPr>
          <w:rFonts w:cs="Times New Roman"/>
          <w:bCs w:val="0"/>
          <w:color w:val="000000" w:themeColor="text1"/>
          <w:kern w:val="2"/>
          <w14:textFill>
            <w14:solidFill>
              <w14:schemeClr w14:val="tx1"/>
            </w14:solidFill>
          </w14:textFill>
        </w:rPr>
      </w:pPr>
    </w:p>
    <w:bookmarkEnd w:id="140"/>
    <w:p w14:paraId="45D85AD0">
      <w:pPr>
        <w:adjustRightInd w:val="0"/>
        <w:snapToGrid w:val="0"/>
        <w:rPr>
          <w:rFonts w:hAnsi="Arial" w:cs="Times New Roman"/>
          <w:bCs w:val="0"/>
          <w:color w:val="000000" w:themeColor="text1"/>
          <w:kern w:val="2"/>
          <w14:textFill>
            <w14:solidFill>
              <w14:schemeClr w14:val="tx1"/>
            </w14:solidFill>
          </w14:textFill>
        </w:rPr>
      </w:pPr>
      <w:bookmarkStart w:id="142" w:name="_Hlk105686344"/>
      <w:r>
        <w:rPr>
          <w:rFonts w:hint="eastAsia" w:ascii="Arial" w:hAnsi="Arial" w:cs="Times New Roman"/>
          <w:color w:val="000000" w:themeColor="text1"/>
          <w:kern w:val="2"/>
          <w14:textFill>
            <w14:solidFill>
              <w14:schemeClr w14:val="tx1"/>
            </w14:solidFill>
          </w14:textFill>
        </w:rPr>
        <w:t>其他说明</w:t>
      </w:r>
    </w:p>
    <w:sdt>
      <w:sdtPr>
        <w:rPr>
          <w:rFonts w:cs="Times New Roman"/>
          <w:bCs w:val="0"/>
          <w:color w:val="000000" w:themeColor="text1"/>
          <w:kern w:val="2"/>
          <w14:textFill>
            <w14:solidFill>
              <w14:schemeClr w14:val="tx1"/>
            </w14:solidFill>
          </w14:textFill>
        </w:rPr>
        <w:alias w:val="信用评级结果调整情况其他说明"/>
        <w:tag w:val="_GBC_0bcce15d59b44824ba86600a52ca6d59"/>
        <w:id w:val="147468360"/>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5EA7B7A5">
          <w:pPr>
            <w:rPr>
              <w:rFonts w:cs="Times New Roman"/>
              <w:bCs w:val="0"/>
              <w:color w:val="000000" w:themeColor="text1"/>
              <w:kern w:val="2"/>
              <w14:textFill>
                <w14:solidFill>
                  <w14:schemeClr w14:val="tx1"/>
                </w14:solidFill>
              </w14:textFill>
            </w:rPr>
          </w:pPr>
          <w:r>
            <w:rPr>
              <w:rFonts w:hint="eastAsia" w:cs="Times New Roman"/>
              <w:bCs w:val="0"/>
              <w:color w:val="000000" w:themeColor="text1"/>
              <w:kern w:val="2"/>
              <w14:textFill>
                <w14:solidFill>
                  <w14:schemeClr w14:val="tx1"/>
                </w14:solidFill>
              </w14:textFill>
            </w:rPr>
            <w:t>无</w:t>
          </w:r>
        </w:p>
      </w:sdtContent>
    </w:sdt>
    <w:p w14:paraId="452AFF8A">
      <w:pPr>
        <w:rPr>
          <w:rFonts w:cs="Times New Roman"/>
          <w:b/>
          <w:bCs w:val="0"/>
          <w:color w:val="000000" w:themeColor="text1"/>
          <w:kern w:val="2"/>
          <w14:textFill>
            <w14:solidFill>
              <w14:schemeClr w14:val="tx1"/>
            </w14:solidFill>
          </w14:textFill>
        </w:rPr>
      </w:pPr>
    </w:p>
    <w:bookmarkEnd w:id="142"/>
    <w:p w14:paraId="24FE295D">
      <w:pPr>
        <w:pStyle w:val="58"/>
        <w:numPr>
          <w:ilvl w:val="0"/>
          <w:numId w:val="42"/>
        </w:numPr>
        <w:rPr>
          <w:rFonts w:ascii="宋体" w:hAnsi="宋体" w:cs="宋体"/>
          <w:color w:val="000000" w:themeColor="text1"/>
          <w:kern w:val="0"/>
          <w:szCs w:val="24"/>
          <w14:textFill>
            <w14:solidFill>
              <w14:schemeClr w14:val="tx1"/>
            </w14:solidFill>
          </w14:textFill>
        </w:rPr>
      </w:pPr>
      <w:bookmarkStart w:id="143" w:name="_Hlk105686452"/>
      <w:r>
        <w:rPr>
          <w:rFonts w:ascii="宋体" w:hAnsi="宋体" w:cs="宋体"/>
          <w:color w:val="000000" w:themeColor="text1"/>
          <w:kern w:val="0"/>
          <w:szCs w:val="24"/>
          <w14:textFill>
            <w14:solidFill>
              <w14:schemeClr w14:val="tx1"/>
            </w14:solidFill>
          </w14:textFill>
        </w:rPr>
        <w:t>担保情况、偿债计划及其他偿债保障措施在报告期内的执行和变化情况及其影响</w:t>
      </w:r>
    </w:p>
    <w:sdt>
      <w:sdtPr>
        <w:rPr>
          <w:rFonts w:cs="Times New Roman"/>
          <w:bCs w:val="0"/>
          <w:color w:val="000000" w:themeColor="text1"/>
          <w:kern w:val="2"/>
          <w14:textFill>
            <w14:solidFill>
              <w14:schemeClr w14:val="tx1"/>
            </w14:solidFill>
          </w14:textFill>
        </w:rPr>
        <w:alias w:val="是否适用：担保情况、偿债计划及其他偿债保障措施在报告期内的执行情况和变化情况及对债券投资者权益的影响[双击切换]"/>
        <w:tag w:val="_GBC_0e3aec2f88da46aaa1096da2686ba9be"/>
        <w:id w:val="147453767"/>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145EA8DF">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5B50DC36">
      <w:pPr>
        <w:rPr>
          <w:rFonts w:cs="Times New Roman"/>
          <w:bCs w:val="0"/>
          <w:color w:val="000000" w:themeColor="text1"/>
          <w:kern w:val="2"/>
          <w14:textFill>
            <w14:solidFill>
              <w14:schemeClr w14:val="tx1"/>
            </w14:solidFill>
          </w14:textFill>
        </w:rPr>
      </w:pPr>
    </w:p>
    <w:bookmarkEnd w:id="143"/>
    <w:p w14:paraId="17438619">
      <w:pPr>
        <w:rPr>
          <w:color w:val="000000" w:themeColor="text1"/>
          <w14:textFill>
            <w14:solidFill>
              <w14:schemeClr w14:val="tx1"/>
            </w14:solidFill>
          </w14:textFill>
        </w:rPr>
      </w:pPr>
      <w:bookmarkStart w:id="144" w:name="_Hlk74747197"/>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担保情况、偿债计划及其他偿债保障措施在报告期内的执行情况和变化情况及对债券投资者权益的影响"/>
        <w:tag w:val="_GBC_a38608f5e4ed4154888c9017d276a5a8"/>
        <w:id w:val="147469719"/>
        <w:placeholder>
          <w:docPart w:val="GBC22222222222222222222222222222"/>
        </w:placeholder>
      </w:sdtPr>
      <w:sdtEndPr>
        <w:rPr>
          <w:color w:val="000000" w:themeColor="text1"/>
          <w14:textFill>
            <w14:solidFill>
              <w14:schemeClr w14:val="tx1"/>
            </w14:solidFill>
          </w14:textFill>
        </w:rPr>
      </w:sdtEndPr>
      <w:sdtContent>
        <w:p w14:paraId="4CFC67E4">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C59F792">
      <w:pPr>
        <w:rPr>
          <w:color w:val="000000" w:themeColor="text1"/>
          <w14:textFill>
            <w14:solidFill>
              <w14:schemeClr w14:val="tx1"/>
            </w14:solidFill>
          </w14:textFill>
        </w:rPr>
      </w:pPr>
    </w:p>
    <w:bookmarkEnd w:id="141"/>
    <w:bookmarkEnd w:id="144"/>
    <w:p w14:paraId="3CBC6F0C">
      <w:pPr>
        <w:pStyle w:val="58"/>
        <w:numPr>
          <w:ilvl w:val="0"/>
          <w:numId w:val="42"/>
        </w:numPr>
        <w:rPr>
          <w:rFonts w:ascii="宋体" w:hAnsi="宋体" w:cs="宋体"/>
          <w:color w:val="000000" w:themeColor="text1"/>
          <w:kern w:val="0"/>
          <w:szCs w:val="24"/>
          <w14:textFill>
            <w14:solidFill>
              <w14:schemeClr w14:val="tx1"/>
            </w14:solidFill>
          </w14:textFill>
        </w:rPr>
      </w:pPr>
      <w:r>
        <w:rPr>
          <w:rFonts w:ascii="宋体" w:hAnsi="宋体" w:cs="宋体"/>
          <w:color w:val="000000" w:themeColor="text1"/>
          <w:kern w:val="0"/>
          <w:szCs w:val="24"/>
          <w14:textFill>
            <w14:solidFill>
              <w14:schemeClr w14:val="tx1"/>
            </w14:solidFill>
          </w14:textFill>
        </w:rPr>
        <w:t>非金融企业债务融资工具其他情况的说明</w:t>
      </w:r>
    </w:p>
    <w:sdt>
      <w:sdtPr>
        <w:rPr>
          <w:rFonts w:cs="Times New Roman"/>
          <w:bCs w:val="0"/>
          <w:color w:val="000000" w:themeColor="text1"/>
          <w:kern w:val="2"/>
          <w14:textFill>
            <w14:solidFill>
              <w14:schemeClr w14:val="tx1"/>
            </w14:solidFill>
          </w14:textFill>
        </w:rPr>
        <w:alias w:val="是否适用：非金融企业债务融资工具其他情况的说明[双击切换]"/>
        <w:tag w:val="_GBC_1545a32f6e064f4ba4a6f6496d1c3fdc"/>
        <w:id w:val="147458830"/>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0D7E5C40">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0508EF89">
      <w:pPr>
        <w:rPr>
          <w:color w:val="000000" w:themeColor="text1"/>
          <w14:textFill>
            <w14:solidFill>
              <w14:schemeClr w14:val="tx1"/>
            </w14:solidFill>
          </w14:textFill>
        </w:rPr>
      </w:pPr>
    </w:p>
    <w:p w14:paraId="6CDE6096">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14:paraId="009CE6DA">
      <w:pPr>
        <w:rPr>
          <w:color w:val="000000" w:themeColor="text1"/>
          <w14:textFill>
            <w14:solidFill>
              <w14:schemeClr w14:val="tx1"/>
            </w14:solidFill>
          </w14:textFill>
        </w:rPr>
      </w:pPr>
    </w:p>
    <w:p w14:paraId="36711489">
      <w:pPr>
        <w:pStyle w:val="57"/>
        <w:numPr>
          <w:ilvl w:val="0"/>
          <w:numId w:val="3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公司报告期内合并报表范围亏损超过上年末净资产10%</w:t>
      </w:r>
    </w:p>
    <w:sdt>
      <w:sdtPr>
        <w:rPr>
          <w:rFonts w:cs="Times New Roman"/>
          <w:bCs w:val="0"/>
          <w:color w:val="000000" w:themeColor="text1"/>
          <w:kern w:val="2"/>
          <w14:textFill>
            <w14:solidFill>
              <w14:schemeClr w14:val="tx1"/>
            </w14:solidFill>
          </w14:textFill>
        </w:rPr>
        <w:alias w:val="是否适用：公司报告期内合并报表范围亏损超过上年末净资产10% [双击切换]"/>
        <w:tag w:val="_GBC_ff0f2375ea374f0b8a9d7ba3ce91f6ae"/>
        <w:id w:val="147470985"/>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14:paraId="2DFC0F51">
          <w:pPr>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14:paraId="130364FD">
      <w:pPr>
        <w:rPr>
          <w:rFonts w:cs="Times New Roman"/>
          <w:bCs w:val="0"/>
          <w:color w:val="000000" w:themeColor="text1"/>
          <w:kern w:val="2"/>
          <w14:textFill>
            <w14:solidFill>
              <w14:schemeClr w14:val="tx1"/>
            </w14:solidFill>
          </w14:textFill>
        </w:rPr>
      </w:pPr>
    </w:p>
    <w:p w14:paraId="117F5D37">
      <w:pPr>
        <w:pStyle w:val="57"/>
        <w:numPr>
          <w:ilvl w:val="0"/>
          <w:numId w:val="3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主要会计数据和财务指标 </w:t>
      </w:r>
    </w:p>
    <w:sdt>
      <w:sdtPr>
        <w:rPr>
          <w:color w:val="000000" w:themeColor="text1"/>
          <w14:textFill>
            <w14:solidFill>
              <w14:schemeClr w14:val="tx1"/>
            </w14:solidFill>
          </w14:textFill>
        </w:rPr>
        <w:alias w:val="是否适用：截至报告期末和上年末（或本报告期和上年同期）下列会计数据和财务指标 [双击切换]"/>
        <w:tag w:val="_GBC_e1fb30558f9c454b8f3ba9e82315063f"/>
        <w:id w:val="147455766"/>
        <w:placeholder>
          <w:docPart w:val="GBC22222222222222222222222222222"/>
        </w:placeholder>
      </w:sdtPr>
      <w:sdtEndPr>
        <w:rPr>
          <w:color w:val="000000" w:themeColor="text1"/>
          <w14:textFill>
            <w14:solidFill>
              <w14:schemeClr w14:val="tx1"/>
            </w14:solidFill>
          </w14:textFill>
        </w:rPr>
      </w:sdtEndPr>
      <w:sdtContent>
        <w:p w14:paraId="3B56DC3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FBBA8A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财务附注：截至报告期末公司近2年的会计数据和财务指标"/>
          <w:tag w:val="_GBC_afc0f331fd4b47ce87ad91eec01d628d"/>
          <w:id w:val="1474833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r>
        <w:rPr>
          <w:color w:val="000000" w:themeColor="text1"/>
          <w14:textFill>
            <w14:solidFill>
              <w14:schemeClr w14:val="tx1"/>
            </w14:solidFill>
          </w14:textFill>
        </w:rPr>
        <w:t>：</w:t>
      </w:r>
      <w:sdt>
        <w:sdtPr>
          <w:rPr>
            <w:color w:val="000000" w:themeColor="text1"/>
            <w14:textFill>
              <w14:solidFill>
                <w14:schemeClr w14:val="tx1"/>
              </w14:solidFill>
            </w14:textFill>
          </w:rPr>
          <w:alias w:val="币种：财务附注：截至报告期末公司近2年的会计数据和财务指标"/>
          <w:tag w:val="_GBC_17d60ed9196541edac6e74398e4722b2"/>
          <w:id w:val="14746571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3"/>
        <w:gridCol w:w="1685"/>
        <w:gridCol w:w="1439"/>
        <w:gridCol w:w="1454"/>
        <w:gridCol w:w="2135"/>
      </w:tblGrid>
      <w:tr w14:paraId="5DF8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195a4fd0c8947ce9988f222f3a78dcb"/>
            <w:id w:val="147461942"/>
          </w:sdtPr>
          <w:sdtContent>
            <w:tc>
              <w:tcPr>
                <w:tcW w:w="1288" w:type="pct"/>
                <w:vAlign w:val="center"/>
              </w:tcPr>
              <w:p w14:paraId="48A55755">
                <w:pPr>
                  <w:jc w:val="center"/>
                  <w:rPr>
                    <w:rFonts w:cs="Times New Roman"/>
                    <w:b/>
                    <w:bCs w:val="0"/>
                    <w:color w:val="000000" w:themeColor="text1"/>
                    <w14:textFill>
                      <w14:solidFill>
                        <w14:schemeClr w14:val="tx1"/>
                      </w14:solidFill>
                    </w14:textFill>
                  </w:rPr>
                </w:pPr>
                <w:r>
                  <w:rPr>
                    <w:rFonts w:hint="eastAsia"/>
                    <w:color w:val="000000" w:themeColor="text1"/>
                    <w14:textFill>
                      <w14:solidFill>
                        <w14:schemeClr w14:val="tx1"/>
                      </w14:solidFill>
                    </w14:textFill>
                  </w:rPr>
                  <w:t>主要指标</w:t>
                </w:r>
              </w:p>
            </w:tc>
          </w:sdtContent>
        </w:sdt>
        <w:sdt>
          <w:sdtPr>
            <w:tag w:val="_PLD_c7ed68982a194c52a3ba61882b189048"/>
            <w:id w:val="147473001"/>
          </w:sdtPr>
          <w:sdtContent>
            <w:tc>
              <w:tcPr>
                <w:tcW w:w="931" w:type="pct"/>
                <w:vAlign w:val="center"/>
              </w:tcPr>
              <w:p w14:paraId="1DB8C03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本报告期末</w:t>
                </w:r>
              </w:p>
            </w:tc>
          </w:sdtContent>
        </w:sdt>
        <w:sdt>
          <w:sdtPr>
            <w:tag w:val="_PLD_47ecd04c8b4547359265315ddd51a277"/>
            <w:id w:val="147476541"/>
          </w:sdtPr>
          <w:sdtContent>
            <w:tc>
              <w:tcPr>
                <w:tcW w:w="795" w:type="pct"/>
                <w:vAlign w:val="center"/>
              </w:tcPr>
              <w:p w14:paraId="3202C58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上年度末</w:t>
                </w:r>
              </w:p>
            </w:tc>
          </w:sdtContent>
        </w:sdt>
        <w:sdt>
          <w:sdtPr>
            <w:tag w:val="_PLD_d7987bdd020141d68b5e9af795a4bf39"/>
            <w:id w:val="147461004"/>
          </w:sdtPr>
          <w:sdtContent>
            <w:tc>
              <w:tcPr>
                <w:tcW w:w="804" w:type="pct"/>
                <w:vAlign w:val="center"/>
              </w:tcPr>
              <w:p w14:paraId="0A4BE2D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本报告期末比上年度末增减（%）</w:t>
                </w:r>
              </w:p>
            </w:tc>
          </w:sdtContent>
        </w:sdt>
        <w:sdt>
          <w:sdtPr>
            <w:tag w:val="_PLD_0a234168cf5443608cc3ae6d76104114"/>
            <w:id w:val="147452423"/>
          </w:sdtPr>
          <w:sdtContent>
            <w:tc>
              <w:tcPr>
                <w:tcW w:w="1180" w:type="pct"/>
                <w:vAlign w:val="center"/>
              </w:tcPr>
              <w:p w14:paraId="48A0B80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变动原因</w:t>
                </w:r>
              </w:p>
            </w:tc>
          </w:sdtContent>
        </w:sdt>
      </w:tr>
      <w:tr w14:paraId="631F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7D356C0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流动比率</w:t>
            </w:r>
          </w:p>
        </w:tc>
        <w:tc>
          <w:tcPr>
            <w:tcW w:w="931" w:type="pct"/>
            <w:vAlign w:val="center"/>
          </w:tcPr>
          <w:p w14:paraId="469D94B9">
            <w:pPr>
              <w:jc w:val="right"/>
              <w:textAlignment w:val="center"/>
              <w:rPr>
                <w:rFonts w:cs="Times New Roman"/>
              </w:rPr>
            </w:pPr>
            <w:r>
              <w:rPr>
                <w:rFonts w:eastAsia="Arial Narrow" w:cs="Times New Roman"/>
                <w:color w:val="000000"/>
                <w:lang w:bidi="ar"/>
              </w:rPr>
              <w:t>2.10</w:t>
            </w:r>
          </w:p>
        </w:tc>
        <w:tc>
          <w:tcPr>
            <w:tcW w:w="795" w:type="pct"/>
            <w:vAlign w:val="center"/>
          </w:tcPr>
          <w:p w14:paraId="41DC48E4">
            <w:pPr>
              <w:jc w:val="right"/>
              <w:textAlignment w:val="center"/>
              <w:rPr>
                <w:rFonts w:cs="Times New Roman"/>
              </w:rPr>
            </w:pPr>
            <w:r>
              <w:rPr>
                <w:rFonts w:eastAsia="Arial Narrow" w:cs="Times New Roman"/>
                <w:color w:val="000000"/>
                <w:lang w:bidi="ar"/>
              </w:rPr>
              <w:t>1.77</w:t>
            </w:r>
          </w:p>
        </w:tc>
        <w:tc>
          <w:tcPr>
            <w:tcW w:w="804" w:type="pct"/>
            <w:vAlign w:val="center"/>
          </w:tcPr>
          <w:p w14:paraId="5D844285">
            <w:pPr>
              <w:jc w:val="right"/>
              <w:textAlignment w:val="center"/>
              <w:rPr>
                <w:rFonts w:cs="Times New Roman"/>
              </w:rPr>
            </w:pPr>
            <w:r>
              <w:rPr>
                <w:rFonts w:eastAsia="Arial Narrow" w:cs="Times New Roman"/>
                <w:color w:val="000000"/>
                <w:lang w:bidi="ar"/>
              </w:rPr>
              <w:t>18.64</w:t>
            </w:r>
          </w:p>
        </w:tc>
        <w:tc>
          <w:tcPr>
            <w:tcW w:w="1180" w:type="pct"/>
            <w:vAlign w:val="center"/>
          </w:tcPr>
          <w:p w14:paraId="335A5452">
            <w:pPr>
              <w:jc w:val="center"/>
            </w:pPr>
          </w:p>
        </w:tc>
      </w:tr>
      <w:tr w14:paraId="66D5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0DA51D8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速动比率</w:t>
            </w:r>
          </w:p>
        </w:tc>
        <w:tc>
          <w:tcPr>
            <w:tcW w:w="931" w:type="pct"/>
            <w:vAlign w:val="center"/>
          </w:tcPr>
          <w:p w14:paraId="144A58D8">
            <w:pPr>
              <w:jc w:val="right"/>
              <w:textAlignment w:val="center"/>
              <w:rPr>
                <w:rFonts w:cs="Times New Roman"/>
                <w:highlight w:val="cyan"/>
              </w:rPr>
            </w:pPr>
            <w:r>
              <w:rPr>
                <w:rFonts w:eastAsia="Arial Narrow" w:cs="Times New Roman"/>
                <w:color w:val="000000"/>
                <w:lang w:bidi="ar"/>
              </w:rPr>
              <w:t>1.69</w:t>
            </w:r>
          </w:p>
        </w:tc>
        <w:tc>
          <w:tcPr>
            <w:tcW w:w="795" w:type="pct"/>
            <w:vAlign w:val="center"/>
          </w:tcPr>
          <w:p w14:paraId="07F602EA">
            <w:pPr>
              <w:jc w:val="right"/>
              <w:textAlignment w:val="center"/>
              <w:rPr>
                <w:rFonts w:cs="Times New Roman"/>
                <w:highlight w:val="cyan"/>
              </w:rPr>
            </w:pPr>
            <w:r>
              <w:rPr>
                <w:rFonts w:eastAsia="Arial Narrow" w:cs="Times New Roman"/>
                <w:color w:val="000000"/>
                <w:lang w:bidi="ar"/>
              </w:rPr>
              <w:t>1.39</w:t>
            </w:r>
          </w:p>
        </w:tc>
        <w:tc>
          <w:tcPr>
            <w:tcW w:w="804" w:type="pct"/>
            <w:vAlign w:val="center"/>
          </w:tcPr>
          <w:p w14:paraId="29C59849">
            <w:pPr>
              <w:jc w:val="right"/>
              <w:textAlignment w:val="center"/>
              <w:rPr>
                <w:rFonts w:cs="Times New Roman"/>
                <w:highlight w:val="cyan"/>
              </w:rPr>
            </w:pPr>
            <w:r>
              <w:rPr>
                <w:rFonts w:eastAsia="Arial Narrow" w:cs="Times New Roman"/>
                <w:color w:val="000000"/>
                <w:lang w:bidi="ar"/>
              </w:rPr>
              <w:t>21.58</w:t>
            </w:r>
          </w:p>
        </w:tc>
        <w:tc>
          <w:tcPr>
            <w:tcW w:w="1180" w:type="pct"/>
            <w:vAlign w:val="center"/>
          </w:tcPr>
          <w:p w14:paraId="282BB600">
            <w:pPr>
              <w:jc w:val="center"/>
            </w:pPr>
          </w:p>
        </w:tc>
      </w:tr>
      <w:tr w14:paraId="2709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5DE1F59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资产负债率（%）</w:t>
            </w:r>
          </w:p>
        </w:tc>
        <w:tc>
          <w:tcPr>
            <w:tcW w:w="931" w:type="pct"/>
            <w:vAlign w:val="center"/>
          </w:tcPr>
          <w:p w14:paraId="224FC7FC">
            <w:pPr>
              <w:jc w:val="right"/>
              <w:textAlignment w:val="center"/>
              <w:rPr>
                <w:rFonts w:cs="Times New Roman"/>
              </w:rPr>
            </w:pPr>
            <w:r>
              <w:rPr>
                <w:rFonts w:eastAsia="Arial Narrow" w:cs="Times New Roman"/>
                <w:color w:val="000000"/>
                <w:lang w:bidi="ar"/>
              </w:rPr>
              <w:t>42.79</w:t>
            </w:r>
          </w:p>
        </w:tc>
        <w:tc>
          <w:tcPr>
            <w:tcW w:w="795" w:type="pct"/>
            <w:vAlign w:val="center"/>
          </w:tcPr>
          <w:p w14:paraId="00C81B9C">
            <w:pPr>
              <w:jc w:val="right"/>
              <w:textAlignment w:val="center"/>
              <w:rPr>
                <w:rFonts w:cs="Times New Roman"/>
              </w:rPr>
            </w:pPr>
            <w:r>
              <w:rPr>
                <w:rFonts w:eastAsia="Arial Narrow" w:cs="Times New Roman"/>
                <w:color w:val="000000"/>
                <w:lang w:bidi="ar"/>
              </w:rPr>
              <w:t>40.89</w:t>
            </w:r>
          </w:p>
        </w:tc>
        <w:tc>
          <w:tcPr>
            <w:tcW w:w="804" w:type="pct"/>
            <w:vAlign w:val="center"/>
          </w:tcPr>
          <w:p w14:paraId="3E6ECFEA">
            <w:pPr>
              <w:jc w:val="right"/>
              <w:textAlignment w:val="center"/>
              <w:rPr>
                <w:rFonts w:cs="Times New Roman"/>
              </w:rPr>
            </w:pPr>
            <w:r>
              <w:rPr>
                <w:rFonts w:eastAsia="Arial Narrow" w:cs="Times New Roman"/>
                <w:color w:val="000000"/>
                <w:lang w:bidi="ar"/>
              </w:rPr>
              <w:t>1.90</w:t>
            </w:r>
          </w:p>
        </w:tc>
        <w:tc>
          <w:tcPr>
            <w:tcW w:w="1180" w:type="pct"/>
            <w:vAlign w:val="center"/>
          </w:tcPr>
          <w:p w14:paraId="78CF8C45">
            <w:pPr>
              <w:jc w:val="center"/>
            </w:pPr>
          </w:p>
        </w:tc>
      </w:tr>
      <w:tr w14:paraId="4288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5F5FA8F5">
            <w:pPr>
              <w:jc w:val="both"/>
              <w:rPr>
                <w:color w:val="000000" w:themeColor="text1"/>
                <w14:textFill>
                  <w14:solidFill>
                    <w14:schemeClr w14:val="tx1"/>
                  </w14:solidFill>
                </w14:textFill>
              </w:rPr>
            </w:pPr>
          </w:p>
        </w:tc>
        <w:sdt>
          <w:sdtPr>
            <w:rPr>
              <w:rFonts w:cs="Times New Roman"/>
            </w:rPr>
            <w:tag w:val="_PLD_cd01cbf2064441c59f0d55273cf5edd8"/>
            <w:id w:val="147476720"/>
          </w:sdtPr>
          <w:sdtEndPr>
            <w:rPr>
              <w:rFonts w:cs="Times New Roman"/>
            </w:rPr>
          </w:sdtEndPr>
          <w:sdtContent>
            <w:tc>
              <w:tcPr>
                <w:tcW w:w="931" w:type="pct"/>
                <w:vAlign w:val="center"/>
              </w:tcPr>
              <w:p w14:paraId="61726488">
                <w:pPr>
                  <w:kinsoku w:val="0"/>
                  <w:overflowPunct w:val="0"/>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本报告期</w:t>
                </w:r>
              </w:p>
              <w:p w14:paraId="211917B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（1-6月）</w:t>
                </w:r>
              </w:p>
            </w:tc>
          </w:sdtContent>
        </w:sdt>
        <w:sdt>
          <w:sdtPr>
            <w:rPr>
              <w:rFonts w:cs="Times New Roman"/>
            </w:rPr>
            <w:tag w:val="_PLD_d9f41572fdf9470db9c0bdb0e5965c99"/>
            <w:id w:val="147466872"/>
          </w:sdtPr>
          <w:sdtEndPr>
            <w:rPr>
              <w:rFonts w:cs="Times New Roman"/>
            </w:rPr>
          </w:sdtEndPr>
          <w:sdtContent>
            <w:tc>
              <w:tcPr>
                <w:tcW w:w="795" w:type="pct"/>
                <w:vAlign w:val="center"/>
              </w:tcPr>
              <w:p w14:paraId="2998BEF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上年同期</w:t>
                </w:r>
              </w:p>
            </w:tc>
          </w:sdtContent>
        </w:sdt>
        <w:sdt>
          <w:sdtPr>
            <w:rPr>
              <w:rFonts w:cs="Times New Roman"/>
            </w:rPr>
            <w:tag w:val="_PLD_56d0ed11f2ac430eba65cfcf410fb79a"/>
            <w:id w:val="147475234"/>
          </w:sdtPr>
          <w:sdtEndPr>
            <w:rPr>
              <w:rFonts w:cs="Times New Roman"/>
            </w:rPr>
          </w:sdtEndPr>
          <w:sdtContent>
            <w:tc>
              <w:tcPr>
                <w:tcW w:w="804" w:type="pct"/>
                <w:vAlign w:val="center"/>
              </w:tcPr>
              <w:p w14:paraId="34B0175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本报告期比上年同期增减(%)</w:t>
                </w:r>
              </w:p>
            </w:tc>
          </w:sdtContent>
        </w:sdt>
        <w:sdt>
          <w:sdtPr>
            <w:tag w:val="_PLD_55052107e6074393811b3d17d8f0571a"/>
            <w:id w:val="147452207"/>
          </w:sdtPr>
          <w:sdtContent>
            <w:tc>
              <w:tcPr>
                <w:tcW w:w="1180" w:type="pct"/>
                <w:vAlign w:val="center"/>
              </w:tcPr>
              <w:p w14:paraId="65B7441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变动原因</w:t>
                </w:r>
              </w:p>
            </w:tc>
          </w:sdtContent>
        </w:sdt>
      </w:tr>
      <w:tr w14:paraId="315C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288" w:type="pct"/>
            <w:vAlign w:val="center"/>
          </w:tcPr>
          <w:p w14:paraId="23969252">
            <w:pPr>
              <w:jc w:val="both"/>
              <w:rPr>
                <w:color w:val="000000" w:themeColor="text1"/>
                <w14:textFill>
                  <w14:solidFill>
                    <w14:schemeClr w14:val="tx1"/>
                  </w14:solidFill>
                </w14:textFill>
              </w:rPr>
            </w:pPr>
            <w:r>
              <w:rPr>
                <w:color w:val="000000" w:themeColor="text1"/>
                <w14:textFill>
                  <w14:solidFill>
                    <w14:schemeClr w14:val="tx1"/>
                  </w14:solidFill>
                </w14:textFill>
              </w:rPr>
              <w:t>扣除非经常性损益后净利润</w:t>
            </w:r>
          </w:p>
        </w:tc>
        <w:tc>
          <w:tcPr>
            <w:tcW w:w="931" w:type="pct"/>
            <w:vAlign w:val="center"/>
          </w:tcPr>
          <w:p w14:paraId="26EFE3A4">
            <w:pPr>
              <w:jc w:val="right"/>
              <w:textAlignment w:val="center"/>
              <w:rPr>
                <w:rFonts w:cs="Times New Roman"/>
              </w:rPr>
            </w:pPr>
            <w:r>
              <w:rPr>
                <w:rFonts w:eastAsia="Arial Narrow" w:cs="Times New Roman"/>
                <w:color w:val="000000"/>
                <w:lang w:bidi="ar"/>
              </w:rPr>
              <w:t>-145,785,600.38</w:t>
            </w:r>
          </w:p>
        </w:tc>
        <w:tc>
          <w:tcPr>
            <w:tcW w:w="795" w:type="pct"/>
            <w:vAlign w:val="center"/>
          </w:tcPr>
          <w:p w14:paraId="23DAAE1A">
            <w:pPr>
              <w:jc w:val="right"/>
              <w:textAlignment w:val="center"/>
              <w:rPr>
                <w:rFonts w:cs="Times New Roman"/>
              </w:rPr>
            </w:pPr>
            <w:r>
              <w:rPr>
                <w:rFonts w:eastAsia="Arial Narrow" w:cs="Times New Roman"/>
                <w:color w:val="000000"/>
                <w:lang w:bidi="ar"/>
              </w:rPr>
              <w:t>-8,715,761.51</w:t>
            </w:r>
          </w:p>
        </w:tc>
        <w:tc>
          <w:tcPr>
            <w:tcW w:w="804" w:type="pct"/>
            <w:vAlign w:val="center"/>
          </w:tcPr>
          <w:p w14:paraId="77F4BBC2">
            <w:pPr>
              <w:jc w:val="right"/>
              <w:textAlignment w:val="center"/>
              <w:rPr>
                <w:rFonts w:cs="Times New Roman"/>
              </w:rPr>
            </w:pPr>
            <w:r>
              <w:rPr>
                <w:rFonts w:hint="eastAsia" w:asciiTheme="minorEastAsia" w:hAnsiTheme="minorEastAsia" w:eastAsiaTheme="minorEastAsia" w:cstheme="minorEastAsia"/>
                <w:color w:val="000000"/>
                <w:lang w:bidi="ar"/>
              </w:rPr>
              <w:t>不适用</w:t>
            </w:r>
          </w:p>
        </w:tc>
        <w:tc>
          <w:tcPr>
            <w:tcW w:w="1180" w:type="pct"/>
            <w:vAlign w:val="center"/>
          </w:tcPr>
          <w:p w14:paraId="3A14E452">
            <w:r>
              <w:rPr>
                <w:rFonts w:hint="eastAsia"/>
              </w:rPr>
              <w:t>营业收入同比下滑影响</w:t>
            </w:r>
          </w:p>
        </w:tc>
      </w:tr>
      <w:tr w14:paraId="1639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48969E36">
            <w:pPr>
              <w:jc w:val="both"/>
              <w:rPr>
                <w:color w:val="000000" w:themeColor="text1"/>
                <w14:textFill>
                  <w14:solidFill>
                    <w14:schemeClr w14:val="tx1"/>
                  </w14:solidFill>
                </w14:textFill>
              </w:rPr>
            </w:pPr>
            <w:r>
              <w:rPr>
                <w:color w:val="000000" w:themeColor="text1"/>
                <w14:textFill>
                  <w14:solidFill>
                    <w14:schemeClr w14:val="tx1"/>
                  </w14:solidFill>
                </w14:textFill>
              </w:rPr>
              <w:t>EBITDA全部债务比</w:t>
            </w:r>
          </w:p>
        </w:tc>
        <w:tc>
          <w:tcPr>
            <w:tcW w:w="931" w:type="pct"/>
            <w:vAlign w:val="center"/>
          </w:tcPr>
          <w:p w14:paraId="1431A46B">
            <w:pPr>
              <w:jc w:val="right"/>
              <w:textAlignment w:val="center"/>
              <w:rPr>
                <w:rFonts w:cs="Times New Roman"/>
              </w:rPr>
            </w:pPr>
            <w:r>
              <w:rPr>
                <w:rFonts w:eastAsia="Arial Narrow" w:cs="Times New Roman"/>
                <w:color w:val="000000"/>
                <w:lang w:bidi="ar"/>
              </w:rPr>
              <w:t>0.04</w:t>
            </w:r>
          </w:p>
        </w:tc>
        <w:tc>
          <w:tcPr>
            <w:tcW w:w="795" w:type="pct"/>
            <w:vAlign w:val="center"/>
          </w:tcPr>
          <w:p w14:paraId="3274472E">
            <w:pPr>
              <w:jc w:val="right"/>
              <w:textAlignment w:val="center"/>
              <w:rPr>
                <w:rFonts w:cs="Times New Roman"/>
              </w:rPr>
            </w:pPr>
            <w:r>
              <w:rPr>
                <w:rFonts w:eastAsia="Arial Narrow" w:cs="Times New Roman"/>
                <w:color w:val="000000"/>
                <w:lang w:bidi="ar"/>
              </w:rPr>
              <w:t>0.11</w:t>
            </w:r>
          </w:p>
        </w:tc>
        <w:tc>
          <w:tcPr>
            <w:tcW w:w="804" w:type="pct"/>
            <w:vAlign w:val="center"/>
          </w:tcPr>
          <w:p w14:paraId="09E84A8F">
            <w:pPr>
              <w:jc w:val="right"/>
              <w:textAlignment w:val="center"/>
              <w:rPr>
                <w:rFonts w:cs="Times New Roman"/>
              </w:rPr>
            </w:pPr>
            <w:r>
              <w:rPr>
                <w:rFonts w:eastAsia="Arial Narrow" w:cs="Times New Roman"/>
                <w:color w:val="000000"/>
                <w:lang w:bidi="ar"/>
              </w:rPr>
              <w:t>-63.64</w:t>
            </w:r>
          </w:p>
        </w:tc>
        <w:tc>
          <w:tcPr>
            <w:tcW w:w="1180" w:type="pct"/>
            <w:vAlign w:val="center"/>
          </w:tcPr>
          <w:p w14:paraId="2190E3DE">
            <w:r>
              <w:rPr>
                <w:rFonts w:hint="eastAsia"/>
              </w:rPr>
              <w:t>公司息税折旧前利润同比降低</w:t>
            </w:r>
          </w:p>
        </w:tc>
      </w:tr>
      <w:tr w14:paraId="406C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288" w:type="pct"/>
            <w:vAlign w:val="center"/>
          </w:tcPr>
          <w:p w14:paraId="310F8C50">
            <w:pPr>
              <w:jc w:val="both"/>
              <w:rPr>
                <w:color w:val="000000" w:themeColor="text1"/>
                <w14:textFill>
                  <w14:solidFill>
                    <w14:schemeClr w14:val="tx1"/>
                  </w14:solidFill>
                </w14:textFill>
              </w:rPr>
            </w:pPr>
            <w:r>
              <w:rPr>
                <w:color w:val="000000" w:themeColor="text1"/>
                <w14:textFill>
                  <w14:solidFill>
                    <w14:schemeClr w14:val="tx1"/>
                  </w14:solidFill>
                </w14:textFill>
              </w:rPr>
              <w:t>利息保障倍数</w:t>
            </w:r>
          </w:p>
        </w:tc>
        <w:tc>
          <w:tcPr>
            <w:tcW w:w="931" w:type="pct"/>
            <w:vAlign w:val="center"/>
          </w:tcPr>
          <w:p w14:paraId="6CB9E9DE">
            <w:pPr>
              <w:jc w:val="right"/>
              <w:textAlignment w:val="center"/>
              <w:rPr>
                <w:rFonts w:cs="Times New Roman"/>
              </w:rPr>
            </w:pPr>
            <w:r>
              <w:rPr>
                <w:rFonts w:eastAsia="Arial Narrow" w:cs="Times New Roman"/>
                <w:color w:val="000000"/>
                <w:lang w:bidi="ar"/>
              </w:rPr>
              <w:t>-0.31</w:t>
            </w:r>
          </w:p>
        </w:tc>
        <w:tc>
          <w:tcPr>
            <w:tcW w:w="795" w:type="pct"/>
            <w:vAlign w:val="center"/>
          </w:tcPr>
          <w:p w14:paraId="4609BBD0">
            <w:pPr>
              <w:jc w:val="right"/>
              <w:textAlignment w:val="center"/>
              <w:rPr>
                <w:rFonts w:cs="Times New Roman"/>
              </w:rPr>
            </w:pPr>
            <w:r>
              <w:rPr>
                <w:rFonts w:eastAsia="Arial Narrow" w:cs="Times New Roman"/>
                <w:color w:val="000000"/>
                <w:lang w:bidi="ar"/>
              </w:rPr>
              <w:t>0.77</w:t>
            </w:r>
          </w:p>
        </w:tc>
        <w:tc>
          <w:tcPr>
            <w:tcW w:w="804" w:type="pct"/>
            <w:vAlign w:val="center"/>
          </w:tcPr>
          <w:p w14:paraId="54038273">
            <w:pPr>
              <w:jc w:val="right"/>
              <w:textAlignment w:val="center"/>
              <w:rPr>
                <w:rFonts w:cs="Times New Roman"/>
              </w:rPr>
            </w:pPr>
            <w:r>
              <w:rPr>
                <w:rFonts w:eastAsia="Arial Narrow" w:cs="Times New Roman"/>
                <w:color w:val="000000"/>
                <w:lang w:bidi="ar"/>
              </w:rPr>
              <w:t>-140.26</w:t>
            </w:r>
          </w:p>
        </w:tc>
        <w:tc>
          <w:tcPr>
            <w:tcW w:w="1180" w:type="pct"/>
            <w:vAlign w:val="center"/>
          </w:tcPr>
          <w:p w14:paraId="7A12AD6A">
            <w:r>
              <w:rPr>
                <w:rFonts w:hint="eastAsia"/>
              </w:rPr>
              <w:t>公司息税前利润同比降低</w:t>
            </w:r>
          </w:p>
        </w:tc>
      </w:tr>
      <w:tr w14:paraId="405B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288" w:type="pct"/>
            <w:vAlign w:val="center"/>
          </w:tcPr>
          <w:p w14:paraId="054F917A">
            <w:pPr>
              <w:jc w:val="both"/>
              <w:rPr>
                <w:color w:val="000000" w:themeColor="text1"/>
                <w14:textFill>
                  <w14:solidFill>
                    <w14:schemeClr w14:val="tx1"/>
                  </w14:solidFill>
                </w14:textFill>
              </w:rPr>
            </w:pPr>
            <w:r>
              <w:rPr>
                <w:color w:val="000000" w:themeColor="text1"/>
                <w14:textFill>
                  <w14:solidFill>
                    <w14:schemeClr w14:val="tx1"/>
                  </w14:solidFill>
                </w14:textFill>
              </w:rPr>
              <w:t>现金利息保障倍数</w:t>
            </w:r>
          </w:p>
        </w:tc>
        <w:tc>
          <w:tcPr>
            <w:tcW w:w="931" w:type="pct"/>
            <w:vAlign w:val="center"/>
          </w:tcPr>
          <w:p w14:paraId="164CE785">
            <w:pPr>
              <w:jc w:val="right"/>
              <w:textAlignment w:val="center"/>
              <w:rPr>
                <w:rFonts w:cs="Times New Roman"/>
              </w:rPr>
            </w:pPr>
            <w:r>
              <w:rPr>
                <w:rFonts w:eastAsia="Arial Narrow" w:cs="Times New Roman"/>
                <w:color w:val="000000"/>
                <w:lang w:bidi="ar"/>
              </w:rPr>
              <w:t>-18.05</w:t>
            </w:r>
          </w:p>
        </w:tc>
        <w:tc>
          <w:tcPr>
            <w:tcW w:w="795" w:type="pct"/>
            <w:vAlign w:val="center"/>
          </w:tcPr>
          <w:p w14:paraId="76EF9133">
            <w:pPr>
              <w:jc w:val="right"/>
              <w:textAlignment w:val="center"/>
              <w:rPr>
                <w:rFonts w:cs="Times New Roman"/>
              </w:rPr>
            </w:pPr>
            <w:r>
              <w:rPr>
                <w:rFonts w:eastAsia="Arial Narrow" w:cs="Times New Roman"/>
                <w:color w:val="000000"/>
                <w:lang w:bidi="ar"/>
              </w:rPr>
              <w:t>-41.43</w:t>
            </w:r>
          </w:p>
        </w:tc>
        <w:tc>
          <w:tcPr>
            <w:tcW w:w="804" w:type="pct"/>
            <w:vAlign w:val="center"/>
          </w:tcPr>
          <w:p w14:paraId="2D464516">
            <w:pPr>
              <w:jc w:val="right"/>
              <w:textAlignment w:val="center"/>
              <w:rPr>
                <w:rFonts w:cs="Times New Roman"/>
              </w:rPr>
            </w:pPr>
            <w:r>
              <w:rPr>
                <w:rFonts w:hint="eastAsia" w:asciiTheme="minorEastAsia" w:hAnsiTheme="minorEastAsia" w:eastAsiaTheme="minorEastAsia" w:cstheme="minorEastAsia"/>
                <w:color w:val="000000"/>
                <w:lang w:bidi="ar"/>
              </w:rPr>
              <w:t>不适用</w:t>
            </w:r>
          </w:p>
        </w:tc>
        <w:tc>
          <w:tcPr>
            <w:tcW w:w="1180" w:type="pct"/>
            <w:vAlign w:val="center"/>
          </w:tcPr>
          <w:p w14:paraId="74DA8D68"/>
        </w:tc>
      </w:tr>
      <w:tr w14:paraId="5533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288" w:type="pct"/>
            <w:vAlign w:val="center"/>
          </w:tcPr>
          <w:p w14:paraId="0A15869E">
            <w:pPr>
              <w:jc w:val="both"/>
              <w:rPr>
                <w:color w:val="000000" w:themeColor="text1"/>
                <w14:textFill>
                  <w14:solidFill>
                    <w14:schemeClr w14:val="tx1"/>
                  </w14:solidFill>
                </w14:textFill>
              </w:rPr>
            </w:pPr>
            <w:r>
              <w:rPr>
                <w:color w:val="000000" w:themeColor="text1"/>
                <w14:textFill>
                  <w14:solidFill>
                    <w14:schemeClr w14:val="tx1"/>
                  </w14:solidFill>
                </w14:textFill>
              </w:rPr>
              <w:t>EBITDA利息保障倍数</w:t>
            </w:r>
          </w:p>
        </w:tc>
        <w:tc>
          <w:tcPr>
            <w:tcW w:w="931" w:type="pct"/>
            <w:vAlign w:val="center"/>
          </w:tcPr>
          <w:p w14:paraId="043BD062">
            <w:pPr>
              <w:jc w:val="right"/>
              <w:textAlignment w:val="center"/>
              <w:rPr>
                <w:rFonts w:cs="Times New Roman"/>
              </w:rPr>
            </w:pPr>
            <w:r>
              <w:rPr>
                <w:rFonts w:eastAsia="Arial Narrow" w:cs="Times New Roman"/>
                <w:color w:val="000000"/>
                <w:lang w:bidi="ar"/>
              </w:rPr>
              <w:t>3.89</w:t>
            </w:r>
          </w:p>
        </w:tc>
        <w:tc>
          <w:tcPr>
            <w:tcW w:w="795" w:type="pct"/>
            <w:vAlign w:val="center"/>
          </w:tcPr>
          <w:p w14:paraId="2A164656">
            <w:pPr>
              <w:jc w:val="right"/>
              <w:textAlignment w:val="center"/>
              <w:rPr>
                <w:rFonts w:cs="Times New Roman"/>
              </w:rPr>
            </w:pPr>
            <w:r>
              <w:rPr>
                <w:rFonts w:eastAsia="Arial Narrow" w:cs="Times New Roman"/>
                <w:color w:val="000000"/>
                <w:lang w:bidi="ar"/>
              </w:rPr>
              <w:t>6.07</w:t>
            </w:r>
          </w:p>
        </w:tc>
        <w:tc>
          <w:tcPr>
            <w:tcW w:w="804" w:type="pct"/>
            <w:vAlign w:val="center"/>
          </w:tcPr>
          <w:p w14:paraId="25E838CE">
            <w:pPr>
              <w:jc w:val="right"/>
              <w:textAlignment w:val="center"/>
              <w:rPr>
                <w:rFonts w:cs="Times New Roman"/>
              </w:rPr>
            </w:pPr>
            <w:r>
              <w:rPr>
                <w:rFonts w:eastAsia="Arial Narrow" w:cs="Times New Roman"/>
                <w:color w:val="000000"/>
                <w:lang w:bidi="ar"/>
              </w:rPr>
              <w:t>-35.91</w:t>
            </w:r>
          </w:p>
        </w:tc>
        <w:tc>
          <w:tcPr>
            <w:tcW w:w="1180" w:type="pct"/>
            <w:vAlign w:val="center"/>
          </w:tcPr>
          <w:p w14:paraId="059115BD">
            <w:r>
              <w:rPr>
                <w:rFonts w:hint="eastAsia"/>
              </w:rPr>
              <w:t>公司息税折旧前利润同比降低</w:t>
            </w:r>
          </w:p>
        </w:tc>
      </w:tr>
      <w:tr w14:paraId="1DFA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7D1D1B3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贷款偿还率（%）</w:t>
            </w:r>
          </w:p>
        </w:tc>
        <w:tc>
          <w:tcPr>
            <w:tcW w:w="931" w:type="pct"/>
            <w:vAlign w:val="center"/>
          </w:tcPr>
          <w:p w14:paraId="494DD0D6">
            <w:pPr>
              <w:jc w:val="right"/>
              <w:textAlignment w:val="center"/>
              <w:rPr>
                <w:rFonts w:cs="Times New Roman"/>
              </w:rPr>
            </w:pPr>
            <w:r>
              <w:rPr>
                <w:rFonts w:eastAsia="Arial Narrow" w:cs="Times New Roman"/>
                <w:color w:val="000000"/>
                <w:lang w:bidi="ar"/>
              </w:rPr>
              <w:t>100.00</w:t>
            </w:r>
          </w:p>
        </w:tc>
        <w:tc>
          <w:tcPr>
            <w:tcW w:w="795" w:type="pct"/>
            <w:vAlign w:val="center"/>
          </w:tcPr>
          <w:p w14:paraId="190035F6">
            <w:pPr>
              <w:jc w:val="right"/>
              <w:textAlignment w:val="center"/>
              <w:rPr>
                <w:rFonts w:cs="Times New Roman"/>
              </w:rPr>
            </w:pPr>
            <w:r>
              <w:rPr>
                <w:rFonts w:eastAsia="Arial Narrow" w:cs="Times New Roman"/>
                <w:color w:val="000000"/>
                <w:lang w:bidi="ar"/>
              </w:rPr>
              <w:t>100.00</w:t>
            </w:r>
          </w:p>
        </w:tc>
        <w:tc>
          <w:tcPr>
            <w:tcW w:w="804" w:type="pct"/>
            <w:vAlign w:val="center"/>
          </w:tcPr>
          <w:p w14:paraId="07662375">
            <w:pPr>
              <w:jc w:val="right"/>
              <w:rPr>
                <w:rFonts w:cs="Times New Roman"/>
              </w:rPr>
            </w:pPr>
          </w:p>
        </w:tc>
        <w:tc>
          <w:tcPr>
            <w:tcW w:w="1180" w:type="pct"/>
            <w:vAlign w:val="center"/>
          </w:tcPr>
          <w:p w14:paraId="7A449953">
            <w:pPr>
              <w:jc w:val="center"/>
            </w:pPr>
          </w:p>
        </w:tc>
      </w:tr>
      <w:tr w14:paraId="600F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pct"/>
            <w:vAlign w:val="center"/>
          </w:tcPr>
          <w:p w14:paraId="19DACD79">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利息偿付率（%）</w:t>
            </w:r>
          </w:p>
        </w:tc>
        <w:tc>
          <w:tcPr>
            <w:tcW w:w="931" w:type="pct"/>
            <w:vAlign w:val="center"/>
          </w:tcPr>
          <w:p w14:paraId="7F011450">
            <w:pPr>
              <w:jc w:val="right"/>
              <w:textAlignment w:val="center"/>
              <w:rPr>
                <w:rFonts w:cs="Times New Roman"/>
              </w:rPr>
            </w:pPr>
            <w:r>
              <w:rPr>
                <w:rFonts w:eastAsia="Arial Narrow" w:cs="Times New Roman"/>
                <w:color w:val="000000"/>
                <w:lang w:bidi="ar"/>
              </w:rPr>
              <w:t>100.00</w:t>
            </w:r>
          </w:p>
        </w:tc>
        <w:tc>
          <w:tcPr>
            <w:tcW w:w="795" w:type="pct"/>
            <w:vAlign w:val="center"/>
          </w:tcPr>
          <w:p w14:paraId="3857E25B">
            <w:pPr>
              <w:jc w:val="right"/>
              <w:textAlignment w:val="center"/>
              <w:rPr>
                <w:rFonts w:cs="Times New Roman"/>
              </w:rPr>
            </w:pPr>
            <w:r>
              <w:rPr>
                <w:rFonts w:eastAsia="Arial Narrow" w:cs="Times New Roman"/>
                <w:color w:val="000000"/>
                <w:lang w:bidi="ar"/>
              </w:rPr>
              <w:t>100.00</w:t>
            </w:r>
          </w:p>
        </w:tc>
        <w:tc>
          <w:tcPr>
            <w:tcW w:w="804" w:type="pct"/>
            <w:vAlign w:val="center"/>
          </w:tcPr>
          <w:p w14:paraId="774FDC83">
            <w:pPr>
              <w:jc w:val="right"/>
              <w:rPr>
                <w:rFonts w:cs="Times New Roman"/>
              </w:rPr>
            </w:pPr>
          </w:p>
        </w:tc>
        <w:tc>
          <w:tcPr>
            <w:tcW w:w="1180" w:type="pct"/>
          </w:tcPr>
          <w:p w14:paraId="73CB359F">
            <w:pPr>
              <w:jc w:val="center"/>
            </w:pPr>
          </w:p>
        </w:tc>
      </w:tr>
    </w:tbl>
    <w:p w14:paraId="774F3542">
      <w:pPr>
        <w:rPr>
          <w:color w:val="000000" w:themeColor="text1"/>
          <w14:textFill>
            <w14:solidFill>
              <w14:schemeClr w14:val="tx1"/>
            </w14:solidFill>
          </w14:textFill>
        </w:rPr>
      </w:pPr>
    </w:p>
    <w:p w14:paraId="199CDFBD">
      <w:pPr>
        <w:pStyle w:val="56"/>
        <w:numPr>
          <w:ilvl w:val="0"/>
          <w:numId w:val="3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可转换公司债券情况</w:t>
      </w:r>
    </w:p>
    <w:sdt>
      <w:sdtPr>
        <w:rPr>
          <w:color w:val="000000" w:themeColor="text1"/>
          <w14:textFill>
            <w14:solidFill>
              <w14:schemeClr w14:val="tx1"/>
            </w14:solidFill>
          </w14:textFill>
        </w:rPr>
        <w:alias w:val="是否适用：可转换公司债券情况[双击切换]"/>
        <w:tag w:val="_GBC_6a49e99841294af3b87ba6216b1997d9"/>
        <w:id w:val="147453817"/>
        <w:placeholder>
          <w:docPart w:val="GBC22222222222222222222222222222"/>
        </w:placeholder>
      </w:sdtPr>
      <w:sdtEndPr>
        <w:rPr>
          <w:color w:val="000000" w:themeColor="text1"/>
          <w14:textFill>
            <w14:solidFill>
              <w14:schemeClr w14:val="tx1"/>
            </w14:solidFill>
          </w14:textFill>
        </w:rPr>
      </w:sdtEndPr>
      <w:sdtContent>
        <w:p w14:paraId="6224BE7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A1CE55A">
      <w:pPr>
        <w:rPr>
          <w:color w:val="000000" w:themeColor="text1"/>
          <w14:textFill>
            <w14:solidFill>
              <w14:schemeClr w14:val="tx1"/>
            </w14:solidFill>
          </w14:textFill>
        </w:rPr>
      </w:pPr>
    </w:p>
    <w:p w14:paraId="32C195FF">
      <w:pPr>
        <w:rPr>
          <w:color w:val="000000" w:themeColor="text1"/>
          <w14:textFill>
            <w14:solidFill>
              <w14:schemeClr w14:val="tx1"/>
            </w14:solidFill>
          </w14:textFill>
        </w:rPr>
      </w:pPr>
    </w:p>
    <w:p w14:paraId="74C97440">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14:paraId="28E72D21">
      <w:pPr>
        <w:pStyle w:val="2"/>
        <w:numPr>
          <w:ilvl w:val="0"/>
          <w:numId w:val="3"/>
        </w:numPr>
        <w:rPr>
          <w:rFonts w:ascii="黑体" w:hAnsi="黑体"/>
          <w:color w:val="000000" w:themeColor="text1"/>
          <w14:textFill>
            <w14:solidFill>
              <w14:schemeClr w14:val="tx1"/>
            </w14:solidFill>
          </w14:textFill>
        </w:rPr>
      </w:pPr>
      <w:bookmarkStart w:id="145" w:name="_Toc76114281"/>
      <w:bookmarkStart w:id="146" w:name="_Toc200030546"/>
      <w:r>
        <w:rPr>
          <w:rFonts w:hint="eastAsia" w:ascii="黑体" w:hAnsi="黑体"/>
          <w:color w:val="000000" w:themeColor="text1"/>
          <w14:textFill>
            <w14:solidFill>
              <w14:schemeClr w14:val="tx1"/>
            </w14:solidFill>
          </w14:textFill>
        </w:rPr>
        <w:t>财务报告</w:t>
      </w:r>
    </w:p>
    <w:bookmarkEnd w:id="145"/>
    <w:bookmarkEnd w:id="146"/>
    <w:p w14:paraId="7E144DD1">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审计报告</w:t>
      </w:r>
    </w:p>
    <w:sdt>
      <w:sdtPr>
        <w:rPr>
          <w:color w:val="000000" w:themeColor="text1"/>
          <w14:textFill>
            <w14:solidFill>
              <w14:schemeClr w14:val="tx1"/>
            </w14:solidFill>
          </w14:textFill>
        </w:rPr>
        <w:alias w:val="是否适用：审计报告[双击切换]"/>
        <w:tag w:val="_GBC_33dac3baf6634fba91e3026ebaaad280"/>
        <w:id w:val="147458801"/>
        <w:placeholder>
          <w:docPart w:val="GBC22222222222222222222222222222"/>
        </w:placeholder>
      </w:sdtPr>
      <w:sdtEndPr>
        <w:rPr>
          <w:color w:val="000000" w:themeColor="text1"/>
          <w14:textFill>
            <w14:solidFill>
              <w14:schemeClr w14:val="tx1"/>
            </w14:solidFill>
          </w14:textFill>
        </w:rPr>
      </w:sdtEndPr>
      <w:sdtContent>
        <w:p w14:paraId="36F8A02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B2C00E">
      <w:pPr>
        <w:rPr>
          <w:color w:val="000000" w:themeColor="text1"/>
          <w14:textFill>
            <w14:solidFill>
              <w14:schemeClr w14:val="tx1"/>
            </w14:solidFill>
          </w14:textFill>
        </w:rPr>
      </w:pPr>
    </w:p>
    <w:p w14:paraId="2AF36F85">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财务报表</w:t>
      </w:r>
    </w:p>
    <w:p w14:paraId="2E8390EF">
      <w:pPr>
        <w:pStyle w:val="4"/>
        <w:jc w:val="center"/>
        <w:rPr>
          <w:rFonts w:ascii="宋体" w:hAnsi="宋体"/>
          <w:color w:val="000000" w:themeColor="text1"/>
          <w14:textFill>
            <w14:solidFill>
              <w14:schemeClr w14:val="tx1"/>
            </w14:solidFill>
          </w14:textFill>
        </w:rPr>
      </w:pPr>
      <w:bookmarkStart w:id="147" w:name="_Hlk10208794"/>
      <w:r>
        <w:rPr>
          <w:rFonts w:hint="eastAsia" w:ascii="宋体" w:hAnsi="宋体"/>
          <w:color w:val="000000" w:themeColor="text1"/>
          <w14:textFill>
            <w14:solidFill>
              <w14:schemeClr w14:val="tx1"/>
            </w14:solidFill>
          </w14:textFill>
        </w:rPr>
        <w:t>合并资产负债表</w:t>
      </w:r>
    </w:p>
    <w:p w14:paraId="1714FCE1">
      <w:pPr>
        <w:snapToGrid w:val="0"/>
        <w:spacing w:line="240" w:lineRule="atLeast"/>
        <w:jc w:val="center"/>
        <w:rPr>
          <w:b/>
          <w:color w:val="000000" w:themeColor="text1"/>
          <w14:textFill>
            <w14:solidFill>
              <w14:schemeClr w14:val="tx1"/>
            </w14:solidFill>
          </w14:textFill>
        </w:rPr>
      </w:pPr>
      <w:r>
        <w:rPr>
          <w:color w:val="000000" w:themeColor="text1"/>
          <w14:textFill>
            <w14:solidFill>
              <w14:schemeClr w14:val="tx1"/>
            </w14:solidFill>
          </w14:textFill>
        </w:rPr>
        <w:t>2025年6月30日</w:t>
      </w:r>
    </w:p>
    <w:p w14:paraId="0B6DBD83">
      <w:pPr>
        <w:rPr>
          <w:color w:val="000000" w:themeColor="text1"/>
          <w14:textFill>
            <w14:solidFill>
              <w14:schemeClr w14:val="tx1"/>
            </w14:solidFill>
          </w14:textFill>
        </w:rPr>
      </w:pPr>
      <w:r>
        <w:rPr>
          <w:color w:val="000000" w:themeColor="text1"/>
          <w14:textFill>
            <w14:solidFill>
              <w14:schemeClr w14:val="tx1"/>
            </w14:solidFill>
          </w14:textFill>
        </w:rPr>
        <w:t xml:space="preserve">编制单位： </w:t>
      </w:r>
      <w:sdt>
        <w:sdtPr>
          <w:rPr>
            <w:color w:val="000000" w:themeColor="text1"/>
            <w14:textFill>
              <w14:solidFill>
                <w14:schemeClr w14:val="tx1"/>
              </w14:solidFill>
            </w14:textFill>
          </w:rPr>
          <w:alias w:val="公司法定中文名称"/>
          <w:tag w:val="_GBC_76dae7aa62d842859c05c05e750163c2"/>
          <w:id w:val="147482702"/>
          <w:dataBinding w:prefixMappings="xmlns:clcid-cgi='clcid-cgi'" w:xpath="/*/clcid-cgi:GongSiFaDingZhongWenMingCheng[not(@periodRef)]" w:storeItemID="{89EBAB94-44A0-46A2-B712-30D997D04A6D}"/>
          <w:text/>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际华集团股份有限公司</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资产负债表"/>
          <w:tag w:val="_GBC_710dced47e5943589779e071c78c5512"/>
          <w:id w:val="147456412"/>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资产负债表"/>
          <w:tag w:val="_GBC_7e2679155b104d33ba04158c7414bcff"/>
          <w:id w:val="14748142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4992"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064"/>
        <w:gridCol w:w="875"/>
        <w:gridCol w:w="2036"/>
        <w:gridCol w:w="2060"/>
      </w:tblGrid>
      <w:tr w14:paraId="25863A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rPr>
              <w:rFonts w:cs="Times New Roman"/>
            </w:rPr>
            <w:tag w:val="_PLD_1d3f74748a444e6ea0d191e81e54edca"/>
            <w:id w:val="147468265"/>
          </w:sdtPr>
          <w:sdtEndPr>
            <w:rPr>
              <w:rFonts w:cs="Times New Roman"/>
            </w:rPr>
          </w:sdtEndPr>
          <w:sdtContent>
            <w:tc>
              <w:tcPr>
                <w:tcW w:w="2249" w:type="pct"/>
                <w:tcBorders>
                  <w:top w:val="outset" w:color="auto" w:sz="6" w:space="0"/>
                  <w:left w:val="outset" w:color="auto" w:sz="6" w:space="0"/>
                  <w:bottom w:val="outset" w:color="auto" w:sz="6" w:space="0"/>
                  <w:right w:val="outset" w:color="auto" w:sz="6" w:space="0"/>
                </w:tcBorders>
                <w:vAlign w:val="center"/>
              </w:tcPr>
              <w:p w14:paraId="16699505">
                <w:pPr>
                  <w:jc w:val="center"/>
                  <w:rPr>
                    <w:rFonts w:cs="Times New Roman"/>
                    <w:b/>
                    <w:color w:val="000000" w:themeColor="text1"/>
                    <w14:textFill>
                      <w14:solidFill>
                        <w14:schemeClr w14:val="tx1"/>
                      </w14:solidFill>
                    </w14:textFill>
                  </w:rPr>
                </w:pPr>
                <w:bookmarkStart w:id="148" w:name="_Hlk137046697"/>
                <w:r>
                  <w:rPr>
                    <w:rFonts w:cs="Times New Roman"/>
                    <w:b/>
                    <w:color w:val="000000" w:themeColor="text1"/>
                    <w14:textFill>
                      <w14:solidFill>
                        <w14:schemeClr w14:val="tx1"/>
                      </w14:solidFill>
                    </w14:textFill>
                  </w:rPr>
                  <w:t>项目</w:t>
                </w:r>
              </w:p>
            </w:tc>
          </w:sdtContent>
        </w:sdt>
        <w:sdt>
          <w:sdtPr>
            <w:rPr>
              <w:rFonts w:cs="Times New Roman"/>
            </w:rPr>
            <w:tag w:val="_PLD_da216b439a53487e85f12225916c5563"/>
            <w:id w:val="147473737"/>
          </w:sdtPr>
          <w:sdtEndPr>
            <w:rPr>
              <w:rFonts w:cs="Times New Roman"/>
            </w:rPr>
          </w:sdtEndPr>
          <w:sdtContent>
            <w:tc>
              <w:tcPr>
                <w:tcW w:w="484" w:type="pct"/>
                <w:tcBorders>
                  <w:top w:val="outset" w:color="auto" w:sz="6" w:space="0"/>
                  <w:left w:val="outset" w:color="auto" w:sz="6" w:space="0"/>
                  <w:bottom w:val="outset" w:color="auto" w:sz="6" w:space="0"/>
                  <w:right w:val="outset" w:color="auto" w:sz="6" w:space="0"/>
                </w:tcBorders>
                <w:vAlign w:val="center"/>
              </w:tcPr>
              <w:p w14:paraId="12DFC594">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附注</w:t>
                </w:r>
              </w:p>
            </w:tc>
          </w:sdtContent>
        </w:sdt>
        <w:sdt>
          <w:sdtPr>
            <w:rPr>
              <w:rFonts w:cs="Times New Roman"/>
            </w:rPr>
            <w:tag w:val="_PLD_21df1d74f3114abf83688ef31bc4d9a7"/>
            <w:id w:val="147481279"/>
          </w:sdtPr>
          <w:sdtEndPr>
            <w:rPr>
              <w:rFonts w:cs="Times New Roman"/>
            </w:rPr>
          </w:sdtEndPr>
          <w:sdtContent>
            <w:tc>
              <w:tcPr>
                <w:tcW w:w="1127" w:type="pct"/>
                <w:tcBorders>
                  <w:top w:val="outset" w:color="auto" w:sz="6" w:space="0"/>
                  <w:left w:val="outset" w:color="auto" w:sz="6" w:space="0"/>
                  <w:bottom w:val="outset" w:color="auto" w:sz="6" w:space="0"/>
                  <w:right w:val="outset" w:color="auto" w:sz="6" w:space="0"/>
                </w:tcBorders>
                <w:vAlign w:val="center"/>
              </w:tcPr>
              <w:p w14:paraId="2C2925B1">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2025年6月30日</w:t>
                </w:r>
              </w:p>
            </w:tc>
          </w:sdtContent>
        </w:sdt>
        <w:sdt>
          <w:sdtPr>
            <w:rPr>
              <w:rFonts w:cs="Times New Roman"/>
            </w:rPr>
            <w:tag w:val="_PLD_d92c936206d34a64b4b2139999e7311b"/>
            <w:id w:val="147473516"/>
          </w:sdtPr>
          <w:sdtEndPr>
            <w:rPr>
              <w:rFonts w:cs="Times New Roman"/>
            </w:rPr>
          </w:sdtEndPr>
          <w:sdtContent>
            <w:tc>
              <w:tcPr>
                <w:tcW w:w="1140" w:type="pct"/>
                <w:tcBorders>
                  <w:top w:val="outset" w:color="auto" w:sz="6" w:space="0"/>
                  <w:left w:val="outset" w:color="auto" w:sz="6" w:space="0"/>
                  <w:bottom w:val="outset" w:color="auto" w:sz="6" w:space="0"/>
                  <w:right w:val="outset" w:color="auto" w:sz="6" w:space="0"/>
                </w:tcBorders>
                <w:vAlign w:val="center"/>
              </w:tcPr>
              <w:p w14:paraId="3AE24F36">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2024年12月31日</w:t>
                </w:r>
              </w:p>
            </w:tc>
          </w:sdtContent>
        </w:sdt>
      </w:tr>
      <w:tr w14:paraId="239B1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c47a329e79ad491ca413bdaf35b1f19b"/>
            <w:id w:val="147470543"/>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0FC02D19">
                <w:pP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流动资产：</w:t>
                </w:r>
              </w:p>
            </w:tc>
          </w:sdtContent>
        </w:sdt>
      </w:tr>
      <w:tr w14:paraId="5733DF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F54CCF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货币资金</w:t>
            </w:r>
          </w:p>
        </w:tc>
        <w:tc>
          <w:tcPr>
            <w:tcW w:w="484" w:type="pct"/>
            <w:tcBorders>
              <w:top w:val="outset" w:color="auto" w:sz="6" w:space="0"/>
              <w:left w:val="outset" w:color="auto" w:sz="6" w:space="0"/>
              <w:bottom w:val="outset" w:color="auto" w:sz="6" w:space="0"/>
              <w:right w:val="outset" w:color="auto" w:sz="6" w:space="0"/>
            </w:tcBorders>
            <w:vAlign w:val="center"/>
          </w:tcPr>
          <w:p w14:paraId="34D53B5C">
            <w:pPr>
              <w:jc w:val="center"/>
              <w:rPr>
                <w:rFonts w:cs="Times New Roman"/>
              </w:rPr>
            </w:pPr>
            <w:r>
              <w:rPr>
                <w:rFonts w:cs="Times New Roman"/>
              </w:rPr>
              <w:t>七、1</w:t>
            </w:r>
          </w:p>
        </w:tc>
        <w:tc>
          <w:tcPr>
            <w:tcW w:w="1127" w:type="pct"/>
            <w:tcBorders>
              <w:top w:val="outset" w:color="auto" w:sz="6" w:space="0"/>
              <w:left w:val="outset" w:color="auto" w:sz="6" w:space="0"/>
              <w:bottom w:val="outset" w:color="auto" w:sz="6" w:space="0"/>
              <w:right w:val="outset" w:color="auto" w:sz="6" w:space="0"/>
            </w:tcBorders>
            <w:vAlign w:val="bottom"/>
          </w:tcPr>
          <w:p w14:paraId="746B0ADB">
            <w:pPr>
              <w:jc w:val="right"/>
              <w:textAlignment w:val="bottom"/>
              <w:rPr>
                <w:rFonts w:cs="Times New Roman"/>
              </w:rPr>
            </w:pPr>
            <w:r>
              <w:rPr>
                <w:rFonts w:eastAsia="Arial Narrow" w:cs="Times New Roman"/>
                <w:color w:val="000000"/>
                <w:lang w:bidi="ar"/>
              </w:rPr>
              <w:t>6,027,121,072.12</w:t>
            </w:r>
          </w:p>
        </w:tc>
        <w:tc>
          <w:tcPr>
            <w:tcW w:w="1140" w:type="pct"/>
            <w:tcBorders>
              <w:top w:val="outset" w:color="auto" w:sz="6" w:space="0"/>
              <w:left w:val="outset" w:color="auto" w:sz="6" w:space="0"/>
              <w:bottom w:val="outset" w:color="auto" w:sz="6" w:space="0"/>
              <w:right w:val="outset" w:color="auto" w:sz="6" w:space="0"/>
            </w:tcBorders>
            <w:vAlign w:val="bottom"/>
          </w:tcPr>
          <w:p w14:paraId="3C034E7A">
            <w:pPr>
              <w:jc w:val="right"/>
              <w:textAlignment w:val="bottom"/>
              <w:rPr>
                <w:rFonts w:cs="Times New Roman"/>
              </w:rPr>
            </w:pPr>
            <w:r>
              <w:rPr>
                <w:rFonts w:eastAsia="Arial Narrow" w:cs="Times New Roman"/>
                <w:color w:val="000000"/>
                <w:lang w:bidi="ar"/>
              </w:rPr>
              <w:t>5,606,201,041.01</w:t>
            </w:r>
          </w:p>
        </w:tc>
      </w:tr>
      <w:tr w14:paraId="3396D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34CD20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交易性金融资产</w:t>
            </w:r>
          </w:p>
        </w:tc>
        <w:tc>
          <w:tcPr>
            <w:tcW w:w="484" w:type="pct"/>
            <w:tcBorders>
              <w:top w:val="outset" w:color="auto" w:sz="6" w:space="0"/>
              <w:left w:val="outset" w:color="auto" w:sz="6" w:space="0"/>
              <w:bottom w:val="outset" w:color="auto" w:sz="6" w:space="0"/>
              <w:right w:val="outset" w:color="auto" w:sz="6" w:space="0"/>
            </w:tcBorders>
            <w:vAlign w:val="center"/>
          </w:tcPr>
          <w:p w14:paraId="08152072">
            <w:pPr>
              <w:jc w:val="center"/>
              <w:rPr>
                <w:rFonts w:cs="Times New Roman"/>
              </w:rPr>
            </w:pPr>
            <w:r>
              <w:rPr>
                <w:rFonts w:cs="Times New Roman"/>
              </w:rPr>
              <w:t>七、2</w:t>
            </w:r>
          </w:p>
        </w:tc>
        <w:tc>
          <w:tcPr>
            <w:tcW w:w="1127" w:type="pct"/>
            <w:tcBorders>
              <w:top w:val="outset" w:color="auto" w:sz="6" w:space="0"/>
              <w:left w:val="outset" w:color="auto" w:sz="6" w:space="0"/>
              <w:bottom w:val="outset" w:color="auto" w:sz="6" w:space="0"/>
              <w:right w:val="outset" w:color="auto" w:sz="6" w:space="0"/>
            </w:tcBorders>
            <w:vAlign w:val="bottom"/>
          </w:tcPr>
          <w:p w14:paraId="069FA4EF">
            <w:pPr>
              <w:jc w:val="right"/>
              <w:textAlignment w:val="bottom"/>
              <w:rPr>
                <w:rFonts w:cs="Times New Roman"/>
              </w:rPr>
            </w:pPr>
            <w:r>
              <w:rPr>
                <w:rFonts w:eastAsia="Arial Narrow" w:cs="Times New Roman"/>
                <w:color w:val="000000"/>
                <w:lang w:bidi="ar"/>
              </w:rPr>
              <w:t>630,009.80</w:t>
            </w:r>
          </w:p>
        </w:tc>
        <w:tc>
          <w:tcPr>
            <w:tcW w:w="1140" w:type="pct"/>
            <w:tcBorders>
              <w:top w:val="outset" w:color="auto" w:sz="6" w:space="0"/>
              <w:left w:val="outset" w:color="auto" w:sz="6" w:space="0"/>
              <w:bottom w:val="outset" w:color="auto" w:sz="6" w:space="0"/>
              <w:right w:val="outset" w:color="auto" w:sz="6" w:space="0"/>
            </w:tcBorders>
            <w:vAlign w:val="bottom"/>
          </w:tcPr>
          <w:p w14:paraId="78314703">
            <w:pPr>
              <w:jc w:val="right"/>
              <w:textAlignment w:val="bottom"/>
              <w:rPr>
                <w:rFonts w:cs="Times New Roman"/>
              </w:rPr>
            </w:pPr>
            <w:r>
              <w:rPr>
                <w:rFonts w:eastAsia="Arial Narrow" w:cs="Times New Roman"/>
                <w:color w:val="000000"/>
                <w:lang w:bidi="ar"/>
              </w:rPr>
              <w:t>630,009.80</w:t>
            </w:r>
          </w:p>
        </w:tc>
      </w:tr>
      <w:tr w14:paraId="0DF7D0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3F9EF8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应收票据</w:t>
            </w:r>
          </w:p>
        </w:tc>
        <w:tc>
          <w:tcPr>
            <w:tcW w:w="484" w:type="pct"/>
            <w:tcBorders>
              <w:top w:val="outset" w:color="auto" w:sz="6" w:space="0"/>
              <w:left w:val="outset" w:color="auto" w:sz="6" w:space="0"/>
              <w:bottom w:val="outset" w:color="auto" w:sz="6" w:space="0"/>
              <w:right w:val="outset" w:color="auto" w:sz="6" w:space="0"/>
            </w:tcBorders>
            <w:vAlign w:val="center"/>
          </w:tcPr>
          <w:p w14:paraId="6A732524">
            <w:pPr>
              <w:jc w:val="center"/>
              <w:rPr>
                <w:rFonts w:cs="Times New Roman"/>
              </w:rPr>
            </w:pPr>
            <w:r>
              <w:rPr>
                <w:rFonts w:cs="Times New Roman"/>
              </w:rPr>
              <w:t>七、4</w:t>
            </w:r>
          </w:p>
        </w:tc>
        <w:tc>
          <w:tcPr>
            <w:tcW w:w="1127" w:type="pct"/>
            <w:tcBorders>
              <w:top w:val="outset" w:color="auto" w:sz="6" w:space="0"/>
              <w:left w:val="outset" w:color="auto" w:sz="6" w:space="0"/>
              <w:bottom w:val="outset" w:color="auto" w:sz="6" w:space="0"/>
              <w:right w:val="outset" w:color="auto" w:sz="6" w:space="0"/>
            </w:tcBorders>
            <w:vAlign w:val="bottom"/>
          </w:tcPr>
          <w:p w14:paraId="3469B467">
            <w:pPr>
              <w:jc w:val="right"/>
              <w:textAlignment w:val="bottom"/>
              <w:rPr>
                <w:rFonts w:cs="Times New Roman"/>
              </w:rPr>
            </w:pPr>
            <w:r>
              <w:rPr>
                <w:rFonts w:eastAsia="Arial Narrow" w:cs="Times New Roman"/>
                <w:color w:val="000000"/>
                <w:lang w:bidi="ar"/>
              </w:rPr>
              <w:t>49,330,453.03</w:t>
            </w:r>
          </w:p>
        </w:tc>
        <w:tc>
          <w:tcPr>
            <w:tcW w:w="1140" w:type="pct"/>
            <w:tcBorders>
              <w:top w:val="outset" w:color="auto" w:sz="6" w:space="0"/>
              <w:left w:val="outset" w:color="auto" w:sz="6" w:space="0"/>
              <w:bottom w:val="outset" w:color="auto" w:sz="6" w:space="0"/>
              <w:right w:val="outset" w:color="auto" w:sz="6" w:space="0"/>
            </w:tcBorders>
            <w:vAlign w:val="bottom"/>
          </w:tcPr>
          <w:p w14:paraId="533CF59C">
            <w:pPr>
              <w:jc w:val="right"/>
              <w:textAlignment w:val="bottom"/>
              <w:rPr>
                <w:rFonts w:cs="Times New Roman"/>
              </w:rPr>
            </w:pPr>
            <w:r>
              <w:rPr>
                <w:rFonts w:eastAsia="Arial Narrow" w:cs="Times New Roman"/>
                <w:color w:val="000000"/>
                <w:lang w:bidi="ar"/>
              </w:rPr>
              <w:t>64,988,181.85</w:t>
            </w:r>
          </w:p>
        </w:tc>
      </w:tr>
      <w:tr w14:paraId="5DAB87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426190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应收账款</w:t>
            </w:r>
          </w:p>
        </w:tc>
        <w:tc>
          <w:tcPr>
            <w:tcW w:w="484" w:type="pct"/>
            <w:tcBorders>
              <w:top w:val="outset" w:color="auto" w:sz="6" w:space="0"/>
              <w:left w:val="outset" w:color="auto" w:sz="6" w:space="0"/>
              <w:bottom w:val="outset" w:color="auto" w:sz="6" w:space="0"/>
              <w:right w:val="outset" w:color="auto" w:sz="6" w:space="0"/>
            </w:tcBorders>
            <w:vAlign w:val="center"/>
          </w:tcPr>
          <w:p w14:paraId="081552B4">
            <w:pPr>
              <w:jc w:val="center"/>
              <w:rPr>
                <w:rFonts w:cs="Times New Roman"/>
              </w:rPr>
            </w:pPr>
            <w:r>
              <w:rPr>
                <w:rFonts w:cs="Times New Roman"/>
              </w:rPr>
              <w:t>七、5</w:t>
            </w:r>
          </w:p>
        </w:tc>
        <w:tc>
          <w:tcPr>
            <w:tcW w:w="1127" w:type="pct"/>
            <w:tcBorders>
              <w:top w:val="outset" w:color="auto" w:sz="6" w:space="0"/>
              <w:left w:val="outset" w:color="auto" w:sz="6" w:space="0"/>
              <w:bottom w:val="outset" w:color="auto" w:sz="6" w:space="0"/>
              <w:right w:val="outset" w:color="auto" w:sz="6" w:space="0"/>
            </w:tcBorders>
            <w:vAlign w:val="bottom"/>
          </w:tcPr>
          <w:p w14:paraId="4D112091">
            <w:pPr>
              <w:jc w:val="right"/>
              <w:textAlignment w:val="bottom"/>
              <w:rPr>
                <w:rFonts w:cs="Times New Roman"/>
              </w:rPr>
            </w:pPr>
            <w:r>
              <w:rPr>
                <w:rFonts w:eastAsia="Arial Narrow" w:cs="Times New Roman"/>
                <w:color w:val="000000"/>
                <w:lang w:bidi="ar"/>
              </w:rPr>
              <w:t>3,057,512,231.83</w:t>
            </w:r>
          </w:p>
        </w:tc>
        <w:tc>
          <w:tcPr>
            <w:tcW w:w="1140" w:type="pct"/>
            <w:tcBorders>
              <w:top w:val="outset" w:color="auto" w:sz="6" w:space="0"/>
              <w:left w:val="outset" w:color="auto" w:sz="6" w:space="0"/>
              <w:bottom w:val="outset" w:color="auto" w:sz="6" w:space="0"/>
              <w:right w:val="outset" w:color="auto" w:sz="6" w:space="0"/>
            </w:tcBorders>
            <w:vAlign w:val="bottom"/>
          </w:tcPr>
          <w:p w14:paraId="6F249D49">
            <w:pPr>
              <w:jc w:val="right"/>
              <w:textAlignment w:val="bottom"/>
              <w:rPr>
                <w:rFonts w:cs="Times New Roman"/>
              </w:rPr>
            </w:pPr>
            <w:r>
              <w:rPr>
                <w:rFonts w:eastAsia="Arial Narrow" w:cs="Times New Roman"/>
                <w:color w:val="000000"/>
                <w:lang w:bidi="ar"/>
              </w:rPr>
              <w:t>2,920,664,477.47</w:t>
            </w:r>
          </w:p>
        </w:tc>
      </w:tr>
      <w:tr w14:paraId="7AE3F7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1C1D0F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应收款项融资</w:t>
            </w:r>
          </w:p>
        </w:tc>
        <w:tc>
          <w:tcPr>
            <w:tcW w:w="484" w:type="pct"/>
            <w:tcBorders>
              <w:top w:val="outset" w:color="auto" w:sz="6" w:space="0"/>
              <w:left w:val="outset" w:color="auto" w:sz="6" w:space="0"/>
              <w:bottom w:val="outset" w:color="auto" w:sz="6" w:space="0"/>
              <w:right w:val="outset" w:color="auto" w:sz="6" w:space="0"/>
            </w:tcBorders>
            <w:vAlign w:val="center"/>
          </w:tcPr>
          <w:p w14:paraId="7B36E401">
            <w:pPr>
              <w:jc w:val="center"/>
              <w:rPr>
                <w:rFonts w:cs="Times New Roman"/>
              </w:rPr>
            </w:pPr>
            <w:r>
              <w:rPr>
                <w:rFonts w:cs="Times New Roman"/>
              </w:rPr>
              <w:t>七、7</w:t>
            </w:r>
          </w:p>
        </w:tc>
        <w:tc>
          <w:tcPr>
            <w:tcW w:w="1127" w:type="pct"/>
            <w:tcBorders>
              <w:top w:val="outset" w:color="auto" w:sz="6" w:space="0"/>
              <w:left w:val="outset" w:color="auto" w:sz="6" w:space="0"/>
              <w:bottom w:val="outset" w:color="auto" w:sz="6" w:space="0"/>
              <w:right w:val="outset" w:color="auto" w:sz="6" w:space="0"/>
            </w:tcBorders>
            <w:vAlign w:val="center"/>
          </w:tcPr>
          <w:p w14:paraId="684557B0">
            <w:pPr>
              <w:jc w:val="right"/>
              <w:textAlignment w:val="center"/>
              <w:rPr>
                <w:rFonts w:cs="Times New Roman"/>
              </w:rPr>
            </w:pPr>
            <w:r>
              <w:rPr>
                <w:rFonts w:eastAsia="Arial Narrow" w:cs="Times New Roman"/>
                <w:color w:val="000000"/>
                <w:lang w:bidi="ar"/>
              </w:rPr>
              <w:t>70,905,863.88</w:t>
            </w:r>
          </w:p>
        </w:tc>
        <w:tc>
          <w:tcPr>
            <w:tcW w:w="1140" w:type="pct"/>
            <w:tcBorders>
              <w:top w:val="outset" w:color="auto" w:sz="6" w:space="0"/>
              <w:left w:val="outset" w:color="auto" w:sz="6" w:space="0"/>
              <w:bottom w:val="outset" w:color="auto" w:sz="6" w:space="0"/>
              <w:right w:val="outset" w:color="auto" w:sz="6" w:space="0"/>
            </w:tcBorders>
            <w:vAlign w:val="center"/>
          </w:tcPr>
          <w:p w14:paraId="620A40BC">
            <w:pPr>
              <w:jc w:val="right"/>
              <w:textAlignment w:val="center"/>
              <w:rPr>
                <w:rFonts w:cs="Times New Roman"/>
              </w:rPr>
            </w:pPr>
            <w:r>
              <w:rPr>
                <w:rFonts w:eastAsia="Arial Narrow" w:cs="Times New Roman"/>
                <w:color w:val="000000"/>
                <w:lang w:bidi="ar"/>
              </w:rPr>
              <w:t>20,627,331.54</w:t>
            </w:r>
          </w:p>
        </w:tc>
      </w:tr>
      <w:tr w14:paraId="58E950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B785CC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预付款项</w:t>
            </w:r>
          </w:p>
        </w:tc>
        <w:tc>
          <w:tcPr>
            <w:tcW w:w="484" w:type="pct"/>
            <w:tcBorders>
              <w:top w:val="outset" w:color="auto" w:sz="6" w:space="0"/>
              <w:left w:val="outset" w:color="auto" w:sz="6" w:space="0"/>
              <w:bottom w:val="outset" w:color="auto" w:sz="6" w:space="0"/>
              <w:right w:val="outset" w:color="auto" w:sz="6" w:space="0"/>
            </w:tcBorders>
            <w:vAlign w:val="center"/>
          </w:tcPr>
          <w:p w14:paraId="21BC7D6E">
            <w:pPr>
              <w:jc w:val="center"/>
              <w:rPr>
                <w:rFonts w:cs="Times New Roman"/>
              </w:rPr>
            </w:pPr>
            <w:r>
              <w:rPr>
                <w:rFonts w:cs="Times New Roman"/>
              </w:rPr>
              <w:t>七、8</w:t>
            </w:r>
          </w:p>
        </w:tc>
        <w:tc>
          <w:tcPr>
            <w:tcW w:w="1127" w:type="pct"/>
            <w:tcBorders>
              <w:top w:val="outset" w:color="auto" w:sz="6" w:space="0"/>
              <w:left w:val="outset" w:color="auto" w:sz="6" w:space="0"/>
              <w:bottom w:val="outset" w:color="auto" w:sz="6" w:space="0"/>
              <w:right w:val="outset" w:color="auto" w:sz="6" w:space="0"/>
            </w:tcBorders>
            <w:vAlign w:val="bottom"/>
          </w:tcPr>
          <w:p w14:paraId="0450B390">
            <w:pPr>
              <w:jc w:val="right"/>
              <w:textAlignment w:val="bottom"/>
              <w:rPr>
                <w:rFonts w:cs="Times New Roman"/>
              </w:rPr>
            </w:pPr>
            <w:r>
              <w:rPr>
                <w:rFonts w:eastAsia="Arial Narrow" w:cs="Times New Roman"/>
                <w:color w:val="000000"/>
                <w:lang w:bidi="ar"/>
              </w:rPr>
              <w:t>118,654,650.84</w:t>
            </w:r>
          </w:p>
        </w:tc>
        <w:tc>
          <w:tcPr>
            <w:tcW w:w="1140" w:type="pct"/>
            <w:tcBorders>
              <w:top w:val="outset" w:color="auto" w:sz="6" w:space="0"/>
              <w:left w:val="outset" w:color="auto" w:sz="6" w:space="0"/>
              <w:bottom w:val="outset" w:color="auto" w:sz="6" w:space="0"/>
              <w:right w:val="outset" w:color="auto" w:sz="6" w:space="0"/>
            </w:tcBorders>
            <w:vAlign w:val="bottom"/>
          </w:tcPr>
          <w:p w14:paraId="63E1E87F">
            <w:pPr>
              <w:jc w:val="right"/>
              <w:textAlignment w:val="bottom"/>
              <w:rPr>
                <w:rFonts w:cs="Times New Roman"/>
              </w:rPr>
            </w:pPr>
            <w:r>
              <w:rPr>
                <w:rFonts w:eastAsia="Arial Narrow" w:cs="Times New Roman"/>
                <w:color w:val="000000"/>
                <w:lang w:bidi="ar"/>
              </w:rPr>
              <w:t>146,724,980.87</w:t>
            </w:r>
          </w:p>
        </w:tc>
      </w:tr>
      <w:tr w14:paraId="3182C2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3D3DBE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其他应收款</w:t>
            </w:r>
          </w:p>
        </w:tc>
        <w:tc>
          <w:tcPr>
            <w:tcW w:w="484" w:type="pct"/>
            <w:tcBorders>
              <w:top w:val="outset" w:color="auto" w:sz="6" w:space="0"/>
              <w:left w:val="outset" w:color="auto" w:sz="6" w:space="0"/>
              <w:bottom w:val="outset" w:color="auto" w:sz="6" w:space="0"/>
              <w:right w:val="outset" w:color="auto" w:sz="6" w:space="0"/>
            </w:tcBorders>
            <w:vAlign w:val="center"/>
          </w:tcPr>
          <w:p w14:paraId="2933FA50">
            <w:pPr>
              <w:jc w:val="center"/>
              <w:rPr>
                <w:rFonts w:cs="Times New Roman"/>
              </w:rPr>
            </w:pPr>
            <w:r>
              <w:rPr>
                <w:rFonts w:cs="Times New Roman"/>
              </w:rPr>
              <w:t>七、9</w:t>
            </w:r>
          </w:p>
        </w:tc>
        <w:tc>
          <w:tcPr>
            <w:tcW w:w="1127" w:type="pct"/>
            <w:tcBorders>
              <w:top w:val="outset" w:color="auto" w:sz="6" w:space="0"/>
              <w:left w:val="outset" w:color="auto" w:sz="6" w:space="0"/>
              <w:bottom w:val="outset" w:color="auto" w:sz="6" w:space="0"/>
              <w:right w:val="outset" w:color="auto" w:sz="6" w:space="0"/>
            </w:tcBorders>
            <w:vAlign w:val="bottom"/>
          </w:tcPr>
          <w:p w14:paraId="25DE1EF9">
            <w:pPr>
              <w:jc w:val="right"/>
              <w:textAlignment w:val="bottom"/>
              <w:rPr>
                <w:rFonts w:cs="Times New Roman"/>
              </w:rPr>
            </w:pPr>
            <w:r>
              <w:rPr>
                <w:rFonts w:eastAsia="Arial Narrow" w:cs="Times New Roman"/>
                <w:color w:val="000000"/>
                <w:lang w:bidi="ar"/>
              </w:rPr>
              <w:t>672,234,897.43</w:t>
            </w:r>
          </w:p>
        </w:tc>
        <w:tc>
          <w:tcPr>
            <w:tcW w:w="1140" w:type="pct"/>
            <w:tcBorders>
              <w:top w:val="outset" w:color="auto" w:sz="6" w:space="0"/>
              <w:left w:val="outset" w:color="auto" w:sz="6" w:space="0"/>
              <w:bottom w:val="outset" w:color="auto" w:sz="6" w:space="0"/>
              <w:right w:val="outset" w:color="auto" w:sz="6" w:space="0"/>
            </w:tcBorders>
            <w:vAlign w:val="bottom"/>
          </w:tcPr>
          <w:p w14:paraId="213D64D4">
            <w:pPr>
              <w:jc w:val="right"/>
              <w:textAlignment w:val="bottom"/>
              <w:rPr>
                <w:rFonts w:cs="Times New Roman"/>
              </w:rPr>
            </w:pPr>
            <w:r>
              <w:rPr>
                <w:rFonts w:eastAsia="Arial Narrow" w:cs="Times New Roman"/>
                <w:color w:val="000000"/>
                <w:lang w:bidi="ar"/>
              </w:rPr>
              <w:t>644,572,849.98</w:t>
            </w:r>
          </w:p>
        </w:tc>
      </w:tr>
      <w:tr w14:paraId="6A188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B6A8C4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其中：应收利息</w:t>
            </w:r>
          </w:p>
        </w:tc>
        <w:tc>
          <w:tcPr>
            <w:tcW w:w="484" w:type="pct"/>
            <w:tcBorders>
              <w:top w:val="outset" w:color="auto" w:sz="6" w:space="0"/>
              <w:left w:val="outset" w:color="auto" w:sz="6" w:space="0"/>
              <w:bottom w:val="outset" w:color="auto" w:sz="6" w:space="0"/>
              <w:right w:val="outset" w:color="auto" w:sz="6" w:space="0"/>
            </w:tcBorders>
            <w:vAlign w:val="center"/>
          </w:tcPr>
          <w:p w14:paraId="68370D7B">
            <w:pPr>
              <w:jc w:val="center"/>
              <w:rPr>
                <w:rFonts w:cs="Times New Roman"/>
              </w:rPr>
            </w:pPr>
            <w:r>
              <w:rPr>
                <w:rFonts w:cs="Times New Roman"/>
              </w:rPr>
              <w:t>七、9</w:t>
            </w:r>
          </w:p>
        </w:tc>
        <w:tc>
          <w:tcPr>
            <w:tcW w:w="1127" w:type="pct"/>
            <w:tcBorders>
              <w:top w:val="outset" w:color="auto" w:sz="6" w:space="0"/>
              <w:left w:val="outset" w:color="auto" w:sz="6" w:space="0"/>
              <w:bottom w:val="outset" w:color="auto" w:sz="6" w:space="0"/>
              <w:right w:val="outset" w:color="auto" w:sz="6" w:space="0"/>
            </w:tcBorders>
            <w:vAlign w:val="bottom"/>
          </w:tcPr>
          <w:p w14:paraId="7526AF6C">
            <w:pPr>
              <w:jc w:val="right"/>
              <w:rPr>
                <w:rFonts w:cs="Times New Roman"/>
              </w:rPr>
            </w:pPr>
          </w:p>
        </w:tc>
        <w:tc>
          <w:tcPr>
            <w:tcW w:w="1140" w:type="pct"/>
            <w:tcBorders>
              <w:top w:val="outset" w:color="auto" w:sz="6" w:space="0"/>
              <w:left w:val="outset" w:color="auto" w:sz="6" w:space="0"/>
              <w:bottom w:val="outset" w:color="auto" w:sz="6" w:space="0"/>
              <w:right w:val="outset" w:color="auto" w:sz="6" w:space="0"/>
            </w:tcBorders>
            <w:vAlign w:val="bottom"/>
          </w:tcPr>
          <w:p w14:paraId="466A6FD3">
            <w:pPr>
              <w:jc w:val="right"/>
              <w:rPr>
                <w:rFonts w:cs="Times New Roman"/>
              </w:rPr>
            </w:pPr>
          </w:p>
        </w:tc>
      </w:tr>
      <w:tr w14:paraId="02E4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DB6652E">
            <w:pPr>
              <w:ind w:firstLine="840" w:firstLineChars="4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应收股利</w:t>
            </w:r>
          </w:p>
        </w:tc>
        <w:tc>
          <w:tcPr>
            <w:tcW w:w="484" w:type="pct"/>
            <w:tcBorders>
              <w:top w:val="outset" w:color="auto" w:sz="6" w:space="0"/>
              <w:left w:val="outset" w:color="auto" w:sz="6" w:space="0"/>
              <w:bottom w:val="outset" w:color="auto" w:sz="6" w:space="0"/>
              <w:right w:val="outset" w:color="auto" w:sz="6" w:space="0"/>
            </w:tcBorders>
            <w:vAlign w:val="center"/>
          </w:tcPr>
          <w:p w14:paraId="0C3BCE09">
            <w:pPr>
              <w:jc w:val="center"/>
              <w:rPr>
                <w:rFonts w:cs="Times New Roman"/>
              </w:rPr>
            </w:pPr>
            <w:r>
              <w:rPr>
                <w:rFonts w:cs="Times New Roman"/>
              </w:rPr>
              <w:t>七、9</w:t>
            </w:r>
          </w:p>
        </w:tc>
        <w:tc>
          <w:tcPr>
            <w:tcW w:w="1127" w:type="pct"/>
            <w:tcBorders>
              <w:top w:val="outset" w:color="auto" w:sz="6" w:space="0"/>
              <w:left w:val="outset" w:color="auto" w:sz="6" w:space="0"/>
              <w:bottom w:val="outset" w:color="auto" w:sz="6" w:space="0"/>
              <w:right w:val="outset" w:color="auto" w:sz="6" w:space="0"/>
            </w:tcBorders>
            <w:vAlign w:val="bottom"/>
          </w:tcPr>
          <w:p w14:paraId="0F4A8D30">
            <w:pPr>
              <w:jc w:val="right"/>
              <w:textAlignment w:val="bottom"/>
              <w:rPr>
                <w:rFonts w:cs="Times New Roman"/>
              </w:rPr>
            </w:pPr>
            <w:r>
              <w:rPr>
                <w:rFonts w:eastAsia="Arial Narrow" w:cs="Times New Roman"/>
                <w:color w:val="000000"/>
                <w:lang w:bidi="ar"/>
              </w:rPr>
              <w:t>52,107,547.75</w:t>
            </w:r>
          </w:p>
        </w:tc>
        <w:tc>
          <w:tcPr>
            <w:tcW w:w="1140" w:type="pct"/>
            <w:tcBorders>
              <w:top w:val="outset" w:color="auto" w:sz="6" w:space="0"/>
              <w:left w:val="outset" w:color="auto" w:sz="6" w:space="0"/>
              <w:bottom w:val="outset" w:color="auto" w:sz="6" w:space="0"/>
              <w:right w:val="outset" w:color="auto" w:sz="6" w:space="0"/>
            </w:tcBorders>
            <w:vAlign w:val="bottom"/>
          </w:tcPr>
          <w:p w14:paraId="4500B81E">
            <w:pPr>
              <w:jc w:val="right"/>
              <w:textAlignment w:val="bottom"/>
              <w:rPr>
                <w:rFonts w:cs="Times New Roman"/>
              </w:rPr>
            </w:pPr>
            <w:r>
              <w:rPr>
                <w:rFonts w:eastAsia="Arial Narrow" w:cs="Times New Roman"/>
                <w:color w:val="000000"/>
                <w:lang w:bidi="ar"/>
              </w:rPr>
              <w:t>52,107,547.75</w:t>
            </w:r>
          </w:p>
        </w:tc>
      </w:tr>
      <w:tr w14:paraId="2CF984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C18B193">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存货</w:t>
            </w:r>
          </w:p>
        </w:tc>
        <w:tc>
          <w:tcPr>
            <w:tcW w:w="484" w:type="pct"/>
            <w:tcBorders>
              <w:top w:val="outset" w:color="auto" w:sz="6" w:space="0"/>
              <w:left w:val="outset" w:color="auto" w:sz="6" w:space="0"/>
              <w:bottom w:val="outset" w:color="auto" w:sz="6" w:space="0"/>
              <w:right w:val="outset" w:color="auto" w:sz="6" w:space="0"/>
            </w:tcBorders>
            <w:vAlign w:val="center"/>
          </w:tcPr>
          <w:p w14:paraId="356273A1">
            <w:pPr>
              <w:jc w:val="center"/>
              <w:rPr>
                <w:rFonts w:cs="Times New Roman"/>
              </w:rPr>
            </w:pPr>
            <w:r>
              <w:rPr>
                <w:rFonts w:cs="Times New Roman"/>
              </w:rPr>
              <w:t>七、10</w:t>
            </w:r>
          </w:p>
        </w:tc>
        <w:tc>
          <w:tcPr>
            <w:tcW w:w="1127" w:type="pct"/>
            <w:tcBorders>
              <w:top w:val="outset" w:color="auto" w:sz="6" w:space="0"/>
              <w:left w:val="outset" w:color="auto" w:sz="6" w:space="0"/>
              <w:bottom w:val="outset" w:color="auto" w:sz="6" w:space="0"/>
              <w:right w:val="outset" w:color="auto" w:sz="6" w:space="0"/>
            </w:tcBorders>
            <w:vAlign w:val="bottom"/>
          </w:tcPr>
          <w:p w14:paraId="637E5EB3">
            <w:pPr>
              <w:jc w:val="right"/>
              <w:textAlignment w:val="bottom"/>
              <w:rPr>
                <w:rFonts w:cs="Times New Roman"/>
              </w:rPr>
            </w:pPr>
            <w:r>
              <w:rPr>
                <w:rFonts w:eastAsia="Arial Narrow" w:cs="Times New Roman"/>
                <w:color w:val="000000"/>
                <w:lang w:bidi="ar"/>
              </w:rPr>
              <w:t>2,439,916,272.06</w:t>
            </w:r>
          </w:p>
        </w:tc>
        <w:tc>
          <w:tcPr>
            <w:tcW w:w="1140" w:type="pct"/>
            <w:tcBorders>
              <w:top w:val="outset" w:color="auto" w:sz="6" w:space="0"/>
              <w:left w:val="outset" w:color="auto" w:sz="6" w:space="0"/>
              <w:bottom w:val="outset" w:color="auto" w:sz="6" w:space="0"/>
              <w:right w:val="outset" w:color="auto" w:sz="6" w:space="0"/>
            </w:tcBorders>
            <w:vAlign w:val="bottom"/>
          </w:tcPr>
          <w:p w14:paraId="3348C9AE">
            <w:pPr>
              <w:jc w:val="right"/>
              <w:textAlignment w:val="bottom"/>
              <w:rPr>
                <w:rFonts w:cs="Times New Roman"/>
              </w:rPr>
            </w:pPr>
            <w:r>
              <w:rPr>
                <w:rFonts w:eastAsia="Arial Narrow" w:cs="Times New Roman"/>
                <w:color w:val="000000"/>
                <w:lang w:bidi="ar"/>
              </w:rPr>
              <w:t>2,623,357,182.30</w:t>
            </w:r>
          </w:p>
        </w:tc>
      </w:tr>
      <w:tr w14:paraId="79A9EA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F19A8B9">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其他流动资产</w:t>
            </w:r>
          </w:p>
        </w:tc>
        <w:tc>
          <w:tcPr>
            <w:tcW w:w="484" w:type="pct"/>
            <w:tcBorders>
              <w:top w:val="outset" w:color="auto" w:sz="6" w:space="0"/>
              <w:left w:val="outset" w:color="auto" w:sz="6" w:space="0"/>
              <w:bottom w:val="outset" w:color="auto" w:sz="6" w:space="0"/>
              <w:right w:val="outset" w:color="auto" w:sz="6" w:space="0"/>
            </w:tcBorders>
            <w:vAlign w:val="center"/>
          </w:tcPr>
          <w:p w14:paraId="2FB0F696">
            <w:pPr>
              <w:jc w:val="center"/>
              <w:rPr>
                <w:rFonts w:cs="Times New Roman"/>
              </w:rPr>
            </w:pPr>
            <w:r>
              <w:rPr>
                <w:rFonts w:cs="Times New Roman"/>
              </w:rPr>
              <w:t>七、13</w:t>
            </w:r>
          </w:p>
        </w:tc>
        <w:tc>
          <w:tcPr>
            <w:tcW w:w="1127" w:type="pct"/>
            <w:tcBorders>
              <w:top w:val="outset" w:color="auto" w:sz="6" w:space="0"/>
              <w:left w:val="outset" w:color="auto" w:sz="6" w:space="0"/>
              <w:bottom w:val="outset" w:color="auto" w:sz="6" w:space="0"/>
              <w:right w:val="outset" w:color="auto" w:sz="6" w:space="0"/>
            </w:tcBorders>
            <w:vAlign w:val="bottom"/>
          </w:tcPr>
          <w:p w14:paraId="6CEB3693">
            <w:pPr>
              <w:jc w:val="right"/>
              <w:textAlignment w:val="bottom"/>
              <w:rPr>
                <w:rFonts w:cs="Times New Roman"/>
              </w:rPr>
            </w:pPr>
            <w:r>
              <w:rPr>
                <w:rFonts w:eastAsia="Arial Narrow" w:cs="Times New Roman"/>
                <w:color w:val="000000"/>
                <w:lang w:bidi="ar"/>
              </w:rPr>
              <w:t>316,880,088.19</w:t>
            </w:r>
          </w:p>
        </w:tc>
        <w:tc>
          <w:tcPr>
            <w:tcW w:w="1140" w:type="pct"/>
            <w:tcBorders>
              <w:top w:val="outset" w:color="auto" w:sz="6" w:space="0"/>
              <w:left w:val="outset" w:color="auto" w:sz="6" w:space="0"/>
              <w:bottom w:val="outset" w:color="auto" w:sz="6" w:space="0"/>
              <w:right w:val="outset" w:color="auto" w:sz="6" w:space="0"/>
            </w:tcBorders>
            <w:vAlign w:val="bottom"/>
          </w:tcPr>
          <w:p w14:paraId="27345552">
            <w:pPr>
              <w:jc w:val="right"/>
              <w:textAlignment w:val="bottom"/>
              <w:rPr>
                <w:rFonts w:cs="Times New Roman"/>
              </w:rPr>
            </w:pPr>
            <w:r>
              <w:rPr>
                <w:rFonts w:eastAsia="Arial Narrow" w:cs="Times New Roman"/>
                <w:color w:val="000000"/>
                <w:lang w:bidi="ar"/>
              </w:rPr>
              <w:t>294,835,546.41</w:t>
            </w:r>
          </w:p>
        </w:tc>
      </w:tr>
      <w:tr w14:paraId="4C561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6158B06">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流动资产合计</w:t>
            </w:r>
          </w:p>
        </w:tc>
        <w:tc>
          <w:tcPr>
            <w:tcW w:w="484" w:type="pct"/>
            <w:tcBorders>
              <w:top w:val="outset" w:color="auto" w:sz="6" w:space="0"/>
              <w:left w:val="outset" w:color="auto" w:sz="6" w:space="0"/>
              <w:bottom w:val="outset" w:color="auto" w:sz="6" w:space="0"/>
              <w:right w:val="outset" w:color="auto" w:sz="6" w:space="0"/>
            </w:tcBorders>
            <w:vAlign w:val="center"/>
          </w:tcPr>
          <w:p w14:paraId="04ADEEC5">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21FE965D">
            <w:pPr>
              <w:jc w:val="right"/>
              <w:textAlignment w:val="bottom"/>
              <w:rPr>
                <w:rFonts w:cs="Times New Roman"/>
              </w:rPr>
            </w:pPr>
            <w:r>
              <w:rPr>
                <w:rFonts w:eastAsia="Arial Narrow" w:cs="Times New Roman"/>
                <w:color w:val="000000"/>
                <w:lang w:bidi="ar"/>
              </w:rPr>
              <w:t>12,753,185,539.18</w:t>
            </w:r>
          </w:p>
        </w:tc>
        <w:tc>
          <w:tcPr>
            <w:tcW w:w="1140" w:type="pct"/>
            <w:tcBorders>
              <w:top w:val="outset" w:color="auto" w:sz="6" w:space="0"/>
              <w:left w:val="outset" w:color="auto" w:sz="6" w:space="0"/>
              <w:bottom w:val="outset" w:color="auto" w:sz="6" w:space="0"/>
              <w:right w:val="outset" w:color="auto" w:sz="6" w:space="0"/>
            </w:tcBorders>
            <w:vAlign w:val="bottom"/>
          </w:tcPr>
          <w:p w14:paraId="2574958C">
            <w:pPr>
              <w:jc w:val="right"/>
              <w:textAlignment w:val="bottom"/>
              <w:rPr>
                <w:rFonts w:cs="Times New Roman"/>
              </w:rPr>
            </w:pPr>
            <w:r>
              <w:rPr>
                <w:rFonts w:eastAsia="Arial Narrow" w:cs="Times New Roman"/>
                <w:color w:val="000000"/>
                <w:lang w:bidi="ar"/>
              </w:rPr>
              <w:t>12,322,601,601.23</w:t>
            </w:r>
          </w:p>
        </w:tc>
      </w:tr>
      <w:tr w14:paraId="771BE2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66ac6acc14e74939b5cc43190a3afd2b"/>
            <w:id w:val="147482071"/>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5A57E3E7">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非流动资产：</w:t>
                </w:r>
              </w:p>
            </w:tc>
          </w:sdtContent>
        </w:sdt>
      </w:tr>
      <w:tr w14:paraId="794135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7E8A346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长期应收款</w:t>
            </w:r>
          </w:p>
        </w:tc>
        <w:tc>
          <w:tcPr>
            <w:tcW w:w="484" w:type="pct"/>
            <w:tcBorders>
              <w:top w:val="outset" w:color="auto" w:sz="6" w:space="0"/>
              <w:left w:val="outset" w:color="auto" w:sz="6" w:space="0"/>
              <w:bottom w:val="outset" w:color="auto" w:sz="6" w:space="0"/>
              <w:right w:val="outset" w:color="auto" w:sz="6" w:space="0"/>
            </w:tcBorders>
            <w:vAlign w:val="center"/>
          </w:tcPr>
          <w:p w14:paraId="59F32B38">
            <w:pPr>
              <w:jc w:val="center"/>
              <w:rPr>
                <w:rFonts w:cs="Times New Roman"/>
              </w:rPr>
            </w:pPr>
            <w:r>
              <w:rPr>
                <w:rFonts w:cs="Times New Roman"/>
              </w:rPr>
              <w:t>七、16</w:t>
            </w:r>
          </w:p>
        </w:tc>
        <w:tc>
          <w:tcPr>
            <w:tcW w:w="1127" w:type="pct"/>
            <w:tcBorders>
              <w:top w:val="outset" w:color="auto" w:sz="6" w:space="0"/>
              <w:left w:val="outset" w:color="auto" w:sz="6" w:space="0"/>
              <w:bottom w:val="outset" w:color="auto" w:sz="6" w:space="0"/>
              <w:right w:val="outset" w:color="auto" w:sz="6" w:space="0"/>
            </w:tcBorders>
            <w:vAlign w:val="bottom"/>
          </w:tcPr>
          <w:p w14:paraId="090083A9">
            <w:pPr>
              <w:jc w:val="right"/>
              <w:textAlignment w:val="bottom"/>
              <w:rPr>
                <w:rFonts w:cs="Times New Roman"/>
              </w:rPr>
            </w:pPr>
            <w:r>
              <w:rPr>
                <w:rFonts w:eastAsia="Arial Narrow" w:cs="Times New Roman"/>
                <w:color w:val="000000"/>
                <w:lang w:bidi="ar"/>
              </w:rPr>
              <w:t>721,777,924.15</w:t>
            </w:r>
          </w:p>
        </w:tc>
        <w:tc>
          <w:tcPr>
            <w:tcW w:w="1140" w:type="pct"/>
            <w:tcBorders>
              <w:top w:val="outset" w:color="auto" w:sz="6" w:space="0"/>
              <w:left w:val="outset" w:color="auto" w:sz="6" w:space="0"/>
              <w:bottom w:val="outset" w:color="auto" w:sz="6" w:space="0"/>
              <w:right w:val="outset" w:color="auto" w:sz="6" w:space="0"/>
            </w:tcBorders>
            <w:vAlign w:val="bottom"/>
          </w:tcPr>
          <w:p w14:paraId="093F4521">
            <w:pPr>
              <w:jc w:val="right"/>
              <w:textAlignment w:val="bottom"/>
              <w:rPr>
                <w:rFonts w:cs="Times New Roman"/>
              </w:rPr>
            </w:pPr>
            <w:r>
              <w:rPr>
                <w:rFonts w:eastAsia="Arial Narrow" w:cs="Times New Roman"/>
                <w:color w:val="000000"/>
                <w:lang w:bidi="ar"/>
              </w:rPr>
              <w:t>744,009,760.14</w:t>
            </w:r>
          </w:p>
        </w:tc>
      </w:tr>
      <w:tr w14:paraId="7A14B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26D64E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长期股权投资</w:t>
            </w:r>
          </w:p>
        </w:tc>
        <w:tc>
          <w:tcPr>
            <w:tcW w:w="484" w:type="pct"/>
            <w:tcBorders>
              <w:top w:val="outset" w:color="auto" w:sz="6" w:space="0"/>
              <w:left w:val="outset" w:color="auto" w:sz="6" w:space="0"/>
              <w:bottom w:val="outset" w:color="auto" w:sz="6" w:space="0"/>
              <w:right w:val="outset" w:color="auto" w:sz="6" w:space="0"/>
            </w:tcBorders>
            <w:vAlign w:val="center"/>
          </w:tcPr>
          <w:p w14:paraId="654271BB">
            <w:pPr>
              <w:jc w:val="center"/>
              <w:rPr>
                <w:rFonts w:cs="Times New Roman"/>
              </w:rPr>
            </w:pPr>
            <w:r>
              <w:rPr>
                <w:rFonts w:cs="Times New Roman"/>
              </w:rPr>
              <w:t>七、17</w:t>
            </w:r>
          </w:p>
        </w:tc>
        <w:tc>
          <w:tcPr>
            <w:tcW w:w="1127" w:type="pct"/>
            <w:tcBorders>
              <w:top w:val="outset" w:color="auto" w:sz="6" w:space="0"/>
              <w:left w:val="outset" w:color="auto" w:sz="6" w:space="0"/>
              <w:bottom w:val="outset" w:color="auto" w:sz="6" w:space="0"/>
              <w:right w:val="outset" w:color="auto" w:sz="6" w:space="0"/>
            </w:tcBorders>
            <w:vAlign w:val="bottom"/>
          </w:tcPr>
          <w:p w14:paraId="6F2C0AB9">
            <w:pPr>
              <w:jc w:val="right"/>
              <w:textAlignment w:val="bottom"/>
              <w:rPr>
                <w:rFonts w:cs="Times New Roman"/>
              </w:rPr>
            </w:pPr>
            <w:r>
              <w:rPr>
                <w:rFonts w:eastAsia="Arial Narrow" w:cs="Times New Roman"/>
                <w:color w:val="000000"/>
                <w:lang w:bidi="ar"/>
              </w:rPr>
              <w:t>44,734,921.14</w:t>
            </w:r>
          </w:p>
        </w:tc>
        <w:tc>
          <w:tcPr>
            <w:tcW w:w="1140" w:type="pct"/>
            <w:tcBorders>
              <w:top w:val="outset" w:color="auto" w:sz="6" w:space="0"/>
              <w:left w:val="outset" w:color="auto" w:sz="6" w:space="0"/>
              <w:bottom w:val="outset" w:color="auto" w:sz="6" w:space="0"/>
              <w:right w:val="outset" w:color="auto" w:sz="6" w:space="0"/>
            </w:tcBorders>
            <w:vAlign w:val="bottom"/>
          </w:tcPr>
          <w:p w14:paraId="415CA3EA">
            <w:pPr>
              <w:jc w:val="right"/>
              <w:textAlignment w:val="bottom"/>
              <w:rPr>
                <w:rFonts w:cs="Times New Roman"/>
              </w:rPr>
            </w:pPr>
            <w:r>
              <w:rPr>
                <w:rFonts w:eastAsia="Arial Narrow" w:cs="Times New Roman"/>
                <w:color w:val="000000"/>
                <w:lang w:bidi="ar"/>
              </w:rPr>
              <w:t>48,009,657.16</w:t>
            </w:r>
          </w:p>
        </w:tc>
      </w:tr>
      <w:tr w14:paraId="4A536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E70C4E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其他权益工具投资</w:t>
            </w:r>
          </w:p>
        </w:tc>
        <w:tc>
          <w:tcPr>
            <w:tcW w:w="484" w:type="pct"/>
            <w:tcBorders>
              <w:top w:val="outset" w:color="auto" w:sz="6" w:space="0"/>
              <w:left w:val="outset" w:color="auto" w:sz="6" w:space="0"/>
              <w:bottom w:val="outset" w:color="auto" w:sz="6" w:space="0"/>
              <w:right w:val="outset" w:color="auto" w:sz="6" w:space="0"/>
            </w:tcBorders>
            <w:vAlign w:val="center"/>
          </w:tcPr>
          <w:p w14:paraId="49465278">
            <w:pPr>
              <w:jc w:val="center"/>
              <w:rPr>
                <w:rFonts w:cs="Times New Roman"/>
              </w:rPr>
            </w:pPr>
            <w:r>
              <w:rPr>
                <w:rFonts w:cs="Times New Roman"/>
              </w:rPr>
              <w:t>七、18</w:t>
            </w:r>
          </w:p>
        </w:tc>
        <w:tc>
          <w:tcPr>
            <w:tcW w:w="1127" w:type="pct"/>
            <w:tcBorders>
              <w:top w:val="outset" w:color="auto" w:sz="6" w:space="0"/>
              <w:left w:val="outset" w:color="auto" w:sz="6" w:space="0"/>
              <w:bottom w:val="outset" w:color="auto" w:sz="6" w:space="0"/>
              <w:right w:val="outset" w:color="auto" w:sz="6" w:space="0"/>
            </w:tcBorders>
            <w:vAlign w:val="bottom"/>
          </w:tcPr>
          <w:p w14:paraId="23B74596">
            <w:pPr>
              <w:jc w:val="right"/>
              <w:textAlignment w:val="bottom"/>
              <w:rPr>
                <w:rFonts w:cs="Times New Roman"/>
              </w:rPr>
            </w:pPr>
            <w:r>
              <w:rPr>
                <w:rFonts w:eastAsia="Arial Narrow" w:cs="Times New Roman"/>
                <w:color w:val="000000"/>
                <w:lang w:bidi="ar"/>
              </w:rPr>
              <w:t>519,981,620.71</w:t>
            </w:r>
          </w:p>
        </w:tc>
        <w:tc>
          <w:tcPr>
            <w:tcW w:w="1140" w:type="pct"/>
            <w:tcBorders>
              <w:top w:val="outset" w:color="auto" w:sz="6" w:space="0"/>
              <w:left w:val="outset" w:color="auto" w:sz="6" w:space="0"/>
              <w:bottom w:val="outset" w:color="auto" w:sz="6" w:space="0"/>
              <w:right w:val="outset" w:color="auto" w:sz="6" w:space="0"/>
            </w:tcBorders>
            <w:vAlign w:val="bottom"/>
          </w:tcPr>
          <w:p w14:paraId="5EB21A6D">
            <w:pPr>
              <w:jc w:val="right"/>
              <w:textAlignment w:val="bottom"/>
              <w:rPr>
                <w:rFonts w:cs="Times New Roman"/>
              </w:rPr>
            </w:pPr>
            <w:r>
              <w:rPr>
                <w:rFonts w:eastAsia="Arial Narrow" w:cs="Times New Roman"/>
                <w:color w:val="000000"/>
                <w:lang w:bidi="ar"/>
              </w:rPr>
              <w:t>519,981,620.71</w:t>
            </w:r>
          </w:p>
        </w:tc>
      </w:tr>
      <w:tr w14:paraId="39CCC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B3A4E5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投资性房地产</w:t>
            </w:r>
          </w:p>
        </w:tc>
        <w:tc>
          <w:tcPr>
            <w:tcW w:w="484" w:type="pct"/>
            <w:tcBorders>
              <w:top w:val="outset" w:color="auto" w:sz="6" w:space="0"/>
              <w:left w:val="outset" w:color="auto" w:sz="6" w:space="0"/>
              <w:bottom w:val="outset" w:color="auto" w:sz="6" w:space="0"/>
              <w:right w:val="outset" w:color="auto" w:sz="6" w:space="0"/>
            </w:tcBorders>
            <w:vAlign w:val="center"/>
          </w:tcPr>
          <w:p w14:paraId="303EAB75">
            <w:pPr>
              <w:jc w:val="center"/>
              <w:rPr>
                <w:rFonts w:cs="Times New Roman"/>
              </w:rPr>
            </w:pPr>
            <w:r>
              <w:rPr>
                <w:rFonts w:cs="Times New Roman"/>
              </w:rPr>
              <w:t>七、20</w:t>
            </w:r>
          </w:p>
        </w:tc>
        <w:tc>
          <w:tcPr>
            <w:tcW w:w="1127" w:type="pct"/>
            <w:tcBorders>
              <w:top w:val="outset" w:color="auto" w:sz="6" w:space="0"/>
              <w:left w:val="outset" w:color="auto" w:sz="6" w:space="0"/>
              <w:bottom w:val="outset" w:color="auto" w:sz="6" w:space="0"/>
              <w:right w:val="outset" w:color="auto" w:sz="6" w:space="0"/>
            </w:tcBorders>
            <w:vAlign w:val="bottom"/>
          </w:tcPr>
          <w:p w14:paraId="68E49F9D">
            <w:pPr>
              <w:jc w:val="right"/>
              <w:textAlignment w:val="bottom"/>
              <w:rPr>
                <w:rFonts w:cs="Times New Roman"/>
              </w:rPr>
            </w:pPr>
            <w:r>
              <w:rPr>
                <w:rFonts w:eastAsia="Arial Narrow" w:cs="Times New Roman"/>
                <w:color w:val="000000"/>
                <w:lang w:bidi="ar"/>
              </w:rPr>
              <w:t>657,291,789.96</w:t>
            </w:r>
          </w:p>
        </w:tc>
        <w:tc>
          <w:tcPr>
            <w:tcW w:w="1140" w:type="pct"/>
            <w:tcBorders>
              <w:top w:val="outset" w:color="auto" w:sz="6" w:space="0"/>
              <w:left w:val="outset" w:color="auto" w:sz="6" w:space="0"/>
              <w:bottom w:val="outset" w:color="auto" w:sz="6" w:space="0"/>
              <w:right w:val="outset" w:color="auto" w:sz="6" w:space="0"/>
            </w:tcBorders>
            <w:vAlign w:val="bottom"/>
          </w:tcPr>
          <w:p w14:paraId="24D52F74">
            <w:pPr>
              <w:jc w:val="right"/>
              <w:textAlignment w:val="bottom"/>
              <w:rPr>
                <w:rFonts w:cs="Times New Roman"/>
              </w:rPr>
            </w:pPr>
            <w:r>
              <w:rPr>
                <w:rFonts w:eastAsia="Arial Narrow" w:cs="Times New Roman"/>
                <w:color w:val="000000"/>
                <w:lang w:bidi="ar"/>
              </w:rPr>
              <w:t>660,652,004.72</w:t>
            </w:r>
          </w:p>
        </w:tc>
      </w:tr>
      <w:tr w14:paraId="742536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1A104A5">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固定资产</w:t>
            </w:r>
          </w:p>
        </w:tc>
        <w:tc>
          <w:tcPr>
            <w:tcW w:w="484" w:type="pct"/>
            <w:tcBorders>
              <w:top w:val="outset" w:color="auto" w:sz="6" w:space="0"/>
              <w:left w:val="outset" w:color="auto" w:sz="6" w:space="0"/>
              <w:bottom w:val="outset" w:color="auto" w:sz="6" w:space="0"/>
              <w:right w:val="outset" w:color="auto" w:sz="6" w:space="0"/>
            </w:tcBorders>
            <w:vAlign w:val="center"/>
          </w:tcPr>
          <w:p w14:paraId="5F8F4440">
            <w:pPr>
              <w:jc w:val="center"/>
              <w:rPr>
                <w:rFonts w:cs="Times New Roman"/>
              </w:rPr>
            </w:pPr>
            <w:r>
              <w:rPr>
                <w:rFonts w:cs="Times New Roman"/>
              </w:rPr>
              <w:t>七、21</w:t>
            </w:r>
          </w:p>
        </w:tc>
        <w:tc>
          <w:tcPr>
            <w:tcW w:w="1127" w:type="pct"/>
            <w:tcBorders>
              <w:top w:val="outset" w:color="auto" w:sz="6" w:space="0"/>
              <w:left w:val="outset" w:color="auto" w:sz="6" w:space="0"/>
              <w:bottom w:val="outset" w:color="auto" w:sz="6" w:space="0"/>
              <w:right w:val="outset" w:color="auto" w:sz="6" w:space="0"/>
            </w:tcBorders>
            <w:vAlign w:val="bottom"/>
          </w:tcPr>
          <w:p w14:paraId="02B293EA">
            <w:pPr>
              <w:jc w:val="right"/>
              <w:textAlignment w:val="bottom"/>
              <w:rPr>
                <w:rFonts w:cs="Times New Roman"/>
              </w:rPr>
            </w:pPr>
            <w:r>
              <w:rPr>
                <w:rFonts w:eastAsia="Arial Narrow" w:cs="Times New Roman"/>
                <w:color w:val="000000"/>
                <w:lang w:bidi="ar"/>
              </w:rPr>
              <w:t>3,956,712,504.09</w:t>
            </w:r>
          </w:p>
        </w:tc>
        <w:tc>
          <w:tcPr>
            <w:tcW w:w="1140" w:type="pct"/>
            <w:tcBorders>
              <w:top w:val="outset" w:color="auto" w:sz="6" w:space="0"/>
              <w:left w:val="outset" w:color="auto" w:sz="6" w:space="0"/>
              <w:bottom w:val="outset" w:color="auto" w:sz="6" w:space="0"/>
              <w:right w:val="outset" w:color="auto" w:sz="6" w:space="0"/>
            </w:tcBorders>
            <w:vAlign w:val="bottom"/>
          </w:tcPr>
          <w:p w14:paraId="3940728B">
            <w:pPr>
              <w:jc w:val="right"/>
              <w:textAlignment w:val="bottom"/>
              <w:rPr>
                <w:rFonts w:cs="Times New Roman"/>
              </w:rPr>
            </w:pPr>
            <w:r>
              <w:rPr>
                <w:rFonts w:eastAsia="Arial Narrow" w:cs="Times New Roman"/>
                <w:color w:val="000000"/>
                <w:lang w:bidi="ar"/>
              </w:rPr>
              <w:t>4,015,619,946.00</w:t>
            </w:r>
          </w:p>
        </w:tc>
      </w:tr>
      <w:tr w14:paraId="38CD8F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0C932F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在建工程</w:t>
            </w:r>
          </w:p>
        </w:tc>
        <w:tc>
          <w:tcPr>
            <w:tcW w:w="484" w:type="pct"/>
            <w:tcBorders>
              <w:top w:val="outset" w:color="auto" w:sz="6" w:space="0"/>
              <w:left w:val="outset" w:color="auto" w:sz="6" w:space="0"/>
              <w:bottom w:val="outset" w:color="auto" w:sz="6" w:space="0"/>
              <w:right w:val="outset" w:color="auto" w:sz="6" w:space="0"/>
            </w:tcBorders>
            <w:vAlign w:val="center"/>
          </w:tcPr>
          <w:p w14:paraId="37672D20">
            <w:pPr>
              <w:jc w:val="center"/>
              <w:rPr>
                <w:rFonts w:cs="Times New Roman"/>
              </w:rPr>
            </w:pPr>
            <w:r>
              <w:rPr>
                <w:rFonts w:cs="Times New Roman"/>
              </w:rPr>
              <w:t>七、22</w:t>
            </w:r>
          </w:p>
        </w:tc>
        <w:tc>
          <w:tcPr>
            <w:tcW w:w="1127" w:type="pct"/>
            <w:tcBorders>
              <w:top w:val="outset" w:color="auto" w:sz="6" w:space="0"/>
              <w:left w:val="outset" w:color="auto" w:sz="6" w:space="0"/>
              <w:bottom w:val="outset" w:color="auto" w:sz="6" w:space="0"/>
              <w:right w:val="outset" w:color="auto" w:sz="6" w:space="0"/>
            </w:tcBorders>
            <w:vAlign w:val="bottom"/>
          </w:tcPr>
          <w:p w14:paraId="784BCAFC">
            <w:pPr>
              <w:jc w:val="right"/>
              <w:textAlignment w:val="bottom"/>
              <w:rPr>
                <w:rFonts w:cs="Times New Roman"/>
              </w:rPr>
            </w:pPr>
            <w:r>
              <w:rPr>
                <w:rFonts w:eastAsia="Arial Narrow" w:cs="Times New Roman"/>
                <w:color w:val="000000"/>
                <w:lang w:bidi="ar"/>
              </w:rPr>
              <w:t>399,635,284.93</w:t>
            </w:r>
          </w:p>
        </w:tc>
        <w:tc>
          <w:tcPr>
            <w:tcW w:w="1140" w:type="pct"/>
            <w:tcBorders>
              <w:top w:val="outset" w:color="auto" w:sz="6" w:space="0"/>
              <w:left w:val="outset" w:color="auto" w:sz="6" w:space="0"/>
              <w:bottom w:val="outset" w:color="auto" w:sz="6" w:space="0"/>
              <w:right w:val="outset" w:color="auto" w:sz="6" w:space="0"/>
            </w:tcBorders>
            <w:vAlign w:val="bottom"/>
          </w:tcPr>
          <w:p w14:paraId="0649D550">
            <w:pPr>
              <w:jc w:val="right"/>
              <w:textAlignment w:val="bottom"/>
              <w:rPr>
                <w:rFonts w:cs="Times New Roman"/>
              </w:rPr>
            </w:pPr>
            <w:r>
              <w:rPr>
                <w:rFonts w:eastAsia="Arial Narrow" w:cs="Times New Roman"/>
                <w:color w:val="000000"/>
                <w:lang w:bidi="ar"/>
              </w:rPr>
              <w:t>275,601,526.58</w:t>
            </w:r>
          </w:p>
        </w:tc>
      </w:tr>
      <w:tr w14:paraId="7AF6C0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EC1058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使用权资产</w:t>
            </w:r>
          </w:p>
        </w:tc>
        <w:tc>
          <w:tcPr>
            <w:tcW w:w="484" w:type="pct"/>
            <w:tcBorders>
              <w:top w:val="outset" w:color="auto" w:sz="6" w:space="0"/>
              <w:left w:val="outset" w:color="auto" w:sz="6" w:space="0"/>
              <w:bottom w:val="outset" w:color="auto" w:sz="6" w:space="0"/>
              <w:right w:val="outset" w:color="auto" w:sz="6" w:space="0"/>
            </w:tcBorders>
            <w:vAlign w:val="center"/>
          </w:tcPr>
          <w:p w14:paraId="4F6948B3">
            <w:pPr>
              <w:jc w:val="center"/>
              <w:rPr>
                <w:rFonts w:cs="Times New Roman"/>
              </w:rPr>
            </w:pPr>
            <w:r>
              <w:rPr>
                <w:rFonts w:cs="Times New Roman"/>
              </w:rPr>
              <w:t>七、25</w:t>
            </w:r>
          </w:p>
        </w:tc>
        <w:tc>
          <w:tcPr>
            <w:tcW w:w="1127" w:type="pct"/>
            <w:tcBorders>
              <w:top w:val="outset" w:color="auto" w:sz="6" w:space="0"/>
              <w:left w:val="outset" w:color="auto" w:sz="6" w:space="0"/>
              <w:bottom w:val="outset" w:color="auto" w:sz="6" w:space="0"/>
              <w:right w:val="outset" w:color="auto" w:sz="6" w:space="0"/>
            </w:tcBorders>
            <w:vAlign w:val="bottom"/>
          </w:tcPr>
          <w:p w14:paraId="7F888C5A">
            <w:pPr>
              <w:jc w:val="right"/>
              <w:textAlignment w:val="bottom"/>
              <w:rPr>
                <w:rFonts w:cs="Times New Roman"/>
              </w:rPr>
            </w:pPr>
            <w:r>
              <w:rPr>
                <w:rFonts w:eastAsia="Arial Narrow" w:cs="Times New Roman"/>
                <w:color w:val="000000"/>
                <w:lang w:bidi="ar"/>
              </w:rPr>
              <w:t>9,960,965.74</w:t>
            </w:r>
          </w:p>
        </w:tc>
        <w:tc>
          <w:tcPr>
            <w:tcW w:w="1140" w:type="pct"/>
            <w:tcBorders>
              <w:top w:val="outset" w:color="auto" w:sz="6" w:space="0"/>
              <w:left w:val="outset" w:color="auto" w:sz="6" w:space="0"/>
              <w:bottom w:val="outset" w:color="auto" w:sz="6" w:space="0"/>
              <w:right w:val="outset" w:color="auto" w:sz="6" w:space="0"/>
            </w:tcBorders>
            <w:vAlign w:val="bottom"/>
          </w:tcPr>
          <w:p w14:paraId="6F9D9C99">
            <w:pPr>
              <w:jc w:val="right"/>
              <w:textAlignment w:val="bottom"/>
              <w:rPr>
                <w:rFonts w:cs="Times New Roman"/>
              </w:rPr>
            </w:pPr>
            <w:r>
              <w:rPr>
                <w:rFonts w:eastAsia="Arial Narrow" w:cs="Times New Roman"/>
                <w:color w:val="000000"/>
                <w:lang w:bidi="ar"/>
              </w:rPr>
              <w:t>10,670,711.29</w:t>
            </w:r>
          </w:p>
        </w:tc>
      </w:tr>
      <w:tr w14:paraId="2084CA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C6272F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无形资产</w:t>
            </w:r>
          </w:p>
        </w:tc>
        <w:tc>
          <w:tcPr>
            <w:tcW w:w="484" w:type="pct"/>
            <w:tcBorders>
              <w:top w:val="outset" w:color="auto" w:sz="6" w:space="0"/>
              <w:left w:val="outset" w:color="auto" w:sz="6" w:space="0"/>
              <w:bottom w:val="outset" w:color="auto" w:sz="6" w:space="0"/>
              <w:right w:val="outset" w:color="auto" w:sz="6" w:space="0"/>
            </w:tcBorders>
            <w:vAlign w:val="center"/>
          </w:tcPr>
          <w:p w14:paraId="4F0FC4E7">
            <w:pPr>
              <w:jc w:val="center"/>
              <w:rPr>
                <w:rFonts w:cs="Times New Roman"/>
              </w:rPr>
            </w:pPr>
            <w:r>
              <w:rPr>
                <w:rFonts w:cs="Times New Roman"/>
              </w:rPr>
              <w:t>七、26</w:t>
            </w:r>
          </w:p>
        </w:tc>
        <w:tc>
          <w:tcPr>
            <w:tcW w:w="1127" w:type="pct"/>
            <w:tcBorders>
              <w:top w:val="outset" w:color="auto" w:sz="6" w:space="0"/>
              <w:left w:val="outset" w:color="auto" w:sz="6" w:space="0"/>
              <w:bottom w:val="outset" w:color="auto" w:sz="6" w:space="0"/>
              <w:right w:val="outset" w:color="auto" w:sz="6" w:space="0"/>
            </w:tcBorders>
            <w:vAlign w:val="bottom"/>
          </w:tcPr>
          <w:p w14:paraId="798678F9">
            <w:pPr>
              <w:jc w:val="right"/>
              <w:textAlignment w:val="bottom"/>
              <w:rPr>
                <w:rFonts w:cs="Times New Roman"/>
              </w:rPr>
            </w:pPr>
            <w:r>
              <w:rPr>
                <w:rFonts w:eastAsia="Arial Narrow" w:cs="Times New Roman"/>
                <w:color w:val="000000"/>
                <w:lang w:bidi="ar"/>
              </w:rPr>
              <w:t>1,428,443,879.04</w:t>
            </w:r>
          </w:p>
        </w:tc>
        <w:tc>
          <w:tcPr>
            <w:tcW w:w="1140" w:type="pct"/>
            <w:tcBorders>
              <w:top w:val="outset" w:color="auto" w:sz="6" w:space="0"/>
              <w:left w:val="outset" w:color="auto" w:sz="6" w:space="0"/>
              <w:bottom w:val="outset" w:color="auto" w:sz="6" w:space="0"/>
              <w:right w:val="outset" w:color="auto" w:sz="6" w:space="0"/>
            </w:tcBorders>
            <w:vAlign w:val="bottom"/>
          </w:tcPr>
          <w:p w14:paraId="2C77C106">
            <w:pPr>
              <w:jc w:val="right"/>
              <w:textAlignment w:val="bottom"/>
              <w:rPr>
                <w:rFonts w:cs="Times New Roman"/>
              </w:rPr>
            </w:pPr>
            <w:r>
              <w:rPr>
                <w:rFonts w:eastAsia="Arial Narrow" w:cs="Times New Roman"/>
                <w:color w:val="000000"/>
                <w:lang w:bidi="ar"/>
              </w:rPr>
              <w:t>1,438,023,671.02</w:t>
            </w:r>
          </w:p>
        </w:tc>
      </w:tr>
      <w:tr w14:paraId="62948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076A2F9">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商誉</w:t>
            </w:r>
          </w:p>
        </w:tc>
        <w:tc>
          <w:tcPr>
            <w:tcW w:w="484" w:type="pct"/>
            <w:tcBorders>
              <w:top w:val="outset" w:color="auto" w:sz="6" w:space="0"/>
              <w:left w:val="outset" w:color="auto" w:sz="6" w:space="0"/>
              <w:bottom w:val="outset" w:color="auto" w:sz="6" w:space="0"/>
              <w:right w:val="outset" w:color="auto" w:sz="6" w:space="0"/>
            </w:tcBorders>
            <w:vAlign w:val="center"/>
          </w:tcPr>
          <w:p w14:paraId="3E3B2B8A">
            <w:pPr>
              <w:jc w:val="center"/>
              <w:rPr>
                <w:rFonts w:cs="Times New Roman"/>
              </w:rPr>
            </w:pPr>
            <w:r>
              <w:rPr>
                <w:rFonts w:cs="Times New Roman"/>
              </w:rPr>
              <w:t>七、27</w:t>
            </w:r>
          </w:p>
        </w:tc>
        <w:tc>
          <w:tcPr>
            <w:tcW w:w="1127" w:type="pct"/>
            <w:tcBorders>
              <w:top w:val="outset" w:color="auto" w:sz="6" w:space="0"/>
              <w:left w:val="outset" w:color="auto" w:sz="6" w:space="0"/>
              <w:bottom w:val="outset" w:color="auto" w:sz="6" w:space="0"/>
              <w:right w:val="outset" w:color="auto" w:sz="6" w:space="0"/>
            </w:tcBorders>
            <w:vAlign w:val="bottom"/>
          </w:tcPr>
          <w:p w14:paraId="6F3C2E2E">
            <w:pPr>
              <w:jc w:val="right"/>
              <w:rPr>
                <w:rFonts w:cs="Times New Roman"/>
              </w:rPr>
            </w:pPr>
          </w:p>
        </w:tc>
        <w:tc>
          <w:tcPr>
            <w:tcW w:w="1140" w:type="pct"/>
            <w:tcBorders>
              <w:top w:val="outset" w:color="auto" w:sz="6" w:space="0"/>
              <w:left w:val="outset" w:color="auto" w:sz="6" w:space="0"/>
              <w:bottom w:val="outset" w:color="auto" w:sz="6" w:space="0"/>
              <w:right w:val="outset" w:color="auto" w:sz="6" w:space="0"/>
            </w:tcBorders>
            <w:vAlign w:val="bottom"/>
          </w:tcPr>
          <w:p w14:paraId="27F736C7">
            <w:pPr>
              <w:jc w:val="right"/>
              <w:textAlignment w:val="bottom"/>
              <w:rPr>
                <w:rFonts w:cs="Times New Roman"/>
              </w:rPr>
            </w:pPr>
            <w:r>
              <w:rPr>
                <w:rFonts w:eastAsia="Arial Narrow" w:cs="Times New Roman"/>
                <w:color w:val="000000"/>
                <w:lang w:bidi="ar"/>
              </w:rPr>
              <w:t>3,019,865.76</w:t>
            </w:r>
          </w:p>
        </w:tc>
      </w:tr>
      <w:tr w14:paraId="377C1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45B134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长期待摊费用</w:t>
            </w:r>
          </w:p>
        </w:tc>
        <w:tc>
          <w:tcPr>
            <w:tcW w:w="484" w:type="pct"/>
            <w:tcBorders>
              <w:top w:val="outset" w:color="auto" w:sz="6" w:space="0"/>
              <w:left w:val="outset" w:color="auto" w:sz="6" w:space="0"/>
              <w:bottom w:val="outset" w:color="auto" w:sz="6" w:space="0"/>
              <w:right w:val="outset" w:color="auto" w:sz="6" w:space="0"/>
            </w:tcBorders>
            <w:vAlign w:val="center"/>
          </w:tcPr>
          <w:p w14:paraId="492F4FDF">
            <w:pPr>
              <w:jc w:val="center"/>
              <w:rPr>
                <w:rFonts w:cs="Times New Roman"/>
              </w:rPr>
            </w:pPr>
            <w:r>
              <w:rPr>
                <w:rFonts w:cs="Times New Roman"/>
              </w:rPr>
              <w:t>七、28</w:t>
            </w:r>
          </w:p>
        </w:tc>
        <w:tc>
          <w:tcPr>
            <w:tcW w:w="1127" w:type="pct"/>
            <w:tcBorders>
              <w:top w:val="outset" w:color="auto" w:sz="6" w:space="0"/>
              <w:left w:val="outset" w:color="auto" w:sz="6" w:space="0"/>
              <w:bottom w:val="outset" w:color="auto" w:sz="6" w:space="0"/>
              <w:right w:val="outset" w:color="auto" w:sz="6" w:space="0"/>
            </w:tcBorders>
            <w:vAlign w:val="bottom"/>
          </w:tcPr>
          <w:p w14:paraId="345E9048">
            <w:pPr>
              <w:jc w:val="right"/>
              <w:textAlignment w:val="bottom"/>
              <w:rPr>
                <w:rFonts w:cs="Times New Roman"/>
              </w:rPr>
            </w:pPr>
            <w:r>
              <w:rPr>
                <w:rFonts w:eastAsia="Arial Narrow" w:cs="Times New Roman"/>
                <w:color w:val="000000"/>
                <w:lang w:bidi="ar"/>
              </w:rPr>
              <w:t>32,039,331.96</w:t>
            </w:r>
          </w:p>
        </w:tc>
        <w:tc>
          <w:tcPr>
            <w:tcW w:w="1140" w:type="pct"/>
            <w:tcBorders>
              <w:top w:val="outset" w:color="auto" w:sz="6" w:space="0"/>
              <w:left w:val="outset" w:color="auto" w:sz="6" w:space="0"/>
              <w:bottom w:val="outset" w:color="auto" w:sz="6" w:space="0"/>
              <w:right w:val="outset" w:color="auto" w:sz="6" w:space="0"/>
            </w:tcBorders>
            <w:vAlign w:val="bottom"/>
          </w:tcPr>
          <w:p w14:paraId="0B880528">
            <w:pPr>
              <w:jc w:val="right"/>
              <w:textAlignment w:val="bottom"/>
              <w:rPr>
                <w:rFonts w:cs="Times New Roman"/>
              </w:rPr>
            </w:pPr>
            <w:r>
              <w:rPr>
                <w:rFonts w:eastAsia="Arial Narrow" w:cs="Times New Roman"/>
                <w:color w:val="000000"/>
                <w:lang w:bidi="ar"/>
              </w:rPr>
              <w:t>35,256,774.83</w:t>
            </w:r>
          </w:p>
        </w:tc>
      </w:tr>
      <w:tr w14:paraId="70904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758FB204">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递延所得税资产</w:t>
            </w:r>
          </w:p>
        </w:tc>
        <w:tc>
          <w:tcPr>
            <w:tcW w:w="484" w:type="pct"/>
            <w:tcBorders>
              <w:top w:val="outset" w:color="auto" w:sz="6" w:space="0"/>
              <w:left w:val="outset" w:color="auto" w:sz="6" w:space="0"/>
              <w:bottom w:val="outset" w:color="auto" w:sz="6" w:space="0"/>
              <w:right w:val="outset" w:color="auto" w:sz="6" w:space="0"/>
            </w:tcBorders>
            <w:vAlign w:val="center"/>
          </w:tcPr>
          <w:p w14:paraId="5C7DC8F1">
            <w:pPr>
              <w:jc w:val="center"/>
              <w:rPr>
                <w:rFonts w:cs="Times New Roman"/>
              </w:rPr>
            </w:pPr>
            <w:r>
              <w:rPr>
                <w:rFonts w:cs="Times New Roman"/>
              </w:rPr>
              <w:t>七、29</w:t>
            </w:r>
          </w:p>
        </w:tc>
        <w:tc>
          <w:tcPr>
            <w:tcW w:w="1127" w:type="pct"/>
            <w:tcBorders>
              <w:top w:val="outset" w:color="auto" w:sz="6" w:space="0"/>
              <w:left w:val="outset" w:color="auto" w:sz="6" w:space="0"/>
              <w:bottom w:val="outset" w:color="auto" w:sz="6" w:space="0"/>
              <w:right w:val="outset" w:color="auto" w:sz="6" w:space="0"/>
            </w:tcBorders>
            <w:vAlign w:val="bottom"/>
          </w:tcPr>
          <w:p w14:paraId="11EEB863">
            <w:pPr>
              <w:jc w:val="right"/>
              <w:textAlignment w:val="bottom"/>
              <w:rPr>
                <w:rFonts w:cs="Times New Roman"/>
              </w:rPr>
            </w:pPr>
            <w:r>
              <w:rPr>
                <w:rFonts w:eastAsia="Arial Narrow" w:cs="Times New Roman"/>
                <w:color w:val="000000"/>
                <w:lang w:bidi="ar"/>
              </w:rPr>
              <w:t>294,974,492.52</w:t>
            </w:r>
          </w:p>
        </w:tc>
        <w:tc>
          <w:tcPr>
            <w:tcW w:w="1140" w:type="pct"/>
            <w:tcBorders>
              <w:top w:val="outset" w:color="auto" w:sz="6" w:space="0"/>
              <w:left w:val="outset" w:color="auto" w:sz="6" w:space="0"/>
              <w:bottom w:val="outset" w:color="auto" w:sz="6" w:space="0"/>
              <w:right w:val="outset" w:color="auto" w:sz="6" w:space="0"/>
            </w:tcBorders>
            <w:vAlign w:val="bottom"/>
          </w:tcPr>
          <w:p w14:paraId="40BCB915">
            <w:pPr>
              <w:jc w:val="right"/>
              <w:textAlignment w:val="bottom"/>
              <w:rPr>
                <w:rFonts w:cs="Times New Roman"/>
              </w:rPr>
            </w:pPr>
            <w:r>
              <w:rPr>
                <w:rFonts w:eastAsia="Arial Narrow" w:cs="Times New Roman"/>
                <w:color w:val="000000"/>
                <w:lang w:bidi="ar"/>
              </w:rPr>
              <w:t>301,467,777.49</w:t>
            </w:r>
          </w:p>
        </w:tc>
      </w:tr>
      <w:tr w14:paraId="66CE46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52A6A4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其他非流动资产</w:t>
            </w:r>
          </w:p>
        </w:tc>
        <w:tc>
          <w:tcPr>
            <w:tcW w:w="484" w:type="pct"/>
            <w:tcBorders>
              <w:top w:val="outset" w:color="auto" w:sz="6" w:space="0"/>
              <w:left w:val="outset" w:color="auto" w:sz="6" w:space="0"/>
              <w:bottom w:val="outset" w:color="auto" w:sz="6" w:space="0"/>
              <w:right w:val="outset" w:color="auto" w:sz="6" w:space="0"/>
            </w:tcBorders>
            <w:vAlign w:val="center"/>
          </w:tcPr>
          <w:p w14:paraId="52E3BBA0">
            <w:pPr>
              <w:jc w:val="center"/>
              <w:rPr>
                <w:rFonts w:cs="Times New Roman"/>
              </w:rPr>
            </w:pPr>
            <w:r>
              <w:rPr>
                <w:rFonts w:cs="Times New Roman"/>
              </w:rPr>
              <w:t>七、30</w:t>
            </w:r>
          </w:p>
        </w:tc>
        <w:tc>
          <w:tcPr>
            <w:tcW w:w="1127" w:type="pct"/>
            <w:tcBorders>
              <w:top w:val="outset" w:color="auto" w:sz="6" w:space="0"/>
              <w:left w:val="outset" w:color="auto" w:sz="6" w:space="0"/>
              <w:bottom w:val="outset" w:color="auto" w:sz="6" w:space="0"/>
              <w:right w:val="outset" w:color="auto" w:sz="6" w:space="0"/>
            </w:tcBorders>
            <w:vAlign w:val="bottom"/>
          </w:tcPr>
          <w:p w14:paraId="3D6A5759">
            <w:pPr>
              <w:jc w:val="right"/>
              <w:textAlignment w:val="bottom"/>
              <w:rPr>
                <w:rFonts w:cs="Times New Roman"/>
              </w:rPr>
            </w:pPr>
            <w:r>
              <w:rPr>
                <w:rFonts w:eastAsia="Arial Narrow" w:cs="Times New Roman"/>
                <w:color w:val="000000"/>
                <w:lang w:bidi="ar"/>
              </w:rPr>
              <w:t>845,128,563.51</w:t>
            </w:r>
          </w:p>
        </w:tc>
        <w:tc>
          <w:tcPr>
            <w:tcW w:w="1140" w:type="pct"/>
            <w:tcBorders>
              <w:top w:val="outset" w:color="auto" w:sz="6" w:space="0"/>
              <w:left w:val="outset" w:color="auto" w:sz="6" w:space="0"/>
              <w:bottom w:val="outset" w:color="auto" w:sz="6" w:space="0"/>
              <w:right w:val="outset" w:color="auto" w:sz="6" w:space="0"/>
            </w:tcBorders>
            <w:vAlign w:val="bottom"/>
          </w:tcPr>
          <w:p w14:paraId="036E43CC">
            <w:pPr>
              <w:jc w:val="right"/>
              <w:textAlignment w:val="bottom"/>
              <w:rPr>
                <w:rFonts w:cs="Times New Roman"/>
              </w:rPr>
            </w:pPr>
            <w:r>
              <w:rPr>
                <w:rFonts w:eastAsia="Arial Narrow" w:cs="Times New Roman"/>
                <w:color w:val="000000"/>
                <w:lang w:bidi="ar"/>
              </w:rPr>
              <w:t>797,950,177.14</w:t>
            </w:r>
          </w:p>
        </w:tc>
      </w:tr>
      <w:tr w14:paraId="3314EF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42206CB">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非流动资产合计</w:t>
            </w:r>
          </w:p>
        </w:tc>
        <w:tc>
          <w:tcPr>
            <w:tcW w:w="484" w:type="pct"/>
            <w:tcBorders>
              <w:top w:val="outset" w:color="auto" w:sz="6" w:space="0"/>
              <w:left w:val="outset" w:color="auto" w:sz="6" w:space="0"/>
              <w:bottom w:val="outset" w:color="auto" w:sz="6" w:space="0"/>
              <w:right w:val="outset" w:color="auto" w:sz="6" w:space="0"/>
            </w:tcBorders>
            <w:vAlign w:val="center"/>
          </w:tcPr>
          <w:p w14:paraId="4877C596">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27021FC3">
            <w:pPr>
              <w:jc w:val="right"/>
              <w:textAlignment w:val="bottom"/>
              <w:rPr>
                <w:rFonts w:cs="Times New Roman"/>
              </w:rPr>
            </w:pPr>
            <w:r>
              <w:rPr>
                <w:rFonts w:eastAsia="Arial Narrow" w:cs="Times New Roman"/>
                <w:color w:val="000000"/>
                <w:lang w:bidi="ar"/>
              </w:rPr>
              <w:t>8,910,681,277.75</w:t>
            </w:r>
          </w:p>
        </w:tc>
        <w:tc>
          <w:tcPr>
            <w:tcW w:w="1140" w:type="pct"/>
            <w:tcBorders>
              <w:top w:val="outset" w:color="auto" w:sz="6" w:space="0"/>
              <w:left w:val="outset" w:color="auto" w:sz="6" w:space="0"/>
              <w:bottom w:val="outset" w:color="auto" w:sz="6" w:space="0"/>
              <w:right w:val="outset" w:color="auto" w:sz="6" w:space="0"/>
            </w:tcBorders>
            <w:vAlign w:val="bottom"/>
          </w:tcPr>
          <w:p w14:paraId="0214577F">
            <w:pPr>
              <w:jc w:val="right"/>
              <w:textAlignment w:val="bottom"/>
              <w:rPr>
                <w:rFonts w:cs="Times New Roman"/>
              </w:rPr>
            </w:pPr>
            <w:r>
              <w:rPr>
                <w:rFonts w:eastAsia="Arial Narrow" w:cs="Times New Roman"/>
                <w:color w:val="000000"/>
                <w:lang w:bidi="ar"/>
              </w:rPr>
              <w:t>8,850,263,492.84</w:t>
            </w:r>
          </w:p>
        </w:tc>
      </w:tr>
      <w:tr w14:paraId="698DED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287D667">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资产总计</w:t>
            </w:r>
          </w:p>
        </w:tc>
        <w:tc>
          <w:tcPr>
            <w:tcW w:w="484" w:type="pct"/>
            <w:tcBorders>
              <w:top w:val="outset" w:color="auto" w:sz="6" w:space="0"/>
              <w:left w:val="outset" w:color="auto" w:sz="6" w:space="0"/>
              <w:bottom w:val="outset" w:color="auto" w:sz="6" w:space="0"/>
              <w:right w:val="outset" w:color="auto" w:sz="6" w:space="0"/>
            </w:tcBorders>
            <w:vAlign w:val="center"/>
          </w:tcPr>
          <w:p w14:paraId="4224312D">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4FF487AC">
            <w:pPr>
              <w:jc w:val="right"/>
              <w:textAlignment w:val="bottom"/>
              <w:rPr>
                <w:rFonts w:cs="Times New Roman"/>
              </w:rPr>
            </w:pPr>
            <w:r>
              <w:rPr>
                <w:rFonts w:eastAsia="Arial Narrow" w:cs="Times New Roman"/>
                <w:color w:val="000000"/>
                <w:lang w:bidi="ar"/>
              </w:rPr>
              <w:t>21,663,866,816.93</w:t>
            </w:r>
          </w:p>
        </w:tc>
        <w:tc>
          <w:tcPr>
            <w:tcW w:w="1140" w:type="pct"/>
            <w:tcBorders>
              <w:top w:val="outset" w:color="auto" w:sz="6" w:space="0"/>
              <w:left w:val="outset" w:color="auto" w:sz="6" w:space="0"/>
              <w:bottom w:val="outset" w:color="auto" w:sz="6" w:space="0"/>
              <w:right w:val="outset" w:color="auto" w:sz="6" w:space="0"/>
            </w:tcBorders>
            <w:vAlign w:val="bottom"/>
          </w:tcPr>
          <w:p w14:paraId="2C769A42">
            <w:pPr>
              <w:jc w:val="right"/>
              <w:textAlignment w:val="bottom"/>
              <w:rPr>
                <w:rFonts w:cs="Times New Roman"/>
              </w:rPr>
            </w:pPr>
            <w:r>
              <w:rPr>
                <w:rFonts w:eastAsia="Arial Narrow" w:cs="Times New Roman"/>
                <w:color w:val="000000"/>
                <w:lang w:bidi="ar"/>
              </w:rPr>
              <w:t>21,172,865,094.07</w:t>
            </w:r>
          </w:p>
        </w:tc>
      </w:tr>
      <w:tr w14:paraId="3273F3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9375d0f637964c329fb26d2b4f648745"/>
            <w:id w:val="147475384"/>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664F39A4">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流动负债：</w:t>
                </w:r>
              </w:p>
            </w:tc>
          </w:sdtContent>
        </w:sdt>
      </w:tr>
      <w:tr w14:paraId="6B0DB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D8E4D73">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短期借款</w:t>
            </w:r>
          </w:p>
        </w:tc>
        <w:tc>
          <w:tcPr>
            <w:tcW w:w="484" w:type="pct"/>
            <w:tcBorders>
              <w:top w:val="outset" w:color="auto" w:sz="6" w:space="0"/>
              <w:left w:val="outset" w:color="auto" w:sz="6" w:space="0"/>
              <w:bottom w:val="outset" w:color="auto" w:sz="6" w:space="0"/>
              <w:right w:val="outset" w:color="auto" w:sz="6" w:space="0"/>
            </w:tcBorders>
            <w:vAlign w:val="center"/>
          </w:tcPr>
          <w:p w14:paraId="63530BD8">
            <w:pPr>
              <w:jc w:val="center"/>
              <w:rPr>
                <w:rFonts w:cs="Times New Roman"/>
              </w:rPr>
            </w:pPr>
            <w:r>
              <w:rPr>
                <w:rFonts w:cs="Times New Roman"/>
              </w:rPr>
              <w:t>七、32</w:t>
            </w:r>
          </w:p>
        </w:tc>
        <w:tc>
          <w:tcPr>
            <w:tcW w:w="1127" w:type="pct"/>
            <w:tcBorders>
              <w:top w:val="outset" w:color="auto" w:sz="6" w:space="0"/>
              <w:left w:val="outset" w:color="auto" w:sz="6" w:space="0"/>
              <w:bottom w:val="outset" w:color="auto" w:sz="6" w:space="0"/>
              <w:right w:val="outset" w:color="auto" w:sz="6" w:space="0"/>
            </w:tcBorders>
            <w:vAlign w:val="bottom"/>
          </w:tcPr>
          <w:p w14:paraId="3A573E85">
            <w:pPr>
              <w:jc w:val="right"/>
              <w:textAlignment w:val="bottom"/>
              <w:rPr>
                <w:rFonts w:cs="Times New Roman"/>
              </w:rPr>
            </w:pPr>
            <w:r>
              <w:rPr>
                <w:rFonts w:eastAsia="Arial Narrow" w:cs="Times New Roman"/>
                <w:color w:val="000000"/>
                <w:lang w:bidi="ar"/>
              </w:rPr>
              <w:t>289,520,293.40</w:t>
            </w:r>
          </w:p>
        </w:tc>
        <w:tc>
          <w:tcPr>
            <w:tcW w:w="1140" w:type="pct"/>
            <w:tcBorders>
              <w:top w:val="outset" w:color="auto" w:sz="6" w:space="0"/>
              <w:left w:val="outset" w:color="auto" w:sz="6" w:space="0"/>
              <w:bottom w:val="outset" w:color="auto" w:sz="6" w:space="0"/>
              <w:right w:val="outset" w:color="auto" w:sz="6" w:space="0"/>
            </w:tcBorders>
            <w:vAlign w:val="bottom"/>
          </w:tcPr>
          <w:p w14:paraId="7FB1B8AA">
            <w:pPr>
              <w:jc w:val="right"/>
              <w:textAlignment w:val="bottom"/>
              <w:rPr>
                <w:rFonts w:cs="Times New Roman"/>
              </w:rPr>
            </w:pPr>
            <w:r>
              <w:rPr>
                <w:rFonts w:eastAsia="Arial Narrow" w:cs="Times New Roman"/>
                <w:color w:val="000000"/>
                <w:lang w:bidi="ar"/>
              </w:rPr>
              <w:t>440,186,330.50</w:t>
            </w:r>
          </w:p>
        </w:tc>
      </w:tr>
      <w:tr w14:paraId="47A586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F48A54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应付票据</w:t>
            </w:r>
          </w:p>
        </w:tc>
        <w:tc>
          <w:tcPr>
            <w:tcW w:w="484" w:type="pct"/>
            <w:tcBorders>
              <w:top w:val="outset" w:color="auto" w:sz="6" w:space="0"/>
              <w:left w:val="outset" w:color="auto" w:sz="6" w:space="0"/>
              <w:bottom w:val="outset" w:color="auto" w:sz="6" w:space="0"/>
              <w:right w:val="outset" w:color="auto" w:sz="6" w:space="0"/>
            </w:tcBorders>
            <w:vAlign w:val="center"/>
          </w:tcPr>
          <w:p w14:paraId="0DA8B761">
            <w:pPr>
              <w:jc w:val="center"/>
              <w:rPr>
                <w:rFonts w:cs="Times New Roman"/>
              </w:rPr>
            </w:pPr>
            <w:r>
              <w:rPr>
                <w:rFonts w:cs="Times New Roman"/>
              </w:rPr>
              <w:t>七、35</w:t>
            </w:r>
          </w:p>
        </w:tc>
        <w:tc>
          <w:tcPr>
            <w:tcW w:w="1127" w:type="pct"/>
            <w:tcBorders>
              <w:top w:val="outset" w:color="auto" w:sz="6" w:space="0"/>
              <w:left w:val="outset" w:color="auto" w:sz="6" w:space="0"/>
              <w:bottom w:val="outset" w:color="auto" w:sz="6" w:space="0"/>
              <w:right w:val="outset" w:color="auto" w:sz="6" w:space="0"/>
            </w:tcBorders>
            <w:vAlign w:val="bottom"/>
          </w:tcPr>
          <w:p w14:paraId="06CF7DD8">
            <w:pPr>
              <w:jc w:val="right"/>
              <w:textAlignment w:val="bottom"/>
              <w:rPr>
                <w:rFonts w:cs="Times New Roman"/>
              </w:rPr>
            </w:pPr>
            <w:r>
              <w:rPr>
                <w:rFonts w:eastAsia="Arial Narrow" w:cs="Times New Roman"/>
                <w:color w:val="000000"/>
                <w:lang w:bidi="ar"/>
              </w:rPr>
              <w:t>365,918,903.78</w:t>
            </w:r>
          </w:p>
        </w:tc>
        <w:tc>
          <w:tcPr>
            <w:tcW w:w="1140" w:type="pct"/>
            <w:tcBorders>
              <w:top w:val="outset" w:color="auto" w:sz="6" w:space="0"/>
              <w:left w:val="outset" w:color="auto" w:sz="6" w:space="0"/>
              <w:bottom w:val="outset" w:color="auto" w:sz="6" w:space="0"/>
              <w:right w:val="outset" w:color="auto" w:sz="6" w:space="0"/>
            </w:tcBorders>
            <w:vAlign w:val="bottom"/>
          </w:tcPr>
          <w:p w14:paraId="4A1CE22A">
            <w:pPr>
              <w:jc w:val="right"/>
              <w:textAlignment w:val="bottom"/>
              <w:rPr>
                <w:rFonts w:cs="Times New Roman"/>
              </w:rPr>
            </w:pPr>
            <w:r>
              <w:rPr>
                <w:rFonts w:eastAsia="Arial Narrow" w:cs="Times New Roman"/>
                <w:color w:val="000000"/>
                <w:lang w:bidi="ar"/>
              </w:rPr>
              <w:t>557,291,516.18</w:t>
            </w:r>
          </w:p>
        </w:tc>
      </w:tr>
      <w:tr w14:paraId="4931F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03D61E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应付账款</w:t>
            </w:r>
          </w:p>
        </w:tc>
        <w:tc>
          <w:tcPr>
            <w:tcW w:w="484" w:type="pct"/>
            <w:tcBorders>
              <w:top w:val="outset" w:color="auto" w:sz="6" w:space="0"/>
              <w:left w:val="outset" w:color="auto" w:sz="6" w:space="0"/>
              <w:bottom w:val="outset" w:color="auto" w:sz="6" w:space="0"/>
              <w:right w:val="outset" w:color="auto" w:sz="6" w:space="0"/>
            </w:tcBorders>
            <w:vAlign w:val="center"/>
          </w:tcPr>
          <w:p w14:paraId="7F6360A1">
            <w:pPr>
              <w:jc w:val="center"/>
              <w:rPr>
                <w:rFonts w:cs="Times New Roman"/>
              </w:rPr>
            </w:pPr>
            <w:r>
              <w:rPr>
                <w:rFonts w:cs="Times New Roman"/>
              </w:rPr>
              <w:t>七、36</w:t>
            </w:r>
          </w:p>
        </w:tc>
        <w:tc>
          <w:tcPr>
            <w:tcW w:w="1127" w:type="pct"/>
            <w:tcBorders>
              <w:top w:val="outset" w:color="auto" w:sz="6" w:space="0"/>
              <w:left w:val="outset" w:color="auto" w:sz="6" w:space="0"/>
              <w:bottom w:val="outset" w:color="auto" w:sz="6" w:space="0"/>
              <w:right w:val="outset" w:color="auto" w:sz="6" w:space="0"/>
            </w:tcBorders>
            <w:vAlign w:val="bottom"/>
          </w:tcPr>
          <w:p w14:paraId="4989C321">
            <w:pPr>
              <w:jc w:val="right"/>
              <w:textAlignment w:val="bottom"/>
              <w:rPr>
                <w:rFonts w:cs="Times New Roman"/>
              </w:rPr>
            </w:pPr>
            <w:r>
              <w:rPr>
                <w:rFonts w:eastAsia="Arial Narrow" w:cs="Times New Roman"/>
                <w:color w:val="000000"/>
                <w:lang w:bidi="ar"/>
              </w:rPr>
              <w:t>2,461,080,100.16</w:t>
            </w:r>
          </w:p>
        </w:tc>
        <w:tc>
          <w:tcPr>
            <w:tcW w:w="1140" w:type="pct"/>
            <w:tcBorders>
              <w:top w:val="outset" w:color="auto" w:sz="6" w:space="0"/>
              <w:left w:val="outset" w:color="auto" w:sz="6" w:space="0"/>
              <w:bottom w:val="outset" w:color="auto" w:sz="6" w:space="0"/>
              <w:right w:val="outset" w:color="auto" w:sz="6" w:space="0"/>
            </w:tcBorders>
            <w:vAlign w:val="bottom"/>
          </w:tcPr>
          <w:p w14:paraId="2871925C">
            <w:pPr>
              <w:jc w:val="right"/>
              <w:textAlignment w:val="bottom"/>
              <w:rPr>
                <w:rFonts w:cs="Times New Roman"/>
              </w:rPr>
            </w:pPr>
            <w:r>
              <w:rPr>
                <w:rFonts w:eastAsia="Arial Narrow" w:cs="Times New Roman"/>
                <w:color w:val="000000"/>
                <w:lang w:bidi="ar"/>
              </w:rPr>
              <w:t>3,253,056,965.76</w:t>
            </w:r>
          </w:p>
        </w:tc>
      </w:tr>
      <w:tr w14:paraId="52EC33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8BEEB9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预收款项</w:t>
            </w:r>
          </w:p>
        </w:tc>
        <w:tc>
          <w:tcPr>
            <w:tcW w:w="484" w:type="pct"/>
            <w:tcBorders>
              <w:top w:val="outset" w:color="auto" w:sz="6" w:space="0"/>
              <w:left w:val="outset" w:color="auto" w:sz="6" w:space="0"/>
              <w:bottom w:val="outset" w:color="auto" w:sz="6" w:space="0"/>
              <w:right w:val="outset" w:color="auto" w:sz="6" w:space="0"/>
            </w:tcBorders>
            <w:vAlign w:val="center"/>
          </w:tcPr>
          <w:p w14:paraId="54C3ADB0">
            <w:pPr>
              <w:jc w:val="center"/>
              <w:rPr>
                <w:rFonts w:cs="Times New Roman"/>
              </w:rPr>
            </w:pPr>
            <w:r>
              <w:rPr>
                <w:rFonts w:cs="Times New Roman"/>
              </w:rPr>
              <w:t>七、37</w:t>
            </w:r>
          </w:p>
        </w:tc>
        <w:tc>
          <w:tcPr>
            <w:tcW w:w="1127" w:type="pct"/>
            <w:tcBorders>
              <w:top w:val="outset" w:color="auto" w:sz="6" w:space="0"/>
              <w:left w:val="outset" w:color="auto" w:sz="6" w:space="0"/>
              <w:bottom w:val="outset" w:color="auto" w:sz="6" w:space="0"/>
              <w:right w:val="outset" w:color="auto" w:sz="6" w:space="0"/>
            </w:tcBorders>
            <w:vAlign w:val="bottom"/>
          </w:tcPr>
          <w:p w14:paraId="5F025A0F">
            <w:pPr>
              <w:jc w:val="right"/>
              <w:textAlignment w:val="bottom"/>
              <w:rPr>
                <w:rFonts w:cs="Times New Roman"/>
              </w:rPr>
            </w:pPr>
            <w:r>
              <w:rPr>
                <w:rFonts w:eastAsia="Arial Narrow" w:cs="Times New Roman"/>
                <w:color w:val="000000"/>
                <w:lang w:bidi="ar"/>
              </w:rPr>
              <w:t>19,861,549.47</w:t>
            </w:r>
          </w:p>
        </w:tc>
        <w:tc>
          <w:tcPr>
            <w:tcW w:w="1140" w:type="pct"/>
            <w:tcBorders>
              <w:top w:val="outset" w:color="auto" w:sz="6" w:space="0"/>
              <w:left w:val="outset" w:color="auto" w:sz="6" w:space="0"/>
              <w:bottom w:val="outset" w:color="auto" w:sz="6" w:space="0"/>
              <w:right w:val="outset" w:color="auto" w:sz="6" w:space="0"/>
            </w:tcBorders>
            <w:vAlign w:val="bottom"/>
          </w:tcPr>
          <w:p w14:paraId="0BC3F6B4">
            <w:pPr>
              <w:jc w:val="right"/>
              <w:textAlignment w:val="bottom"/>
              <w:rPr>
                <w:rFonts w:cs="Times New Roman"/>
              </w:rPr>
            </w:pPr>
            <w:r>
              <w:rPr>
                <w:rFonts w:eastAsia="Arial Narrow" w:cs="Times New Roman"/>
                <w:color w:val="000000"/>
                <w:lang w:bidi="ar"/>
              </w:rPr>
              <w:t>30,609,636.04</w:t>
            </w:r>
          </w:p>
        </w:tc>
      </w:tr>
      <w:tr w14:paraId="1FCB7E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7DCAF12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合同负债</w:t>
            </w:r>
          </w:p>
        </w:tc>
        <w:tc>
          <w:tcPr>
            <w:tcW w:w="484" w:type="pct"/>
            <w:tcBorders>
              <w:top w:val="outset" w:color="auto" w:sz="6" w:space="0"/>
              <w:left w:val="outset" w:color="auto" w:sz="6" w:space="0"/>
              <w:bottom w:val="outset" w:color="auto" w:sz="6" w:space="0"/>
              <w:right w:val="outset" w:color="auto" w:sz="6" w:space="0"/>
            </w:tcBorders>
            <w:vAlign w:val="center"/>
          </w:tcPr>
          <w:p w14:paraId="3AA531B5">
            <w:pPr>
              <w:jc w:val="center"/>
              <w:rPr>
                <w:rFonts w:cs="Times New Roman"/>
              </w:rPr>
            </w:pPr>
            <w:r>
              <w:rPr>
                <w:rFonts w:cs="Times New Roman"/>
              </w:rPr>
              <w:t>七、38</w:t>
            </w:r>
          </w:p>
        </w:tc>
        <w:tc>
          <w:tcPr>
            <w:tcW w:w="1127" w:type="pct"/>
            <w:tcBorders>
              <w:top w:val="outset" w:color="auto" w:sz="6" w:space="0"/>
              <w:left w:val="outset" w:color="auto" w:sz="6" w:space="0"/>
              <w:bottom w:val="outset" w:color="auto" w:sz="6" w:space="0"/>
              <w:right w:val="outset" w:color="auto" w:sz="6" w:space="0"/>
            </w:tcBorders>
            <w:vAlign w:val="bottom"/>
          </w:tcPr>
          <w:p w14:paraId="6FF7591C">
            <w:pPr>
              <w:jc w:val="right"/>
              <w:textAlignment w:val="bottom"/>
              <w:rPr>
                <w:rFonts w:cs="Times New Roman"/>
              </w:rPr>
            </w:pPr>
            <w:r>
              <w:rPr>
                <w:rFonts w:eastAsia="Arial Narrow" w:cs="Times New Roman"/>
                <w:color w:val="000000"/>
                <w:lang w:bidi="ar"/>
              </w:rPr>
              <w:t>935,927,353.59</w:t>
            </w:r>
          </w:p>
        </w:tc>
        <w:tc>
          <w:tcPr>
            <w:tcW w:w="1140" w:type="pct"/>
            <w:tcBorders>
              <w:top w:val="outset" w:color="auto" w:sz="6" w:space="0"/>
              <w:left w:val="outset" w:color="auto" w:sz="6" w:space="0"/>
              <w:bottom w:val="outset" w:color="auto" w:sz="6" w:space="0"/>
              <w:right w:val="outset" w:color="auto" w:sz="6" w:space="0"/>
            </w:tcBorders>
            <w:vAlign w:val="bottom"/>
          </w:tcPr>
          <w:p w14:paraId="4147A88B">
            <w:pPr>
              <w:jc w:val="right"/>
              <w:textAlignment w:val="bottom"/>
              <w:rPr>
                <w:rFonts w:cs="Times New Roman"/>
              </w:rPr>
            </w:pPr>
            <w:r>
              <w:rPr>
                <w:rFonts w:eastAsia="Arial Narrow" w:cs="Times New Roman"/>
                <w:color w:val="000000"/>
                <w:lang w:bidi="ar"/>
              </w:rPr>
              <w:t>942,396,950.28</w:t>
            </w:r>
          </w:p>
        </w:tc>
      </w:tr>
      <w:tr w14:paraId="0982A1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6C2685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应付职工薪酬</w:t>
            </w:r>
          </w:p>
        </w:tc>
        <w:tc>
          <w:tcPr>
            <w:tcW w:w="484" w:type="pct"/>
            <w:tcBorders>
              <w:top w:val="outset" w:color="auto" w:sz="6" w:space="0"/>
              <w:left w:val="outset" w:color="auto" w:sz="6" w:space="0"/>
              <w:bottom w:val="outset" w:color="auto" w:sz="6" w:space="0"/>
              <w:right w:val="outset" w:color="auto" w:sz="6" w:space="0"/>
            </w:tcBorders>
            <w:vAlign w:val="center"/>
          </w:tcPr>
          <w:p w14:paraId="7C70E4A3">
            <w:pPr>
              <w:jc w:val="center"/>
              <w:rPr>
                <w:rFonts w:cs="Times New Roman"/>
              </w:rPr>
            </w:pPr>
            <w:r>
              <w:rPr>
                <w:rFonts w:cs="Times New Roman"/>
              </w:rPr>
              <w:t>七、39</w:t>
            </w:r>
          </w:p>
        </w:tc>
        <w:tc>
          <w:tcPr>
            <w:tcW w:w="1127" w:type="pct"/>
            <w:tcBorders>
              <w:top w:val="outset" w:color="auto" w:sz="6" w:space="0"/>
              <w:left w:val="outset" w:color="auto" w:sz="6" w:space="0"/>
              <w:bottom w:val="outset" w:color="auto" w:sz="6" w:space="0"/>
              <w:right w:val="outset" w:color="auto" w:sz="6" w:space="0"/>
            </w:tcBorders>
            <w:vAlign w:val="bottom"/>
          </w:tcPr>
          <w:p w14:paraId="4C20E2A9">
            <w:pPr>
              <w:jc w:val="right"/>
              <w:textAlignment w:val="bottom"/>
              <w:rPr>
                <w:rFonts w:cs="Times New Roman"/>
              </w:rPr>
            </w:pPr>
            <w:r>
              <w:rPr>
                <w:rFonts w:eastAsia="Arial Narrow" w:cs="Times New Roman"/>
                <w:color w:val="000000"/>
                <w:lang w:bidi="ar"/>
              </w:rPr>
              <w:t>160,504,276.21</w:t>
            </w:r>
          </w:p>
        </w:tc>
        <w:tc>
          <w:tcPr>
            <w:tcW w:w="1140" w:type="pct"/>
            <w:tcBorders>
              <w:top w:val="outset" w:color="auto" w:sz="6" w:space="0"/>
              <w:left w:val="outset" w:color="auto" w:sz="6" w:space="0"/>
              <w:bottom w:val="outset" w:color="auto" w:sz="6" w:space="0"/>
              <w:right w:val="outset" w:color="auto" w:sz="6" w:space="0"/>
            </w:tcBorders>
            <w:vAlign w:val="bottom"/>
          </w:tcPr>
          <w:p w14:paraId="3A0D230B">
            <w:pPr>
              <w:jc w:val="right"/>
              <w:textAlignment w:val="bottom"/>
              <w:rPr>
                <w:rFonts w:cs="Times New Roman"/>
              </w:rPr>
            </w:pPr>
            <w:r>
              <w:rPr>
                <w:rFonts w:eastAsia="Arial Narrow" w:cs="Times New Roman"/>
                <w:color w:val="000000"/>
                <w:lang w:bidi="ar"/>
              </w:rPr>
              <w:t>296,149,933.94</w:t>
            </w:r>
          </w:p>
        </w:tc>
      </w:tr>
      <w:tr w14:paraId="076D9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6EF69E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应交税费</w:t>
            </w:r>
          </w:p>
        </w:tc>
        <w:tc>
          <w:tcPr>
            <w:tcW w:w="484" w:type="pct"/>
            <w:tcBorders>
              <w:top w:val="outset" w:color="auto" w:sz="6" w:space="0"/>
              <w:left w:val="outset" w:color="auto" w:sz="6" w:space="0"/>
              <w:bottom w:val="outset" w:color="auto" w:sz="6" w:space="0"/>
              <w:right w:val="outset" w:color="auto" w:sz="6" w:space="0"/>
            </w:tcBorders>
            <w:vAlign w:val="center"/>
          </w:tcPr>
          <w:p w14:paraId="1C6AA3A5">
            <w:pPr>
              <w:jc w:val="center"/>
              <w:rPr>
                <w:rFonts w:cs="Times New Roman"/>
              </w:rPr>
            </w:pPr>
            <w:r>
              <w:rPr>
                <w:rFonts w:cs="Times New Roman"/>
              </w:rPr>
              <w:t>七、40</w:t>
            </w:r>
          </w:p>
        </w:tc>
        <w:tc>
          <w:tcPr>
            <w:tcW w:w="1127" w:type="pct"/>
            <w:tcBorders>
              <w:top w:val="outset" w:color="auto" w:sz="6" w:space="0"/>
              <w:left w:val="outset" w:color="auto" w:sz="6" w:space="0"/>
              <w:bottom w:val="outset" w:color="auto" w:sz="6" w:space="0"/>
              <w:right w:val="outset" w:color="auto" w:sz="6" w:space="0"/>
            </w:tcBorders>
            <w:vAlign w:val="bottom"/>
          </w:tcPr>
          <w:p w14:paraId="33AEF192">
            <w:pPr>
              <w:jc w:val="right"/>
              <w:textAlignment w:val="bottom"/>
              <w:rPr>
                <w:rFonts w:cs="Times New Roman"/>
              </w:rPr>
            </w:pPr>
            <w:r>
              <w:rPr>
                <w:rFonts w:eastAsia="Arial Narrow" w:cs="Times New Roman"/>
                <w:color w:val="000000"/>
                <w:lang w:bidi="ar"/>
              </w:rPr>
              <w:t>109,264,675.17</w:t>
            </w:r>
          </w:p>
        </w:tc>
        <w:tc>
          <w:tcPr>
            <w:tcW w:w="1140" w:type="pct"/>
            <w:tcBorders>
              <w:top w:val="outset" w:color="auto" w:sz="6" w:space="0"/>
              <w:left w:val="outset" w:color="auto" w:sz="6" w:space="0"/>
              <w:bottom w:val="outset" w:color="auto" w:sz="6" w:space="0"/>
              <w:right w:val="outset" w:color="auto" w:sz="6" w:space="0"/>
            </w:tcBorders>
            <w:vAlign w:val="bottom"/>
          </w:tcPr>
          <w:p w14:paraId="2E55DF47">
            <w:pPr>
              <w:jc w:val="right"/>
              <w:textAlignment w:val="bottom"/>
              <w:rPr>
                <w:rFonts w:cs="Times New Roman"/>
              </w:rPr>
            </w:pPr>
            <w:r>
              <w:rPr>
                <w:rFonts w:eastAsia="Arial Narrow" w:cs="Times New Roman"/>
                <w:color w:val="000000"/>
                <w:lang w:bidi="ar"/>
              </w:rPr>
              <w:t>138,968,721.20</w:t>
            </w:r>
          </w:p>
        </w:tc>
      </w:tr>
      <w:tr w14:paraId="0E9561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CCCBAB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其他应付款</w:t>
            </w:r>
          </w:p>
        </w:tc>
        <w:tc>
          <w:tcPr>
            <w:tcW w:w="484" w:type="pct"/>
            <w:tcBorders>
              <w:top w:val="outset" w:color="auto" w:sz="6" w:space="0"/>
              <w:left w:val="outset" w:color="auto" w:sz="6" w:space="0"/>
              <w:bottom w:val="outset" w:color="auto" w:sz="6" w:space="0"/>
              <w:right w:val="outset" w:color="auto" w:sz="6" w:space="0"/>
            </w:tcBorders>
            <w:vAlign w:val="center"/>
          </w:tcPr>
          <w:p w14:paraId="785FCBBC">
            <w:pPr>
              <w:jc w:val="center"/>
              <w:rPr>
                <w:rFonts w:cs="Times New Roman"/>
              </w:rPr>
            </w:pPr>
            <w:r>
              <w:rPr>
                <w:rFonts w:cs="Times New Roman"/>
              </w:rPr>
              <w:t>七、41</w:t>
            </w:r>
          </w:p>
        </w:tc>
        <w:tc>
          <w:tcPr>
            <w:tcW w:w="1127" w:type="pct"/>
            <w:tcBorders>
              <w:top w:val="outset" w:color="auto" w:sz="6" w:space="0"/>
              <w:left w:val="outset" w:color="auto" w:sz="6" w:space="0"/>
              <w:bottom w:val="outset" w:color="auto" w:sz="6" w:space="0"/>
              <w:right w:val="outset" w:color="auto" w:sz="6" w:space="0"/>
            </w:tcBorders>
            <w:vAlign w:val="bottom"/>
          </w:tcPr>
          <w:p w14:paraId="06ADDCB8">
            <w:pPr>
              <w:jc w:val="right"/>
              <w:textAlignment w:val="bottom"/>
              <w:rPr>
                <w:rFonts w:cs="Times New Roman"/>
              </w:rPr>
            </w:pPr>
            <w:r>
              <w:rPr>
                <w:rFonts w:eastAsia="Arial Narrow" w:cs="Times New Roman"/>
                <w:color w:val="000000"/>
                <w:lang w:bidi="ar"/>
              </w:rPr>
              <w:t>944,679,877.34</w:t>
            </w:r>
          </w:p>
        </w:tc>
        <w:tc>
          <w:tcPr>
            <w:tcW w:w="1140" w:type="pct"/>
            <w:tcBorders>
              <w:top w:val="outset" w:color="auto" w:sz="6" w:space="0"/>
              <w:left w:val="outset" w:color="auto" w:sz="6" w:space="0"/>
              <w:bottom w:val="outset" w:color="auto" w:sz="6" w:space="0"/>
              <w:right w:val="outset" w:color="auto" w:sz="6" w:space="0"/>
            </w:tcBorders>
            <w:vAlign w:val="bottom"/>
          </w:tcPr>
          <w:p w14:paraId="6A1D604B">
            <w:pPr>
              <w:jc w:val="right"/>
              <w:textAlignment w:val="bottom"/>
              <w:rPr>
                <w:rFonts w:cs="Times New Roman"/>
              </w:rPr>
            </w:pPr>
            <w:r>
              <w:rPr>
                <w:rFonts w:eastAsia="Arial Narrow" w:cs="Times New Roman"/>
                <w:color w:val="000000"/>
                <w:lang w:bidi="ar"/>
              </w:rPr>
              <w:t>958,381,409.24</w:t>
            </w:r>
          </w:p>
        </w:tc>
      </w:tr>
      <w:tr w14:paraId="589B4F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2853E5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其中：应付利息</w:t>
            </w:r>
          </w:p>
        </w:tc>
        <w:tc>
          <w:tcPr>
            <w:tcW w:w="484" w:type="pct"/>
            <w:tcBorders>
              <w:top w:val="outset" w:color="auto" w:sz="6" w:space="0"/>
              <w:left w:val="outset" w:color="auto" w:sz="6" w:space="0"/>
              <w:bottom w:val="outset" w:color="auto" w:sz="6" w:space="0"/>
              <w:right w:val="outset" w:color="auto" w:sz="6" w:space="0"/>
            </w:tcBorders>
            <w:vAlign w:val="center"/>
          </w:tcPr>
          <w:p w14:paraId="7B807814">
            <w:pPr>
              <w:jc w:val="center"/>
              <w:rPr>
                <w:rFonts w:cs="Times New Roman"/>
              </w:rPr>
            </w:pPr>
            <w:r>
              <w:rPr>
                <w:rFonts w:cs="Times New Roman"/>
              </w:rPr>
              <w:t>七、41</w:t>
            </w:r>
          </w:p>
        </w:tc>
        <w:tc>
          <w:tcPr>
            <w:tcW w:w="1127" w:type="pct"/>
            <w:tcBorders>
              <w:top w:val="outset" w:color="auto" w:sz="6" w:space="0"/>
              <w:left w:val="outset" w:color="auto" w:sz="6" w:space="0"/>
              <w:bottom w:val="outset" w:color="auto" w:sz="6" w:space="0"/>
              <w:right w:val="outset" w:color="auto" w:sz="6" w:space="0"/>
            </w:tcBorders>
            <w:vAlign w:val="bottom"/>
          </w:tcPr>
          <w:p w14:paraId="35ECF04B">
            <w:pPr>
              <w:jc w:val="right"/>
              <w:rPr>
                <w:rFonts w:cs="Times New Roman"/>
              </w:rPr>
            </w:pPr>
          </w:p>
        </w:tc>
        <w:tc>
          <w:tcPr>
            <w:tcW w:w="1140" w:type="pct"/>
            <w:tcBorders>
              <w:top w:val="outset" w:color="auto" w:sz="6" w:space="0"/>
              <w:left w:val="outset" w:color="auto" w:sz="6" w:space="0"/>
              <w:bottom w:val="outset" w:color="auto" w:sz="6" w:space="0"/>
              <w:right w:val="outset" w:color="auto" w:sz="6" w:space="0"/>
            </w:tcBorders>
            <w:vAlign w:val="bottom"/>
          </w:tcPr>
          <w:p w14:paraId="5F4D4BF8">
            <w:pPr>
              <w:jc w:val="right"/>
              <w:rPr>
                <w:rFonts w:cs="Times New Roman"/>
              </w:rPr>
            </w:pPr>
          </w:p>
        </w:tc>
      </w:tr>
      <w:tr w14:paraId="2FF7FF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B12406B">
            <w:pPr>
              <w:ind w:firstLine="840" w:firstLineChars="4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应付股利</w:t>
            </w:r>
          </w:p>
        </w:tc>
        <w:tc>
          <w:tcPr>
            <w:tcW w:w="484" w:type="pct"/>
            <w:tcBorders>
              <w:top w:val="outset" w:color="auto" w:sz="6" w:space="0"/>
              <w:left w:val="outset" w:color="auto" w:sz="6" w:space="0"/>
              <w:bottom w:val="outset" w:color="auto" w:sz="6" w:space="0"/>
              <w:right w:val="outset" w:color="auto" w:sz="6" w:space="0"/>
            </w:tcBorders>
            <w:vAlign w:val="center"/>
          </w:tcPr>
          <w:p w14:paraId="469060A1">
            <w:pPr>
              <w:jc w:val="center"/>
              <w:rPr>
                <w:rFonts w:cs="Times New Roman"/>
              </w:rPr>
            </w:pPr>
            <w:r>
              <w:rPr>
                <w:rFonts w:cs="Times New Roman"/>
              </w:rPr>
              <w:t>七、41</w:t>
            </w:r>
          </w:p>
        </w:tc>
        <w:tc>
          <w:tcPr>
            <w:tcW w:w="1127" w:type="pct"/>
            <w:tcBorders>
              <w:top w:val="outset" w:color="auto" w:sz="6" w:space="0"/>
              <w:left w:val="outset" w:color="auto" w:sz="6" w:space="0"/>
              <w:bottom w:val="outset" w:color="auto" w:sz="6" w:space="0"/>
              <w:right w:val="outset" w:color="auto" w:sz="6" w:space="0"/>
            </w:tcBorders>
            <w:vAlign w:val="bottom"/>
          </w:tcPr>
          <w:p w14:paraId="647C571E">
            <w:pPr>
              <w:jc w:val="right"/>
              <w:rPr>
                <w:rFonts w:cs="Times New Roman"/>
              </w:rPr>
            </w:pPr>
          </w:p>
        </w:tc>
        <w:tc>
          <w:tcPr>
            <w:tcW w:w="1140" w:type="pct"/>
            <w:tcBorders>
              <w:top w:val="outset" w:color="auto" w:sz="6" w:space="0"/>
              <w:left w:val="outset" w:color="auto" w:sz="6" w:space="0"/>
              <w:bottom w:val="outset" w:color="auto" w:sz="6" w:space="0"/>
              <w:right w:val="outset" w:color="auto" w:sz="6" w:space="0"/>
            </w:tcBorders>
            <w:vAlign w:val="bottom"/>
          </w:tcPr>
          <w:p w14:paraId="3AEB4B75">
            <w:pPr>
              <w:jc w:val="right"/>
              <w:rPr>
                <w:rFonts w:cs="Times New Roman"/>
              </w:rPr>
            </w:pPr>
          </w:p>
        </w:tc>
      </w:tr>
      <w:tr w14:paraId="1DB165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7E31FC2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一年内到期的非流动负债</w:t>
            </w:r>
          </w:p>
        </w:tc>
        <w:tc>
          <w:tcPr>
            <w:tcW w:w="484" w:type="pct"/>
            <w:tcBorders>
              <w:top w:val="outset" w:color="auto" w:sz="6" w:space="0"/>
              <w:left w:val="outset" w:color="auto" w:sz="6" w:space="0"/>
              <w:bottom w:val="outset" w:color="auto" w:sz="6" w:space="0"/>
              <w:right w:val="outset" w:color="auto" w:sz="6" w:space="0"/>
            </w:tcBorders>
            <w:vAlign w:val="center"/>
          </w:tcPr>
          <w:p w14:paraId="71732CBE">
            <w:pPr>
              <w:jc w:val="center"/>
              <w:rPr>
                <w:rFonts w:cs="Times New Roman"/>
              </w:rPr>
            </w:pPr>
            <w:r>
              <w:rPr>
                <w:rFonts w:cs="Times New Roman"/>
              </w:rPr>
              <w:t>七、43</w:t>
            </w:r>
          </w:p>
        </w:tc>
        <w:tc>
          <w:tcPr>
            <w:tcW w:w="1127" w:type="pct"/>
            <w:tcBorders>
              <w:top w:val="outset" w:color="auto" w:sz="6" w:space="0"/>
              <w:left w:val="outset" w:color="auto" w:sz="6" w:space="0"/>
              <w:bottom w:val="outset" w:color="auto" w:sz="6" w:space="0"/>
              <w:right w:val="outset" w:color="auto" w:sz="6" w:space="0"/>
            </w:tcBorders>
            <w:vAlign w:val="bottom"/>
          </w:tcPr>
          <w:p w14:paraId="441BB569">
            <w:pPr>
              <w:jc w:val="right"/>
              <w:textAlignment w:val="bottom"/>
              <w:rPr>
                <w:rFonts w:cs="Times New Roman"/>
              </w:rPr>
            </w:pPr>
            <w:r>
              <w:rPr>
                <w:rFonts w:eastAsia="Arial Narrow" w:cs="Times New Roman"/>
                <w:color w:val="000000"/>
                <w:lang w:bidi="ar"/>
              </w:rPr>
              <w:t>516,473,572.61</w:t>
            </w:r>
          </w:p>
        </w:tc>
        <w:tc>
          <w:tcPr>
            <w:tcW w:w="1140" w:type="pct"/>
            <w:tcBorders>
              <w:top w:val="outset" w:color="auto" w:sz="6" w:space="0"/>
              <w:left w:val="outset" w:color="auto" w:sz="6" w:space="0"/>
              <w:bottom w:val="outset" w:color="auto" w:sz="6" w:space="0"/>
              <w:right w:val="outset" w:color="auto" w:sz="6" w:space="0"/>
            </w:tcBorders>
            <w:vAlign w:val="bottom"/>
          </w:tcPr>
          <w:p w14:paraId="003E27E7">
            <w:pPr>
              <w:jc w:val="right"/>
              <w:textAlignment w:val="bottom"/>
              <w:rPr>
                <w:rFonts w:cs="Times New Roman"/>
              </w:rPr>
            </w:pPr>
            <w:r>
              <w:rPr>
                <w:rFonts w:eastAsia="Arial Narrow" w:cs="Times New Roman"/>
                <w:color w:val="000000"/>
                <w:lang w:bidi="ar"/>
              </w:rPr>
              <w:t>54,024,318.29</w:t>
            </w:r>
          </w:p>
        </w:tc>
      </w:tr>
      <w:tr w14:paraId="6D472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54C66C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其他流动负债</w:t>
            </w:r>
          </w:p>
        </w:tc>
        <w:tc>
          <w:tcPr>
            <w:tcW w:w="484" w:type="pct"/>
            <w:tcBorders>
              <w:top w:val="outset" w:color="auto" w:sz="6" w:space="0"/>
              <w:left w:val="outset" w:color="auto" w:sz="6" w:space="0"/>
              <w:bottom w:val="outset" w:color="auto" w:sz="6" w:space="0"/>
              <w:right w:val="outset" w:color="auto" w:sz="6" w:space="0"/>
            </w:tcBorders>
            <w:vAlign w:val="center"/>
          </w:tcPr>
          <w:p w14:paraId="556806D4">
            <w:pPr>
              <w:jc w:val="center"/>
              <w:rPr>
                <w:rFonts w:cs="Times New Roman"/>
              </w:rPr>
            </w:pPr>
            <w:r>
              <w:rPr>
                <w:rFonts w:cs="Times New Roman"/>
              </w:rPr>
              <w:t>七、44</w:t>
            </w:r>
          </w:p>
        </w:tc>
        <w:tc>
          <w:tcPr>
            <w:tcW w:w="1127" w:type="pct"/>
            <w:tcBorders>
              <w:top w:val="outset" w:color="auto" w:sz="6" w:space="0"/>
              <w:left w:val="outset" w:color="auto" w:sz="6" w:space="0"/>
              <w:bottom w:val="outset" w:color="auto" w:sz="6" w:space="0"/>
              <w:right w:val="outset" w:color="auto" w:sz="6" w:space="0"/>
            </w:tcBorders>
            <w:vAlign w:val="bottom"/>
          </w:tcPr>
          <w:p w14:paraId="233A4445">
            <w:pPr>
              <w:jc w:val="right"/>
              <w:textAlignment w:val="bottom"/>
              <w:rPr>
                <w:rFonts w:cs="Times New Roman"/>
              </w:rPr>
            </w:pPr>
            <w:r>
              <w:rPr>
                <w:rFonts w:eastAsia="Arial Narrow" w:cs="Times New Roman"/>
                <w:color w:val="000000"/>
                <w:lang w:bidi="ar"/>
              </w:rPr>
              <w:t>281,448,804.58</w:t>
            </w:r>
          </w:p>
        </w:tc>
        <w:tc>
          <w:tcPr>
            <w:tcW w:w="1140" w:type="pct"/>
            <w:tcBorders>
              <w:top w:val="outset" w:color="auto" w:sz="6" w:space="0"/>
              <w:left w:val="outset" w:color="auto" w:sz="6" w:space="0"/>
              <w:bottom w:val="outset" w:color="auto" w:sz="6" w:space="0"/>
              <w:right w:val="outset" w:color="auto" w:sz="6" w:space="0"/>
            </w:tcBorders>
            <w:vAlign w:val="bottom"/>
          </w:tcPr>
          <w:p w14:paraId="749A9505">
            <w:pPr>
              <w:jc w:val="right"/>
              <w:textAlignment w:val="bottom"/>
              <w:rPr>
                <w:rFonts w:cs="Times New Roman"/>
              </w:rPr>
            </w:pPr>
            <w:r>
              <w:rPr>
                <w:rFonts w:eastAsia="Arial Narrow" w:cs="Times New Roman"/>
                <w:color w:val="000000"/>
                <w:lang w:bidi="ar"/>
              </w:rPr>
              <w:t>306,873,185.28</w:t>
            </w:r>
          </w:p>
        </w:tc>
      </w:tr>
      <w:tr w14:paraId="4211FF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45791C7">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流动负债合计</w:t>
            </w:r>
          </w:p>
        </w:tc>
        <w:tc>
          <w:tcPr>
            <w:tcW w:w="484" w:type="pct"/>
            <w:tcBorders>
              <w:top w:val="outset" w:color="auto" w:sz="6" w:space="0"/>
              <w:left w:val="outset" w:color="auto" w:sz="6" w:space="0"/>
              <w:bottom w:val="outset" w:color="auto" w:sz="6" w:space="0"/>
              <w:right w:val="outset" w:color="auto" w:sz="6" w:space="0"/>
            </w:tcBorders>
            <w:vAlign w:val="center"/>
          </w:tcPr>
          <w:p w14:paraId="3A400993">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1CAC9A88">
            <w:pPr>
              <w:jc w:val="right"/>
              <w:textAlignment w:val="bottom"/>
              <w:rPr>
                <w:rFonts w:cs="Times New Roman"/>
              </w:rPr>
            </w:pPr>
            <w:r>
              <w:rPr>
                <w:rFonts w:eastAsia="Arial Narrow" w:cs="Times New Roman"/>
                <w:color w:val="000000"/>
                <w:lang w:bidi="ar"/>
              </w:rPr>
              <w:t>6,084,679,406.31</w:t>
            </w:r>
          </w:p>
        </w:tc>
        <w:tc>
          <w:tcPr>
            <w:tcW w:w="1140" w:type="pct"/>
            <w:tcBorders>
              <w:top w:val="outset" w:color="auto" w:sz="6" w:space="0"/>
              <w:left w:val="outset" w:color="auto" w:sz="6" w:space="0"/>
              <w:bottom w:val="outset" w:color="auto" w:sz="6" w:space="0"/>
              <w:right w:val="outset" w:color="auto" w:sz="6" w:space="0"/>
            </w:tcBorders>
            <w:vAlign w:val="bottom"/>
          </w:tcPr>
          <w:p w14:paraId="14FA5771">
            <w:pPr>
              <w:jc w:val="right"/>
              <w:textAlignment w:val="bottom"/>
              <w:rPr>
                <w:rFonts w:cs="Times New Roman"/>
              </w:rPr>
            </w:pPr>
            <w:r>
              <w:rPr>
                <w:rFonts w:eastAsia="Arial Narrow" w:cs="Times New Roman"/>
                <w:color w:val="000000"/>
                <w:lang w:bidi="ar"/>
              </w:rPr>
              <w:t>6,977,938,966.71</w:t>
            </w:r>
          </w:p>
        </w:tc>
      </w:tr>
      <w:tr w14:paraId="64191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e92d79badc1945afbed8782cdacf599f"/>
            <w:id w:val="147470055"/>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03E248DC">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非流动负债：</w:t>
                </w:r>
              </w:p>
            </w:tc>
          </w:sdtContent>
        </w:sdt>
      </w:tr>
      <w:tr w14:paraId="5AC14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F57284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长期借款</w:t>
            </w:r>
          </w:p>
        </w:tc>
        <w:tc>
          <w:tcPr>
            <w:tcW w:w="484" w:type="pct"/>
            <w:tcBorders>
              <w:top w:val="outset" w:color="auto" w:sz="6" w:space="0"/>
              <w:left w:val="outset" w:color="auto" w:sz="6" w:space="0"/>
              <w:bottom w:val="outset" w:color="auto" w:sz="6" w:space="0"/>
              <w:right w:val="outset" w:color="auto" w:sz="6" w:space="0"/>
            </w:tcBorders>
            <w:vAlign w:val="center"/>
          </w:tcPr>
          <w:p w14:paraId="7B1ED08A">
            <w:pPr>
              <w:jc w:val="center"/>
              <w:rPr>
                <w:rFonts w:cs="Times New Roman"/>
              </w:rPr>
            </w:pPr>
            <w:r>
              <w:rPr>
                <w:rFonts w:cs="Times New Roman"/>
              </w:rPr>
              <w:t>七、45</w:t>
            </w:r>
          </w:p>
        </w:tc>
        <w:tc>
          <w:tcPr>
            <w:tcW w:w="1127" w:type="pct"/>
            <w:tcBorders>
              <w:top w:val="outset" w:color="auto" w:sz="6" w:space="0"/>
              <w:left w:val="outset" w:color="auto" w:sz="6" w:space="0"/>
              <w:bottom w:val="outset" w:color="auto" w:sz="6" w:space="0"/>
              <w:right w:val="outset" w:color="auto" w:sz="6" w:space="0"/>
            </w:tcBorders>
            <w:vAlign w:val="bottom"/>
          </w:tcPr>
          <w:p w14:paraId="18CDDD7A">
            <w:pPr>
              <w:jc w:val="right"/>
              <w:textAlignment w:val="bottom"/>
              <w:rPr>
                <w:rFonts w:cs="Times New Roman"/>
              </w:rPr>
            </w:pPr>
            <w:r>
              <w:rPr>
                <w:rFonts w:eastAsia="Arial Narrow" w:cs="Times New Roman"/>
                <w:color w:val="000000"/>
                <w:lang w:bidi="ar"/>
              </w:rPr>
              <w:t>2,514,768,990.10</w:t>
            </w:r>
          </w:p>
        </w:tc>
        <w:tc>
          <w:tcPr>
            <w:tcW w:w="1140" w:type="pct"/>
            <w:tcBorders>
              <w:top w:val="outset" w:color="auto" w:sz="6" w:space="0"/>
              <w:left w:val="outset" w:color="auto" w:sz="6" w:space="0"/>
              <w:bottom w:val="outset" w:color="auto" w:sz="6" w:space="0"/>
              <w:right w:val="outset" w:color="auto" w:sz="6" w:space="0"/>
            </w:tcBorders>
            <w:vAlign w:val="bottom"/>
          </w:tcPr>
          <w:p w14:paraId="609A1A47">
            <w:pPr>
              <w:jc w:val="right"/>
              <w:textAlignment w:val="bottom"/>
              <w:rPr>
                <w:rFonts w:cs="Times New Roman"/>
              </w:rPr>
            </w:pPr>
            <w:r>
              <w:rPr>
                <w:rFonts w:eastAsia="Arial Narrow" w:cs="Times New Roman"/>
                <w:color w:val="000000"/>
                <w:lang w:bidi="ar"/>
              </w:rPr>
              <w:t>497,317,783.34</w:t>
            </w:r>
          </w:p>
        </w:tc>
      </w:tr>
      <w:tr w14:paraId="65BEA6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20A37C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应付债券</w:t>
            </w:r>
          </w:p>
        </w:tc>
        <w:tc>
          <w:tcPr>
            <w:tcW w:w="484" w:type="pct"/>
            <w:tcBorders>
              <w:top w:val="outset" w:color="auto" w:sz="6" w:space="0"/>
              <w:left w:val="outset" w:color="auto" w:sz="6" w:space="0"/>
              <w:bottom w:val="outset" w:color="auto" w:sz="6" w:space="0"/>
              <w:right w:val="outset" w:color="auto" w:sz="6" w:space="0"/>
            </w:tcBorders>
            <w:vAlign w:val="center"/>
          </w:tcPr>
          <w:p w14:paraId="549D446C">
            <w:pPr>
              <w:jc w:val="center"/>
              <w:rPr>
                <w:rFonts w:cs="Times New Roman"/>
              </w:rPr>
            </w:pPr>
            <w:r>
              <w:rPr>
                <w:rFonts w:cs="Times New Roman"/>
              </w:rPr>
              <w:t>七、46</w:t>
            </w:r>
          </w:p>
        </w:tc>
        <w:tc>
          <w:tcPr>
            <w:tcW w:w="1127" w:type="pct"/>
            <w:tcBorders>
              <w:top w:val="outset" w:color="auto" w:sz="6" w:space="0"/>
              <w:left w:val="outset" w:color="auto" w:sz="6" w:space="0"/>
              <w:bottom w:val="outset" w:color="auto" w:sz="6" w:space="0"/>
              <w:right w:val="outset" w:color="auto" w:sz="6" w:space="0"/>
            </w:tcBorders>
            <w:vAlign w:val="bottom"/>
          </w:tcPr>
          <w:p w14:paraId="49406B59">
            <w:pPr>
              <w:jc w:val="right"/>
              <w:rPr>
                <w:rFonts w:cs="Times New Roman"/>
              </w:rPr>
            </w:pPr>
          </w:p>
        </w:tc>
        <w:tc>
          <w:tcPr>
            <w:tcW w:w="1140" w:type="pct"/>
            <w:tcBorders>
              <w:top w:val="outset" w:color="auto" w:sz="6" w:space="0"/>
              <w:left w:val="outset" w:color="auto" w:sz="6" w:space="0"/>
              <w:bottom w:val="outset" w:color="auto" w:sz="6" w:space="0"/>
              <w:right w:val="outset" w:color="auto" w:sz="6" w:space="0"/>
            </w:tcBorders>
            <w:vAlign w:val="bottom"/>
          </w:tcPr>
          <w:p w14:paraId="555BE6F6">
            <w:pPr>
              <w:jc w:val="right"/>
              <w:textAlignment w:val="bottom"/>
              <w:rPr>
                <w:rFonts w:cs="Times New Roman"/>
              </w:rPr>
            </w:pPr>
            <w:r>
              <w:rPr>
                <w:rFonts w:eastAsia="Arial Narrow" w:cs="Times New Roman"/>
                <w:color w:val="000000"/>
                <w:lang w:bidi="ar"/>
              </w:rPr>
              <w:t>508,560,210.28</w:t>
            </w:r>
          </w:p>
        </w:tc>
      </w:tr>
      <w:tr w14:paraId="71F2B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0B74F9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租赁负债</w:t>
            </w:r>
          </w:p>
        </w:tc>
        <w:tc>
          <w:tcPr>
            <w:tcW w:w="484" w:type="pct"/>
            <w:tcBorders>
              <w:top w:val="outset" w:color="auto" w:sz="6" w:space="0"/>
              <w:left w:val="outset" w:color="auto" w:sz="6" w:space="0"/>
              <w:bottom w:val="outset" w:color="auto" w:sz="6" w:space="0"/>
              <w:right w:val="outset" w:color="auto" w:sz="6" w:space="0"/>
            </w:tcBorders>
            <w:vAlign w:val="center"/>
          </w:tcPr>
          <w:p w14:paraId="5EC91262">
            <w:pPr>
              <w:jc w:val="center"/>
              <w:rPr>
                <w:rFonts w:cs="Times New Roman"/>
              </w:rPr>
            </w:pPr>
            <w:r>
              <w:rPr>
                <w:rFonts w:cs="Times New Roman"/>
              </w:rPr>
              <w:t>七、47</w:t>
            </w:r>
          </w:p>
        </w:tc>
        <w:tc>
          <w:tcPr>
            <w:tcW w:w="1127" w:type="pct"/>
            <w:tcBorders>
              <w:top w:val="outset" w:color="auto" w:sz="6" w:space="0"/>
              <w:left w:val="outset" w:color="auto" w:sz="6" w:space="0"/>
              <w:bottom w:val="outset" w:color="auto" w:sz="6" w:space="0"/>
              <w:right w:val="outset" w:color="auto" w:sz="6" w:space="0"/>
            </w:tcBorders>
            <w:vAlign w:val="bottom"/>
          </w:tcPr>
          <w:p w14:paraId="546894BE">
            <w:pPr>
              <w:jc w:val="right"/>
              <w:textAlignment w:val="bottom"/>
              <w:rPr>
                <w:rFonts w:cs="Times New Roman"/>
              </w:rPr>
            </w:pPr>
            <w:r>
              <w:rPr>
                <w:rFonts w:eastAsia="Arial Narrow" w:cs="Times New Roman"/>
                <w:color w:val="000000"/>
                <w:lang w:bidi="ar"/>
              </w:rPr>
              <w:t>9,264,381.82</w:t>
            </w:r>
          </w:p>
        </w:tc>
        <w:tc>
          <w:tcPr>
            <w:tcW w:w="1140" w:type="pct"/>
            <w:tcBorders>
              <w:top w:val="outset" w:color="auto" w:sz="6" w:space="0"/>
              <w:left w:val="outset" w:color="auto" w:sz="6" w:space="0"/>
              <w:bottom w:val="outset" w:color="auto" w:sz="6" w:space="0"/>
              <w:right w:val="outset" w:color="auto" w:sz="6" w:space="0"/>
            </w:tcBorders>
            <w:vAlign w:val="bottom"/>
          </w:tcPr>
          <w:p w14:paraId="5BD9530A">
            <w:pPr>
              <w:jc w:val="right"/>
              <w:textAlignment w:val="bottom"/>
              <w:rPr>
                <w:rFonts w:cs="Times New Roman"/>
              </w:rPr>
            </w:pPr>
            <w:r>
              <w:rPr>
                <w:rFonts w:eastAsia="Arial Narrow" w:cs="Times New Roman"/>
                <w:color w:val="000000"/>
                <w:lang w:bidi="ar"/>
              </w:rPr>
              <w:t>10,297,800.31</w:t>
            </w:r>
          </w:p>
        </w:tc>
      </w:tr>
      <w:tr w14:paraId="5B7876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BA8DD9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长期应付款</w:t>
            </w:r>
          </w:p>
        </w:tc>
        <w:tc>
          <w:tcPr>
            <w:tcW w:w="484" w:type="pct"/>
            <w:tcBorders>
              <w:top w:val="outset" w:color="auto" w:sz="6" w:space="0"/>
              <w:left w:val="outset" w:color="auto" w:sz="6" w:space="0"/>
              <w:bottom w:val="outset" w:color="auto" w:sz="6" w:space="0"/>
              <w:right w:val="outset" w:color="auto" w:sz="6" w:space="0"/>
            </w:tcBorders>
            <w:vAlign w:val="center"/>
          </w:tcPr>
          <w:p w14:paraId="7F9C3190">
            <w:pPr>
              <w:jc w:val="center"/>
              <w:rPr>
                <w:rFonts w:cs="Times New Roman"/>
              </w:rPr>
            </w:pPr>
            <w:r>
              <w:rPr>
                <w:rFonts w:cs="Times New Roman"/>
              </w:rPr>
              <w:t>七、48</w:t>
            </w:r>
          </w:p>
        </w:tc>
        <w:tc>
          <w:tcPr>
            <w:tcW w:w="1127" w:type="pct"/>
            <w:tcBorders>
              <w:top w:val="outset" w:color="auto" w:sz="6" w:space="0"/>
              <w:left w:val="outset" w:color="auto" w:sz="6" w:space="0"/>
              <w:bottom w:val="outset" w:color="auto" w:sz="6" w:space="0"/>
              <w:right w:val="outset" w:color="auto" w:sz="6" w:space="0"/>
            </w:tcBorders>
            <w:vAlign w:val="bottom"/>
          </w:tcPr>
          <w:p w14:paraId="7EB9489A">
            <w:pPr>
              <w:jc w:val="right"/>
              <w:textAlignment w:val="bottom"/>
              <w:rPr>
                <w:rFonts w:cs="Times New Roman"/>
              </w:rPr>
            </w:pPr>
            <w:r>
              <w:rPr>
                <w:rFonts w:eastAsia="Arial Narrow" w:cs="Times New Roman"/>
                <w:color w:val="000000"/>
                <w:lang w:bidi="ar"/>
              </w:rPr>
              <w:t>41,904,211.82</w:t>
            </w:r>
          </w:p>
        </w:tc>
        <w:tc>
          <w:tcPr>
            <w:tcW w:w="1140" w:type="pct"/>
            <w:tcBorders>
              <w:top w:val="outset" w:color="auto" w:sz="6" w:space="0"/>
              <w:left w:val="outset" w:color="auto" w:sz="6" w:space="0"/>
              <w:bottom w:val="outset" w:color="auto" w:sz="6" w:space="0"/>
              <w:right w:val="outset" w:color="auto" w:sz="6" w:space="0"/>
            </w:tcBorders>
            <w:vAlign w:val="bottom"/>
          </w:tcPr>
          <w:p w14:paraId="0DA0839C">
            <w:pPr>
              <w:jc w:val="right"/>
              <w:textAlignment w:val="bottom"/>
              <w:rPr>
                <w:rFonts w:cs="Times New Roman"/>
              </w:rPr>
            </w:pPr>
            <w:r>
              <w:rPr>
                <w:rFonts w:eastAsia="Arial Narrow" w:cs="Times New Roman"/>
                <w:color w:val="000000"/>
                <w:lang w:bidi="ar"/>
              </w:rPr>
              <w:t>42,002,615.37</w:t>
            </w:r>
          </w:p>
        </w:tc>
      </w:tr>
      <w:tr w14:paraId="490467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D7094BF">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长期应付职工薪酬</w:t>
            </w:r>
          </w:p>
        </w:tc>
        <w:tc>
          <w:tcPr>
            <w:tcW w:w="484" w:type="pct"/>
            <w:tcBorders>
              <w:top w:val="outset" w:color="auto" w:sz="6" w:space="0"/>
              <w:left w:val="outset" w:color="auto" w:sz="6" w:space="0"/>
              <w:bottom w:val="outset" w:color="auto" w:sz="6" w:space="0"/>
              <w:right w:val="outset" w:color="auto" w:sz="6" w:space="0"/>
            </w:tcBorders>
            <w:vAlign w:val="center"/>
          </w:tcPr>
          <w:p w14:paraId="22E7F17E">
            <w:pPr>
              <w:jc w:val="center"/>
              <w:rPr>
                <w:rFonts w:cs="Times New Roman"/>
              </w:rPr>
            </w:pPr>
            <w:r>
              <w:rPr>
                <w:rFonts w:cs="Times New Roman"/>
              </w:rPr>
              <w:t>七、49</w:t>
            </w:r>
          </w:p>
        </w:tc>
        <w:tc>
          <w:tcPr>
            <w:tcW w:w="1127" w:type="pct"/>
            <w:tcBorders>
              <w:top w:val="outset" w:color="auto" w:sz="6" w:space="0"/>
              <w:left w:val="outset" w:color="auto" w:sz="6" w:space="0"/>
              <w:bottom w:val="outset" w:color="auto" w:sz="6" w:space="0"/>
              <w:right w:val="outset" w:color="auto" w:sz="6" w:space="0"/>
            </w:tcBorders>
            <w:vAlign w:val="bottom"/>
          </w:tcPr>
          <w:p w14:paraId="28687384">
            <w:pPr>
              <w:jc w:val="right"/>
              <w:textAlignment w:val="bottom"/>
              <w:rPr>
                <w:rFonts w:cs="Times New Roman"/>
              </w:rPr>
            </w:pPr>
            <w:r>
              <w:rPr>
                <w:rFonts w:eastAsia="Arial Narrow" w:cs="Times New Roman"/>
                <w:color w:val="000000"/>
                <w:lang w:bidi="ar"/>
              </w:rPr>
              <w:t>322,611,892.74</w:t>
            </w:r>
          </w:p>
        </w:tc>
        <w:tc>
          <w:tcPr>
            <w:tcW w:w="1140" w:type="pct"/>
            <w:tcBorders>
              <w:top w:val="outset" w:color="auto" w:sz="6" w:space="0"/>
              <w:left w:val="outset" w:color="auto" w:sz="6" w:space="0"/>
              <w:bottom w:val="outset" w:color="auto" w:sz="6" w:space="0"/>
              <w:right w:val="outset" w:color="auto" w:sz="6" w:space="0"/>
            </w:tcBorders>
            <w:vAlign w:val="bottom"/>
          </w:tcPr>
          <w:p w14:paraId="5E5CCA7B">
            <w:pPr>
              <w:jc w:val="right"/>
              <w:textAlignment w:val="bottom"/>
              <w:rPr>
                <w:rFonts w:cs="Times New Roman"/>
              </w:rPr>
            </w:pPr>
            <w:r>
              <w:rPr>
                <w:rFonts w:eastAsia="Arial Narrow" w:cs="Times New Roman"/>
                <w:color w:val="000000"/>
                <w:lang w:bidi="ar"/>
              </w:rPr>
              <w:t>320,048,047.00</w:t>
            </w:r>
          </w:p>
        </w:tc>
      </w:tr>
      <w:tr w14:paraId="4547A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70D92F2">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预计负债</w:t>
            </w:r>
          </w:p>
        </w:tc>
        <w:tc>
          <w:tcPr>
            <w:tcW w:w="484" w:type="pct"/>
            <w:tcBorders>
              <w:top w:val="outset" w:color="auto" w:sz="6" w:space="0"/>
              <w:left w:val="outset" w:color="auto" w:sz="6" w:space="0"/>
              <w:bottom w:val="outset" w:color="auto" w:sz="6" w:space="0"/>
              <w:right w:val="outset" w:color="auto" w:sz="6" w:space="0"/>
            </w:tcBorders>
            <w:vAlign w:val="center"/>
          </w:tcPr>
          <w:p w14:paraId="4F5FD4DB">
            <w:pPr>
              <w:jc w:val="center"/>
              <w:rPr>
                <w:rFonts w:cs="Times New Roman"/>
              </w:rPr>
            </w:pPr>
            <w:r>
              <w:rPr>
                <w:rFonts w:cs="Times New Roman"/>
              </w:rPr>
              <w:t>七、50</w:t>
            </w:r>
          </w:p>
        </w:tc>
        <w:tc>
          <w:tcPr>
            <w:tcW w:w="1127" w:type="pct"/>
            <w:tcBorders>
              <w:top w:val="outset" w:color="auto" w:sz="6" w:space="0"/>
              <w:left w:val="outset" w:color="auto" w:sz="6" w:space="0"/>
              <w:bottom w:val="outset" w:color="auto" w:sz="6" w:space="0"/>
              <w:right w:val="outset" w:color="auto" w:sz="6" w:space="0"/>
            </w:tcBorders>
            <w:vAlign w:val="bottom"/>
          </w:tcPr>
          <w:p w14:paraId="034E471E">
            <w:pPr>
              <w:jc w:val="right"/>
              <w:textAlignment w:val="bottom"/>
              <w:rPr>
                <w:rFonts w:cs="Times New Roman"/>
              </w:rPr>
            </w:pPr>
            <w:r>
              <w:rPr>
                <w:rFonts w:eastAsia="Arial Narrow" w:cs="Times New Roman"/>
                <w:color w:val="000000"/>
                <w:lang w:bidi="ar"/>
              </w:rPr>
              <w:t>200,000,000.00</w:t>
            </w:r>
          </w:p>
        </w:tc>
        <w:tc>
          <w:tcPr>
            <w:tcW w:w="1140" w:type="pct"/>
            <w:tcBorders>
              <w:top w:val="outset" w:color="auto" w:sz="6" w:space="0"/>
              <w:left w:val="outset" w:color="auto" w:sz="6" w:space="0"/>
              <w:bottom w:val="outset" w:color="auto" w:sz="6" w:space="0"/>
              <w:right w:val="outset" w:color="auto" w:sz="6" w:space="0"/>
            </w:tcBorders>
            <w:vAlign w:val="bottom"/>
          </w:tcPr>
          <w:p w14:paraId="667FBC74">
            <w:pPr>
              <w:jc w:val="right"/>
              <w:textAlignment w:val="bottom"/>
              <w:rPr>
                <w:rFonts w:cs="Times New Roman"/>
              </w:rPr>
            </w:pPr>
            <w:r>
              <w:rPr>
                <w:rFonts w:eastAsia="Arial Narrow" w:cs="Times New Roman"/>
                <w:color w:val="000000"/>
                <w:lang w:bidi="ar"/>
              </w:rPr>
              <w:t>200,000,000.00</w:t>
            </w:r>
          </w:p>
        </w:tc>
      </w:tr>
      <w:tr w14:paraId="611FF8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E28AE3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递延收益</w:t>
            </w:r>
          </w:p>
        </w:tc>
        <w:tc>
          <w:tcPr>
            <w:tcW w:w="484" w:type="pct"/>
            <w:tcBorders>
              <w:top w:val="outset" w:color="auto" w:sz="6" w:space="0"/>
              <w:left w:val="outset" w:color="auto" w:sz="6" w:space="0"/>
              <w:bottom w:val="outset" w:color="auto" w:sz="6" w:space="0"/>
              <w:right w:val="outset" w:color="auto" w:sz="6" w:space="0"/>
            </w:tcBorders>
            <w:vAlign w:val="center"/>
          </w:tcPr>
          <w:p w14:paraId="0E9B000F">
            <w:pPr>
              <w:jc w:val="center"/>
              <w:rPr>
                <w:rFonts w:cs="Times New Roman"/>
              </w:rPr>
            </w:pPr>
            <w:r>
              <w:rPr>
                <w:rFonts w:cs="Times New Roman"/>
              </w:rPr>
              <w:t>七、51</w:t>
            </w:r>
          </w:p>
        </w:tc>
        <w:tc>
          <w:tcPr>
            <w:tcW w:w="1127" w:type="pct"/>
            <w:tcBorders>
              <w:top w:val="outset" w:color="auto" w:sz="6" w:space="0"/>
              <w:left w:val="outset" w:color="auto" w:sz="6" w:space="0"/>
              <w:bottom w:val="outset" w:color="auto" w:sz="6" w:space="0"/>
              <w:right w:val="outset" w:color="auto" w:sz="6" w:space="0"/>
            </w:tcBorders>
            <w:vAlign w:val="bottom"/>
          </w:tcPr>
          <w:p w14:paraId="14AFA504">
            <w:pPr>
              <w:jc w:val="right"/>
              <w:textAlignment w:val="bottom"/>
              <w:rPr>
                <w:rFonts w:cs="Times New Roman"/>
              </w:rPr>
            </w:pPr>
            <w:r>
              <w:rPr>
                <w:rFonts w:eastAsia="Arial Narrow" w:cs="Times New Roman"/>
                <w:color w:val="000000"/>
                <w:lang w:bidi="ar"/>
              </w:rPr>
              <w:t>86,602,963.80</w:t>
            </w:r>
          </w:p>
        </w:tc>
        <w:tc>
          <w:tcPr>
            <w:tcW w:w="1140" w:type="pct"/>
            <w:tcBorders>
              <w:top w:val="outset" w:color="auto" w:sz="6" w:space="0"/>
              <w:left w:val="outset" w:color="auto" w:sz="6" w:space="0"/>
              <w:bottom w:val="outset" w:color="auto" w:sz="6" w:space="0"/>
              <w:right w:val="outset" w:color="auto" w:sz="6" w:space="0"/>
            </w:tcBorders>
            <w:vAlign w:val="bottom"/>
          </w:tcPr>
          <w:p w14:paraId="7DD02BCF">
            <w:pPr>
              <w:jc w:val="right"/>
              <w:textAlignment w:val="bottom"/>
              <w:rPr>
                <w:rFonts w:cs="Times New Roman"/>
              </w:rPr>
            </w:pPr>
            <w:r>
              <w:rPr>
                <w:rFonts w:eastAsia="Arial Narrow" w:cs="Times New Roman"/>
                <w:color w:val="000000"/>
                <w:lang w:bidi="ar"/>
              </w:rPr>
              <w:t>89,442,952.48</w:t>
            </w:r>
          </w:p>
        </w:tc>
      </w:tr>
      <w:tr w14:paraId="05C5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59E8255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递延所得税负债</w:t>
            </w:r>
          </w:p>
        </w:tc>
        <w:tc>
          <w:tcPr>
            <w:tcW w:w="484" w:type="pct"/>
            <w:tcBorders>
              <w:top w:val="outset" w:color="auto" w:sz="6" w:space="0"/>
              <w:left w:val="outset" w:color="auto" w:sz="6" w:space="0"/>
              <w:bottom w:val="outset" w:color="auto" w:sz="6" w:space="0"/>
              <w:right w:val="outset" w:color="auto" w:sz="6" w:space="0"/>
            </w:tcBorders>
            <w:vAlign w:val="center"/>
          </w:tcPr>
          <w:p w14:paraId="56EEBEC1">
            <w:pPr>
              <w:jc w:val="center"/>
              <w:rPr>
                <w:rFonts w:cs="Times New Roman"/>
              </w:rPr>
            </w:pPr>
            <w:r>
              <w:rPr>
                <w:rFonts w:cs="Times New Roman"/>
              </w:rPr>
              <w:t>七、29</w:t>
            </w:r>
          </w:p>
        </w:tc>
        <w:tc>
          <w:tcPr>
            <w:tcW w:w="1127" w:type="pct"/>
            <w:tcBorders>
              <w:top w:val="outset" w:color="auto" w:sz="6" w:space="0"/>
              <w:left w:val="outset" w:color="auto" w:sz="6" w:space="0"/>
              <w:bottom w:val="outset" w:color="auto" w:sz="6" w:space="0"/>
              <w:right w:val="outset" w:color="auto" w:sz="6" w:space="0"/>
            </w:tcBorders>
            <w:vAlign w:val="bottom"/>
          </w:tcPr>
          <w:p w14:paraId="6454342F">
            <w:pPr>
              <w:jc w:val="right"/>
              <w:textAlignment w:val="bottom"/>
              <w:rPr>
                <w:rFonts w:cs="Times New Roman"/>
              </w:rPr>
            </w:pPr>
            <w:r>
              <w:rPr>
                <w:rFonts w:eastAsia="Arial Narrow" w:cs="Times New Roman"/>
                <w:color w:val="000000"/>
                <w:lang w:bidi="ar"/>
              </w:rPr>
              <w:t>9,322,243.01</w:t>
            </w:r>
          </w:p>
        </w:tc>
        <w:tc>
          <w:tcPr>
            <w:tcW w:w="1140" w:type="pct"/>
            <w:tcBorders>
              <w:top w:val="outset" w:color="auto" w:sz="6" w:space="0"/>
              <w:left w:val="outset" w:color="auto" w:sz="6" w:space="0"/>
              <w:bottom w:val="outset" w:color="auto" w:sz="6" w:space="0"/>
              <w:right w:val="outset" w:color="auto" w:sz="6" w:space="0"/>
            </w:tcBorders>
            <w:vAlign w:val="bottom"/>
          </w:tcPr>
          <w:p w14:paraId="33492A8F">
            <w:pPr>
              <w:jc w:val="right"/>
              <w:textAlignment w:val="bottom"/>
              <w:rPr>
                <w:rFonts w:cs="Times New Roman"/>
              </w:rPr>
            </w:pPr>
            <w:r>
              <w:rPr>
                <w:rFonts w:eastAsia="Arial Narrow" w:cs="Times New Roman"/>
                <w:color w:val="000000"/>
                <w:lang w:bidi="ar"/>
              </w:rPr>
              <w:t>9,428,704.86</w:t>
            </w:r>
          </w:p>
        </w:tc>
      </w:tr>
      <w:tr w14:paraId="39FB3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75434A0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其他非流动负债</w:t>
            </w:r>
          </w:p>
        </w:tc>
        <w:tc>
          <w:tcPr>
            <w:tcW w:w="484" w:type="pct"/>
            <w:tcBorders>
              <w:top w:val="outset" w:color="auto" w:sz="6" w:space="0"/>
              <w:left w:val="outset" w:color="auto" w:sz="6" w:space="0"/>
              <w:bottom w:val="outset" w:color="auto" w:sz="6" w:space="0"/>
              <w:right w:val="outset" w:color="auto" w:sz="6" w:space="0"/>
            </w:tcBorders>
            <w:vAlign w:val="center"/>
          </w:tcPr>
          <w:p w14:paraId="3D0DDF88">
            <w:pPr>
              <w:jc w:val="center"/>
              <w:rPr>
                <w:rFonts w:cs="Times New Roman"/>
              </w:rPr>
            </w:pPr>
            <w:r>
              <w:rPr>
                <w:rFonts w:cs="Times New Roman"/>
              </w:rPr>
              <w:t>七、52</w:t>
            </w:r>
          </w:p>
        </w:tc>
        <w:tc>
          <w:tcPr>
            <w:tcW w:w="1127" w:type="pct"/>
            <w:tcBorders>
              <w:top w:val="outset" w:color="auto" w:sz="6" w:space="0"/>
              <w:left w:val="outset" w:color="auto" w:sz="6" w:space="0"/>
              <w:bottom w:val="outset" w:color="auto" w:sz="6" w:space="0"/>
              <w:right w:val="outset" w:color="auto" w:sz="6" w:space="0"/>
            </w:tcBorders>
            <w:vAlign w:val="bottom"/>
          </w:tcPr>
          <w:p w14:paraId="5DA2D176">
            <w:pPr>
              <w:jc w:val="right"/>
              <w:rPr>
                <w:rFonts w:cs="Times New Roman"/>
              </w:rPr>
            </w:pPr>
          </w:p>
        </w:tc>
        <w:tc>
          <w:tcPr>
            <w:tcW w:w="1140" w:type="pct"/>
            <w:tcBorders>
              <w:top w:val="outset" w:color="auto" w:sz="6" w:space="0"/>
              <w:left w:val="outset" w:color="auto" w:sz="6" w:space="0"/>
              <w:bottom w:val="outset" w:color="auto" w:sz="6" w:space="0"/>
              <w:right w:val="outset" w:color="auto" w:sz="6" w:space="0"/>
            </w:tcBorders>
            <w:vAlign w:val="bottom"/>
          </w:tcPr>
          <w:p w14:paraId="1BD835F5">
            <w:pPr>
              <w:jc w:val="right"/>
              <w:textAlignment w:val="bottom"/>
              <w:rPr>
                <w:rFonts w:cs="Times New Roman"/>
              </w:rPr>
            </w:pPr>
            <w:r>
              <w:rPr>
                <w:rFonts w:eastAsia="Arial Narrow" w:cs="Times New Roman"/>
                <w:color w:val="000000"/>
                <w:lang w:bidi="ar"/>
              </w:rPr>
              <w:t>2,880,000.00</w:t>
            </w:r>
          </w:p>
        </w:tc>
      </w:tr>
      <w:tr w14:paraId="58C32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A544B84">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非流动负债合计</w:t>
            </w:r>
          </w:p>
        </w:tc>
        <w:tc>
          <w:tcPr>
            <w:tcW w:w="484" w:type="pct"/>
            <w:tcBorders>
              <w:top w:val="outset" w:color="auto" w:sz="6" w:space="0"/>
              <w:left w:val="outset" w:color="auto" w:sz="6" w:space="0"/>
              <w:bottom w:val="outset" w:color="auto" w:sz="6" w:space="0"/>
              <w:right w:val="outset" w:color="auto" w:sz="6" w:space="0"/>
            </w:tcBorders>
            <w:vAlign w:val="center"/>
          </w:tcPr>
          <w:p w14:paraId="71BEAE69">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1361CA1C">
            <w:pPr>
              <w:jc w:val="right"/>
              <w:textAlignment w:val="bottom"/>
              <w:rPr>
                <w:rFonts w:cs="Times New Roman"/>
              </w:rPr>
            </w:pPr>
            <w:r>
              <w:rPr>
                <w:rFonts w:eastAsia="Arial Narrow" w:cs="Times New Roman"/>
                <w:color w:val="000000"/>
                <w:lang w:bidi="ar"/>
              </w:rPr>
              <w:t>3,184,474,683.29</w:t>
            </w:r>
          </w:p>
        </w:tc>
        <w:tc>
          <w:tcPr>
            <w:tcW w:w="1140" w:type="pct"/>
            <w:tcBorders>
              <w:top w:val="outset" w:color="auto" w:sz="6" w:space="0"/>
              <w:left w:val="outset" w:color="auto" w:sz="6" w:space="0"/>
              <w:bottom w:val="outset" w:color="auto" w:sz="6" w:space="0"/>
              <w:right w:val="outset" w:color="auto" w:sz="6" w:space="0"/>
            </w:tcBorders>
            <w:vAlign w:val="bottom"/>
          </w:tcPr>
          <w:p w14:paraId="391F2FC9">
            <w:pPr>
              <w:jc w:val="right"/>
              <w:textAlignment w:val="bottom"/>
              <w:rPr>
                <w:rFonts w:cs="Times New Roman"/>
              </w:rPr>
            </w:pPr>
            <w:r>
              <w:rPr>
                <w:rFonts w:eastAsia="Arial Narrow" w:cs="Times New Roman"/>
                <w:color w:val="000000"/>
                <w:lang w:bidi="ar"/>
              </w:rPr>
              <w:t>1,679,978,113.64</w:t>
            </w:r>
          </w:p>
        </w:tc>
      </w:tr>
      <w:tr w14:paraId="19D51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4C3BA56A">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负债合计</w:t>
            </w:r>
          </w:p>
        </w:tc>
        <w:tc>
          <w:tcPr>
            <w:tcW w:w="484" w:type="pct"/>
            <w:tcBorders>
              <w:top w:val="outset" w:color="auto" w:sz="6" w:space="0"/>
              <w:left w:val="outset" w:color="auto" w:sz="6" w:space="0"/>
              <w:bottom w:val="outset" w:color="auto" w:sz="6" w:space="0"/>
              <w:right w:val="outset" w:color="auto" w:sz="6" w:space="0"/>
            </w:tcBorders>
            <w:vAlign w:val="center"/>
          </w:tcPr>
          <w:p w14:paraId="16545911">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5F705050">
            <w:pPr>
              <w:jc w:val="right"/>
              <w:textAlignment w:val="bottom"/>
              <w:rPr>
                <w:rFonts w:cs="Times New Roman"/>
              </w:rPr>
            </w:pPr>
            <w:r>
              <w:rPr>
                <w:rFonts w:eastAsia="Arial Narrow" w:cs="Times New Roman"/>
                <w:color w:val="000000"/>
                <w:lang w:bidi="ar"/>
              </w:rPr>
              <w:t>9,269,154,089.60</w:t>
            </w:r>
          </w:p>
        </w:tc>
        <w:tc>
          <w:tcPr>
            <w:tcW w:w="1140" w:type="pct"/>
            <w:tcBorders>
              <w:top w:val="outset" w:color="auto" w:sz="6" w:space="0"/>
              <w:left w:val="outset" w:color="auto" w:sz="6" w:space="0"/>
              <w:bottom w:val="outset" w:color="auto" w:sz="6" w:space="0"/>
              <w:right w:val="outset" w:color="auto" w:sz="6" w:space="0"/>
            </w:tcBorders>
            <w:vAlign w:val="bottom"/>
          </w:tcPr>
          <w:p w14:paraId="54497EDE">
            <w:pPr>
              <w:jc w:val="right"/>
              <w:textAlignment w:val="bottom"/>
              <w:rPr>
                <w:rFonts w:cs="Times New Roman"/>
              </w:rPr>
            </w:pPr>
            <w:r>
              <w:rPr>
                <w:rFonts w:eastAsia="Arial Narrow" w:cs="Times New Roman"/>
                <w:color w:val="000000"/>
                <w:lang w:bidi="ar"/>
              </w:rPr>
              <w:t>8,657,917,080.35</w:t>
            </w:r>
          </w:p>
        </w:tc>
      </w:tr>
      <w:tr w14:paraId="5CC43D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4fe68479676b4c8c840de2211f0c67b8"/>
            <w:id w:val="147452215"/>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7DBD268F">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所有者权益（或股东权益）：</w:t>
                </w:r>
              </w:p>
            </w:tc>
          </w:sdtContent>
        </w:sdt>
      </w:tr>
      <w:tr w14:paraId="558CA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B990D7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实收资本（或股本）</w:t>
            </w:r>
          </w:p>
        </w:tc>
        <w:tc>
          <w:tcPr>
            <w:tcW w:w="484" w:type="pct"/>
            <w:tcBorders>
              <w:top w:val="outset" w:color="auto" w:sz="6" w:space="0"/>
              <w:left w:val="outset" w:color="auto" w:sz="6" w:space="0"/>
              <w:bottom w:val="outset" w:color="auto" w:sz="6" w:space="0"/>
              <w:right w:val="outset" w:color="auto" w:sz="6" w:space="0"/>
            </w:tcBorders>
            <w:vAlign w:val="center"/>
          </w:tcPr>
          <w:p w14:paraId="447EF8D7">
            <w:pPr>
              <w:jc w:val="center"/>
              <w:rPr>
                <w:rFonts w:cs="Times New Roman"/>
              </w:rPr>
            </w:pPr>
            <w:r>
              <w:rPr>
                <w:rFonts w:cs="Times New Roman"/>
              </w:rPr>
              <w:t>七、53</w:t>
            </w:r>
          </w:p>
        </w:tc>
        <w:tc>
          <w:tcPr>
            <w:tcW w:w="1127" w:type="pct"/>
            <w:tcBorders>
              <w:top w:val="outset" w:color="auto" w:sz="6" w:space="0"/>
              <w:left w:val="outset" w:color="auto" w:sz="6" w:space="0"/>
              <w:bottom w:val="outset" w:color="auto" w:sz="6" w:space="0"/>
              <w:right w:val="outset" w:color="auto" w:sz="6" w:space="0"/>
            </w:tcBorders>
            <w:vAlign w:val="bottom"/>
          </w:tcPr>
          <w:p w14:paraId="28AD3B1C">
            <w:pPr>
              <w:jc w:val="right"/>
              <w:textAlignment w:val="bottom"/>
              <w:rPr>
                <w:rFonts w:cs="Times New Roman"/>
              </w:rPr>
            </w:pPr>
            <w:r>
              <w:rPr>
                <w:rFonts w:eastAsia="Arial Narrow" w:cs="Times New Roman"/>
                <w:color w:val="000000"/>
                <w:lang w:bidi="ar"/>
              </w:rPr>
              <w:t>4,391,629,404.00</w:t>
            </w:r>
          </w:p>
        </w:tc>
        <w:tc>
          <w:tcPr>
            <w:tcW w:w="1140" w:type="pct"/>
            <w:tcBorders>
              <w:top w:val="outset" w:color="auto" w:sz="6" w:space="0"/>
              <w:left w:val="outset" w:color="auto" w:sz="6" w:space="0"/>
              <w:bottom w:val="outset" w:color="auto" w:sz="6" w:space="0"/>
              <w:right w:val="outset" w:color="auto" w:sz="6" w:space="0"/>
            </w:tcBorders>
            <w:vAlign w:val="bottom"/>
          </w:tcPr>
          <w:p w14:paraId="1BDD5840">
            <w:pPr>
              <w:jc w:val="right"/>
              <w:textAlignment w:val="bottom"/>
              <w:rPr>
                <w:rFonts w:cs="Times New Roman"/>
              </w:rPr>
            </w:pPr>
            <w:r>
              <w:rPr>
                <w:rFonts w:eastAsia="Arial Narrow" w:cs="Times New Roman"/>
                <w:color w:val="000000"/>
                <w:lang w:bidi="ar"/>
              </w:rPr>
              <w:t>4,391,629,404.00</w:t>
            </w:r>
          </w:p>
        </w:tc>
      </w:tr>
      <w:tr w14:paraId="139F2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AD2D4F5">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资本公积</w:t>
            </w:r>
          </w:p>
        </w:tc>
        <w:tc>
          <w:tcPr>
            <w:tcW w:w="484" w:type="pct"/>
            <w:tcBorders>
              <w:top w:val="outset" w:color="auto" w:sz="6" w:space="0"/>
              <w:left w:val="outset" w:color="auto" w:sz="6" w:space="0"/>
              <w:bottom w:val="outset" w:color="auto" w:sz="6" w:space="0"/>
              <w:right w:val="outset" w:color="auto" w:sz="6" w:space="0"/>
            </w:tcBorders>
            <w:vAlign w:val="center"/>
          </w:tcPr>
          <w:p w14:paraId="72996323">
            <w:pPr>
              <w:jc w:val="center"/>
              <w:rPr>
                <w:rFonts w:cs="Times New Roman"/>
              </w:rPr>
            </w:pPr>
            <w:r>
              <w:rPr>
                <w:rFonts w:cs="Times New Roman"/>
              </w:rPr>
              <w:t>七、55</w:t>
            </w:r>
          </w:p>
        </w:tc>
        <w:tc>
          <w:tcPr>
            <w:tcW w:w="1127" w:type="pct"/>
            <w:tcBorders>
              <w:top w:val="outset" w:color="auto" w:sz="6" w:space="0"/>
              <w:left w:val="outset" w:color="auto" w:sz="6" w:space="0"/>
              <w:bottom w:val="outset" w:color="auto" w:sz="6" w:space="0"/>
              <w:right w:val="outset" w:color="auto" w:sz="6" w:space="0"/>
            </w:tcBorders>
            <w:vAlign w:val="bottom"/>
          </w:tcPr>
          <w:p w14:paraId="79FDBA10">
            <w:pPr>
              <w:jc w:val="right"/>
              <w:textAlignment w:val="bottom"/>
              <w:rPr>
                <w:rFonts w:cs="Times New Roman"/>
              </w:rPr>
            </w:pPr>
            <w:r>
              <w:rPr>
                <w:rFonts w:eastAsia="Arial Narrow" w:cs="Times New Roman"/>
                <w:color w:val="000000"/>
                <w:lang w:bidi="ar"/>
              </w:rPr>
              <w:t>8,067,766,137.08</w:t>
            </w:r>
          </w:p>
        </w:tc>
        <w:tc>
          <w:tcPr>
            <w:tcW w:w="1140" w:type="pct"/>
            <w:tcBorders>
              <w:top w:val="outset" w:color="auto" w:sz="6" w:space="0"/>
              <w:left w:val="outset" w:color="auto" w:sz="6" w:space="0"/>
              <w:bottom w:val="outset" w:color="auto" w:sz="6" w:space="0"/>
              <w:right w:val="outset" w:color="auto" w:sz="6" w:space="0"/>
            </w:tcBorders>
            <w:vAlign w:val="bottom"/>
          </w:tcPr>
          <w:p w14:paraId="2FB7E985">
            <w:pPr>
              <w:jc w:val="right"/>
              <w:textAlignment w:val="bottom"/>
              <w:rPr>
                <w:rFonts w:cs="Times New Roman"/>
              </w:rPr>
            </w:pPr>
            <w:r>
              <w:rPr>
                <w:rFonts w:eastAsia="Arial Narrow" w:cs="Times New Roman"/>
                <w:color w:val="000000"/>
                <w:lang w:bidi="ar"/>
              </w:rPr>
              <w:t>8,067,766,137.08</w:t>
            </w:r>
          </w:p>
        </w:tc>
      </w:tr>
      <w:tr w14:paraId="422118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A7F896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减：库存股</w:t>
            </w:r>
          </w:p>
        </w:tc>
        <w:tc>
          <w:tcPr>
            <w:tcW w:w="484" w:type="pct"/>
            <w:tcBorders>
              <w:top w:val="outset" w:color="auto" w:sz="6" w:space="0"/>
              <w:left w:val="outset" w:color="auto" w:sz="6" w:space="0"/>
              <w:bottom w:val="outset" w:color="auto" w:sz="6" w:space="0"/>
              <w:right w:val="outset" w:color="auto" w:sz="6" w:space="0"/>
            </w:tcBorders>
            <w:vAlign w:val="center"/>
          </w:tcPr>
          <w:p w14:paraId="76F83156">
            <w:pPr>
              <w:jc w:val="center"/>
              <w:rPr>
                <w:rFonts w:cs="Times New Roman"/>
              </w:rPr>
            </w:pPr>
            <w:r>
              <w:rPr>
                <w:rFonts w:cs="Times New Roman"/>
              </w:rPr>
              <w:t>七、56</w:t>
            </w:r>
          </w:p>
        </w:tc>
        <w:tc>
          <w:tcPr>
            <w:tcW w:w="1127" w:type="pct"/>
            <w:tcBorders>
              <w:top w:val="outset" w:color="auto" w:sz="6" w:space="0"/>
              <w:left w:val="outset" w:color="auto" w:sz="6" w:space="0"/>
              <w:bottom w:val="outset" w:color="auto" w:sz="6" w:space="0"/>
              <w:right w:val="outset" w:color="auto" w:sz="6" w:space="0"/>
            </w:tcBorders>
            <w:vAlign w:val="bottom"/>
          </w:tcPr>
          <w:p w14:paraId="13DF71CA">
            <w:pPr>
              <w:jc w:val="right"/>
              <w:textAlignment w:val="bottom"/>
              <w:rPr>
                <w:rFonts w:cs="Times New Roman"/>
              </w:rPr>
            </w:pPr>
            <w:r>
              <w:rPr>
                <w:rFonts w:eastAsia="Arial Narrow" w:cs="Times New Roman"/>
                <w:color w:val="000000"/>
                <w:lang w:bidi="ar"/>
              </w:rPr>
              <w:t>39,938,040.72</w:t>
            </w:r>
          </w:p>
        </w:tc>
        <w:tc>
          <w:tcPr>
            <w:tcW w:w="1140" w:type="pct"/>
            <w:tcBorders>
              <w:top w:val="outset" w:color="auto" w:sz="6" w:space="0"/>
              <w:left w:val="outset" w:color="auto" w:sz="6" w:space="0"/>
              <w:bottom w:val="outset" w:color="auto" w:sz="6" w:space="0"/>
              <w:right w:val="outset" w:color="auto" w:sz="6" w:space="0"/>
            </w:tcBorders>
            <w:vAlign w:val="bottom"/>
          </w:tcPr>
          <w:p w14:paraId="16843AEA">
            <w:pPr>
              <w:jc w:val="right"/>
              <w:rPr>
                <w:rFonts w:cs="Times New Roman"/>
              </w:rPr>
            </w:pPr>
          </w:p>
        </w:tc>
      </w:tr>
      <w:tr w14:paraId="1DBC3F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2F60756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其他综合收益</w:t>
            </w:r>
          </w:p>
        </w:tc>
        <w:tc>
          <w:tcPr>
            <w:tcW w:w="484" w:type="pct"/>
            <w:tcBorders>
              <w:top w:val="outset" w:color="auto" w:sz="6" w:space="0"/>
              <w:left w:val="outset" w:color="auto" w:sz="6" w:space="0"/>
              <w:bottom w:val="outset" w:color="auto" w:sz="6" w:space="0"/>
              <w:right w:val="outset" w:color="auto" w:sz="6" w:space="0"/>
            </w:tcBorders>
            <w:vAlign w:val="center"/>
          </w:tcPr>
          <w:p w14:paraId="44EEDFE9">
            <w:pPr>
              <w:jc w:val="center"/>
              <w:rPr>
                <w:rFonts w:cs="Times New Roman"/>
              </w:rPr>
            </w:pPr>
            <w:r>
              <w:rPr>
                <w:rFonts w:cs="Times New Roman"/>
              </w:rPr>
              <w:t>七、57</w:t>
            </w:r>
          </w:p>
        </w:tc>
        <w:tc>
          <w:tcPr>
            <w:tcW w:w="1127" w:type="pct"/>
            <w:tcBorders>
              <w:top w:val="outset" w:color="auto" w:sz="6" w:space="0"/>
              <w:left w:val="outset" w:color="auto" w:sz="6" w:space="0"/>
              <w:bottom w:val="outset" w:color="auto" w:sz="6" w:space="0"/>
              <w:right w:val="outset" w:color="auto" w:sz="6" w:space="0"/>
            </w:tcBorders>
            <w:vAlign w:val="bottom"/>
          </w:tcPr>
          <w:p w14:paraId="7ED8C849">
            <w:pPr>
              <w:jc w:val="right"/>
              <w:textAlignment w:val="bottom"/>
              <w:rPr>
                <w:rFonts w:cs="Times New Roman"/>
              </w:rPr>
            </w:pPr>
            <w:r>
              <w:rPr>
                <w:rFonts w:eastAsia="Arial Narrow" w:cs="Times New Roman"/>
                <w:color w:val="000000"/>
                <w:lang w:bidi="ar"/>
              </w:rPr>
              <w:t>-319,263,338.48</w:t>
            </w:r>
          </w:p>
        </w:tc>
        <w:tc>
          <w:tcPr>
            <w:tcW w:w="1140" w:type="pct"/>
            <w:tcBorders>
              <w:top w:val="outset" w:color="auto" w:sz="6" w:space="0"/>
              <w:left w:val="outset" w:color="auto" w:sz="6" w:space="0"/>
              <w:bottom w:val="outset" w:color="auto" w:sz="6" w:space="0"/>
              <w:right w:val="outset" w:color="auto" w:sz="6" w:space="0"/>
            </w:tcBorders>
            <w:vAlign w:val="bottom"/>
          </w:tcPr>
          <w:p w14:paraId="3AB1C0C7">
            <w:pPr>
              <w:jc w:val="right"/>
              <w:textAlignment w:val="bottom"/>
              <w:rPr>
                <w:rFonts w:cs="Times New Roman"/>
              </w:rPr>
            </w:pPr>
            <w:r>
              <w:rPr>
                <w:rFonts w:eastAsia="Arial Narrow" w:cs="Times New Roman"/>
                <w:color w:val="000000"/>
                <w:lang w:bidi="ar"/>
              </w:rPr>
              <w:t>-318,634,689.43</w:t>
            </w:r>
          </w:p>
        </w:tc>
      </w:tr>
      <w:tr w14:paraId="27D9EB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12DB1B4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盈余公积</w:t>
            </w:r>
          </w:p>
        </w:tc>
        <w:tc>
          <w:tcPr>
            <w:tcW w:w="484" w:type="pct"/>
            <w:tcBorders>
              <w:top w:val="outset" w:color="auto" w:sz="6" w:space="0"/>
              <w:left w:val="outset" w:color="auto" w:sz="6" w:space="0"/>
              <w:bottom w:val="outset" w:color="auto" w:sz="6" w:space="0"/>
              <w:right w:val="outset" w:color="auto" w:sz="6" w:space="0"/>
            </w:tcBorders>
            <w:vAlign w:val="center"/>
          </w:tcPr>
          <w:p w14:paraId="0B174648">
            <w:pPr>
              <w:jc w:val="center"/>
              <w:rPr>
                <w:rFonts w:cs="Times New Roman"/>
              </w:rPr>
            </w:pPr>
            <w:r>
              <w:rPr>
                <w:rFonts w:cs="Times New Roman"/>
              </w:rPr>
              <w:t>七、59</w:t>
            </w:r>
          </w:p>
        </w:tc>
        <w:tc>
          <w:tcPr>
            <w:tcW w:w="1127" w:type="pct"/>
            <w:tcBorders>
              <w:top w:val="outset" w:color="auto" w:sz="6" w:space="0"/>
              <w:left w:val="outset" w:color="auto" w:sz="6" w:space="0"/>
              <w:bottom w:val="outset" w:color="auto" w:sz="6" w:space="0"/>
              <w:right w:val="outset" w:color="auto" w:sz="6" w:space="0"/>
            </w:tcBorders>
            <w:vAlign w:val="bottom"/>
          </w:tcPr>
          <w:p w14:paraId="31FCB6ED">
            <w:pPr>
              <w:jc w:val="right"/>
              <w:textAlignment w:val="bottom"/>
              <w:rPr>
                <w:rFonts w:cs="Times New Roman"/>
              </w:rPr>
            </w:pPr>
            <w:r>
              <w:rPr>
                <w:rFonts w:eastAsia="Arial Narrow" w:cs="Times New Roman"/>
                <w:color w:val="000000"/>
                <w:lang w:bidi="ar"/>
              </w:rPr>
              <w:t>369,677,423.82</w:t>
            </w:r>
          </w:p>
        </w:tc>
        <w:tc>
          <w:tcPr>
            <w:tcW w:w="1140" w:type="pct"/>
            <w:tcBorders>
              <w:top w:val="outset" w:color="auto" w:sz="6" w:space="0"/>
              <w:left w:val="outset" w:color="auto" w:sz="6" w:space="0"/>
              <w:bottom w:val="outset" w:color="auto" w:sz="6" w:space="0"/>
              <w:right w:val="outset" w:color="auto" w:sz="6" w:space="0"/>
            </w:tcBorders>
            <w:vAlign w:val="bottom"/>
          </w:tcPr>
          <w:p w14:paraId="5C453627">
            <w:pPr>
              <w:jc w:val="right"/>
              <w:textAlignment w:val="bottom"/>
              <w:rPr>
                <w:rFonts w:cs="Times New Roman"/>
              </w:rPr>
            </w:pPr>
            <w:r>
              <w:rPr>
                <w:rFonts w:eastAsia="Arial Narrow" w:cs="Times New Roman"/>
                <w:color w:val="000000"/>
                <w:lang w:bidi="ar"/>
              </w:rPr>
              <w:t>369,677,423.82</w:t>
            </w:r>
          </w:p>
        </w:tc>
      </w:tr>
      <w:tr w14:paraId="454246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7315714">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未分配利润</w:t>
            </w:r>
          </w:p>
        </w:tc>
        <w:tc>
          <w:tcPr>
            <w:tcW w:w="484" w:type="pct"/>
            <w:tcBorders>
              <w:top w:val="outset" w:color="auto" w:sz="6" w:space="0"/>
              <w:left w:val="outset" w:color="auto" w:sz="6" w:space="0"/>
              <w:bottom w:val="outset" w:color="auto" w:sz="6" w:space="0"/>
              <w:right w:val="outset" w:color="auto" w:sz="6" w:space="0"/>
            </w:tcBorders>
            <w:vAlign w:val="center"/>
          </w:tcPr>
          <w:p w14:paraId="1C603492">
            <w:pPr>
              <w:jc w:val="center"/>
              <w:rPr>
                <w:rFonts w:cs="Times New Roman"/>
              </w:rPr>
            </w:pPr>
            <w:r>
              <w:rPr>
                <w:rFonts w:cs="Times New Roman"/>
              </w:rPr>
              <w:t>七、60</w:t>
            </w:r>
          </w:p>
        </w:tc>
        <w:tc>
          <w:tcPr>
            <w:tcW w:w="1127" w:type="pct"/>
            <w:tcBorders>
              <w:top w:val="outset" w:color="auto" w:sz="6" w:space="0"/>
              <w:left w:val="outset" w:color="auto" w:sz="6" w:space="0"/>
              <w:bottom w:val="outset" w:color="auto" w:sz="6" w:space="0"/>
              <w:right w:val="outset" w:color="auto" w:sz="6" w:space="0"/>
            </w:tcBorders>
            <w:vAlign w:val="bottom"/>
          </w:tcPr>
          <w:p w14:paraId="75AA6253">
            <w:pPr>
              <w:jc w:val="right"/>
              <w:textAlignment w:val="bottom"/>
              <w:rPr>
                <w:rFonts w:cs="Times New Roman"/>
              </w:rPr>
            </w:pPr>
            <w:r>
              <w:rPr>
                <w:rFonts w:eastAsia="Arial Narrow" w:cs="Times New Roman"/>
                <w:color w:val="000000"/>
                <w:lang w:bidi="ar"/>
              </w:rPr>
              <w:t>24,218,486.35</w:t>
            </w:r>
          </w:p>
        </w:tc>
        <w:tc>
          <w:tcPr>
            <w:tcW w:w="1140" w:type="pct"/>
            <w:tcBorders>
              <w:top w:val="outset" w:color="auto" w:sz="6" w:space="0"/>
              <w:left w:val="outset" w:color="auto" w:sz="6" w:space="0"/>
              <w:bottom w:val="outset" w:color="auto" w:sz="6" w:space="0"/>
              <w:right w:val="outset" w:color="auto" w:sz="6" w:space="0"/>
            </w:tcBorders>
            <w:vAlign w:val="bottom"/>
          </w:tcPr>
          <w:p w14:paraId="52EF9F7A">
            <w:pPr>
              <w:jc w:val="right"/>
              <w:textAlignment w:val="bottom"/>
              <w:rPr>
                <w:rFonts w:cs="Times New Roman"/>
              </w:rPr>
            </w:pPr>
            <w:r>
              <w:rPr>
                <w:rFonts w:eastAsia="Arial Narrow" w:cs="Times New Roman"/>
                <w:color w:val="000000"/>
                <w:lang w:bidi="ar"/>
              </w:rPr>
              <w:t>103,250,332.59</w:t>
            </w:r>
          </w:p>
        </w:tc>
      </w:tr>
      <w:tr w14:paraId="370F9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37CABB0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归属于母公司所有者权益（或股东权益）合计</w:t>
            </w:r>
          </w:p>
        </w:tc>
        <w:tc>
          <w:tcPr>
            <w:tcW w:w="484" w:type="pct"/>
            <w:tcBorders>
              <w:top w:val="outset" w:color="auto" w:sz="6" w:space="0"/>
              <w:left w:val="outset" w:color="auto" w:sz="6" w:space="0"/>
              <w:bottom w:val="outset" w:color="auto" w:sz="6" w:space="0"/>
              <w:right w:val="outset" w:color="auto" w:sz="6" w:space="0"/>
            </w:tcBorders>
            <w:vAlign w:val="center"/>
          </w:tcPr>
          <w:p w14:paraId="7AE4CA4C">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center"/>
          </w:tcPr>
          <w:p w14:paraId="357F4F83">
            <w:pPr>
              <w:jc w:val="center"/>
              <w:textAlignment w:val="bottom"/>
              <w:rPr>
                <w:rFonts w:cs="Times New Roman"/>
              </w:rPr>
            </w:pPr>
            <w:r>
              <w:rPr>
                <w:rFonts w:eastAsia="Arial Narrow" w:cs="Times New Roman"/>
                <w:color w:val="000000"/>
                <w:lang w:bidi="ar"/>
              </w:rPr>
              <w:t>12,494,090,072.05</w:t>
            </w:r>
          </w:p>
        </w:tc>
        <w:tc>
          <w:tcPr>
            <w:tcW w:w="1140" w:type="pct"/>
            <w:tcBorders>
              <w:top w:val="outset" w:color="auto" w:sz="6" w:space="0"/>
              <w:left w:val="outset" w:color="auto" w:sz="6" w:space="0"/>
              <w:bottom w:val="outset" w:color="auto" w:sz="6" w:space="0"/>
              <w:right w:val="outset" w:color="auto" w:sz="6" w:space="0"/>
            </w:tcBorders>
            <w:vAlign w:val="center"/>
          </w:tcPr>
          <w:p w14:paraId="41B0E7C8">
            <w:pPr>
              <w:jc w:val="center"/>
              <w:textAlignment w:val="bottom"/>
              <w:rPr>
                <w:rFonts w:cs="Times New Roman"/>
              </w:rPr>
            </w:pPr>
            <w:r>
              <w:rPr>
                <w:rFonts w:eastAsia="Arial Narrow" w:cs="Times New Roman"/>
                <w:color w:val="000000"/>
                <w:lang w:bidi="ar"/>
              </w:rPr>
              <w:t>12,613,688,608.06</w:t>
            </w:r>
          </w:p>
        </w:tc>
      </w:tr>
      <w:tr w14:paraId="405DF3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78BADF7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少数股东权益</w:t>
            </w:r>
          </w:p>
        </w:tc>
        <w:tc>
          <w:tcPr>
            <w:tcW w:w="484" w:type="pct"/>
            <w:tcBorders>
              <w:top w:val="outset" w:color="auto" w:sz="6" w:space="0"/>
              <w:left w:val="outset" w:color="auto" w:sz="6" w:space="0"/>
              <w:bottom w:val="outset" w:color="auto" w:sz="6" w:space="0"/>
              <w:right w:val="outset" w:color="auto" w:sz="6" w:space="0"/>
            </w:tcBorders>
            <w:vAlign w:val="center"/>
          </w:tcPr>
          <w:p w14:paraId="5C6B90DD">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5B9F58F7">
            <w:pPr>
              <w:jc w:val="right"/>
              <w:textAlignment w:val="bottom"/>
              <w:rPr>
                <w:rFonts w:cs="Times New Roman"/>
              </w:rPr>
            </w:pPr>
            <w:r>
              <w:rPr>
                <w:rFonts w:eastAsia="Arial Narrow" w:cs="Times New Roman"/>
                <w:color w:val="000000"/>
                <w:lang w:bidi="ar"/>
              </w:rPr>
              <w:t>-99,377,344.72</w:t>
            </w:r>
          </w:p>
        </w:tc>
        <w:tc>
          <w:tcPr>
            <w:tcW w:w="1140" w:type="pct"/>
            <w:tcBorders>
              <w:top w:val="outset" w:color="auto" w:sz="6" w:space="0"/>
              <w:left w:val="outset" w:color="auto" w:sz="6" w:space="0"/>
              <w:bottom w:val="outset" w:color="auto" w:sz="6" w:space="0"/>
              <w:right w:val="outset" w:color="auto" w:sz="6" w:space="0"/>
            </w:tcBorders>
            <w:vAlign w:val="bottom"/>
          </w:tcPr>
          <w:p w14:paraId="6A51FC62">
            <w:pPr>
              <w:jc w:val="right"/>
              <w:textAlignment w:val="bottom"/>
              <w:rPr>
                <w:rFonts w:cs="Times New Roman"/>
              </w:rPr>
            </w:pPr>
            <w:r>
              <w:rPr>
                <w:rFonts w:eastAsia="Arial Narrow" w:cs="Times New Roman"/>
                <w:color w:val="000000"/>
                <w:lang w:bidi="ar"/>
              </w:rPr>
              <w:t>-98,740,594.34</w:t>
            </w:r>
          </w:p>
        </w:tc>
      </w:tr>
      <w:tr w14:paraId="6607C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60F95E6B">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所有者权益（或股东权益）合计</w:t>
            </w:r>
          </w:p>
        </w:tc>
        <w:tc>
          <w:tcPr>
            <w:tcW w:w="484" w:type="pct"/>
            <w:tcBorders>
              <w:top w:val="outset" w:color="auto" w:sz="6" w:space="0"/>
              <w:left w:val="outset" w:color="auto" w:sz="6" w:space="0"/>
              <w:bottom w:val="outset" w:color="auto" w:sz="6" w:space="0"/>
              <w:right w:val="outset" w:color="auto" w:sz="6" w:space="0"/>
            </w:tcBorders>
            <w:vAlign w:val="center"/>
          </w:tcPr>
          <w:p w14:paraId="60F570C8">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31631339">
            <w:pPr>
              <w:jc w:val="right"/>
              <w:textAlignment w:val="bottom"/>
              <w:rPr>
                <w:rFonts w:cs="Times New Roman"/>
              </w:rPr>
            </w:pPr>
            <w:r>
              <w:rPr>
                <w:rFonts w:eastAsia="Arial Narrow" w:cs="Times New Roman"/>
                <w:color w:val="000000"/>
                <w:lang w:bidi="ar"/>
              </w:rPr>
              <w:t>12,394,712,727.33</w:t>
            </w:r>
          </w:p>
        </w:tc>
        <w:tc>
          <w:tcPr>
            <w:tcW w:w="1140" w:type="pct"/>
            <w:tcBorders>
              <w:top w:val="outset" w:color="auto" w:sz="6" w:space="0"/>
              <w:left w:val="outset" w:color="auto" w:sz="6" w:space="0"/>
              <w:bottom w:val="outset" w:color="auto" w:sz="6" w:space="0"/>
              <w:right w:val="outset" w:color="auto" w:sz="6" w:space="0"/>
            </w:tcBorders>
            <w:vAlign w:val="bottom"/>
          </w:tcPr>
          <w:p w14:paraId="0C676BEC">
            <w:pPr>
              <w:jc w:val="right"/>
              <w:textAlignment w:val="bottom"/>
              <w:rPr>
                <w:rFonts w:cs="Times New Roman"/>
              </w:rPr>
            </w:pPr>
            <w:r>
              <w:rPr>
                <w:rFonts w:eastAsia="Arial Narrow" w:cs="Times New Roman"/>
                <w:color w:val="000000"/>
                <w:lang w:bidi="ar"/>
              </w:rPr>
              <w:t>12,514,948,013.72</w:t>
            </w:r>
          </w:p>
        </w:tc>
      </w:tr>
      <w:tr w14:paraId="31165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49" w:type="pct"/>
            <w:tcBorders>
              <w:top w:val="outset" w:color="auto" w:sz="6" w:space="0"/>
              <w:left w:val="outset" w:color="auto" w:sz="6" w:space="0"/>
              <w:bottom w:val="outset" w:color="auto" w:sz="6" w:space="0"/>
              <w:right w:val="outset" w:color="auto" w:sz="6" w:space="0"/>
            </w:tcBorders>
            <w:vAlign w:val="center"/>
          </w:tcPr>
          <w:p w14:paraId="08A4D030">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负债和所有者权益（或股东权益）总计</w:t>
            </w:r>
          </w:p>
        </w:tc>
        <w:tc>
          <w:tcPr>
            <w:tcW w:w="484" w:type="pct"/>
            <w:tcBorders>
              <w:top w:val="outset" w:color="auto" w:sz="6" w:space="0"/>
              <w:left w:val="outset" w:color="auto" w:sz="6" w:space="0"/>
              <w:bottom w:val="outset" w:color="auto" w:sz="6" w:space="0"/>
              <w:right w:val="outset" w:color="auto" w:sz="6" w:space="0"/>
            </w:tcBorders>
            <w:vAlign w:val="center"/>
          </w:tcPr>
          <w:p w14:paraId="72282835">
            <w:pPr>
              <w:rPr>
                <w:rFonts w:cs="Times New Roman"/>
              </w:rPr>
            </w:pPr>
          </w:p>
        </w:tc>
        <w:tc>
          <w:tcPr>
            <w:tcW w:w="1127" w:type="pct"/>
            <w:tcBorders>
              <w:top w:val="outset" w:color="auto" w:sz="6" w:space="0"/>
              <w:left w:val="outset" w:color="auto" w:sz="6" w:space="0"/>
              <w:bottom w:val="outset" w:color="auto" w:sz="6" w:space="0"/>
              <w:right w:val="outset" w:color="auto" w:sz="6" w:space="0"/>
            </w:tcBorders>
            <w:vAlign w:val="bottom"/>
          </w:tcPr>
          <w:p w14:paraId="31BC589B">
            <w:pPr>
              <w:jc w:val="right"/>
              <w:textAlignment w:val="bottom"/>
              <w:rPr>
                <w:rFonts w:cs="Times New Roman"/>
              </w:rPr>
            </w:pPr>
            <w:r>
              <w:rPr>
                <w:rFonts w:eastAsia="Arial Narrow" w:cs="Times New Roman"/>
                <w:color w:val="000000"/>
                <w:lang w:bidi="ar"/>
              </w:rPr>
              <w:t>21,663,866,816.93</w:t>
            </w:r>
          </w:p>
        </w:tc>
        <w:tc>
          <w:tcPr>
            <w:tcW w:w="1140" w:type="pct"/>
            <w:tcBorders>
              <w:top w:val="outset" w:color="auto" w:sz="6" w:space="0"/>
              <w:left w:val="outset" w:color="auto" w:sz="6" w:space="0"/>
              <w:bottom w:val="outset" w:color="auto" w:sz="6" w:space="0"/>
              <w:right w:val="outset" w:color="auto" w:sz="6" w:space="0"/>
            </w:tcBorders>
            <w:vAlign w:val="bottom"/>
          </w:tcPr>
          <w:p w14:paraId="380AF1D0">
            <w:pPr>
              <w:jc w:val="right"/>
              <w:textAlignment w:val="bottom"/>
              <w:rPr>
                <w:rFonts w:cs="Times New Roman"/>
              </w:rPr>
            </w:pPr>
            <w:r>
              <w:rPr>
                <w:rFonts w:eastAsia="Arial Narrow" w:cs="Times New Roman"/>
                <w:color w:val="000000"/>
                <w:lang w:bidi="ar"/>
              </w:rPr>
              <w:t>21,172,865,094.07</w:t>
            </w:r>
          </w:p>
        </w:tc>
      </w:tr>
      <w:bookmarkEnd w:id="148"/>
    </w:tbl>
    <w:p w14:paraId="258623DA">
      <w:pPr>
        <w:ind w:right="-153" w:rightChars="-73"/>
        <w:rPr>
          <w:color w:val="000000" w:themeColor="text1"/>
          <w14:textFill>
            <w14:solidFill>
              <w14:schemeClr w14:val="tx1"/>
            </w14:solidFill>
          </w14:textFill>
        </w:rPr>
      </w:pPr>
    </w:p>
    <w:p w14:paraId="75F56CD2">
      <w:pPr>
        <w:ind w:right="-153" w:rightChars="-73"/>
        <w:rPr>
          <w:color w:val="000000" w:themeColor="text1"/>
          <w:u w:val="single"/>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82350876809b4479afe9f3c55db147dd"/>
          <w:id w:val="147462075"/>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9caf2fff268b41a7b3fe74fc4a3d6533"/>
          <w:id w:val="147458215"/>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8cacbe4a6fcc41699e67ce809516ec50"/>
          <w:id w:val="147462670"/>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6AE39FA3">
      <w:pPr>
        <w:snapToGrid w:val="0"/>
        <w:spacing w:line="240" w:lineRule="atLeast"/>
        <w:ind w:right="-1594" w:rightChars="-759"/>
        <w:rPr>
          <w:color w:val="000000" w:themeColor="text1"/>
          <w14:textFill>
            <w14:solidFill>
              <w14:schemeClr w14:val="tx1"/>
            </w14:solidFill>
          </w14:textFill>
        </w:rPr>
      </w:pPr>
    </w:p>
    <w:p w14:paraId="674513FA">
      <w:pPr>
        <w:pStyle w:val="4"/>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w:t>
      </w:r>
      <w:r>
        <w:rPr>
          <w:rFonts w:ascii="宋体" w:hAnsi="宋体"/>
          <w:color w:val="000000" w:themeColor="text1"/>
          <w14:textFill>
            <w14:solidFill>
              <w14:schemeClr w14:val="tx1"/>
            </w14:solidFill>
          </w14:textFill>
        </w:rPr>
        <w:t>资产负债表</w:t>
      </w:r>
    </w:p>
    <w:p w14:paraId="5BB98784">
      <w:pPr>
        <w:snapToGrid w:val="0"/>
        <w:spacing w:line="240" w:lineRule="atLeast"/>
        <w:jc w:val="center"/>
        <w:rPr>
          <w:b/>
          <w:color w:val="000000" w:themeColor="text1"/>
          <w14:textFill>
            <w14:solidFill>
              <w14:schemeClr w14:val="tx1"/>
            </w14:solidFill>
          </w14:textFill>
        </w:rPr>
      </w:pPr>
      <w:r>
        <w:rPr>
          <w:color w:val="000000" w:themeColor="text1"/>
          <w14:textFill>
            <w14:solidFill>
              <w14:schemeClr w14:val="tx1"/>
            </w14:solidFill>
          </w14:textFill>
        </w:rPr>
        <w:t>2025年6月30日</w:t>
      </w:r>
    </w:p>
    <w:p w14:paraId="54DA8B55">
      <w:pPr>
        <w:rPr>
          <w:color w:val="000000" w:themeColor="text1"/>
          <w14:textFill>
            <w14:solidFill>
              <w14:schemeClr w14:val="tx1"/>
            </w14:solidFill>
          </w14:textFill>
        </w:rPr>
      </w:pPr>
      <w:r>
        <w:rPr>
          <w:color w:val="000000" w:themeColor="text1"/>
          <w14:textFill>
            <w14:solidFill>
              <w14:schemeClr w14:val="tx1"/>
            </w14:solidFill>
          </w14:textFill>
        </w:rPr>
        <w:t>编制单位：</w:t>
      </w:r>
      <w:sdt>
        <w:sdtPr>
          <w:rPr>
            <w:color w:val="000000" w:themeColor="text1"/>
            <w14:textFill>
              <w14:solidFill>
                <w14:schemeClr w14:val="tx1"/>
              </w14:solidFill>
            </w14:textFill>
          </w:rPr>
          <w:alias w:val="公司法定中文名称"/>
          <w:tag w:val="_GBC_824a3e7402834e78aa66a9ee77d287bc"/>
          <w:id w:val="147473576"/>
          <w:dataBinding w:prefixMappings="xmlns:clcid-cgi='clcid-cgi'" w:xpath="/*/clcid-cgi:GongSiFaDingZhongWenMingCheng[not(@periodRef)]" w:storeItemID="{89EBAB94-44A0-46A2-B712-30D997D04A6D}"/>
          <w:text/>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际华集团股份有限公司</w:t>
          </w:r>
        </w:sdtContent>
      </w:sdt>
      <w:r>
        <w:rPr>
          <w:color w:val="000000" w:themeColor="text1"/>
          <w14:textFill>
            <w14:solidFill>
              <w14:schemeClr w14:val="tx1"/>
            </w14:solidFill>
          </w14:textFill>
        </w:rPr>
        <w:t>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资产负债表"/>
          <w:tag w:val="_GBC_7be010b1a07f4048a3805d40208ccda4"/>
          <w:id w:val="147474041"/>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资产负债表"/>
          <w:tag w:val="_GBC_ecd35f8ce6f84d6f8ad30e1e244c15ff"/>
          <w:id w:val="14746469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4992"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030"/>
        <w:gridCol w:w="1053"/>
        <w:gridCol w:w="1924"/>
        <w:gridCol w:w="2028"/>
      </w:tblGrid>
      <w:tr w14:paraId="7836B9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rPr>
              <w:rFonts w:cs="Times New Roman"/>
            </w:rPr>
            <w:tag w:val="_PLD_7b231a79acb54050b640bf23dd34ab8c"/>
            <w:id w:val="147454766"/>
          </w:sdtPr>
          <w:sdtEndPr>
            <w:rPr>
              <w:rFonts w:cs="Times New Roman"/>
            </w:rPr>
          </w:sdtEndPr>
          <w:sdtContent>
            <w:tc>
              <w:tcPr>
                <w:tcW w:w="2230" w:type="pct"/>
                <w:tcBorders>
                  <w:top w:val="outset" w:color="auto" w:sz="6" w:space="0"/>
                  <w:left w:val="outset" w:color="auto" w:sz="6" w:space="0"/>
                  <w:bottom w:val="outset" w:color="auto" w:sz="6" w:space="0"/>
                  <w:right w:val="outset" w:color="auto" w:sz="6" w:space="0"/>
                </w:tcBorders>
                <w:vAlign w:val="center"/>
              </w:tcPr>
              <w:p w14:paraId="7D73CC6F">
                <w:pPr>
                  <w:jc w:val="center"/>
                  <w:rPr>
                    <w:rFonts w:cs="Times New Roman"/>
                    <w:b/>
                    <w:bCs w:val="0"/>
                    <w:color w:val="000000" w:themeColor="text1"/>
                    <w14:textFill>
                      <w14:solidFill>
                        <w14:schemeClr w14:val="tx1"/>
                      </w14:solidFill>
                    </w14:textFill>
                  </w:rPr>
                </w:pPr>
                <w:bookmarkStart w:id="149" w:name="_Hlk105686791"/>
                <w:r>
                  <w:rPr>
                    <w:rFonts w:cs="Times New Roman"/>
                    <w:b/>
                    <w:bCs w:val="0"/>
                    <w:color w:val="000000" w:themeColor="text1"/>
                    <w14:textFill>
                      <w14:solidFill>
                        <w14:schemeClr w14:val="tx1"/>
                      </w14:solidFill>
                    </w14:textFill>
                  </w:rPr>
                  <w:t>项目</w:t>
                </w:r>
              </w:p>
            </w:tc>
          </w:sdtContent>
        </w:sdt>
        <w:sdt>
          <w:sdtPr>
            <w:rPr>
              <w:rFonts w:cs="Times New Roman"/>
            </w:rPr>
            <w:tag w:val="_PLD_5e370aa08a144a709185abd9b2f11c20"/>
            <w:id w:val="147472569"/>
          </w:sdtPr>
          <w:sdtEndPr>
            <w:rPr>
              <w:rFonts w:cs="Times New Roman"/>
            </w:rPr>
          </w:sdtEndPr>
          <w:sdtContent>
            <w:tc>
              <w:tcPr>
                <w:tcW w:w="583" w:type="pct"/>
                <w:tcBorders>
                  <w:top w:val="outset" w:color="auto" w:sz="6" w:space="0"/>
                  <w:left w:val="outset" w:color="auto" w:sz="6" w:space="0"/>
                  <w:bottom w:val="outset" w:color="auto" w:sz="6" w:space="0"/>
                  <w:right w:val="outset" w:color="auto" w:sz="6" w:space="0"/>
                </w:tcBorders>
                <w:vAlign w:val="center"/>
              </w:tcPr>
              <w:p w14:paraId="292E8A26">
                <w:pPr>
                  <w:jc w:val="center"/>
                  <w:rPr>
                    <w:rFonts w:cs="Times New Roman"/>
                    <w:b/>
                    <w:bCs w:val="0"/>
                    <w:color w:val="000000" w:themeColor="text1"/>
                    <w14:textFill>
                      <w14:solidFill>
                        <w14:schemeClr w14:val="tx1"/>
                      </w14:solidFill>
                    </w14:textFill>
                  </w:rPr>
                </w:pPr>
                <w:r>
                  <w:rPr>
                    <w:rFonts w:cs="Times New Roman"/>
                    <w:b/>
                    <w:bCs w:val="0"/>
                    <w:color w:val="000000" w:themeColor="text1"/>
                    <w14:textFill>
                      <w14:solidFill>
                        <w14:schemeClr w14:val="tx1"/>
                      </w14:solidFill>
                    </w14:textFill>
                  </w:rPr>
                  <w:t>附注</w:t>
                </w:r>
              </w:p>
            </w:tc>
          </w:sdtContent>
        </w:sdt>
        <w:sdt>
          <w:sdtPr>
            <w:rPr>
              <w:rFonts w:cs="Times New Roman"/>
            </w:rPr>
            <w:tag w:val="_PLD_0aa0a7a0cd4c45afa7cfb1bcfbba36c3"/>
            <w:id w:val="147455926"/>
          </w:sdtPr>
          <w:sdtEndPr>
            <w:rPr>
              <w:rFonts w:cs="Times New Roman"/>
            </w:rPr>
          </w:sdtEndPr>
          <w:sdtContent>
            <w:tc>
              <w:tcPr>
                <w:tcW w:w="1065" w:type="pct"/>
                <w:tcBorders>
                  <w:top w:val="outset" w:color="auto" w:sz="6" w:space="0"/>
                  <w:left w:val="outset" w:color="auto" w:sz="6" w:space="0"/>
                  <w:bottom w:val="outset" w:color="auto" w:sz="6" w:space="0"/>
                  <w:right w:val="outset" w:color="auto" w:sz="6" w:space="0"/>
                </w:tcBorders>
                <w:vAlign w:val="center"/>
              </w:tcPr>
              <w:p w14:paraId="479597EB">
                <w:pPr>
                  <w:jc w:val="center"/>
                  <w:rPr>
                    <w:rFonts w:cs="Times New Roman"/>
                    <w:b/>
                    <w:bCs w:val="0"/>
                    <w:color w:val="000000" w:themeColor="text1"/>
                    <w14:textFill>
                      <w14:solidFill>
                        <w14:schemeClr w14:val="tx1"/>
                      </w14:solidFill>
                    </w14:textFill>
                  </w:rPr>
                </w:pPr>
                <w:r>
                  <w:rPr>
                    <w:rFonts w:cs="Times New Roman"/>
                    <w:b/>
                    <w:bCs w:val="0"/>
                    <w:color w:val="000000" w:themeColor="text1"/>
                    <w14:textFill>
                      <w14:solidFill>
                        <w14:schemeClr w14:val="tx1"/>
                      </w14:solidFill>
                    </w14:textFill>
                  </w:rPr>
                  <w:t>2025年6月30日</w:t>
                </w:r>
              </w:p>
            </w:tc>
          </w:sdtContent>
        </w:sdt>
        <w:sdt>
          <w:sdtPr>
            <w:rPr>
              <w:rFonts w:cs="Times New Roman"/>
            </w:rPr>
            <w:tag w:val="_PLD_e986dda0dbc74346a9296e5a4646b696"/>
            <w:id w:val="147475120"/>
          </w:sdtPr>
          <w:sdtEndPr>
            <w:rPr>
              <w:rFonts w:cs="Times New Roman"/>
            </w:rPr>
          </w:sdtEndPr>
          <w:sdtContent>
            <w:tc>
              <w:tcPr>
                <w:tcW w:w="1121" w:type="pct"/>
                <w:tcBorders>
                  <w:top w:val="outset" w:color="auto" w:sz="6" w:space="0"/>
                  <w:left w:val="outset" w:color="auto" w:sz="6" w:space="0"/>
                  <w:bottom w:val="outset" w:color="auto" w:sz="6" w:space="0"/>
                  <w:right w:val="outset" w:color="auto" w:sz="6" w:space="0"/>
                </w:tcBorders>
                <w:vAlign w:val="center"/>
              </w:tcPr>
              <w:p w14:paraId="540EDA67">
                <w:pPr>
                  <w:jc w:val="center"/>
                  <w:rPr>
                    <w:rFonts w:cs="Times New Roman"/>
                    <w:b/>
                    <w:bCs w:val="0"/>
                    <w:color w:val="000000" w:themeColor="text1"/>
                    <w14:textFill>
                      <w14:solidFill>
                        <w14:schemeClr w14:val="tx1"/>
                      </w14:solidFill>
                    </w14:textFill>
                  </w:rPr>
                </w:pPr>
                <w:r>
                  <w:rPr>
                    <w:rFonts w:cs="Times New Roman"/>
                    <w:b/>
                    <w:bCs w:val="0"/>
                    <w:color w:val="000000" w:themeColor="text1"/>
                    <w14:textFill>
                      <w14:solidFill>
                        <w14:schemeClr w14:val="tx1"/>
                      </w14:solidFill>
                    </w14:textFill>
                  </w:rPr>
                  <w:t>2024年12月31日</w:t>
                </w:r>
              </w:p>
            </w:tc>
          </w:sdtContent>
        </w:sdt>
      </w:tr>
      <w:tr w14:paraId="102262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64ae72669eea4837a1a220d585585bdf"/>
            <w:id w:val="147451263"/>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31D8685F">
                <w:pP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流动资产：</w:t>
                </w:r>
              </w:p>
            </w:tc>
          </w:sdtContent>
        </w:sdt>
      </w:tr>
      <w:tr w14:paraId="3A550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24948B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货币资金</w:t>
            </w:r>
          </w:p>
        </w:tc>
        <w:tc>
          <w:tcPr>
            <w:tcW w:w="583" w:type="pct"/>
            <w:tcBorders>
              <w:top w:val="outset" w:color="auto" w:sz="6" w:space="0"/>
              <w:left w:val="outset" w:color="auto" w:sz="6" w:space="0"/>
              <w:bottom w:val="outset" w:color="auto" w:sz="6" w:space="0"/>
              <w:right w:val="outset" w:color="auto" w:sz="6" w:space="0"/>
            </w:tcBorders>
            <w:vAlign w:val="center"/>
          </w:tcPr>
          <w:p w14:paraId="77A0F4B8">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1AA4863">
            <w:pPr>
              <w:jc w:val="right"/>
              <w:textAlignment w:val="bottom"/>
              <w:rPr>
                <w:rFonts w:cs="Times New Roman"/>
              </w:rPr>
            </w:pPr>
            <w:r>
              <w:rPr>
                <w:rFonts w:eastAsia="Arial Narrow" w:cs="Times New Roman"/>
                <w:color w:val="000000"/>
                <w:lang w:bidi="ar"/>
              </w:rPr>
              <w:t>3,298,320,139.92</w:t>
            </w:r>
          </w:p>
        </w:tc>
        <w:tc>
          <w:tcPr>
            <w:tcW w:w="1121" w:type="pct"/>
            <w:tcBorders>
              <w:top w:val="outset" w:color="auto" w:sz="6" w:space="0"/>
              <w:left w:val="outset" w:color="auto" w:sz="6" w:space="0"/>
              <w:bottom w:val="outset" w:color="auto" w:sz="6" w:space="0"/>
              <w:right w:val="outset" w:color="auto" w:sz="6" w:space="0"/>
            </w:tcBorders>
            <w:vAlign w:val="bottom"/>
          </w:tcPr>
          <w:p w14:paraId="76CE553F">
            <w:pPr>
              <w:jc w:val="right"/>
              <w:textAlignment w:val="bottom"/>
              <w:rPr>
                <w:rFonts w:cs="Times New Roman"/>
              </w:rPr>
            </w:pPr>
            <w:r>
              <w:rPr>
                <w:rFonts w:eastAsia="Arial Narrow" w:cs="Times New Roman"/>
                <w:color w:val="000000"/>
                <w:lang w:bidi="ar"/>
              </w:rPr>
              <w:t>1,994,742,011.78</w:t>
            </w:r>
          </w:p>
        </w:tc>
      </w:tr>
      <w:tr w14:paraId="125D8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BD1AFF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应收票据</w:t>
            </w:r>
          </w:p>
        </w:tc>
        <w:tc>
          <w:tcPr>
            <w:tcW w:w="583" w:type="pct"/>
            <w:tcBorders>
              <w:top w:val="outset" w:color="auto" w:sz="6" w:space="0"/>
              <w:left w:val="outset" w:color="auto" w:sz="6" w:space="0"/>
              <w:bottom w:val="outset" w:color="auto" w:sz="6" w:space="0"/>
              <w:right w:val="outset" w:color="auto" w:sz="6" w:space="0"/>
            </w:tcBorders>
            <w:vAlign w:val="center"/>
          </w:tcPr>
          <w:p w14:paraId="7425E717">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66542B33">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bottom"/>
          </w:tcPr>
          <w:p w14:paraId="25308D55">
            <w:pPr>
              <w:jc w:val="right"/>
              <w:rPr>
                <w:rFonts w:cs="Times New Roman"/>
              </w:rPr>
            </w:pPr>
          </w:p>
        </w:tc>
      </w:tr>
      <w:tr w14:paraId="1CA0F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63E46134">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应收账款</w:t>
            </w:r>
          </w:p>
        </w:tc>
        <w:tc>
          <w:tcPr>
            <w:tcW w:w="583" w:type="pct"/>
            <w:tcBorders>
              <w:top w:val="outset" w:color="auto" w:sz="6" w:space="0"/>
              <w:left w:val="outset" w:color="auto" w:sz="6" w:space="0"/>
              <w:bottom w:val="outset" w:color="auto" w:sz="6" w:space="0"/>
              <w:right w:val="outset" w:color="auto" w:sz="6" w:space="0"/>
            </w:tcBorders>
            <w:vAlign w:val="center"/>
          </w:tcPr>
          <w:p w14:paraId="67FB9A3F">
            <w:pPr>
              <w:rPr>
                <w:rFonts w:cs="Times New Roman"/>
              </w:rPr>
            </w:pPr>
            <w:r>
              <w:rPr>
                <w:rFonts w:cs="Times New Roman"/>
              </w:rPr>
              <w:t>十九、1</w:t>
            </w:r>
          </w:p>
        </w:tc>
        <w:tc>
          <w:tcPr>
            <w:tcW w:w="1065" w:type="pct"/>
            <w:tcBorders>
              <w:top w:val="outset" w:color="auto" w:sz="6" w:space="0"/>
              <w:left w:val="outset" w:color="auto" w:sz="6" w:space="0"/>
              <w:bottom w:val="outset" w:color="auto" w:sz="6" w:space="0"/>
              <w:right w:val="outset" w:color="auto" w:sz="6" w:space="0"/>
            </w:tcBorders>
            <w:vAlign w:val="bottom"/>
          </w:tcPr>
          <w:p w14:paraId="45DAAA6C">
            <w:pPr>
              <w:jc w:val="right"/>
              <w:textAlignment w:val="bottom"/>
              <w:rPr>
                <w:rFonts w:cs="Times New Roman"/>
              </w:rPr>
            </w:pPr>
            <w:r>
              <w:rPr>
                <w:rFonts w:eastAsia="Arial Narrow" w:cs="Times New Roman"/>
                <w:color w:val="000000"/>
                <w:lang w:bidi="ar"/>
              </w:rPr>
              <w:t>34,272,569.47</w:t>
            </w:r>
          </w:p>
        </w:tc>
        <w:tc>
          <w:tcPr>
            <w:tcW w:w="1121" w:type="pct"/>
            <w:tcBorders>
              <w:top w:val="outset" w:color="auto" w:sz="6" w:space="0"/>
              <w:left w:val="outset" w:color="auto" w:sz="6" w:space="0"/>
              <w:bottom w:val="outset" w:color="auto" w:sz="6" w:space="0"/>
              <w:right w:val="outset" w:color="auto" w:sz="6" w:space="0"/>
            </w:tcBorders>
            <w:vAlign w:val="bottom"/>
          </w:tcPr>
          <w:p w14:paraId="52CAFAD2">
            <w:pPr>
              <w:jc w:val="right"/>
              <w:textAlignment w:val="bottom"/>
              <w:rPr>
                <w:rFonts w:cs="Times New Roman"/>
              </w:rPr>
            </w:pPr>
            <w:r>
              <w:rPr>
                <w:rFonts w:eastAsia="Arial Narrow" w:cs="Times New Roman"/>
                <w:color w:val="000000"/>
                <w:lang w:bidi="ar"/>
              </w:rPr>
              <w:t>34,678,415.33</w:t>
            </w:r>
          </w:p>
        </w:tc>
      </w:tr>
      <w:tr w14:paraId="259AA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08C532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预付款项</w:t>
            </w:r>
          </w:p>
        </w:tc>
        <w:tc>
          <w:tcPr>
            <w:tcW w:w="583" w:type="pct"/>
            <w:tcBorders>
              <w:top w:val="outset" w:color="auto" w:sz="6" w:space="0"/>
              <w:left w:val="outset" w:color="auto" w:sz="6" w:space="0"/>
              <w:bottom w:val="outset" w:color="auto" w:sz="6" w:space="0"/>
              <w:right w:val="outset" w:color="auto" w:sz="6" w:space="0"/>
            </w:tcBorders>
            <w:vAlign w:val="center"/>
          </w:tcPr>
          <w:p w14:paraId="7D822352">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49B070B3">
            <w:pPr>
              <w:jc w:val="right"/>
              <w:textAlignment w:val="bottom"/>
              <w:rPr>
                <w:rFonts w:cs="Times New Roman"/>
              </w:rPr>
            </w:pPr>
            <w:r>
              <w:rPr>
                <w:rFonts w:eastAsia="Arial Narrow" w:cs="Times New Roman"/>
                <w:color w:val="000000"/>
                <w:lang w:bidi="ar"/>
              </w:rPr>
              <w:t>1,797,801.35</w:t>
            </w:r>
          </w:p>
        </w:tc>
        <w:tc>
          <w:tcPr>
            <w:tcW w:w="1121" w:type="pct"/>
            <w:tcBorders>
              <w:top w:val="outset" w:color="auto" w:sz="6" w:space="0"/>
              <w:left w:val="outset" w:color="auto" w:sz="6" w:space="0"/>
              <w:bottom w:val="outset" w:color="auto" w:sz="6" w:space="0"/>
              <w:right w:val="outset" w:color="auto" w:sz="6" w:space="0"/>
            </w:tcBorders>
            <w:vAlign w:val="bottom"/>
          </w:tcPr>
          <w:p w14:paraId="09655DA8">
            <w:pPr>
              <w:jc w:val="right"/>
              <w:textAlignment w:val="bottom"/>
              <w:rPr>
                <w:rFonts w:cs="Times New Roman"/>
              </w:rPr>
            </w:pPr>
            <w:r>
              <w:rPr>
                <w:rFonts w:eastAsia="Arial Narrow" w:cs="Times New Roman"/>
                <w:color w:val="000000"/>
                <w:lang w:bidi="ar"/>
              </w:rPr>
              <w:t>1,799,493.35</w:t>
            </w:r>
          </w:p>
        </w:tc>
      </w:tr>
      <w:tr w14:paraId="5CDF8C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F9B4D3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其他应收款</w:t>
            </w:r>
          </w:p>
        </w:tc>
        <w:tc>
          <w:tcPr>
            <w:tcW w:w="583" w:type="pct"/>
            <w:tcBorders>
              <w:top w:val="outset" w:color="auto" w:sz="6" w:space="0"/>
              <w:left w:val="outset" w:color="auto" w:sz="6" w:space="0"/>
              <w:bottom w:val="outset" w:color="auto" w:sz="6" w:space="0"/>
              <w:right w:val="outset" w:color="auto" w:sz="6" w:space="0"/>
            </w:tcBorders>
            <w:vAlign w:val="center"/>
          </w:tcPr>
          <w:p w14:paraId="6C0A3417">
            <w:pPr>
              <w:rPr>
                <w:rFonts w:cs="Times New Roman"/>
              </w:rPr>
            </w:pPr>
            <w:r>
              <w:rPr>
                <w:rFonts w:cs="Times New Roman"/>
              </w:rPr>
              <w:t>十九、2</w:t>
            </w:r>
          </w:p>
        </w:tc>
        <w:tc>
          <w:tcPr>
            <w:tcW w:w="1065" w:type="pct"/>
            <w:tcBorders>
              <w:top w:val="outset" w:color="auto" w:sz="6" w:space="0"/>
              <w:left w:val="outset" w:color="auto" w:sz="6" w:space="0"/>
              <w:bottom w:val="outset" w:color="auto" w:sz="6" w:space="0"/>
              <w:right w:val="outset" w:color="auto" w:sz="6" w:space="0"/>
            </w:tcBorders>
            <w:vAlign w:val="bottom"/>
          </w:tcPr>
          <w:p w14:paraId="317A99B8">
            <w:pPr>
              <w:jc w:val="right"/>
              <w:textAlignment w:val="bottom"/>
              <w:rPr>
                <w:rFonts w:cs="Times New Roman"/>
              </w:rPr>
            </w:pPr>
            <w:r>
              <w:rPr>
                <w:rFonts w:eastAsia="Arial Narrow" w:cs="Times New Roman"/>
                <w:color w:val="000000"/>
                <w:lang w:bidi="ar"/>
              </w:rPr>
              <w:t>7,176,635,000.03</w:t>
            </w:r>
          </w:p>
        </w:tc>
        <w:tc>
          <w:tcPr>
            <w:tcW w:w="1121" w:type="pct"/>
            <w:tcBorders>
              <w:top w:val="outset" w:color="auto" w:sz="6" w:space="0"/>
              <w:left w:val="outset" w:color="auto" w:sz="6" w:space="0"/>
              <w:bottom w:val="outset" w:color="auto" w:sz="6" w:space="0"/>
              <w:right w:val="outset" w:color="auto" w:sz="6" w:space="0"/>
            </w:tcBorders>
            <w:vAlign w:val="bottom"/>
          </w:tcPr>
          <w:p w14:paraId="4F25516F">
            <w:pPr>
              <w:jc w:val="right"/>
              <w:textAlignment w:val="bottom"/>
              <w:rPr>
                <w:rFonts w:cs="Times New Roman"/>
              </w:rPr>
            </w:pPr>
            <w:r>
              <w:rPr>
                <w:rFonts w:eastAsia="Arial Narrow" w:cs="Times New Roman"/>
                <w:color w:val="000000"/>
                <w:lang w:bidi="ar"/>
              </w:rPr>
              <w:t>6,735,847,816.17</w:t>
            </w:r>
          </w:p>
        </w:tc>
      </w:tr>
      <w:tr w14:paraId="6D54FB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7B09E1D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其中：应收利息</w:t>
            </w:r>
          </w:p>
        </w:tc>
        <w:tc>
          <w:tcPr>
            <w:tcW w:w="583" w:type="pct"/>
            <w:tcBorders>
              <w:top w:val="outset" w:color="auto" w:sz="6" w:space="0"/>
              <w:left w:val="outset" w:color="auto" w:sz="6" w:space="0"/>
              <w:bottom w:val="outset" w:color="auto" w:sz="6" w:space="0"/>
              <w:right w:val="outset" w:color="auto" w:sz="6" w:space="0"/>
            </w:tcBorders>
            <w:vAlign w:val="center"/>
          </w:tcPr>
          <w:p w14:paraId="6E0177C7">
            <w:pPr>
              <w:rPr>
                <w:rFonts w:cs="Times New Roman"/>
              </w:rPr>
            </w:pPr>
            <w:r>
              <w:rPr>
                <w:rFonts w:cs="Times New Roman"/>
              </w:rPr>
              <w:t>十九、2</w:t>
            </w:r>
          </w:p>
        </w:tc>
        <w:tc>
          <w:tcPr>
            <w:tcW w:w="1065" w:type="pct"/>
            <w:tcBorders>
              <w:top w:val="outset" w:color="auto" w:sz="6" w:space="0"/>
              <w:left w:val="outset" w:color="auto" w:sz="6" w:space="0"/>
              <w:bottom w:val="outset" w:color="auto" w:sz="6" w:space="0"/>
              <w:right w:val="outset" w:color="auto" w:sz="6" w:space="0"/>
            </w:tcBorders>
            <w:vAlign w:val="bottom"/>
          </w:tcPr>
          <w:p w14:paraId="7A149870">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bottom"/>
          </w:tcPr>
          <w:p w14:paraId="4212E095">
            <w:pPr>
              <w:jc w:val="right"/>
              <w:rPr>
                <w:rFonts w:cs="Times New Roman"/>
              </w:rPr>
            </w:pPr>
          </w:p>
        </w:tc>
      </w:tr>
      <w:tr w14:paraId="715B5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73F562D">
            <w:pPr>
              <w:ind w:firstLine="840" w:firstLineChars="4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应收股利</w:t>
            </w:r>
          </w:p>
        </w:tc>
        <w:tc>
          <w:tcPr>
            <w:tcW w:w="583" w:type="pct"/>
            <w:tcBorders>
              <w:top w:val="outset" w:color="auto" w:sz="6" w:space="0"/>
              <w:left w:val="outset" w:color="auto" w:sz="6" w:space="0"/>
              <w:bottom w:val="outset" w:color="auto" w:sz="6" w:space="0"/>
              <w:right w:val="outset" w:color="auto" w:sz="6" w:space="0"/>
            </w:tcBorders>
            <w:vAlign w:val="center"/>
          </w:tcPr>
          <w:p w14:paraId="440CD998">
            <w:pPr>
              <w:rPr>
                <w:rFonts w:cs="Times New Roman"/>
              </w:rPr>
            </w:pPr>
            <w:r>
              <w:rPr>
                <w:rFonts w:cs="Times New Roman"/>
              </w:rPr>
              <w:t>十九、2</w:t>
            </w:r>
          </w:p>
        </w:tc>
        <w:tc>
          <w:tcPr>
            <w:tcW w:w="1065" w:type="pct"/>
            <w:tcBorders>
              <w:top w:val="outset" w:color="auto" w:sz="6" w:space="0"/>
              <w:left w:val="outset" w:color="auto" w:sz="6" w:space="0"/>
              <w:bottom w:val="outset" w:color="auto" w:sz="6" w:space="0"/>
              <w:right w:val="outset" w:color="auto" w:sz="6" w:space="0"/>
            </w:tcBorders>
            <w:vAlign w:val="bottom"/>
          </w:tcPr>
          <w:p w14:paraId="742B03A1">
            <w:pPr>
              <w:jc w:val="right"/>
              <w:textAlignment w:val="bottom"/>
              <w:rPr>
                <w:rFonts w:cs="Times New Roman"/>
              </w:rPr>
            </w:pPr>
            <w:r>
              <w:rPr>
                <w:rFonts w:eastAsia="Arial Narrow" w:cs="Times New Roman"/>
                <w:color w:val="000000"/>
                <w:lang w:bidi="ar"/>
              </w:rPr>
              <w:t>521,931,182.43</w:t>
            </w:r>
          </w:p>
        </w:tc>
        <w:tc>
          <w:tcPr>
            <w:tcW w:w="1121" w:type="pct"/>
            <w:tcBorders>
              <w:top w:val="outset" w:color="auto" w:sz="6" w:space="0"/>
              <w:left w:val="outset" w:color="auto" w:sz="6" w:space="0"/>
              <w:bottom w:val="outset" w:color="auto" w:sz="6" w:space="0"/>
              <w:right w:val="outset" w:color="auto" w:sz="6" w:space="0"/>
            </w:tcBorders>
            <w:vAlign w:val="bottom"/>
          </w:tcPr>
          <w:p w14:paraId="732A2F45">
            <w:pPr>
              <w:jc w:val="right"/>
              <w:textAlignment w:val="bottom"/>
              <w:rPr>
                <w:rFonts w:cs="Times New Roman"/>
              </w:rPr>
            </w:pPr>
            <w:r>
              <w:rPr>
                <w:rFonts w:eastAsia="Arial Narrow" w:cs="Times New Roman"/>
                <w:color w:val="000000"/>
                <w:lang w:bidi="ar"/>
              </w:rPr>
              <w:t>371,931,182.43</w:t>
            </w:r>
          </w:p>
        </w:tc>
      </w:tr>
      <w:tr w14:paraId="27C17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2CD3BBA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存货</w:t>
            </w:r>
          </w:p>
        </w:tc>
        <w:tc>
          <w:tcPr>
            <w:tcW w:w="583" w:type="pct"/>
            <w:tcBorders>
              <w:top w:val="outset" w:color="auto" w:sz="6" w:space="0"/>
              <w:left w:val="outset" w:color="auto" w:sz="6" w:space="0"/>
              <w:bottom w:val="outset" w:color="auto" w:sz="6" w:space="0"/>
              <w:right w:val="outset" w:color="auto" w:sz="6" w:space="0"/>
            </w:tcBorders>
            <w:vAlign w:val="center"/>
          </w:tcPr>
          <w:p w14:paraId="1E187EA3">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2660D48B">
            <w:pPr>
              <w:jc w:val="right"/>
              <w:textAlignment w:val="bottom"/>
              <w:rPr>
                <w:rFonts w:cs="Times New Roman"/>
              </w:rPr>
            </w:pPr>
            <w:r>
              <w:rPr>
                <w:rFonts w:eastAsia="Arial Narrow" w:cs="Times New Roman"/>
                <w:color w:val="000000"/>
                <w:lang w:bidi="ar"/>
              </w:rPr>
              <w:t>8,709.03</w:t>
            </w:r>
          </w:p>
        </w:tc>
        <w:tc>
          <w:tcPr>
            <w:tcW w:w="1121" w:type="pct"/>
            <w:tcBorders>
              <w:top w:val="outset" w:color="auto" w:sz="6" w:space="0"/>
              <w:left w:val="outset" w:color="auto" w:sz="6" w:space="0"/>
              <w:bottom w:val="outset" w:color="auto" w:sz="6" w:space="0"/>
              <w:right w:val="outset" w:color="auto" w:sz="6" w:space="0"/>
            </w:tcBorders>
            <w:vAlign w:val="bottom"/>
          </w:tcPr>
          <w:p w14:paraId="01A5C607">
            <w:pPr>
              <w:jc w:val="right"/>
              <w:rPr>
                <w:rFonts w:cs="Times New Roman"/>
              </w:rPr>
            </w:pPr>
          </w:p>
        </w:tc>
      </w:tr>
      <w:tr w14:paraId="03375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240FB9C0">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其他流动资产</w:t>
            </w:r>
          </w:p>
        </w:tc>
        <w:tc>
          <w:tcPr>
            <w:tcW w:w="583" w:type="pct"/>
            <w:tcBorders>
              <w:top w:val="outset" w:color="auto" w:sz="6" w:space="0"/>
              <w:left w:val="outset" w:color="auto" w:sz="6" w:space="0"/>
              <w:bottom w:val="outset" w:color="auto" w:sz="6" w:space="0"/>
              <w:right w:val="outset" w:color="auto" w:sz="6" w:space="0"/>
            </w:tcBorders>
            <w:vAlign w:val="center"/>
          </w:tcPr>
          <w:p w14:paraId="7E81CB91">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559B22E7">
            <w:pPr>
              <w:jc w:val="right"/>
              <w:textAlignment w:val="bottom"/>
              <w:rPr>
                <w:rFonts w:cs="Times New Roman"/>
              </w:rPr>
            </w:pPr>
            <w:r>
              <w:rPr>
                <w:rFonts w:eastAsia="Arial Narrow" w:cs="Times New Roman"/>
                <w:color w:val="000000"/>
                <w:lang w:bidi="ar"/>
              </w:rPr>
              <w:t>29,937,129.22</w:t>
            </w:r>
          </w:p>
        </w:tc>
        <w:tc>
          <w:tcPr>
            <w:tcW w:w="1121" w:type="pct"/>
            <w:tcBorders>
              <w:top w:val="outset" w:color="auto" w:sz="6" w:space="0"/>
              <w:left w:val="outset" w:color="auto" w:sz="6" w:space="0"/>
              <w:bottom w:val="outset" w:color="auto" w:sz="6" w:space="0"/>
              <w:right w:val="outset" w:color="auto" w:sz="6" w:space="0"/>
            </w:tcBorders>
            <w:vAlign w:val="bottom"/>
          </w:tcPr>
          <w:p w14:paraId="57A8407C">
            <w:pPr>
              <w:jc w:val="right"/>
              <w:textAlignment w:val="bottom"/>
              <w:rPr>
                <w:rFonts w:cs="Times New Roman"/>
              </w:rPr>
            </w:pPr>
            <w:r>
              <w:rPr>
                <w:rFonts w:eastAsia="Arial Narrow" w:cs="Times New Roman"/>
                <w:color w:val="000000"/>
                <w:lang w:bidi="ar"/>
              </w:rPr>
              <w:t>29,829,084.94</w:t>
            </w:r>
          </w:p>
        </w:tc>
      </w:tr>
      <w:tr w14:paraId="0208E2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1AD37086">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流动资产合计</w:t>
            </w:r>
          </w:p>
        </w:tc>
        <w:tc>
          <w:tcPr>
            <w:tcW w:w="583" w:type="pct"/>
            <w:tcBorders>
              <w:top w:val="outset" w:color="auto" w:sz="6" w:space="0"/>
              <w:left w:val="outset" w:color="auto" w:sz="6" w:space="0"/>
              <w:bottom w:val="outset" w:color="auto" w:sz="6" w:space="0"/>
              <w:right w:val="outset" w:color="auto" w:sz="6" w:space="0"/>
            </w:tcBorders>
            <w:vAlign w:val="center"/>
          </w:tcPr>
          <w:p w14:paraId="4AF48720">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34594141">
            <w:pPr>
              <w:jc w:val="right"/>
              <w:textAlignment w:val="bottom"/>
              <w:rPr>
                <w:rFonts w:cs="Times New Roman"/>
              </w:rPr>
            </w:pPr>
            <w:r>
              <w:rPr>
                <w:rFonts w:eastAsia="Arial Narrow" w:cs="Times New Roman"/>
                <w:color w:val="000000"/>
                <w:lang w:bidi="ar"/>
              </w:rPr>
              <w:t>10,540,971,349.02</w:t>
            </w:r>
          </w:p>
        </w:tc>
        <w:tc>
          <w:tcPr>
            <w:tcW w:w="1121" w:type="pct"/>
            <w:tcBorders>
              <w:top w:val="outset" w:color="auto" w:sz="6" w:space="0"/>
              <w:left w:val="outset" w:color="auto" w:sz="6" w:space="0"/>
              <w:bottom w:val="outset" w:color="auto" w:sz="6" w:space="0"/>
              <w:right w:val="outset" w:color="auto" w:sz="6" w:space="0"/>
            </w:tcBorders>
            <w:vAlign w:val="bottom"/>
          </w:tcPr>
          <w:p w14:paraId="0C0E3865">
            <w:pPr>
              <w:jc w:val="right"/>
              <w:textAlignment w:val="bottom"/>
              <w:rPr>
                <w:rFonts w:cs="Times New Roman"/>
              </w:rPr>
            </w:pPr>
            <w:r>
              <w:rPr>
                <w:rFonts w:eastAsia="Arial Narrow" w:cs="Times New Roman"/>
                <w:color w:val="000000"/>
                <w:lang w:bidi="ar"/>
              </w:rPr>
              <w:t>8,796,896,821.57</w:t>
            </w:r>
          </w:p>
        </w:tc>
      </w:tr>
      <w:tr w14:paraId="0FF26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71f45ac7535d4ffeaa6273d6527bae0d"/>
            <w:id w:val="147482417"/>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49F2F714">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非流动资产：</w:t>
                </w:r>
              </w:p>
            </w:tc>
          </w:sdtContent>
        </w:sdt>
      </w:tr>
      <w:tr w14:paraId="3B70E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6540599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长期股权投资</w:t>
            </w:r>
          </w:p>
        </w:tc>
        <w:tc>
          <w:tcPr>
            <w:tcW w:w="583" w:type="pct"/>
            <w:tcBorders>
              <w:top w:val="outset" w:color="auto" w:sz="6" w:space="0"/>
              <w:left w:val="outset" w:color="auto" w:sz="6" w:space="0"/>
              <w:bottom w:val="outset" w:color="auto" w:sz="6" w:space="0"/>
              <w:right w:val="outset" w:color="auto" w:sz="6" w:space="0"/>
            </w:tcBorders>
            <w:vAlign w:val="center"/>
          </w:tcPr>
          <w:p w14:paraId="34F7902B">
            <w:pPr>
              <w:rPr>
                <w:rFonts w:cs="Times New Roman"/>
              </w:rPr>
            </w:pPr>
            <w:r>
              <w:rPr>
                <w:rFonts w:cs="Times New Roman"/>
              </w:rPr>
              <w:t>十九、3</w:t>
            </w:r>
          </w:p>
        </w:tc>
        <w:tc>
          <w:tcPr>
            <w:tcW w:w="1065" w:type="pct"/>
            <w:tcBorders>
              <w:top w:val="outset" w:color="auto" w:sz="6" w:space="0"/>
              <w:left w:val="outset" w:color="auto" w:sz="6" w:space="0"/>
              <w:bottom w:val="outset" w:color="auto" w:sz="6" w:space="0"/>
              <w:right w:val="outset" w:color="auto" w:sz="6" w:space="0"/>
            </w:tcBorders>
            <w:vAlign w:val="bottom"/>
          </w:tcPr>
          <w:p w14:paraId="74C940D7">
            <w:pPr>
              <w:jc w:val="right"/>
              <w:textAlignment w:val="bottom"/>
              <w:rPr>
                <w:rFonts w:cs="Times New Roman"/>
              </w:rPr>
            </w:pPr>
            <w:r>
              <w:rPr>
                <w:rFonts w:eastAsia="Arial Narrow" w:cs="Times New Roman"/>
                <w:color w:val="000000"/>
                <w:lang w:bidi="ar"/>
              </w:rPr>
              <w:t>6,627,628,995.72</w:t>
            </w:r>
          </w:p>
        </w:tc>
        <w:tc>
          <w:tcPr>
            <w:tcW w:w="1121" w:type="pct"/>
            <w:tcBorders>
              <w:top w:val="outset" w:color="auto" w:sz="6" w:space="0"/>
              <w:left w:val="outset" w:color="auto" w:sz="6" w:space="0"/>
              <w:bottom w:val="outset" w:color="auto" w:sz="6" w:space="0"/>
              <w:right w:val="outset" w:color="auto" w:sz="6" w:space="0"/>
            </w:tcBorders>
            <w:vAlign w:val="bottom"/>
          </w:tcPr>
          <w:p w14:paraId="6CCB947C">
            <w:pPr>
              <w:jc w:val="right"/>
              <w:textAlignment w:val="bottom"/>
              <w:rPr>
                <w:rFonts w:cs="Times New Roman"/>
              </w:rPr>
            </w:pPr>
            <w:r>
              <w:rPr>
                <w:rFonts w:eastAsia="Arial Narrow" w:cs="Times New Roman"/>
                <w:color w:val="000000"/>
                <w:lang w:bidi="ar"/>
              </w:rPr>
              <w:t>6,612,369,772.14</w:t>
            </w:r>
          </w:p>
        </w:tc>
      </w:tr>
      <w:tr w14:paraId="4B0BB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3BA5DC3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其他权益工具投资</w:t>
            </w:r>
          </w:p>
        </w:tc>
        <w:tc>
          <w:tcPr>
            <w:tcW w:w="583" w:type="pct"/>
            <w:tcBorders>
              <w:top w:val="outset" w:color="auto" w:sz="6" w:space="0"/>
              <w:left w:val="outset" w:color="auto" w:sz="6" w:space="0"/>
              <w:bottom w:val="outset" w:color="auto" w:sz="6" w:space="0"/>
              <w:right w:val="outset" w:color="auto" w:sz="6" w:space="0"/>
            </w:tcBorders>
            <w:vAlign w:val="center"/>
          </w:tcPr>
          <w:p w14:paraId="47386E39">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62939D0C">
            <w:pPr>
              <w:jc w:val="right"/>
              <w:textAlignment w:val="bottom"/>
              <w:rPr>
                <w:rFonts w:cs="Times New Roman"/>
              </w:rPr>
            </w:pPr>
            <w:r>
              <w:rPr>
                <w:rFonts w:eastAsia="Arial Narrow" w:cs="Times New Roman"/>
                <w:color w:val="000000"/>
                <w:lang w:bidi="ar"/>
              </w:rPr>
              <w:t>519,386,412.00</w:t>
            </w:r>
          </w:p>
        </w:tc>
        <w:tc>
          <w:tcPr>
            <w:tcW w:w="1121" w:type="pct"/>
            <w:tcBorders>
              <w:top w:val="outset" w:color="auto" w:sz="6" w:space="0"/>
              <w:left w:val="outset" w:color="auto" w:sz="6" w:space="0"/>
              <w:bottom w:val="outset" w:color="auto" w:sz="6" w:space="0"/>
              <w:right w:val="outset" w:color="auto" w:sz="6" w:space="0"/>
            </w:tcBorders>
            <w:vAlign w:val="bottom"/>
          </w:tcPr>
          <w:p w14:paraId="38779423">
            <w:pPr>
              <w:jc w:val="right"/>
              <w:textAlignment w:val="bottom"/>
              <w:rPr>
                <w:rFonts w:cs="Times New Roman"/>
              </w:rPr>
            </w:pPr>
            <w:r>
              <w:rPr>
                <w:rFonts w:eastAsia="Arial Narrow" w:cs="Times New Roman"/>
                <w:color w:val="000000"/>
                <w:lang w:bidi="ar"/>
              </w:rPr>
              <w:t>519,386,412.00</w:t>
            </w:r>
          </w:p>
        </w:tc>
      </w:tr>
      <w:tr w14:paraId="1F56BB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F85E27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投资性房地产</w:t>
            </w:r>
          </w:p>
        </w:tc>
        <w:tc>
          <w:tcPr>
            <w:tcW w:w="583" w:type="pct"/>
            <w:tcBorders>
              <w:top w:val="outset" w:color="auto" w:sz="6" w:space="0"/>
              <w:left w:val="outset" w:color="auto" w:sz="6" w:space="0"/>
              <w:bottom w:val="outset" w:color="auto" w:sz="6" w:space="0"/>
              <w:right w:val="outset" w:color="auto" w:sz="6" w:space="0"/>
            </w:tcBorders>
            <w:vAlign w:val="center"/>
          </w:tcPr>
          <w:p w14:paraId="6D1DFEB7">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0529F35B">
            <w:pPr>
              <w:jc w:val="right"/>
              <w:textAlignment w:val="bottom"/>
              <w:rPr>
                <w:rFonts w:cs="Times New Roman"/>
              </w:rPr>
            </w:pPr>
            <w:r>
              <w:rPr>
                <w:rFonts w:eastAsia="Arial Narrow" w:cs="Times New Roman"/>
                <w:color w:val="000000"/>
                <w:lang w:bidi="ar"/>
              </w:rPr>
              <w:t>12,339,026.16</w:t>
            </w:r>
          </w:p>
        </w:tc>
        <w:tc>
          <w:tcPr>
            <w:tcW w:w="1121" w:type="pct"/>
            <w:tcBorders>
              <w:top w:val="outset" w:color="auto" w:sz="6" w:space="0"/>
              <w:left w:val="outset" w:color="auto" w:sz="6" w:space="0"/>
              <w:bottom w:val="outset" w:color="auto" w:sz="6" w:space="0"/>
              <w:right w:val="outset" w:color="auto" w:sz="6" w:space="0"/>
            </w:tcBorders>
            <w:vAlign w:val="bottom"/>
          </w:tcPr>
          <w:p w14:paraId="6BECE394">
            <w:pPr>
              <w:jc w:val="right"/>
              <w:textAlignment w:val="bottom"/>
              <w:rPr>
                <w:rFonts w:cs="Times New Roman"/>
              </w:rPr>
            </w:pPr>
            <w:r>
              <w:rPr>
                <w:rFonts w:eastAsia="Arial Narrow" w:cs="Times New Roman"/>
                <w:color w:val="000000"/>
                <w:lang w:bidi="ar"/>
              </w:rPr>
              <w:t>12,657,770.64</w:t>
            </w:r>
          </w:p>
        </w:tc>
      </w:tr>
      <w:tr w14:paraId="71E073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7FD95A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固定资产</w:t>
            </w:r>
          </w:p>
        </w:tc>
        <w:tc>
          <w:tcPr>
            <w:tcW w:w="583" w:type="pct"/>
            <w:tcBorders>
              <w:top w:val="outset" w:color="auto" w:sz="6" w:space="0"/>
              <w:left w:val="outset" w:color="auto" w:sz="6" w:space="0"/>
              <w:bottom w:val="outset" w:color="auto" w:sz="6" w:space="0"/>
              <w:right w:val="outset" w:color="auto" w:sz="6" w:space="0"/>
            </w:tcBorders>
            <w:vAlign w:val="center"/>
          </w:tcPr>
          <w:p w14:paraId="75DE50A9">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2C7223FE">
            <w:pPr>
              <w:jc w:val="right"/>
              <w:textAlignment w:val="bottom"/>
              <w:rPr>
                <w:rFonts w:cs="Times New Roman"/>
              </w:rPr>
            </w:pPr>
            <w:r>
              <w:rPr>
                <w:rFonts w:eastAsia="Arial Narrow" w:cs="Times New Roman"/>
                <w:color w:val="000000"/>
                <w:lang w:bidi="ar"/>
              </w:rPr>
              <w:t>330,539,994.10</w:t>
            </w:r>
          </w:p>
        </w:tc>
        <w:tc>
          <w:tcPr>
            <w:tcW w:w="1121" w:type="pct"/>
            <w:tcBorders>
              <w:top w:val="outset" w:color="auto" w:sz="6" w:space="0"/>
              <w:left w:val="outset" w:color="auto" w:sz="6" w:space="0"/>
              <w:bottom w:val="outset" w:color="auto" w:sz="6" w:space="0"/>
              <w:right w:val="outset" w:color="auto" w:sz="6" w:space="0"/>
            </w:tcBorders>
            <w:vAlign w:val="bottom"/>
          </w:tcPr>
          <w:p w14:paraId="625F806B">
            <w:pPr>
              <w:jc w:val="right"/>
              <w:textAlignment w:val="bottom"/>
              <w:rPr>
                <w:rFonts w:cs="Times New Roman"/>
              </w:rPr>
            </w:pPr>
            <w:r>
              <w:rPr>
                <w:rFonts w:eastAsia="Arial Narrow" w:cs="Times New Roman"/>
                <w:color w:val="000000"/>
                <w:lang w:bidi="ar"/>
              </w:rPr>
              <w:t>333,468,047.80</w:t>
            </w:r>
          </w:p>
        </w:tc>
      </w:tr>
      <w:tr w14:paraId="3E0987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395F069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无形资产</w:t>
            </w:r>
          </w:p>
        </w:tc>
        <w:tc>
          <w:tcPr>
            <w:tcW w:w="583" w:type="pct"/>
            <w:tcBorders>
              <w:top w:val="outset" w:color="auto" w:sz="6" w:space="0"/>
              <w:left w:val="outset" w:color="auto" w:sz="6" w:space="0"/>
              <w:bottom w:val="outset" w:color="auto" w:sz="6" w:space="0"/>
              <w:right w:val="outset" w:color="auto" w:sz="6" w:space="0"/>
            </w:tcBorders>
            <w:vAlign w:val="center"/>
          </w:tcPr>
          <w:p w14:paraId="68E884E6">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5838690">
            <w:pPr>
              <w:jc w:val="right"/>
              <w:textAlignment w:val="bottom"/>
              <w:rPr>
                <w:rFonts w:cs="Times New Roman"/>
              </w:rPr>
            </w:pPr>
            <w:r>
              <w:rPr>
                <w:rFonts w:eastAsia="Arial Narrow" w:cs="Times New Roman"/>
                <w:color w:val="000000"/>
                <w:lang w:bidi="ar"/>
              </w:rPr>
              <w:t>2,151,828.65</w:t>
            </w:r>
          </w:p>
        </w:tc>
        <w:tc>
          <w:tcPr>
            <w:tcW w:w="1121" w:type="pct"/>
            <w:tcBorders>
              <w:top w:val="outset" w:color="auto" w:sz="6" w:space="0"/>
              <w:left w:val="outset" w:color="auto" w:sz="6" w:space="0"/>
              <w:bottom w:val="outset" w:color="auto" w:sz="6" w:space="0"/>
              <w:right w:val="outset" w:color="auto" w:sz="6" w:space="0"/>
            </w:tcBorders>
            <w:vAlign w:val="bottom"/>
          </w:tcPr>
          <w:p w14:paraId="5F00D2AA">
            <w:pPr>
              <w:jc w:val="right"/>
              <w:textAlignment w:val="bottom"/>
              <w:rPr>
                <w:rFonts w:cs="Times New Roman"/>
              </w:rPr>
            </w:pPr>
            <w:r>
              <w:rPr>
                <w:rFonts w:eastAsia="Arial Narrow" w:cs="Times New Roman"/>
                <w:color w:val="000000"/>
                <w:lang w:bidi="ar"/>
              </w:rPr>
              <w:t>2,401,496.33</w:t>
            </w:r>
          </w:p>
        </w:tc>
      </w:tr>
      <w:tr w14:paraId="7BE2C6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21EA1253">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长期待摊费用</w:t>
            </w:r>
          </w:p>
        </w:tc>
        <w:tc>
          <w:tcPr>
            <w:tcW w:w="583" w:type="pct"/>
            <w:tcBorders>
              <w:top w:val="outset" w:color="auto" w:sz="6" w:space="0"/>
              <w:left w:val="outset" w:color="auto" w:sz="6" w:space="0"/>
              <w:bottom w:val="outset" w:color="auto" w:sz="6" w:space="0"/>
              <w:right w:val="outset" w:color="auto" w:sz="6" w:space="0"/>
            </w:tcBorders>
            <w:vAlign w:val="center"/>
          </w:tcPr>
          <w:p w14:paraId="0558A103">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0F2046B3">
            <w:pPr>
              <w:jc w:val="right"/>
              <w:textAlignment w:val="bottom"/>
              <w:rPr>
                <w:rFonts w:cs="Times New Roman"/>
              </w:rPr>
            </w:pPr>
            <w:r>
              <w:rPr>
                <w:rFonts w:eastAsia="Arial Narrow" w:cs="Times New Roman"/>
                <w:color w:val="000000"/>
                <w:lang w:bidi="ar"/>
              </w:rPr>
              <w:t>141,181.88</w:t>
            </w:r>
          </w:p>
        </w:tc>
        <w:tc>
          <w:tcPr>
            <w:tcW w:w="1121" w:type="pct"/>
            <w:tcBorders>
              <w:top w:val="outset" w:color="auto" w:sz="6" w:space="0"/>
              <w:left w:val="outset" w:color="auto" w:sz="6" w:space="0"/>
              <w:bottom w:val="outset" w:color="auto" w:sz="6" w:space="0"/>
              <w:right w:val="outset" w:color="auto" w:sz="6" w:space="0"/>
            </w:tcBorders>
            <w:vAlign w:val="bottom"/>
          </w:tcPr>
          <w:p w14:paraId="34F26451">
            <w:pPr>
              <w:jc w:val="right"/>
              <w:textAlignment w:val="bottom"/>
              <w:rPr>
                <w:rFonts w:cs="Times New Roman"/>
              </w:rPr>
            </w:pPr>
            <w:r>
              <w:rPr>
                <w:rFonts w:eastAsia="Arial Narrow" w:cs="Times New Roman"/>
                <w:color w:val="000000"/>
                <w:lang w:bidi="ar"/>
              </w:rPr>
              <w:t>174,989.06</w:t>
            </w:r>
          </w:p>
        </w:tc>
      </w:tr>
      <w:tr w14:paraId="3CE65A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73F8C62">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其他非流动资产</w:t>
            </w:r>
          </w:p>
        </w:tc>
        <w:tc>
          <w:tcPr>
            <w:tcW w:w="583" w:type="pct"/>
            <w:tcBorders>
              <w:top w:val="outset" w:color="auto" w:sz="6" w:space="0"/>
              <w:left w:val="outset" w:color="auto" w:sz="6" w:space="0"/>
              <w:bottom w:val="outset" w:color="auto" w:sz="6" w:space="0"/>
              <w:right w:val="outset" w:color="auto" w:sz="6" w:space="0"/>
            </w:tcBorders>
            <w:vAlign w:val="center"/>
          </w:tcPr>
          <w:p w14:paraId="579A3601">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66A19FC4">
            <w:pPr>
              <w:jc w:val="right"/>
              <w:textAlignment w:val="bottom"/>
              <w:rPr>
                <w:rFonts w:cs="Times New Roman"/>
              </w:rPr>
            </w:pPr>
            <w:r>
              <w:rPr>
                <w:rFonts w:eastAsia="Arial Narrow" w:cs="Times New Roman"/>
                <w:color w:val="000000"/>
                <w:lang w:bidi="ar"/>
              </w:rPr>
              <w:t>26,880,326.17</w:t>
            </w:r>
          </w:p>
        </w:tc>
        <w:tc>
          <w:tcPr>
            <w:tcW w:w="1121" w:type="pct"/>
            <w:tcBorders>
              <w:top w:val="outset" w:color="auto" w:sz="6" w:space="0"/>
              <w:left w:val="outset" w:color="auto" w:sz="6" w:space="0"/>
              <w:bottom w:val="outset" w:color="auto" w:sz="6" w:space="0"/>
              <w:right w:val="outset" w:color="auto" w:sz="6" w:space="0"/>
            </w:tcBorders>
            <w:vAlign w:val="bottom"/>
          </w:tcPr>
          <w:p w14:paraId="7FF3D08E">
            <w:pPr>
              <w:jc w:val="right"/>
              <w:textAlignment w:val="bottom"/>
              <w:rPr>
                <w:rFonts w:cs="Times New Roman"/>
              </w:rPr>
            </w:pPr>
            <w:r>
              <w:rPr>
                <w:rFonts w:eastAsia="Arial Narrow" w:cs="Times New Roman"/>
                <w:color w:val="000000"/>
                <w:lang w:bidi="ar"/>
              </w:rPr>
              <w:t>30,317,440.63</w:t>
            </w:r>
          </w:p>
        </w:tc>
      </w:tr>
      <w:tr w14:paraId="7537A4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35072B6F">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非流动资产合计</w:t>
            </w:r>
          </w:p>
        </w:tc>
        <w:tc>
          <w:tcPr>
            <w:tcW w:w="583" w:type="pct"/>
            <w:tcBorders>
              <w:top w:val="outset" w:color="auto" w:sz="6" w:space="0"/>
              <w:left w:val="outset" w:color="auto" w:sz="6" w:space="0"/>
              <w:bottom w:val="outset" w:color="auto" w:sz="6" w:space="0"/>
              <w:right w:val="outset" w:color="auto" w:sz="6" w:space="0"/>
            </w:tcBorders>
            <w:vAlign w:val="center"/>
          </w:tcPr>
          <w:p w14:paraId="36F4F37A">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8073EFD">
            <w:pPr>
              <w:jc w:val="right"/>
              <w:textAlignment w:val="bottom"/>
              <w:rPr>
                <w:rFonts w:cs="Times New Roman"/>
              </w:rPr>
            </w:pPr>
            <w:r>
              <w:rPr>
                <w:rFonts w:eastAsia="Arial Narrow" w:cs="Times New Roman"/>
                <w:color w:val="000000"/>
                <w:lang w:bidi="ar"/>
              </w:rPr>
              <w:t>7,519,067,764.68</w:t>
            </w:r>
          </w:p>
        </w:tc>
        <w:tc>
          <w:tcPr>
            <w:tcW w:w="1121" w:type="pct"/>
            <w:tcBorders>
              <w:top w:val="outset" w:color="auto" w:sz="6" w:space="0"/>
              <w:left w:val="outset" w:color="auto" w:sz="6" w:space="0"/>
              <w:bottom w:val="outset" w:color="auto" w:sz="6" w:space="0"/>
              <w:right w:val="outset" w:color="auto" w:sz="6" w:space="0"/>
            </w:tcBorders>
            <w:vAlign w:val="bottom"/>
          </w:tcPr>
          <w:p w14:paraId="626A8666">
            <w:pPr>
              <w:jc w:val="right"/>
              <w:textAlignment w:val="bottom"/>
              <w:rPr>
                <w:rFonts w:cs="Times New Roman"/>
              </w:rPr>
            </w:pPr>
            <w:r>
              <w:rPr>
                <w:rFonts w:eastAsia="Arial Narrow" w:cs="Times New Roman"/>
                <w:color w:val="000000"/>
                <w:lang w:bidi="ar"/>
              </w:rPr>
              <w:t>7,510,775,928.60</w:t>
            </w:r>
          </w:p>
        </w:tc>
      </w:tr>
      <w:tr w14:paraId="3BDCCA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960C7BB">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资产总计</w:t>
            </w:r>
          </w:p>
        </w:tc>
        <w:tc>
          <w:tcPr>
            <w:tcW w:w="583" w:type="pct"/>
            <w:tcBorders>
              <w:top w:val="outset" w:color="auto" w:sz="6" w:space="0"/>
              <w:left w:val="outset" w:color="auto" w:sz="6" w:space="0"/>
              <w:bottom w:val="outset" w:color="auto" w:sz="6" w:space="0"/>
              <w:right w:val="outset" w:color="auto" w:sz="6" w:space="0"/>
            </w:tcBorders>
            <w:vAlign w:val="center"/>
          </w:tcPr>
          <w:p w14:paraId="2EA7A699">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05801DB">
            <w:pPr>
              <w:jc w:val="right"/>
              <w:textAlignment w:val="bottom"/>
              <w:rPr>
                <w:rFonts w:cs="Times New Roman"/>
              </w:rPr>
            </w:pPr>
            <w:r>
              <w:rPr>
                <w:rFonts w:eastAsia="Arial Narrow" w:cs="Times New Roman"/>
                <w:color w:val="000000"/>
                <w:lang w:bidi="ar"/>
              </w:rPr>
              <w:t>18,060,039,113.70</w:t>
            </w:r>
          </w:p>
        </w:tc>
        <w:tc>
          <w:tcPr>
            <w:tcW w:w="1121" w:type="pct"/>
            <w:tcBorders>
              <w:top w:val="outset" w:color="auto" w:sz="6" w:space="0"/>
              <w:left w:val="outset" w:color="auto" w:sz="6" w:space="0"/>
              <w:bottom w:val="outset" w:color="auto" w:sz="6" w:space="0"/>
              <w:right w:val="outset" w:color="auto" w:sz="6" w:space="0"/>
            </w:tcBorders>
            <w:vAlign w:val="bottom"/>
          </w:tcPr>
          <w:p w14:paraId="644505C5">
            <w:pPr>
              <w:jc w:val="right"/>
              <w:textAlignment w:val="bottom"/>
              <w:rPr>
                <w:rFonts w:cs="Times New Roman"/>
              </w:rPr>
            </w:pPr>
            <w:r>
              <w:rPr>
                <w:rFonts w:eastAsia="Arial Narrow" w:cs="Times New Roman"/>
                <w:color w:val="000000"/>
                <w:lang w:bidi="ar"/>
              </w:rPr>
              <w:t>16,307,672,750.17</w:t>
            </w:r>
          </w:p>
        </w:tc>
      </w:tr>
      <w:tr w14:paraId="69CD9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380943e088034c15ad8af33927d58d1b"/>
            <w:id w:val="147475406"/>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60328485">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流动负债：</w:t>
                </w:r>
              </w:p>
            </w:tc>
          </w:sdtContent>
        </w:sdt>
      </w:tr>
      <w:tr w14:paraId="02EF31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7A0ACF9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短期借款</w:t>
            </w:r>
          </w:p>
        </w:tc>
        <w:tc>
          <w:tcPr>
            <w:tcW w:w="583" w:type="pct"/>
            <w:tcBorders>
              <w:top w:val="outset" w:color="auto" w:sz="6" w:space="0"/>
              <w:left w:val="outset" w:color="auto" w:sz="6" w:space="0"/>
              <w:bottom w:val="outset" w:color="auto" w:sz="6" w:space="0"/>
              <w:right w:val="outset" w:color="auto" w:sz="6" w:space="0"/>
            </w:tcBorders>
            <w:vAlign w:val="center"/>
          </w:tcPr>
          <w:p w14:paraId="6F140CC3">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center"/>
          </w:tcPr>
          <w:p w14:paraId="3C1A3B5C">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center"/>
          </w:tcPr>
          <w:p w14:paraId="5059F8A6">
            <w:pPr>
              <w:jc w:val="right"/>
              <w:rPr>
                <w:rFonts w:cs="Times New Roman"/>
              </w:rPr>
            </w:pPr>
          </w:p>
        </w:tc>
      </w:tr>
      <w:tr w14:paraId="6890C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23CF5AF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应付账款</w:t>
            </w:r>
          </w:p>
        </w:tc>
        <w:tc>
          <w:tcPr>
            <w:tcW w:w="583" w:type="pct"/>
            <w:tcBorders>
              <w:top w:val="outset" w:color="auto" w:sz="6" w:space="0"/>
              <w:left w:val="outset" w:color="auto" w:sz="6" w:space="0"/>
              <w:bottom w:val="outset" w:color="auto" w:sz="6" w:space="0"/>
              <w:right w:val="outset" w:color="auto" w:sz="6" w:space="0"/>
            </w:tcBorders>
            <w:vAlign w:val="center"/>
          </w:tcPr>
          <w:p w14:paraId="4DF649A2">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41B80919">
            <w:pPr>
              <w:jc w:val="right"/>
              <w:textAlignment w:val="bottom"/>
              <w:rPr>
                <w:rFonts w:cs="Times New Roman"/>
              </w:rPr>
            </w:pPr>
            <w:r>
              <w:rPr>
                <w:rFonts w:eastAsia="Arial Narrow" w:cs="Times New Roman"/>
                <w:color w:val="000000"/>
                <w:lang w:bidi="ar"/>
              </w:rPr>
              <w:t>39,479,648.53</w:t>
            </w:r>
          </w:p>
        </w:tc>
        <w:tc>
          <w:tcPr>
            <w:tcW w:w="1121" w:type="pct"/>
            <w:tcBorders>
              <w:top w:val="outset" w:color="auto" w:sz="6" w:space="0"/>
              <w:left w:val="outset" w:color="auto" w:sz="6" w:space="0"/>
              <w:bottom w:val="outset" w:color="auto" w:sz="6" w:space="0"/>
              <w:right w:val="outset" w:color="auto" w:sz="6" w:space="0"/>
            </w:tcBorders>
            <w:vAlign w:val="bottom"/>
          </w:tcPr>
          <w:p w14:paraId="4F17B7DF">
            <w:pPr>
              <w:jc w:val="right"/>
              <w:textAlignment w:val="bottom"/>
              <w:rPr>
                <w:rFonts w:cs="Times New Roman"/>
              </w:rPr>
            </w:pPr>
            <w:r>
              <w:rPr>
                <w:rFonts w:eastAsia="Arial Narrow" w:cs="Times New Roman"/>
                <w:color w:val="000000"/>
                <w:lang w:bidi="ar"/>
              </w:rPr>
              <w:t>39,562,648.53</w:t>
            </w:r>
          </w:p>
        </w:tc>
      </w:tr>
      <w:tr w14:paraId="3A7290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DB5191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合同负债</w:t>
            </w:r>
          </w:p>
        </w:tc>
        <w:tc>
          <w:tcPr>
            <w:tcW w:w="583" w:type="pct"/>
            <w:tcBorders>
              <w:top w:val="outset" w:color="auto" w:sz="6" w:space="0"/>
              <w:left w:val="outset" w:color="auto" w:sz="6" w:space="0"/>
              <w:bottom w:val="outset" w:color="auto" w:sz="6" w:space="0"/>
              <w:right w:val="outset" w:color="auto" w:sz="6" w:space="0"/>
            </w:tcBorders>
            <w:vAlign w:val="center"/>
          </w:tcPr>
          <w:p w14:paraId="779CC00B">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44885C3D">
            <w:pPr>
              <w:jc w:val="right"/>
              <w:textAlignment w:val="bottom"/>
              <w:rPr>
                <w:rFonts w:cs="Times New Roman"/>
              </w:rPr>
            </w:pPr>
            <w:r>
              <w:rPr>
                <w:rFonts w:eastAsia="Arial Narrow" w:cs="Times New Roman"/>
                <w:color w:val="000000"/>
                <w:lang w:bidi="ar"/>
              </w:rPr>
              <w:t>1,138,247.38</w:t>
            </w:r>
          </w:p>
        </w:tc>
        <w:tc>
          <w:tcPr>
            <w:tcW w:w="1121" w:type="pct"/>
            <w:tcBorders>
              <w:top w:val="outset" w:color="auto" w:sz="6" w:space="0"/>
              <w:left w:val="outset" w:color="auto" w:sz="6" w:space="0"/>
              <w:bottom w:val="outset" w:color="auto" w:sz="6" w:space="0"/>
              <w:right w:val="outset" w:color="auto" w:sz="6" w:space="0"/>
            </w:tcBorders>
            <w:vAlign w:val="bottom"/>
          </w:tcPr>
          <w:p w14:paraId="37C821E4">
            <w:pPr>
              <w:jc w:val="right"/>
              <w:textAlignment w:val="bottom"/>
              <w:rPr>
                <w:rFonts w:cs="Times New Roman"/>
              </w:rPr>
            </w:pPr>
            <w:r>
              <w:rPr>
                <w:rFonts w:eastAsia="Arial Narrow" w:cs="Times New Roman"/>
                <w:color w:val="000000"/>
                <w:lang w:bidi="ar"/>
              </w:rPr>
              <w:t>1,060,237.70</w:t>
            </w:r>
          </w:p>
        </w:tc>
      </w:tr>
      <w:tr w14:paraId="0362B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17F453A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应付职工薪酬</w:t>
            </w:r>
          </w:p>
        </w:tc>
        <w:tc>
          <w:tcPr>
            <w:tcW w:w="583" w:type="pct"/>
            <w:tcBorders>
              <w:top w:val="outset" w:color="auto" w:sz="6" w:space="0"/>
              <w:left w:val="outset" w:color="auto" w:sz="6" w:space="0"/>
              <w:bottom w:val="outset" w:color="auto" w:sz="6" w:space="0"/>
              <w:right w:val="outset" w:color="auto" w:sz="6" w:space="0"/>
            </w:tcBorders>
            <w:vAlign w:val="center"/>
          </w:tcPr>
          <w:p w14:paraId="4ABCB720">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6B2E0EA8">
            <w:pPr>
              <w:jc w:val="right"/>
              <w:textAlignment w:val="bottom"/>
              <w:rPr>
                <w:rFonts w:cs="Times New Roman"/>
              </w:rPr>
            </w:pPr>
            <w:r>
              <w:rPr>
                <w:rFonts w:eastAsia="Arial Narrow" w:cs="Times New Roman"/>
                <w:color w:val="000000"/>
                <w:lang w:bidi="ar"/>
              </w:rPr>
              <w:t>10,381,157.77</w:t>
            </w:r>
          </w:p>
        </w:tc>
        <w:tc>
          <w:tcPr>
            <w:tcW w:w="1121" w:type="pct"/>
            <w:tcBorders>
              <w:top w:val="outset" w:color="auto" w:sz="6" w:space="0"/>
              <w:left w:val="outset" w:color="auto" w:sz="6" w:space="0"/>
              <w:bottom w:val="outset" w:color="auto" w:sz="6" w:space="0"/>
              <w:right w:val="outset" w:color="auto" w:sz="6" w:space="0"/>
            </w:tcBorders>
            <w:vAlign w:val="bottom"/>
          </w:tcPr>
          <w:p w14:paraId="6F797792">
            <w:pPr>
              <w:jc w:val="right"/>
              <w:textAlignment w:val="bottom"/>
              <w:rPr>
                <w:rFonts w:cs="Times New Roman"/>
              </w:rPr>
            </w:pPr>
            <w:r>
              <w:rPr>
                <w:rFonts w:eastAsia="Arial Narrow" w:cs="Times New Roman"/>
                <w:color w:val="000000"/>
                <w:lang w:bidi="ar"/>
              </w:rPr>
              <w:t>25,351,140.75</w:t>
            </w:r>
          </w:p>
        </w:tc>
      </w:tr>
      <w:tr w14:paraId="141E8F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3EE079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应交税费</w:t>
            </w:r>
          </w:p>
        </w:tc>
        <w:tc>
          <w:tcPr>
            <w:tcW w:w="583" w:type="pct"/>
            <w:tcBorders>
              <w:top w:val="outset" w:color="auto" w:sz="6" w:space="0"/>
              <w:left w:val="outset" w:color="auto" w:sz="6" w:space="0"/>
              <w:bottom w:val="outset" w:color="auto" w:sz="6" w:space="0"/>
              <w:right w:val="outset" w:color="auto" w:sz="6" w:space="0"/>
            </w:tcBorders>
            <w:vAlign w:val="center"/>
          </w:tcPr>
          <w:p w14:paraId="7CC3F196">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390C0068">
            <w:pPr>
              <w:jc w:val="right"/>
              <w:textAlignment w:val="bottom"/>
              <w:rPr>
                <w:rFonts w:cs="Times New Roman"/>
              </w:rPr>
            </w:pPr>
            <w:r>
              <w:rPr>
                <w:rFonts w:eastAsia="Arial Narrow" w:cs="Times New Roman"/>
                <w:color w:val="000000"/>
                <w:lang w:bidi="ar"/>
              </w:rPr>
              <w:t>6,115,864.77</w:t>
            </w:r>
          </w:p>
        </w:tc>
        <w:tc>
          <w:tcPr>
            <w:tcW w:w="1121" w:type="pct"/>
            <w:tcBorders>
              <w:top w:val="outset" w:color="auto" w:sz="6" w:space="0"/>
              <w:left w:val="outset" w:color="auto" w:sz="6" w:space="0"/>
              <w:bottom w:val="outset" w:color="auto" w:sz="6" w:space="0"/>
              <w:right w:val="outset" w:color="auto" w:sz="6" w:space="0"/>
            </w:tcBorders>
            <w:vAlign w:val="bottom"/>
          </w:tcPr>
          <w:p w14:paraId="6B3837AF">
            <w:pPr>
              <w:jc w:val="right"/>
              <w:textAlignment w:val="bottom"/>
              <w:rPr>
                <w:rFonts w:cs="Times New Roman"/>
              </w:rPr>
            </w:pPr>
            <w:r>
              <w:rPr>
                <w:rFonts w:eastAsia="Arial Narrow" w:cs="Times New Roman"/>
                <w:color w:val="000000"/>
                <w:lang w:bidi="ar"/>
              </w:rPr>
              <w:t>6,721,701.55</w:t>
            </w:r>
          </w:p>
        </w:tc>
      </w:tr>
      <w:tr w14:paraId="7E1992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4A21BB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其他应付款</w:t>
            </w:r>
          </w:p>
        </w:tc>
        <w:tc>
          <w:tcPr>
            <w:tcW w:w="583" w:type="pct"/>
            <w:tcBorders>
              <w:top w:val="outset" w:color="auto" w:sz="6" w:space="0"/>
              <w:left w:val="outset" w:color="auto" w:sz="6" w:space="0"/>
              <w:bottom w:val="outset" w:color="auto" w:sz="6" w:space="0"/>
              <w:right w:val="outset" w:color="auto" w:sz="6" w:space="0"/>
            </w:tcBorders>
            <w:vAlign w:val="center"/>
          </w:tcPr>
          <w:p w14:paraId="63A478F2">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001468AC">
            <w:pPr>
              <w:jc w:val="right"/>
              <w:textAlignment w:val="bottom"/>
              <w:rPr>
                <w:rFonts w:cs="Times New Roman"/>
              </w:rPr>
            </w:pPr>
            <w:r>
              <w:rPr>
                <w:rFonts w:eastAsia="Arial Narrow" w:cs="Times New Roman"/>
                <w:color w:val="000000"/>
                <w:lang w:bidi="ar"/>
              </w:rPr>
              <w:t>2,319,180,683.42</w:t>
            </w:r>
          </w:p>
        </w:tc>
        <w:tc>
          <w:tcPr>
            <w:tcW w:w="1121" w:type="pct"/>
            <w:tcBorders>
              <w:top w:val="outset" w:color="auto" w:sz="6" w:space="0"/>
              <w:left w:val="outset" w:color="auto" w:sz="6" w:space="0"/>
              <w:bottom w:val="outset" w:color="auto" w:sz="6" w:space="0"/>
              <w:right w:val="outset" w:color="auto" w:sz="6" w:space="0"/>
            </w:tcBorders>
            <w:vAlign w:val="bottom"/>
          </w:tcPr>
          <w:p w14:paraId="7A8768DF">
            <w:pPr>
              <w:jc w:val="right"/>
              <w:textAlignment w:val="bottom"/>
              <w:rPr>
                <w:rFonts w:cs="Times New Roman"/>
              </w:rPr>
            </w:pPr>
            <w:r>
              <w:rPr>
                <w:rFonts w:eastAsia="Arial Narrow" w:cs="Times New Roman"/>
                <w:color w:val="000000"/>
                <w:lang w:bidi="ar"/>
              </w:rPr>
              <w:t>2,542,137,408.69</w:t>
            </w:r>
          </w:p>
        </w:tc>
      </w:tr>
      <w:tr w14:paraId="5CCA66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93C557F">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其中：应付利息</w:t>
            </w:r>
          </w:p>
        </w:tc>
        <w:tc>
          <w:tcPr>
            <w:tcW w:w="583" w:type="pct"/>
            <w:tcBorders>
              <w:top w:val="outset" w:color="auto" w:sz="6" w:space="0"/>
              <w:left w:val="outset" w:color="auto" w:sz="6" w:space="0"/>
              <w:bottom w:val="outset" w:color="auto" w:sz="6" w:space="0"/>
              <w:right w:val="outset" w:color="auto" w:sz="6" w:space="0"/>
            </w:tcBorders>
            <w:vAlign w:val="center"/>
          </w:tcPr>
          <w:p w14:paraId="3141EC3A">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74B66CBB">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bottom"/>
          </w:tcPr>
          <w:p w14:paraId="5D6F1197">
            <w:pPr>
              <w:jc w:val="right"/>
              <w:rPr>
                <w:rFonts w:cs="Times New Roman"/>
              </w:rPr>
            </w:pPr>
          </w:p>
        </w:tc>
      </w:tr>
      <w:tr w14:paraId="56BF0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78AE85A7">
            <w:pPr>
              <w:ind w:firstLine="840" w:firstLineChars="4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应付股利</w:t>
            </w:r>
          </w:p>
        </w:tc>
        <w:tc>
          <w:tcPr>
            <w:tcW w:w="583" w:type="pct"/>
            <w:tcBorders>
              <w:top w:val="outset" w:color="auto" w:sz="6" w:space="0"/>
              <w:left w:val="outset" w:color="auto" w:sz="6" w:space="0"/>
              <w:bottom w:val="outset" w:color="auto" w:sz="6" w:space="0"/>
              <w:right w:val="outset" w:color="auto" w:sz="6" w:space="0"/>
            </w:tcBorders>
            <w:vAlign w:val="center"/>
          </w:tcPr>
          <w:p w14:paraId="65CD65F1">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64CFFB8B">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bottom"/>
          </w:tcPr>
          <w:p w14:paraId="17B0A5F3">
            <w:pPr>
              <w:jc w:val="right"/>
              <w:rPr>
                <w:rFonts w:cs="Times New Roman"/>
              </w:rPr>
            </w:pPr>
          </w:p>
        </w:tc>
      </w:tr>
      <w:tr w14:paraId="5B9779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14AD68E9">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一年内到期的非流动负债</w:t>
            </w:r>
          </w:p>
        </w:tc>
        <w:tc>
          <w:tcPr>
            <w:tcW w:w="583" w:type="pct"/>
            <w:tcBorders>
              <w:top w:val="outset" w:color="auto" w:sz="6" w:space="0"/>
              <w:left w:val="outset" w:color="auto" w:sz="6" w:space="0"/>
              <w:bottom w:val="outset" w:color="auto" w:sz="6" w:space="0"/>
              <w:right w:val="outset" w:color="auto" w:sz="6" w:space="0"/>
            </w:tcBorders>
            <w:vAlign w:val="center"/>
          </w:tcPr>
          <w:p w14:paraId="34FA3CEA">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44B0C93D">
            <w:pPr>
              <w:jc w:val="right"/>
              <w:textAlignment w:val="bottom"/>
              <w:rPr>
                <w:rFonts w:cs="Times New Roman"/>
              </w:rPr>
            </w:pPr>
            <w:r>
              <w:rPr>
                <w:rFonts w:eastAsia="Arial Narrow" w:cs="Times New Roman"/>
                <w:color w:val="000000"/>
                <w:lang w:bidi="ar"/>
              </w:rPr>
              <w:t>506,003,453.61</w:t>
            </w:r>
          </w:p>
        </w:tc>
        <w:tc>
          <w:tcPr>
            <w:tcW w:w="1121" w:type="pct"/>
            <w:tcBorders>
              <w:top w:val="outset" w:color="auto" w:sz="6" w:space="0"/>
              <w:left w:val="outset" w:color="auto" w:sz="6" w:space="0"/>
              <w:bottom w:val="outset" w:color="auto" w:sz="6" w:space="0"/>
              <w:right w:val="outset" w:color="auto" w:sz="6" w:space="0"/>
            </w:tcBorders>
            <w:vAlign w:val="bottom"/>
          </w:tcPr>
          <w:p w14:paraId="4895E044">
            <w:pPr>
              <w:jc w:val="right"/>
              <w:textAlignment w:val="bottom"/>
              <w:rPr>
                <w:rFonts w:cs="Times New Roman"/>
              </w:rPr>
            </w:pPr>
            <w:r>
              <w:rPr>
                <w:rFonts w:eastAsia="Arial Narrow" w:cs="Times New Roman"/>
                <w:color w:val="000000"/>
                <w:lang w:bidi="ar"/>
              </w:rPr>
              <w:t>22,277,303.59</w:t>
            </w:r>
          </w:p>
        </w:tc>
      </w:tr>
      <w:tr w14:paraId="65922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198A0C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其他流动负债</w:t>
            </w:r>
          </w:p>
        </w:tc>
        <w:tc>
          <w:tcPr>
            <w:tcW w:w="583" w:type="pct"/>
            <w:tcBorders>
              <w:top w:val="outset" w:color="auto" w:sz="6" w:space="0"/>
              <w:left w:val="outset" w:color="auto" w:sz="6" w:space="0"/>
              <w:bottom w:val="outset" w:color="auto" w:sz="6" w:space="0"/>
              <w:right w:val="outset" w:color="auto" w:sz="6" w:space="0"/>
            </w:tcBorders>
            <w:vAlign w:val="center"/>
          </w:tcPr>
          <w:p w14:paraId="3DA2208D">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78A0BE22">
            <w:pPr>
              <w:jc w:val="right"/>
              <w:textAlignment w:val="bottom"/>
              <w:rPr>
                <w:rFonts w:cs="Times New Roman"/>
              </w:rPr>
            </w:pPr>
            <w:r>
              <w:rPr>
                <w:rFonts w:eastAsia="Arial Narrow" w:cs="Times New Roman"/>
                <w:color w:val="000000"/>
                <w:lang w:bidi="ar"/>
              </w:rPr>
              <w:t>234,458,160.28</w:t>
            </w:r>
          </w:p>
        </w:tc>
        <w:tc>
          <w:tcPr>
            <w:tcW w:w="1121" w:type="pct"/>
            <w:tcBorders>
              <w:top w:val="outset" w:color="auto" w:sz="6" w:space="0"/>
              <w:left w:val="outset" w:color="auto" w:sz="6" w:space="0"/>
              <w:bottom w:val="outset" w:color="auto" w:sz="6" w:space="0"/>
              <w:right w:val="outset" w:color="auto" w:sz="6" w:space="0"/>
            </w:tcBorders>
            <w:vAlign w:val="bottom"/>
          </w:tcPr>
          <w:p w14:paraId="2A72122A">
            <w:pPr>
              <w:jc w:val="right"/>
              <w:textAlignment w:val="bottom"/>
              <w:rPr>
                <w:rFonts w:cs="Times New Roman"/>
              </w:rPr>
            </w:pPr>
            <w:r>
              <w:rPr>
                <w:rFonts w:eastAsia="Arial Narrow" w:cs="Times New Roman"/>
                <w:color w:val="000000"/>
                <w:lang w:bidi="ar"/>
              </w:rPr>
              <w:t>234,592,286.74</w:t>
            </w:r>
          </w:p>
        </w:tc>
      </w:tr>
      <w:tr w14:paraId="12836C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49096AB">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流动负债合计</w:t>
            </w:r>
          </w:p>
        </w:tc>
        <w:tc>
          <w:tcPr>
            <w:tcW w:w="583" w:type="pct"/>
            <w:tcBorders>
              <w:top w:val="outset" w:color="auto" w:sz="6" w:space="0"/>
              <w:left w:val="outset" w:color="auto" w:sz="6" w:space="0"/>
              <w:bottom w:val="outset" w:color="auto" w:sz="6" w:space="0"/>
              <w:right w:val="outset" w:color="auto" w:sz="6" w:space="0"/>
            </w:tcBorders>
            <w:vAlign w:val="center"/>
          </w:tcPr>
          <w:p w14:paraId="53627AA6">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B9F0E0C">
            <w:pPr>
              <w:jc w:val="right"/>
              <w:textAlignment w:val="bottom"/>
              <w:rPr>
                <w:rFonts w:cs="Times New Roman"/>
              </w:rPr>
            </w:pPr>
            <w:r>
              <w:rPr>
                <w:rFonts w:eastAsia="Arial Narrow" w:cs="Times New Roman"/>
                <w:color w:val="000000"/>
                <w:lang w:bidi="ar"/>
              </w:rPr>
              <w:t>3,116,757,215.76</w:t>
            </w:r>
          </w:p>
        </w:tc>
        <w:tc>
          <w:tcPr>
            <w:tcW w:w="1121" w:type="pct"/>
            <w:tcBorders>
              <w:top w:val="outset" w:color="auto" w:sz="6" w:space="0"/>
              <w:left w:val="outset" w:color="auto" w:sz="6" w:space="0"/>
              <w:bottom w:val="outset" w:color="auto" w:sz="6" w:space="0"/>
              <w:right w:val="outset" w:color="auto" w:sz="6" w:space="0"/>
            </w:tcBorders>
            <w:vAlign w:val="bottom"/>
          </w:tcPr>
          <w:p w14:paraId="229F850A">
            <w:pPr>
              <w:jc w:val="right"/>
              <w:textAlignment w:val="bottom"/>
              <w:rPr>
                <w:rFonts w:cs="Times New Roman"/>
              </w:rPr>
            </w:pPr>
            <w:r>
              <w:rPr>
                <w:rFonts w:eastAsia="Arial Narrow" w:cs="Times New Roman"/>
                <w:color w:val="000000"/>
                <w:lang w:bidi="ar"/>
              </w:rPr>
              <w:t>2,871,702,727.55</w:t>
            </w:r>
          </w:p>
        </w:tc>
      </w:tr>
      <w:tr w14:paraId="08E050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e62929b21cd4456494013c9cb0dc5b16"/>
            <w:id w:val="147456172"/>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52AFC26F">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非流动负债：</w:t>
                </w:r>
              </w:p>
            </w:tc>
          </w:sdtContent>
        </w:sdt>
      </w:tr>
      <w:tr w14:paraId="069DAB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DA9086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长期借款</w:t>
            </w:r>
          </w:p>
        </w:tc>
        <w:tc>
          <w:tcPr>
            <w:tcW w:w="583" w:type="pct"/>
            <w:tcBorders>
              <w:top w:val="outset" w:color="auto" w:sz="6" w:space="0"/>
              <w:left w:val="outset" w:color="auto" w:sz="6" w:space="0"/>
              <w:bottom w:val="outset" w:color="auto" w:sz="6" w:space="0"/>
              <w:right w:val="outset" w:color="auto" w:sz="6" w:space="0"/>
            </w:tcBorders>
            <w:vAlign w:val="center"/>
          </w:tcPr>
          <w:p w14:paraId="39B4DCF7">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778DB25C">
            <w:pPr>
              <w:jc w:val="right"/>
              <w:textAlignment w:val="bottom"/>
              <w:rPr>
                <w:rFonts w:cs="Times New Roman"/>
              </w:rPr>
            </w:pPr>
            <w:r>
              <w:rPr>
                <w:rFonts w:eastAsia="Arial Narrow" w:cs="Times New Roman"/>
                <w:color w:val="000000"/>
                <w:lang w:bidi="ar"/>
              </w:rPr>
              <w:t>2,483,869,690.10</w:t>
            </w:r>
          </w:p>
        </w:tc>
        <w:tc>
          <w:tcPr>
            <w:tcW w:w="1121" w:type="pct"/>
            <w:tcBorders>
              <w:top w:val="outset" w:color="auto" w:sz="6" w:space="0"/>
              <w:left w:val="outset" w:color="auto" w:sz="6" w:space="0"/>
              <w:bottom w:val="outset" w:color="auto" w:sz="6" w:space="0"/>
              <w:right w:val="outset" w:color="auto" w:sz="6" w:space="0"/>
            </w:tcBorders>
            <w:vAlign w:val="bottom"/>
          </w:tcPr>
          <w:p w14:paraId="2B2E4C16">
            <w:pPr>
              <w:jc w:val="right"/>
              <w:textAlignment w:val="bottom"/>
              <w:rPr>
                <w:rFonts w:cs="Times New Roman"/>
              </w:rPr>
            </w:pPr>
            <w:r>
              <w:rPr>
                <w:rFonts w:eastAsia="Arial Narrow" w:cs="Times New Roman"/>
                <w:color w:val="000000"/>
                <w:lang w:bidi="ar"/>
              </w:rPr>
              <w:t>497,317,783.34</w:t>
            </w:r>
          </w:p>
        </w:tc>
      </w:tr>
      <w:tr w14:paraId="520F5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6292D76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应付债券</w:t>
            </w:r>
          </w:p>
        </w:tc>
        <w:tc>
          <w:tcPr>
            <w:tcW w:w="583" w:type="pct"/>
            <w:tcBorders>
              <w:top w:val="outset" w:color="auto" w:sz="6" w:space="0"/>
              <w:left w:val="outset" w:color="auto" w:sz="6" w:space="0"/>
              <w:bottom w:val="outset" w:color="auto" w:sz="6" w:space="0"/>
              <w:right w:val="outset" w:color="auto" w:sz="6" w:space="0"/>
            </w:tcBorders>
            <w:vAlign w:val="center"/>
          </w:tcPr>
          <w:p w14:paraId="30A1BC20">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C90A69F">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bottom"/>
          </w:tcPr>
          <w:p w14:paraId="56923D33">
            <w:pPr>
              <w:jc w:val="right"/>
              <w:textAlignment w:val="bottom"/>
              <w:rPr>
                <w:rFonts w:cs="Times New Roman"/>
              </w:rPr>
            </w:pPr>
            <w:r>
              <w:rPr>
                <w:rFonts w:eastAsia="Arial Narrow" w:cs="Times New Roman"/>
                <w:color w:val="000000"/>
                <w:lang w:bidi="ar"/>
              </w:rPr>
              <w:t>508,560,210.28</w:t>
            </w:r>
          </w:p>
        </w:tc>
      </w:tr>
      <w:tr w14:paraId="683FBB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118C2779">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长期应付款</w:t>
            </w:r>
          </w:p>
        </w:tc>
        <w:tc>
          <w:tcPr>
            <w:tcW w:w="583" w:type="pct"/>
            <w:tcBorders>
              <w:top w:val="outset" w:color="auto" w:sz="6" w:space="0"/>
              <w:left w:val="outset" w:color="auto" w:sz="6" w:space="0"/>
              <w:bottom w:val="outset" w:color="auto" w:sz="6" w:space="0"/>
              <w:right w:val="outset" w:color="auto" w:sz="6" w:space="0"/>
            </w:tcBorders>
            <w:vAlign w:val="center"/>
          </w:tcPr>
          <w:p w14:paraId="408E20AC">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573D3CDB">
            <w:pPr>
              <w:jc w:val="right"/>
              <w:rPr>
                <w:rFonts w:cs="Times New Roman"/>
              </w:rPr>
            </w:pPr>
          </w:p>
        </w:tc>
        <w:tc>
          <w:tcPr>
            <w:tcW w:w="1121" w:type="pct"/>
            <w:tcBorders>
              <w:top w:val="outset" w:color="auto" w:sz="6" w:space="0"/>
              <w:left w:val="outset" w:color="auto" w:sz="6" w:space="0"/>
              <w:bottom w:val="outset" w:color="auto" w:sz="6" w:space="0"/>
              <w:right w:val="outset" w:color="auto" w:sz="6" w:space="0"/>
            </w:tcBorders>
            <w:vAlign w:val="bottom"/>
          </w:tcPr>
          <w:p w14:paraId="1278C939">
            <w:pPr>
              <w:jc w:val="right"/>
              <w:textAlignment w:val="bottom"/>
              <w:rPr>
                <w:rFonts w:cs="Times New Roman"/>
              </w:rPr>
            </w:pPr>
            <w:r>
              <w:rPr>
                <w:rFonts w:eastAsia="Arial Narrow" w:cs="Times New Roman"/>
                <w:color w:val="000000"/>
                <w:lang w:bidi="ar"/>
              </w:rPr>
              <w:t>5,200,000.00</w:t>
            </w:r>
          </w:p>
        </w:tc>
      </w:tr>
      <w:tr w14:paraId="7B750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B8C1E14">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递延收益</w:t>
            </w:r>
          </w:p>
        </w:tc>
        <w:tc>
          <w:tcPr>
            <w:tcW w:w="583" w:type="pct"/>
            <w:tcBorders>
              <w:top w:val="outset" w:color="auto" w:sz="6" w:space="0"/>
              <w:left w:val="outset" w:color="auto" w:sz="6" w:space="0"/>
              <w:bottom w:val="outset" w:color="auto" w:sz="6" w:space="0"/>
              <w:right w:val="outset" w:color="auto" w:sz="6" w:space="0"/>
            </w:tcBorders>
            <w:vAlign w:val="center"/>
          </w:tcPr>
          <w:p w14:paraId="73B4023E">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0C240B21">
            <w:pPr>
              <w:jc w:val="right"/>
              <w:textAlignment w:val="bottom"/>
              <w:rPr>
                <w:rFonts w:cs="Times New Roman"/>
              </w:rPr>
            </w:pPr>
            <w:r>
              <w:rPr>
                <w:rFonts w:eastAsia="Arial Narrow" w:cs="Times New Roman"/>
                <w:color w:val="000000"/>
                <w:lang w:bidi="ar"/>
              </w:rPr>
              <w:t>1,549,819.78</w:t>
            </w:r>
          </w:p>
        </w:tc>
        <w:tc>
          <w:tcPr>
            <w:tcW w:w="1121" w:type="pct"/>
            <w:tcBorders>
              <w:top w:val="outset" w:color="auto" w:sz="6" w:space="0"/>
              <w:left w:val="outset" w:color="auto" w:sz="6" w:space="0"/>
              <w:bottom w:val="outset" w:color="auto" w:sz="6" w:space="0"/>
              <w:right w:val="outset" w:color="auto" w:sz="6" w:space="0"/>
            </w:tcBorders>
            <w:vAlign w:val="bottom"/>
          </w:tcPr>
          <w:p w14:paraId="7815EBE9">
            <w:pPr>
              <w:jc w:val="right"/>
              <w:textAlignment w:val="bottom"/>
              <w:rPr>
                <w:rFonts w:cs="Times New Roman"/>
              </w:rPr>
            </w:pPr>
            <w:r>
              <w:rPr>
                <w:rFonts w:eastAsia="Arial Narrow" w:cs="Times New Roman"/>
                <w:color w:val="000000"/>
                <w:lang w:bidi="ar"/>
              </w:rPr>
              <w:t>467,467.98</w:t>
            </w:r>
          </w:p>
        </w:tc>
      </w:tr>
      <w:tr w14:paraId="2CB52E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3809A5E4">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非流动负债合计</w:t>
            </w:r>
          </w:p>
        </w:tc>
        <w:tc>
          <w:tcPr>
            <w:tcW w:w="583" w:type="pct"/>
            <w:tcBorders>
              <w:top w:val="outset" w:color="auto" w:sz="6" w:space="0"/>
              <w:left w:val="outset" w:color="auto" w:sz="6" w:space="0"/>
              <w:bottom w:val="outset" w:color="auto" w:sz="6" w:space="0"/>
              <w:right w:val="outset" w:color="auto" w:sz="6" w:space="0"/>
            </w:tcBorders>
            <w:vAlign w:val="center"/>
          </w:tcPr>
          <w:p w14:paraId="0F44749A">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2838924B">
            <w:pPr>
              <w:jc w:val="right"/>
              <w:textAlignment w:val="bottom"/>
              <w:rPr>
                <w:rFonts w:cs="Times New Roman"/>
              </w:rPr>
            </w:pPr>
            <w:r>
              <w:rPr>
                <w:rFonts w:eastAsia="Arial Narrow" w:cs="Times New Roman"/>
                <w:color w:val="000000"/>
                <w:lang w:bidi="ar"/>
              </w:rPr>
              <w:t>2,485,419,509.88</w:t>
            </w:r>
          </w:p>
        </w:tc>
        <w:tc>
          <w:tcPr>
            <w:tcW w:w="1121" w:type="pct"/>
            <w:tcBorders>
              <w:top w:val="outset" w:color="auto" w:sz="6" w:space="0"/>
              <w:left w:val="outset" w:color="auto" w:sz="6" w:space="0"/>
              <w:bottom w:val="outset" w:color="auto" w:sz="6" w:space="0"/>
              <w:right w:val="outset" w:color="auto" w:sz="6" w:space="0"/>
            </w:tcBorders>
            <w:vAlign w:val="bottom"/>
          </w:tcPr>
          <w:p w14:paraId="6C7543FC">
            <w:pPr>
              <w:jc w:val="right"/>
              <w:textAlignment w:val="bottom"/>
              <w:rPr>
                <w:rFonts w:cs="Times New Roman"/>
              </w:rPr>
            </w:pPr>
            <w:r>
              <w:rPr>
                <w:rFonts w:eastAsia="Arial Narrow" w:cs="Times New Roman"/>
                <w:color w:val="000000"/>
                <w:lang w:bidi="ar"/>
              </w:rPr>
              <w:t>1,011,545,461.60</w:t>
            </w:r>
          </w:p>
        </w:tc>
      </w:tr>
      <w:tr w14:paraId="113DAA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BE43656">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负债合计</w:t>
            </w:r>
          </w:p>
        </w:tc>
        <w:tc>
          <w:tcPr>
            <w:tcW w:w="583" w:type="pct"/>
            <w:tcBorders>
              <w:top w:val="outset" w:color="auto" w:sz="6" w:space="0"/>
              <w:left w:val="outset" w:color="auto" w:sz="6" w:space="0"/>
              <w:bottom w:val="outset" w:color="auto" w:sz="6" w:space="0"/>
              <w:right w:val="outset" w:color="auto" w:sz="6" w:space="0"/>
            </w:tcBorders>
            <w:vAlign w:val="center"/>
          </w:tcPr>
          <w:p w14:paraId="5350C257">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8592147">
            <w:pPr>
              <w:jc w:val="right"/>
              <w:textAlignment w:val="bottom"/>
              <w:rPr>
                <w:rFonts w:cs="Times New Roman"/>
              </w:rPr>
            </w:pPr>
            <w:r>
              <w:rPr>
                <w:rFonts w:eastAsia="Arial Narrow" w:cs="Times New Roman"/>
                <w:color w:val="000000"/>
                <w:lang w:bidi="ar"/>
              </w:rPr>
              <w:t>5,602,176,725.64</w:t>
            </w:r>
          </w:p>
        </w:tc>
        <w:tc>
          <w:tcPr>
            <w:tcW w:w="1121" w:type="pct"/>
            <w:tcBorders>
              <w:top w:val="outset" w:color="auto" w:sz="6" w:space="0"/>
              <w:left w:val="outset" w:color="auto" w:sz="6" w:space="0"/>
              <w:bottom w:val="outset" w:color="auto" w:sz="6" w:space="0"/>
              <w:right w:val="outset" w:color="auto" w:sz="6" w:space="0"/>
            </w:tcBorders>
            <w:vAlign w:val="bottom"/>
          </w:tcPr>
          <w:p w14:paraId="32E64C6D">
            <w:pPr>
              <w:jc w:val="right"/>
              <w:textAlignment w:val="bottom"/>
              <w:rPr>
                <w:rFonts w:cs="Times New Roman"/>
              </w:rPr>
            </w:pPr>
            <w:r>
              <w:rPr>
                <w:rFonts w:eastAsia="Arial Narrow" w:cs="Times New Roman"/>
                <w:color w:val="000000"/>
                <w:lang w:bidi="ar"/>
              </w:rPr>
              <w:t>3,883,248,189.15</w:t>
            </w:r>
          </w:p>
        </w:tc>
      </w:tr>
      <w:tr w14:paraId="506E9A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b3c95ee428314f8b8091bd15dff2a83d"/>
            <w:id w:val="147452546"/>
          </w:sdtPr>
          <w:sdtEndPr>
            <w:rPr>
              <w:rFonts w:cs="Times New Roman"/>
            </w:rPr>
          </w:sdtEndPr>
          <w:sdtContent>
            <w:tc>
              <w:tcPr>
                <w:tcW w:w="5000" w:type="pct"/>
                <w:gridSpan w:val="4"/>
                <w:tcBorders>
                  <w:top w:val="outset" w:color="auto" w:sz="6" w:space="0"/>
                  <w:left w:val="outset" w:color="auto" w:sz="6" w:space="0"/>
                  <w:bottom w:val="outset" w:color="auto" w:sz="6" w:space="0"/>
                  <w:right w:val="outset" w:color="auto" w:sz="6" w:space="0"/>
                </w:tcBorders>
                <w:vAlign w:val="center"/>
              </w:tcPr>
              <w:p w14:paraId="3458AEF4">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所有者权益（或股东权益）：</w:t>
                </w:r>
              </w:p>
            </w:tc>
          </w:sdtContent>
        </w:sdt>
      </w:tr>
      <w:tr w14:paraId="6B236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2A48E595">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实收资本（或股本）</w:t>
            </w:r>
          </w:p>
        </w:tc>
        <w:tc>
          <w:tcPr>
            <w:tcW w:w="583" w:type="pct"/>
            <w:tcBorders>
              <w:top w:val="outset" w:color="auto" w:sz="6" w:space="0"/>
              <w:left w:val="outset" w:color="auto" w:sz="6" w:space="0"/>
              <w:bottom w:val="outset" w:color="auto" w:sz="6" w:space="0"/>
              <w:right w:val="outset" w:color="auto" w:sz="6" w:space="0"/>
            </w:tcBorders>
            <w:vAlign w:val="center"/>
          </w:tcPr>
          <w:p w14:paraId="4B3F7E8A">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0CBECCE">
            <w:pPr>
              <w:jc w:val="right"/>
              <w:textAlignment w:val="bottom"/>
              <w:rPr>
                <w:rFonts w:cs="Times New Roman"/>
              </w:rPr>
            </w:pPr>
            <w:r>
              <w:rPr>
                <w:rFonts w:eastAsia="Arial Narrow" w:cs="Times New Roman"/>
                <w:color w:val="000000"/>
                <w:lang w:bidi="ar"/>
              </w:rPr>
              <w:t>4,391,629,404.00</w:t>
            </w:r>
          </w:p>
        </w:tc>
        <w:tc>
          <w:tcPr>
            <w:tcW w:w="1121" w:type="pct"/>
            <w:tcBorders>
              <w:top w:val="outset" w:color="auto" w:sz="6" w:space="0"/>
              <w:left w:val="outset" w:color="auto" w:sz="6" w:space="0"/>
              <w:bottom w:val="outset" w:color="auto" w:sz="6" w:space="0"/>
              <w:right w:val="outset" w:color="auto" w:sz="6" w:space="0"/>
            </w:tcBorders>
            <w:vAlign w:val="bottom"/>
          </w:tcPr>
          <w:p w14:paraId="2C1959AC">
            <w:pPr>
              <w:jc w:val="right"/>
              <w:textAlignment w:val="bottom"/>
              <w:rPr>
                <w:rFonts w:cs="Times New Roman"/>
              </w:rPr>
            </w:pPr>
            <w:r>
              <w:rPr>
                <w:rFonts w:eastAsia="Arial Narrow" w:cs="Times New Roman"/>
                <w:color w:val="000000"/>
                <w:lang w:bidi="ar"/>
              </w:rPr>
              <w:t>4,391,629,404.00</w:t>
            </w:r>
          </w:p>
        </w:tc>
      </w:tr>
      <w:tr w14:paraId="39265B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0FD33B72">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资本公积</w:t>
            </w:r>
          </w:p>
        </w:tc>
        <w:tc>
          <w:tcPr>
            <w:tcW w:w="583" w:type="pct"/>
            <w:tcBorders>
              <w:top w:val="outset" w:color="auto" w:sz="6" w:space="0"/>
              <w:left w:val="outset" w:color="auto" w:sz="6" w:space="0"/>
              <w:bottom w:val="outset" w:color="auto" w:sz="6" w:space="0"/>
              <w:right w:val="outset" w:color="auto" w:sz="6" w:space="0"/>
            </w:tcBorders>
            <w:vAlign w:val="center"/>
          </w:tcPr>
          <w:p w14:paraId="19508CC7">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7EA15A5F">
            <w:pPr>
              <w:jc w:val="right"/>
              <w:textAlignment w:val="bottom"/>
              <w:rPr>
                <w:rFonts w:cs="Times New Roman"/>
              </w:rPr>
            </w:pPr>
            <w:r>
              <w:rPr>
                <w:rFonts w:eastAsia="Arial Narrow" w:cs="Times New Roman"/>
                <w:color w:val="000000"/>
                <w:lang w:bidi="ar"/>
              </w:rPr>
              <w:t>7,852,925,237.95</w:t>
            </w:r>
          </w:p>
        </w:tc>
        <w:tc>
          <w:tcPr>
            <w:tcW w:w="1121" w:type="pct"/>
            <w:tcBorders>
              <w:top w:val="outset" w:color="auto" w:sz="6" w:space="0"/>
              <w:left w:val="outset" w:color="auto" w:sz="6" w:space="0"/>
              <w:bottom w:val="outset" w:color="auto" w:sz="6" w:space="0"/>
              <w:right w:val="outset" w:color="auto" w:sz="6" w:space="0"/>
            </w:tcBorders>
            <w:vAlign w:val="bottom"/>
          </w:tcPr>
          <w:p w14:paraId="3EB2F5FF">
            <w:pPr>
              <w:jc w:val="right"/>
              <w:textAlignment w:val="bottom"/>
              <w:rPr>
                <w:rFonts w:cs="Times New Roman"/>
              </w:rPr>
            </w:pPr>
            <w:r>
              <w:rPr>
                <w:rFonts w:eastAsia="Arial Narrow" w:cs="Times New Roman"/>
                <w:color w:val="000000"/>
                <w:lang w:bidi="ar"/>
              </w:rPr>
              <w:t>7,852,925,237.95</w:t>
            </w:r>
          </w:p>
        </w:tc>
      </w:tr>
      <w:tr w14:paraId="7F8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F8CCC4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减：库存股</w:t>
            </w:r>
          </w:p>
        </w:tc>
        <w:tc>
          <w:tcPr>
            <w:tcW w:w="583" w:type="pct"/>
            <w:tcBorders>
              <w:top w:val="outset" w:color="auto" w:sz="6" w:space="0"/>
              <w:left w:val="outset" w:color="auto" w:sz="6" w:space="0"/>
              <w:bottom w:val="outset" w:color="auto" w:sz="6" w:space="0"/>
              <w:right w:val="outset" w:color="auto" w:sz="6" w:space="0"/>
            </w:tcBorders>
            <w:vAlign w:val="center"/>
          </w:tcPr>
          <w:p w14:paraId="6F94E891">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B121549">
            <w:pPr>
              <w:jc w:val="right"/>
              <w:textAlignment w:val="bottom"/>
              <w:rPr>
                <w:rFonts w:cs="Times New Roman"/>
              </w:rPr>
            </w:pPr>
            <w:r>
              <w:rPr>
                <w:rFonts w:eastAsia="Arial Narrow" w:cs="Times New Roman"/>
                <w:color w:val="000000"/>
                <w:lang w:bidi="ar"/>
              </w:rPr>
              <w:t>39,938,040.72</w:t>
            </w:r>
          </w:p>
        </w:tc>
        <w:tc>
          <w:tcPr>
            <w:tcW w:w="1121" w:type="pct"/>
            <w:tcBorders>
              <w:top w:val="outset" w:color="auto" w:sz="6" w:space="0"/>
              <w:left w:val="outset" w:color="auto" w:sz="6" w:space="0"/>
              <w:bottom w:val="outset" w:color="auto" w:sz="6" w:space="0"/>
              <w:right w:val="outset" w:color="auto" w:sz="6" w:space="0"/>
            </w:tcBorders>
            <w:vAlign w:val="bottom"/>
          </w:tcPr>
          <w:p w14:paraId="3825C52E">
            <w:pPr>
              <w:jc w:val="right"/>
              <w:rPr>
                <w:rFonts w:cs="Times New Roman"/>
              </w:rPr>
            </w:pPr>
          </w:p>
        </w:tc>
      </w:tr>
      <w:tr w14:paraId="1AAF95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4536E80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其他综合收益</w:t>
            </w:r>
          </w:p>
        </w:tc>
        <w:tc>
          <w:tcPr>
            <w:tcW w:w="583" w:type="pct"/>
            <w:tcBorders>
              <w:top w:val="outset" w:color="auto" w:sz="6" w:space="0"/>
              <w:left w:val="outset" w:color="auto" w:sz="6" w:space="0"/>
              <w:bottom w:val="outset" w:color="auto" w:sz="6" w:space="0"/>
              <w:right w:val="outset" w:color="auto" w:sz="6" w:space="0"/>
            </w:tcBorders>
            <w:vAlign w:val="center"/>
          </w:tcPr>
          <w:p w14:paraId="0DE05EFC">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21DD34DF">
            <w:pPr>
              <w:jc w:val="right"/>
              <w:textAlignment w:val="bottom"/>
              <w:rPr>
                <w:rFonts w:cs="Times New Roman"/>
              </w:rPr>
            </w:pPr>
            <w:r>
              <w:rPr>
                <w:rFonts w:eastAsia="Arial Narrow" w:cs="Times New Roman"/>
                <w:color w:val="000000"/>
                <w:lang w:bidi="ar"/>
              </w:rPr>
              <w:t>-225,999,968.83</w:t>
            </w:r>
          </w:p>
        </w:tc>
        <w:tc>
          <w:tcPr>
            <w:tcW w:w="1121" w:type="pct"/>
            <w:tcBorders>
              <w:top w:val="outset" w:color="auto" w:sz="6" w:space="0"/>
              <w:left w:val="outset" w:color="auto" w:sz="6" w:space="0"/>
              <w:bottom w:val="outset" w:color="auto" w:sz="6" w:space="0"/>
              <w:right w:val="outset" w:color="auto" w:sz="6" w:space="0"/>
            </w:tcBorders>
            <w:vAlign w:val="bottom"/>
          </w:tcPr>
          <w:p w14:paraId="55814F3B">
            <w:pPr>
              <w:jc w:val="right"/>
              <w:textAlignment w:val="bottom"/>
              <w:rPr>
                <w:rFonts w:cs="Times New Roman"/>
              </w:rPr>
            </w:pPr>
            <w:r>
              <w:rPr>
                <w:rFonts w:eastAsia="Arial Narrow" w:cs="Times New Roman"/>
                <w:color w:val="000000"/>
                <w:lang w:bidi="ar"/>
              </w:rPr>
              <w:t>-225,999,968.83</w:t>
            </w:r>
          </w:p>
        </w:tc>
      </w:tr>
      <w:tr w14:paraId="5861E9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570D809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盈余公积</w:t>
            </w:r>
          </w:p>
        </w:tc>
        <w:tc>
          <w:tcPr>
            <w:tcW w:w="583" w:type="pct"/>
            <w:tcBorders>
              <w:top w:val="outset" w:color="auto" w:sz="6" w:space="0"/>
              <w:left w:val="outset" w:color="auto" w:sz="6" w:space="0"/>
              <w:bottom w:val="outset" w:color="auto" w:sz="6" w:space="0"/>
              <w:right w:val="outset" w:color="auto" w:sz="6" w:space="0"/>
            </w:tcBorders>
            <w:vAlign w:val="center"/>
          </w:tcPr>
          <w:p w14:paraId="4C29E494">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371FD210">
            <w:pPr>
              <w:jc w:val="right"/>
              <w:textAlignment w:val="bottom"/>
              <w:rPr>
                <w:rFonts w:cs="Times New Roman"/>
              </w:rPr>
            </w:pPr>
            <w:r>
              <w:rPr>
                <w:rFonts w:eastAsia="Arial Narrow" w:cs="Times New Roman"/>
                <w:color w:val="000000"/>
                <w:lang w:bidi="ar"/>
              </w:rPr>
              <w:t>369,677,423.82</w:t>
            </w:r>
          </w:p>
        </w:tc>
        <w:tc>
          <w:tcPr>
            <w:tcW w:w="1121" w:type="pct"/>
            <w:tcBorders>
              <w:top w:val="outset" w:color="auto" w:sz="6" w:space="0"/>
              <w:left w:val="outset" w:color="auto" w:sz="6" w:space="0"/>
              <w:bottom w:val="outset" w:color="auto" w:sz="6" w:space="0"/>
              <w:right w:val="outset" w:color="auto" w:sz="6" w:space="0"/>
            </w:tcBorders>
            <w:vAlign w:val="bottom"/>
          </w:tcPr>
          <w:p w14:paraId="0A39E61D">
            <w:pPr>
              <w:jc w:val="right"/>
              <w:textAlignment w:val="bottom"/>
              <w:rPr>
                <w:rFonts w:cs="Times New Roman"/>
              </w:rPr>
            </w:pPr>
            <w:r>
              <w:rPr>
                <w:rFonts w:eastAsia="Arial Narrow" w:cs="Times New Roman"/>
                <w:color w:val="000000"/>
                <w:lang w:bidi="ar"/>
              </w:rPr>
              <w:t>369,677,423.82</w:t>
            </w:r>
          </w:p>
        </w:tc>
      </w:tr>
      <w:tr w14:paraId="3B51D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21699C4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未分配利润</w:t>
            </w:r>
          </w:p>
        </w:tc>
        <w:tc>
          <w:tcPr>
            <w:tcW w:w="583" w:type="pct"/>
            <w:tcBorders>
              <w:top w:val="outset" w:color="auto" w:sz="6" w:space="0"/>
              <w:left w:val="outset" w:color="auto" w:sz="6" w:space="0"/>
              <w:bottom w:val="outset" w:color="auto" w:sz="6" w:space="0"/>
              <w:right w:val="outset" w:color="auto" w:sz="6" w:space="0"/>
            </w:tcBorders>
            <w:vAlign w:val="center"/>
          </w:tcPr>
          <w:p w14:paraId="76496D02">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64CADB38">
            <w:pPr>
              <w:jc w:val="right"/>
              <w:textAlignment w:val="bottom"/>
              <w:rPr>
                <w:rFonts w:cs="Times New Roman"/>
              </w:rPr>
            </w:pPr>
            <w:r>
              <w:rPr>
                <w:rFonts w:eastAsia="Arial Narrow" w:cs="Times New Roman"/>
                <w:color w:val="000000"/>
                <w:lang w:bidi="ar"/>
              </w:rPr>
              <w:t>109,568,331.84</w:t>
            </w:r>
          </w:p>
        </w:tc>
        <w:tc>
          <w:tcPr>
            <w:tcW w:w="1121" w:type="pct"/>
            <w:tcBorders>
              <w:top w:val="outset" w:color="auto" w:sz="6" w:space="0"/>
              <w:left w:val="outset" w:color="auto" w:sz="6" w:space="0"/>
              <w:bottom w:val="outset" w:color="auto" w:sz="6" w:space="0"/>
              <w:right w:val="outset" w:color="auto" w:sz="6" w:space="0"/>
            </w:tcBorders>
            <w:vAlign w:val="bottom"/>
          </w:tcPr>
          <w:p w14:paraId="23758EC8">
            <w:pPr>
              <w:jc w:val="right"/>
              <w:textAlignment w:val="bottom"/>
              <w:rPr>
                <w:rFonts w:cs="Times New Roman"/>
              </w:rPr>
            </w:pPr>
            <w:r>
              <w:rPr>
                <w:rFonts w:eastAsia="Arial Narrow" w:cs="Times New Roman"/>
                <w:color w:val="000000"/>
                <w:lang w:bidi="ar"/>
              </w:rPr>
              <w:t>36,192,464.08</w:t>
            </w:r>
          </w:p>
        </w:tc>
      </w:tr>
      <w:tr w14:paraId="61595E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6FD6E0AC">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所有者权益（或股东权益）合计</w:t>
            </w:r>
          </w:p>
        </w:tc>
        <w:tc>
          <w:tcPr>
            <w:tcW w:w="583" w:type="pct"/>
            <w:tcBorders>
              <w:top w:val="outset" w:color="auto" w:sz="6" w:space="0"/>
              <w:left w:val="outset" w:color="auto" w:sz="6" w:space="0"/>
              <w:bottom w:val="outset" w:color="auto" w:sz="6" w:space="0"/>
              <w:right w:val="outset" w:color="auto" w:sz="6" w:space="0"/>
            </w:tcBorders>
            <w:vAlign w:val="center"/>
          </w:tcPr>
          <w:p w14:paraId="43349859">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180ED49B">
            <w:pPr>
              <w:jc w:val="right"/>
              <w:textAlignment w:val="bottom"/>
              <w:rPr>
                <w:rFonts w:cs="Times New Roman"/>
              </w:rPr>
            </w:pPr>
            <w:r>
              <w:rPr>
                <w:rFonts w:eastAsia="Arial Narrow" w:cs="Times New Roman"/>
                <w:color w:val="000000"/>
                <w:lang w:bidi="ar"/>
              </w:rPr>
              <w:t>12,457,862,388.06</w:t>
            </w:r>
          </w:p>
        </w:tc>
        <w:tc>
          <w:tcPr>
            <w:tcW w:w="1121" w:type="pct"/>
            <w:tcBorders>
              <w:top w:val="outset" w:color="auto" w:sz="6" w:space="0"/>
              <w:left w:val="outset" w:color="auto" w:sz="6" w:space="0"/>
              <w:bottom w:val="outset" w:color="auto" w:sz="6" w:space="0"/>
              <w:right w:val="outset" w:color="auto" w:sz="6" w:space="0"/>
            </w:tcBorders>
            <w:vAlign w:val="bottom"/>
          </w:tcPr>
          <w:p w14:paraId="203B8924">
            <w:pPr>
              <w:jc w:val="right"/>
              <w:textAlignment w:val="bottom"/>
              <w:rPr>
                <w:rFonts w:cs="Times New Roman"/>
              </w:rPr>
            </w:pPr>
            <w:r>
              <w:rPr>
                <w:rFonts w:eastAsia="Arial Narrow" w:cs="Times New Roman"/>
                <w:color w:val="000000"/>
                <w:lang w:bidi="ar"/>
              </w:rPr>
              <w:t>12,424,424,561.02</w:t>
            </w:r>
          </w:p>
        </w:tc>
      </w:tr>
      <w:tr w14:paraId="0A3064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230" w:type="pct"/>
            <w:tcBorders>
              <w:top w:val="outset" w:color="auto" w:sz="6" w:space="0"/>
              <w:left w:val="outset" w:color="auto" w:sz="6" w:space="0"/>
              <w:bottom w:val="outset" w:color="auto" w:sz="6" w:space="0"/>
              <w:right w:val="outset" w:color="auto" w:sz="6" w:space="0"/>
            </w:tcBorders>
            <w:vAlign w:val="center"/>
          </w:tcPr>
          <w:p w14:paraId="11F6680B">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负债和所有者权益（或股东权益）总计</w:t>
            </w:r>
          </w:p>
        </w:tc>
        <w:tc>
          <w:tcPr>
            <w:tcW w:w="583" w:type="pct"/>
            <w:tcBorders>
              <w:top w:val="outset" w:color="auto" w:sz="6" w:space="0"/>
              <w:left w:val="outset" w:color="auto" w:sz="6" w:space="0"/>
              <w:bottom w:val="outset" w:color="auto" w:sz="6" w:space="0"/>
              <w:right w:val="outset" w:color="auto" w:sz="6" w:space="0"/>
            </w:tcBorders>
            <w:vAlign w:val="center"/>
          </w:tcPr>
          <w:p w14:paraId="24DCFAED">
            <w:pPr>
              <w:rPr>
                <w:rFonts w:cs="Times New Roman"/>
              </w:rPr>
            </w:pPr>
          </w:p>
        </w:tc>
        <w:tc>
          <w:tcPr>
            <w:tcW w:w="1065" w:type="pct"/>
            <w:tcBorders>
              <w:top w:val="outset" w:color="auto" w:sz="6" w:space="0"/>
              <w:left w:val="outset" w:color="auto" w:sz="6" w:space="0"/>
              <w:bottom w:val="outset" w:color="auto" w:sz="6" w:space="0"/>
              <w:right w:val="outset" w:color="auto" w:sz="6" w:space="0"/>
            </w:tcBorders>
            <w:vAlign w:val="bottom"/>
          </w:tcPr>
          <w:p w14:paraId="02720C14">
            <w:pPr>
              <w:jc w:val="right"/>
              <w:textAlignment w:val="bottom"/>
              <w:rPr>
                <w:rFonts w:cs="Times New Roman"/>
              </w:rPr>
            </w:pPr>
            <w:r>
              <w:rPr>
                <w:rFonts w:eastAsia="Arial Narrow" w:cs="Times New Roman"/>
                <w:color w:val="000000"/>
                <w:lang w:bidi="ar"/>
              </w:rPr>
              <w:t>18,060,039,113.70</w:t>
            </w:r>
          </w:p>
        </w:tc>
        <w:tc>
          <w:tcPr>
            <w:tcW w:w="1121" w:type="pct"/>
            <w:tcBorders>
              <w:top w:val="outset" w:color="auto" w:sz="6" w:space="0"/>
              <w:left w:val="outset" w:color="auto" w:sz="6" w:space="0"/>
              <w:bottom w:val="outset" w:color="auto" w:sz="6" w:space="0"/>
              <w:right w:val="outset" w:color="auto" w:sz="6" w:space="0"/>
            </w:tcBorders>
            <w:vAlign w:val="bottom"/>
          </w:tcPr>
          <w:p w14:paraId="459654BC">
            <w:pPr>
              <w:jc w:val="right"/>
              <w:textAlignment w:val="bottom"/>
              <w:rPr>
                <w:rFonts w:cs="Times New Roman"/>
              </w:rPr>
            </w:pPr>
            <w:r>
              <w:rPr>
                <w:rFonts w:eastAsia="Arial Narrow" w:cs="Times New Roman"/>
                <w:color w:val="000000"/>
                <w:lang w:bidi="ar"/>
              </w:rPr>
              <w:t>16,307,672,750.17</w:t>
            </w:r>
          </w:p>
        </w:tc>
      </w:tr>
      <w:bookmarkEnd w:id="149"/>
    </w:tbl>
    <w:p w14:paraId="0865594F">
      <w:pPr>
        <w:ind w:right="-153" w:rightChars="-73"/>
        <w:rPr>
          <w:color w:val="000000" w:themeColor="text1"/>
          <w14:textFill>
            <w14:solidFill>
              <w14:schemeClr w14:val="tx1"/>
            </w14:solidFill>
          </w14:textFill>
        </w:rPr>
      </w:pPr>
    </w:p>
    <w:p w14:paraId="17FAAB4F">
      <w:pPr>
        <w:ind w:right="-153" w:rightChars="-73"/>
        <w:rPr>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f43f422c96ec4e009c3976ce8e58b778"/>
          <w:id w:val="147456510"/>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3ac751c8378d4424bbdf4c74057683d9"/>
          <w:id w:val="147464614"/>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182ff185180a4ea4b9c93bbd4b01de2c"/>
          <w:id w:val="147464489"/>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5999AB03">
      <w:pPr>
        <w:snapToGrid w:val="0"/>
        <w:rPr>
          <w:color w:val="000000" w:themeColor="text1"/>
          <w14:textFill>
            <w14:solidFill>
              <w14:schemeClr w14:val="tx1"/>
            </w14:solidFill>
          </w14:textFill>
        </w:rPr>
      </w:pPr>
    </w:p>
    <w:p w14:paraId="23A8D90F">
      <w:pPr>
        <w:snapToGrid w:val="0"/>
        <w:rPr>
          <w:color w:val="000000" w:themeColor="text1"/>
          <w14:textFill>
            <w14:solidFill>
              <w14:schemeClr w14:val="tx1"/>
            </w14:solidFill>
          </w14:textFill>
        </w:rPr>
      </w:pPr>
    </w:p>
    <w:bookmarkEnd w:id="147"/>
    <w:p w14:paraId="0481E1DF">
      <w:pPr>
        <w:ind w:right="-153" w:rightChars="-73"/>
        <w:rPr>
          <w:b/>
          <w:bCs w:val="0"/>
          <w:color w:val="000000" w:themeColor="text1"/>
          <w:u w:val="single"/>
          <w14:textFill>
            <w14:solidFill>
              <w14:schemeClr w14:val="tx1"/>
            </w14:solidFill>
          </w14:textFill>
        </w:rPr>
        <w:sectPr>
          <w:pgSz w:w="11906" w:h="16838"/>
          <w:pgMar w:top="1525" w:right="1276" w:bottom="1440" w:left="1797" w:header="851" w:footer="992" w:gutter="0"/>
          <w:cols w:space="425" w:num="1"/>
          <w:docGrid w:linePitch="312" w:charSpace="0"/>
        </w:sectPr>
      </w:pPr>
      <w:bookmarkStart w:id="150" w:name="_Hlk10210632"/>
      <w:bookmarkEnd w:id="150"/>
    </w:p>
    <w:p w14:paraId="78C450A7">
      <w:pPr>
        <w:pStyle w:val="57"/>
        <w:jc w:val="center"/>
        <w:rPr>
          <w:rFonts w:ascii="宋体" w:hAnsi="宋体"/>
          <w:color w:val="000000" w:themeColor="text1"/>
          <w14:textFill>
            <w14:solidFill>
              <w14:schemeClr w14:val="tx1"/>
            </w14:solidFill>
          </w14:textFill>
        </w:rPr>
      </w:pPr>
      <w:bookmarkStart w:id="151" w:name="_Hlk10210822"/>
      <w:r>
        <w:rPr>
          <w:rFonts w:hint="eastAsia" w:ascii="宋体" w:hAnsi="宋体"/>
          <w:color w:val="000000" w:themeColor="text1"/>
          <w14:textFill>
            <w14:solidFill>
              <w14:schemeClr w14:val="tx1"/>
            </w14:solidFill>
          </w14:textFill>
        </w:rPr>
        <w:t>合并</w:t>
      </w:r>
      <w:r>
        <w:rPr>
          <w:rFonts w:ascii="宋体" w:hAnsi="宋体"/>
          <w:color w:val="000000" w:themeColor="text1"/>
          <w14:textFill>
            <w14:solidFill>
              <w14:schemeClr w14:val="tx1"/>
            </w14:solidFill>
          </w14:textFill>
        </w:rPr>
        <w:t>利润表</w:t>
      </w:r>
    </w:p>
    <w:p w14:paraId="7C615F65">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2025年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14:paraId="62B24AD0">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利润表"/>
          <w:tag w:val="_GBC_4fec24feb4834b768c484fe556046382"/>
          <w:id w:val="1474510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利润表"/>
          <w:tag w:val="_GBC_ae5c0d79e5694eb28ba1b8160e27a464"/>
          <w:id w:val="1474711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648"/>
        <w:gridCol w:w="943"/>
        <w:gridCol w:w="1728"/>
        <w:gridCol w:w="1730"/>
      </w:tblGrid>
      <w:tr w14:paraId="20A7E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rPr>
              <w:rFonts w:cs="Times New Roman"/>
            </w:rPr>
            <w:tag w:val="_PLD_ea01e0b0c9224fe59426c375515c2359"/>
            <w:id w:val="147476306"/>
          </w:sdtPr>
          <w:sdtEndPr>
            <w:rPr>
              <w:rFonts w:cs="Times New Roman"/>
            </w:rPr>
          </w:sdtEndPr>
          <w:sdtContent>
            <w:tc>
              <w:tcPr>
                <w:tcW w:w="2568" w:type="pct"/>
                <w:tcBorders>
                  <w:top w:val="outset" w:color="auto" w:sz="4" w:space="0"/>
                  <w:left w:val="outset" w:color="auto" w:sz="4" w:space="0"/>
                  <w:bottom w:val="outset" w:color="auto" w:sz="4" w:space="0"/>
                  <w:right w:val="outset" w:color="auto" w:sz="4" w:space="0"/>
                </w:tcBorders>
                <w:vAlign w:val="center"/>
              </w:tcPr>
              <w:p w14:paraId="2B15B7A7">
                <w:pPr>
                  <w:ind w:left="40" w:hanging="39" w:hangingChars="19"/>
                  <w:jc w:val="center"/>
                  <w:rPr>
                    <w:rFonts w:cs="Times New Roman"/>
                    <w:b/>
                    <w:color w:val="000000" w:themeColor="text1"/>
                    <w14:textFill>
                      <w14:solidFill>
                        <w14:schemeClr w14:val="tx1"/>
                      </w14:solidFill>
                    </w14:textFill>
                  </w:rPr>
                </w:pPr>
                <w:bookmarkStart w:id="152" w:name="_Hlk137050130"/>
                <w:r>
                  <w:rPr>
                    <w:rFonts w:cs="Times New Roman"/>
                    <w:b/>
                    <w:color w:val="000000" w:themeColor="text1"/>
                    <w14:textFill>
                      <w14:solidFill>
                        <w14:schemeClr w14:val="tx1"/>
                      </w14:solidFill>
                    </w14:textFill>
                  </w:rPr>
                  <w:t>项目</w:t>
                </w:r>
              </w:p>
            </w:tc>
          </w:sdtContent>
        </w:sdt>
        <w:sdt>
          <w:sdtPr>
            <w:rPr>
              <w:rFonts w:cs="Times New Roman"/>
            </w:rPr>
            <w:tag w:val="_PLD_e4f45f42e79e4a4aba892e3a7a7b123d"/>
            <w:id w:val="147463901"/>
          </w:sdtPr>
          <w:sdtEndPr>
            <w:rPr>
              <w:rFonts w:cs="Times New Roman"/>
            </w:rPr>
          </w:sdtEndPr>
          <w:sdtContent>
            <w:tc>
              <w:tcPr>
                <w:tcW w:w="521" w:type="pct"/>
                <w:tcBorders>
                  <w:top w:val="outset" w:color="auto" w:sz="4" w:space="0"/>
                  <w:left w:val="outset" w:color="auto" w:sz="4" w:space="0"/>
                  <w:bottom w:val="outset" w:color="auto" w:sz="4" w:space="0"/>
                  <w:right w:val="outset" w:color="auto" w:sz="4" w:space="0"/>
                </w:tcBorders>
                <w:vAlign w:val="center"/>
              </w:tcPr>
              <w:p w14:paraId="3724643E">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附注</w:t>
                </w:r>
              </w:p>
            </w:tc>
          </w:sdtContent>
        </w:sdt>
        <w:sdt>
          <w:sdtPr>
            <w:rPr>
              <w:rFonts w:cs="Times New Roman"/>
            </w:rPr>
            <w:tag w:val="_PLD_41682cdf00e5450394986df99de953d1"/>
            <w:id w:val="147467574"/>
          </w:sdtPr>
          <w:sdtEndPr>
            <w:rPr>
              <w:rFonts w:cs="Times New Roman"/>
            </w:rPr>
          </w:sdtEndPr>
          <w:sdtContent>
            <w:tc>
              <w:tcPr>
                <w:tcW w:w="955" w:type="pct"/>
                <w:tcBorders>
                  <w:top w:val="outset" w:color="auto" w:sz="4" w:space="0"/>
                  <w:left w:val="outset" w:color="auto" w:sz="4" w:space="0"/>
                  <w:bottom w:val="outset" w:color="auto" w:sz="4" w:space="0"/>
                  <w:right w:val="outset" w:color="auto" w:sz="4" w:space="0"/>
                </w:tcBorders>
                <w:vAlign w:val="center"/>
              </w:tcPr>
              <w:p w14:paraId="5C7FA2FF">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2025年半年度</w:t>
                </w:r>
              </w:p>
            </w:tc>
          </w:sdtContent>
        </w:sdt>
        <w:sdt>
          <w:sdtPr>
            <w:rPr>
              <w:rFonts w:cs="Times New Roman"/>
            </w:rPr>
            <w:tag w:val="_PLD_f020215569a54a6db2bd3d5298280e01"/>
            <w:id w:val="147481487"/>
          </w:sdtPr>
          <w:sdtEndPr>
            <w:rPr>
              <w:rFonts w:cs="Times New Roman"/>
            </w:rPr>
          </w:sdtEndPr>
          <w:sdtContent>
            <w:tc>
              <w:tcPr>
                <w:tcW w:w="955" w:type="pct"/>
                <w:tcBorders>
                  <w:top w:val="outset" w:color="auto" w:sz="4" w:space="0"/>
                  <w:left w:val="outset" w:color="auto" w:sz="4" w:space="0"/>
                  <w:bottom w:val="outset" w:color="auto" w:sz="4" w:space="0"/>
                  <w:right w:val="outset" w:color="auto" w:sz="4" w:space="0"/>
                </w:tcBorders>
                <w:vAlign w:val="center"/>
              </w:tcPr>
              <w:p w14:paraId="53D4D811">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2024年半年度</w:t>
                </w:r>
              </w:p>
            </w:tc>
          </w:sdtContent>
        </w:sdt>
      </w:tr>
      <w:tr w14:paraId="022BCE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6774D5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一、营业总收入</w:t>
            </w:r>
          </w:p>
        </w:tc>
        <w:tc>
          <w:tcPr>
            <w:tcW w:w="521" w:type="pct"/>
            <w:tcBorders>
              <w:top w:val="outset" w:color="auto" w:sz="4" w:space="0"/>
              <w:left w:val="outset" w:color="auto" w:sz="4" w:space="0"/>
              <w:bottom w:val="outset" w:color="auto" w:sz="4" w:space="0"/>
              <w:right w:val="outset" w:color="auto" w:sz="4" w:space="0"/>
            </w:tcBorders>
            <w:vAlign w:val="center"/>
          </w:tcPr>
          <w:p w14:paraId="0894374E">
            <w:pPr>
              <w:textAlignment w:val="center"/>
              <w:rPr>
                <w:rFonts w:cs="Times New Roman"/>
              </w:rPr>
            </w:pPr>
            <w:r>
              <w:rPr>
                <w:rFonts w:cs="Times New Roman"/>
                <w:color w:val="000000"/>
                <w:lang w:bidi="ar"/>
              </w:rPr>
              <w:t>七、61</w:t>
            </w:r>
          </w:p>
        </w:tc>
        <w:tc>
          <w:tcPr>
            <w:tcW w:w="955" w:type="pct"/>
            <w:tcBorders>
              <w:top w:val="outset" w:color="auto" w:sz="4" w:space="0"/>
              <w:left w:val="outset" w:color="auto" w:sz="4" w:space="0"/>
              <w:bottom w:val="outset" w:color="auto" w:sz="4" w:space="0"/>
              <w:right w:val="outset" w:color="auto" w:sz="4" w:space="0"/>
            </w:tcBorders>
            <w:vAlign w:val="bottom"/>
          </w:tcPr>
          <w:p w14:paraId="4C46868C">
            <w:pPr>
              <w:jc w:val="right"/>
              <w:textAlignment w:val="bottom"/>
              <w:rPr>
                <w:rFonts w:cs="Times New Roman"/>
              </w:rPr>
            </w:pPr>
            <w:r>
              <w:rPr>
                <w:rFonts w:eastAsia="Arial Narrow" w:cs="Times New Roman"/>
                <w:color w:val="000000"/>
                <w:lang w:bidi="ar"/>
              </w:rPr>
              <w:t>3,207,731,942.85</w:t>
            </w:r>
          </w:p>
        </w:tc>
        <w:tc>
          <w:tcPr>
            <w:tcW w:w="955" w:type="pct"/>
            <w:tcBorders>
              <w:top w:val="outset" w:color="auto" w:sz="4" w:space="0"/>
              <w:left w:val="outset" w:color="auto" w:sz="4" w:space="0"/>
              <w:bottom w:val="outset" w:color="auto" w:sz="4" w:space="0"/>
              <w:right w:val="outset" w:color="auto" w:sz="4" w:space="0"/>
            </w:tcBorders>
            <w:vAlign w:val="bottom"/>
          </w:tcPr>
          <w:p w14:paraId="51539625">
            <w:pPr>
              <w:jc w:val="right"/>
              <w:textAlignment w:val="bottom"/>
              <w:rPr>
                <w:rFonts w:cs="Times New Roman"/>
              </w:rPr>
            </w:pPr>
            <w:r>
              <w:rPr>
                <w:rFonts w:eastAsia="Arial Narrow" w:cs="Times New Roman"/>
                <w:color w:val="000000"/>
                <w:lang w:bidi="ar"/>
              </w:rPr>
              <w:t>5,204,229,384.76</w:t>
            </w:r>
          </w:p>
        </w:tc>
      </w:tr>
      <w:tr w14:paraId="1A1469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E97563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其中：营业收入</w:t>
            </w:r>
          </w:p>
        </w:tc>
        <w:tc>
          <w:tcPr>
            <w:tcW w:w="521" w:type="pct"/>
            <w:tcBorders>
              <w:top w:val="outset" w:color="auto" w:sz="4" w:space="0"/>
              <w:left w:val="outset" w:color="auto" w:sz="4" w:space="0"/>
              <w:bottom w:val="outset" w:color="auto" w:sz="4" w:space="0"/>
              <w:right w:val="outset" w:color="auto" w:sz="4" w:space="0"/>
            </w:tcBorders>
            <w:vAlign w:val="center"/>
          </w:tcPr>
          <w:p w14:paraId="15E6DBEE">
            <w:pPr>
              <w:textAlignment w:val="center"/>
              <w:rPr>
                <w:rFonts w:cs="Times New Roman"/>
              </w:rPr>
            </w:pPr>
            <w:r>
              <w:rPr>
                <w:rFonts w:cs="Times New Roman"/>
                <w:color w:val="000000"/>
                <w:lang w:bidi="ar"/>
              </w:rPr>
              <w:t>七、61</w:t>
            </w:r>
          </w:p>
        </w:tc>
        <w:tc>
          <w:tcPr>
            <w:tcW w:w="955" w:type="pct"/>
            <w:tcBorders>
              <w:top w:val="outset" w:color="auto" w:sz="4" w:space="0"/>
              <w:left w:val="outset" w:color="auto" w:sz="4" w:space="0"/>
              <w:bottom w:val="outset" w:color="auto" w:sz="4" w:space="0"/>
              <w:right w:val="outset" w:color="auto" w:sz="4" w:space="0"/>
            </w:tcBorders>
            <w:vAlign w:val="bottom"/>
          </w:tcPr>
          <w:p w14:paraId="7BF9E227">
            <w:pPr>
              <w:jc w:val="right"/>
              <w:textAlignment w:val="bottom"/>
              <w:rPr>
                <w:rFonts w:cs="Times New Roman"/>
              </w:rPr>
            </w:pPr>
            <w:r>
              <w:rPr>
                <w:rFonts w:eastAsia="Arial Narrow" w:cs="Times New Roman"/>
                <w:color w:val="000000"/>
                <w:lang w:bidi="ar"/>
              </w:rPr>
              <w:t>3,207,731,942.85</w:t>
            </w:r>
          </w:p>
        </w:tc>
        <w:tc>
          <w:tcPr>
            <w:tcW w:w="955" w:type="pct"/>
            <w:tcBorders>
              <w:top w:val="outset" w:color="auto" w:sz="4" w:space="0"/>
              <w:left w:val="outset" w:color="auto" w:sz="4" w:space="0"/>
              <w:bottom w:val="outset" w:color="auto" w:sz="4" w:space="0"/>
              <w:right w:val="outset" w:color="auto" w:sz="4" w:space="0"/>
            </w:tcBorders>
            <w:vAlign w:val="bottom"/>
          </w:tcPr>
          <w:p w14:paraId="7FCB24A0">
            <w:pPr>
              <w:jc w:val="right"/>
              <w:textAlignment w:val="bottom"/>
              <w:rPr>
                <w:rFonts w:cs="Times New Roman"/>
              </w:rPr>
            </w:pPr>
            <w:r>
              <w:rPr>
                <w:rFonts w:eastAsia="Arial Narrow" w:cs="Times New Roman"/>
                <w:color w:val="000000"/>
                <w:lang w:bidi="ar"/>
              </w:rPr>
              <w:t>5,204,229,384.76</w:t>
            </w:r>
          </w:p>
        </w:tc>
      </w:tr>
      <w:tr w14:paraId="724E9B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9CD71F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二、营业总成本</w:t>
            </w:r>
          </w:p>
        </w:tc>
        <w:tc>
          <w:tcPr>
            <w:tcW w:w="521" w:type="pct"/>
            <w:tcBorders>
              <w:top w:val="outset" w:color="auto" w:sz="4" w:space="0"/>
              <w:left w:val="outset" w:color="auto" w:sz="4" w:space="0"/>
              <w:bottom w:val="outset" w:color="auto" w:sz="4" w:space="0"/>
              <w:right w:val="outset" w:color="auto" w:sz="4" w:space="0"/>
            </w:tcBorders>
            <w:vAlign w:val="center"/>
          </w:tcPr>
          <w:p w14:paraId="4604EF59">
            <w:pPr>
              <w:rPr>
                <w:rFonts w:cs="Times New Roman"/>
              </w:rPr>
            </w:pPr>
          </w:p>
        </w:tc>
        <w:tc>
          <w:tcPr>
            <w:tcW w:w="955" w:type="pct"/>
            <w:tcBorders>
              <w:top w:val="outset" w:color="auto" w:sz="4" w:space="0"/>
              <w:left w:val="outset" w:color="auto" w:sz="4" w:space="0"/>
              <w:bottom w:val="outset" w:color="auto" w:sz="4" w:space="0"/>
              <w:right w:val="outset" w:color="auto" w:sz="4" w:space="0"/>
            </w:tcBorders>
            <w:vAlign w:val="bottom"/>
          </w:tcPr>
          <w:p w14:paraId="2DAA5DBB">
            <w:pPr>
              <w:jc w:val="right"/>
              <w:textAlignment w:val="bottom"/>
              <w:rPr>
                <w:rFonts w:cs="Times New Roman"/>
              </w:rPr>
            </w:pPr>
            <w:r>
              <w:rPr>
                <w:rFonts w:eastAsia="Arial Narrow" w:cs="Times New Roman"/>
                <w:color w:val="000000"/>
                <w:lang w:bidi="ar"/>
              </w:rPr>
              <w:t>3,305,409,901.65</w:t>
            </w:r>
          </w:p>
        </w:tc>
        <w:tc>
          <w:tcPr>
            <w:tcW w:w="955" w:type="pct"/>
            <w:tcBorders>
              <w:top w:val="outset" w:color="auto" w:sz="4" w:space="0"/>
              <w:left w:val="outset" w:color="auto" w:sz="4" w:space="0"/>
              <w:bottom w:val="outset" w:color="auto" w:sz="4" w:space="0"/>
              <w:right w:val="outset" w:color="auto" w:sz="4" w:space="0"/>
            </w:tcBorders>
            <w:vAlign w:val="bottom"/>
          </w:tcPr>
          <w:p w14:paraId="26339568">
            <w:pPr>
              <w:jc w:val="right"/>
              <w:textAlignment w:val="bottom"/>
              <w:rPr>
                <w:rFonts w:cs="Times New Roman"/>
              </w:rPr>
            </w:pPr>
            <w:r>
              <w:rPr>
                <w:rFonts w:eastAsia="Arial Narrow" w:cs="Times New Roman"/>
                <w:color w:val="000000"/>
                <w:lang w:bidi="ar"/>
              </w:rPr>
              <w:t>5,188,387,706.46</w:t>
            </w:r>
          </w:p>
        </w:tc>
      </w:tr>
      <w:tr w14:paraId="390EFE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C536C9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其中：营业成本</w:t>
            </w:r>
          </w:p>
        </w:tc>
        <w:tc>
          <w:tcPr>
            <w:tcW w:w="521" w:type="pct"/>
            <w:tcBorders>
              <w:top w:val="outset" w:color="auto" w:sz="4" w:space="0"/>
              <w:left w:val="outset" w:color="auto" w:sz="4" w:space="0"/>
              <w:bottom w:val="outset" w:color="auto" w:sz="4" w:space="0"/>
              <w:right w:val="outset" w:color="auto" w:sz="4" w:space="0"/>
            </w:tcBorders>
            <w:vAlign w:val="center"/>
          </w:tcPr>
          <w:p w14:paraId="165991D4">
            <w:pPr>
              <w:textAlignment w:val="center"/>
              <w:rPr>
                <w:rFonts w:cs="Times New Roman"/>
              </w:rPr>
            </w:pPr>
            <w:r>
              <w:rPr>
                <w:rFonts w:cs="Times New Roman"/>
                <w:color w:val="000000"/>
                <w:lang w:bidi="ar"/>
              </w:rPr>
              <w:t>七、61</w:t>
            </w:r>
          </w:p>
        </w:tc>
        <w:tc>
          <w:tcPr>
            <w:tcW w:w="955" w:type="pct"/>
            <w:tcBorders>
              <w:top w:val="outset" w:color="auto" w:sz="4" w:space="0"/>
              <w:left w:val="outset" w:color="auto" w:sz="4" w:space="0"/>
              <w:bottom w:val="outset" w:color="auto" w:sz="4" w:space="0"/>
              <w:right w:val="outset" w:color="auto" w:sz="4" w:space="0"/>
            </w:tcBorders>
            <w:vAlign w:val="bottom"/>
          </w:tcPr>
          <w:p w14:paraId="4FAAEA17">
            <w:pPr>
              <w:jc w:val="right"/>
              <w:textAlignment w:val="bottom"/>
              <w:rPr>
                <w:rFonts w:cs="Times New Roman"/>
              </w:rPr>
            </w:pPr>
            <w:r>
              <w:rPr>
                <w:rFonts w:eastAsia="Arial Narrow" w:cs="Times New Roman"/>
                <w:color w:val="000000"/>
                <w:lang w:bidi="ar"/>
              </w:rPr>
              <w:t>2,758,166,135.56</w:t>
            </w:r>
          </w:p>
        </w:tc>
        <w:tc>
          <w:tcPr>
            <w:tcW w:w="955" w:type="pct"/>
            <w:tcBorders>
              <w:top w:val="outset" w:color="auto" w:sz="4" w:space="0"/>
              <w:left w:val="outset" w:color="auto" w:sz="4" w:space="0"/>
              <w:bottom w:val="outset" w:color="auto" w:sz="4" w:space="0"/>
              <w:right w:val="outset" w:color="auto" w:sz="4" w:space="0"/>
            </w:tcBorders>
            <w:vAlign w:val="bottom"/>
          </w:tcPr>
          <w:p w14:paraId="595DA605">
            <w:pPr>
              <w:jc w:val="right"/>
              <w:textAlignment w:val="bottom"/>
              <w:rPr>
                <w:rFonts w:cs="Times New Roman"/>
              </w:rPr>
            </w:pPr>
            <w:r>
              <w:rPr>
                <w:rFonts w:eastAsia="Arial Narrow" w:cs="Times New Roman"/>
                <w:color w:val="000000"/>
                <w:lang w:bidi="ar"/>
              </w:rPr>
              <w:t>4,519,705,718.89</w:t>
            </w:r>
          </w:p>
        </w:tc>
      </w:tr>
      <w:tr w14:paraId="2615E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C8BDB58">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税金及附加</w:t>
            </w:r>
          </w:p>
        </w:tc>
        <w:tc>
          <w:tcPr>
            <w:tcW w:w="521" w:type="pct"/>
            <w:tcBorders>
              <w:top w:val="outset" w:color="auto" w:sz="4" w:space="0"/>
              <w:left w:val="outset" w:color="auto" w:sz="4" w:space="0"/>
              <w:bottom w:val="outset" w:color="auto" w:sz="4" w:space="0"/>
              <w:right w:val="outset" w:color="auto" w:sz="4" w:space="0"/>
            </w:tcBorders>
            <w:vAlign w:val="center"/>
          </w:tcPr>
          <w:p w14:paraId="453FDD07">
            <w:pPr>
              <w:textAlignment w:val="center"/>
              <w:rPr>
                <w:rFonts w:cs="Times New Roman"/>
              </w:rPr>
            </w:pPr>
            <w:r>
              <w:rPr>
                <w:rFonts w:cs="Times New Roman"/>
                <w:color w:val="000000"/>
                <w:lang w:bidi="ar"/>
              </w:rPr>
              <w:t>七、62</w:t>
            </w:r>
          </w:p>
        </w:tc>
        <w:tc>
          <w:tcPr>
            <w:tcW w:w="955" w:type="pct"/>
            <w:tcBorders>
              <w:top w:val="outset" w:color="auto" w:sz="4" w:space="0"/>
              <w:left w:val="outset" w:color="auto" w:sz="4" w:space="0"/>
              <w:bottom w:val="outset" w:color="auto" w:sz="4" w:space="0"/>
              <w:right w:val="outset" w:color="auto" w:sz="4" w:space="0"/>
            </w:tcBorders>
            <w:vAlign w:val="bottom"/>
          </w:tcPr>
          <w:p w14:paraId="661845E0">
            <w:pPr>
              <w:jc w:val="right"/>
              <w:textAlignment w:val="bottom"/>
              <w:rPr>
                <w:rFonts w:cs="Times New Roman"/>
              </w:rPr>
            </w:pPr>
            <w:r>
              <w:rPr>
                <w:rFonts w:eastAsia="Arial Narrow" w:cs="Times New Roman"/>
                <w:color w:val="000000"/>
                <w:lang w:bidi="ar"/>
              </w:rPr>
              <w:t>51,260,842.58</w:t>
            </w:r>
          </w:p>
        </w:tc>
        <w:tc>
          <w:tcPr>
            <w:tcW w:w="955" w:type="pct"/>
            <w:tcBorders>
              <w:top w:val="outset" w:color="auto" w:sz="4" w:space="0"/>
              <w:left w:val="outset" w:color="auto" w:sz="4" w:space="0"/>
              <w:bottom w:val="outset" w:color="auto" w:sz="4" w:space="0"/>
              <w:right w:val="outset" w:color="auto" w:sz="4" w:space="0"/>
            </w:tcBorders>
            <w:vAlign w:val="bottom"/>
          </w:tcPr>
          <w:p w14:paraId="1B6D3FA2">
            <w:pPr>
              <w:jc w:val="right"/>
              <w:textAlignment w:val="bottom"/>
              <w:rPr>
                <w:rFonts w:cs="Times New Roman"/>
              </w:rPr>
            </w:pPr>
            <w:r>
              <w:rPr>
                <w:rFonts w:eastAsia="Arial Narrow" w:cs="Times New Roman"/>
                <w:color w:val="000000"/>
                <w:lang w:bidi="ar"/>
              </w:rPr>
              <w:t>47,162,176.16</w:t>
            </w:r>
          </w:p>
        </w:tc>
      </w:tr>
      <w:tr w14:paraId="4A5886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198D79A6">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销售费用</w:t>
            </w:r>
          </w:p>
        </w:tc>
        <w:tc>
          <w:tcPr>
            <w:tcW w:w="521" w:type="pct"/>
            <w:tcBorders>
              <w:top w:val="outset" w:color="auto" w:sz="4" w:space="0"/>
              <w:left w:val="outset" w:color="auto" w:sz="4" w:space="0"/>
              <w:bottom w:val="outset" w:color="auto" w:sz="4" w:space="0"/>
              <w:right w:val="outset" w:color="auto" w:sz="4" w:space="0"/>
            </w:tcBorders>
            <w:vAlign w:val="center"/>
          </w:tcPr>
          <w:p w14:paraId="374608D6">
            <w:pPr>
              <w:textAlignment w:val="center"/>
              <w:rPr>
                <w:rFonts w:cs="Times New Roman"/>
              </w:rPr>
            </w:pPr>
            <w:r>
              <w:rPr>
                <w:rFonts w:cs="Times New Roman"/>
                <w:color w:val="000000"/>
                <w:lang w:bidi="ar"/>
              </w:rPr>
              <w:t>七、63</w:t>
            </w:r>
          </w:p>
        </w:tc>
        <w:tc>
          <w:tcPr>
            <w:tcW w:w="955" w:type="pct"/>
            <w:tcBorders>
              <w:top w:val="outset" w:color="auto" w:sz="4" w:space="0"/>
              <w:left w:val="outset" w:color="auto" w:sz="4" w:space="0"/>
              <w:bottom w:val="outset" w:color="auto" w:sz="4" w:space="0"/>
              <w:right w:val="outset" w:color="auto" w:sz="4" w:space="0"/>
            </w:tcBorders>
            <w:vAlign w:val="bottom"/>
          </w:tcPr>
          <w:p w14:paraId="5B464DBD">
            <w:pPr>
              <w:jc w:val="right"/>
              <w:textAlignment w:val="bottom"/>
              <w:rPr>
                <w:rFonts w:cs="Times New Roman"/>
              </w:rPr>
            </w:pPr>
            <w:r>
              <w:rPr>
                <w:rFonts w:eastAsia="Arial Narrow" w:cs="Times New Roman"/>
                <w:color w:val="000000"/>
                <w:lang w:bidi="ar"/>
              </w:rPr>
              <w:t>114,303,971.14</w:t>
            </w:r>
          </w:p>
        </w:tc>
        <w:tc>
          <w:tcPr>
            <w:tcW w:w="955" w:type="pct"/>
            <w:tcBorders>
              <w:top w:val="outset" w:color="auto" w:sz="4" w:space="0"/>
              <w:left w:val="outset" w:color="auto" w:sz="4" w:space="0"/>
              <w:bottom w:val="outset" w:color="auto" w:sz="4" w:space="0"/>
              <w:right w:val="outset" w:color="auto" w:sz="4" w:space="0"/>
            </w:tcBorders>
            <w:vAlign w:val="bottom"/>
          </w:tcPr>
          <w:p w14:paraId="081A3AA8">
            <w:pPr>
              <w:jc w:val="right"/>
              <w:textAlignment w:val="bottom"/>
              <w:rPr>
                <w:rFonts w:cs="Times New Roman"/>
              </w:rPr>
            </w:pPr>
            <w:r>
              <w:rPr>
                <w:rFonts w:eastAsia="Arial Narrow" w:cs="Times New Roman"/>
                <w:color w:val="000000"/>
                <w:lang w:bidi="ar"/>
              </w:rPr>
              <w:t>172,992,168.56</w:t>
            </w:r>
          </w:p>
        </w:tc>
      </w:tr>
      <w:tr w14:paraId="169BBA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1637112">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管理费用</w:t>
            </w:r>
          </w:p>
        </w:tc>
        <w:tc>
          <w:tcPr>
            <w:tcW w:w="521" w:type="pct"/>
            <w:tcBorders>
              <w:top w:val="outset" w:color="auto" w:sz="4" w:space="0"/>
              <w:left w:val="outset" w:color="auto" w:sz="4" w:space="0"/>
              <w:bottom w:val="outset" w:color="auto" w:sz="4" w:space="0"/>
              <w:right w:val="outset" w:color="auto" w:sz="4" w:space="0"/>
            </w:tcBorders>
            <w:vAlign w:val="center"/>
          </w:tcPr>
          <w:p w14:paraId="02E2A311">
            <w:pPr>
              <w:textAlignment w:val="center"/>
              <w:rPr>
                <w:rFonts w:cs="Times New Roman"/>
              </w:rPr>
            </w:pPr>
            <w:r>
              <w:rPr>
                <w:rFonts w:cs="Times New Roman"/>
                <w:color w:val="000000"/>
                <w:lang w:bidi="ar"/>
              </w:rPr>
              <w:t>七、64</w:t>
            </w:r>
          </w:p>
        </w:tc>
        <w:tc>
          <w:tcPr>
            <w:tcW w:w="955" w:type="pct"/>
            <w:tcBorders>
              <w:top w:val="outset" w:color="auto" w:sz="4" w:space="0"/>
              <w:left w:val="outset" w:color="auto" w:sz="4" w:space="0"/>
              <w:bottom w:val="outset" w:color="auto" w:sz="4" w:space="0"/>
              <w:right w:val="outset" w:color="auto" w:sz="4" w:space="0"/>
            </w:tcBorders>
            <w:vAlign w:val="bottom"/>
          </w:tcPr>
          <w:p w14:paraId="22D4428A">
            <w:pPr>
              <w:jc w:val="right"/>
              <w:textAlignment w:val="bottom"/>
              <w:rPr>
                <w:rFonts w:cs="Times New Roman"/>
              </w:rPr>
            </w:pPr>
            <w:r>
              <w:rPr>
                <w:rFonts w:eastAsia="Arial Narrow" w:cs="Times New Roman"/>
                <w:color w:val="000000"/>
                <w:lang w:bidi="ar"/>
              </w:rPr>
              <w:t>277,091,465.72</w:t>
            </w:r>
          </w:p>
        </w:tc>
        <w:tc>
          <w:tcPr>
            <w:tcW w:w="955" w:type="pct"/>
            <w:tcBorders>
              <w:top w:val="outset" w:color="auto" w:sz="4" w:space="0"/>
              <w:left w:val="outset" w:color="auto" w:sz="4" w:space="0"/>
              <w:bottom w:val="outset" w:color="auto" w:sz="4" w:space="0"/>
              <w:right w:val="outset" w:color="auto" w:sz="4" w:space="0"/>
            </w:tcBorders>
            <w:vAlign w:val="bottom"/>
          </w:tcPr>
          <w:p w14:paraId="0D0150AB">
            <w:pPr>
              <w:jc w:val="right"/>
              <w:textAlignment w:val="bottom"/>
              <w:rPr>
                <w:rFonts w:cs="Times New Roman"/>
              </w:rPr>
            </w:pPr>
            <w:r>
              <w:rPr>
                <w:rFonts w:eastAsia="Arial Narrow" w:cs="Times New Roman"/>
                <w:color w:val="000000"/>
                <w:lang w:bidi="ar"/>
              </w:rPr>
              <w:t>306,136,331.59</w:t>
            </w:r>
          </w:p>
        </w:tc>
      </w:tr>
      <w:tr w14:paraId="5FB59F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CC44EA3">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研发费用</w:t>
            </w:r>
          </w:p>
        </w:tc>
        <w:tc>
          <w:tcPr>
            <w:tcW w:w="521" w:type="pct"/>
            <w:tcBorders>
              <w:top w:val="outset" w:color="auto" w:sz="4" w:space="0"/>
              <w:left w:val="outset" w:color="auto" w:sz="4" w:space="0"/>
              <w:bottom w:val="outset" w:color="auto" w:sz="4" w:space="0"/>
              <w:right w:val="outset" w:color="auto" w:sz="4" w:space="0"/>
            </w:tcBorders>
            <w:vAlign w:val="center"/>
          </w:tcPr>
          <w:p w14:paraId="1F9AB119">
            <w:pPr>
              <w:textAlignment w:val="center"/>
              <w:rPr>
                <w:rFonts w:cs="Times New Roman"/>
              </w:rPr>
            </w:pPr>
            <w:r>
              <w:rPr>
                <w:rFonts w:cs="Times New Roman"/>
                <w:color w:val="000000"/>
                <w:lang w:bidi="ar"/>
              </w:rPr>
              <w:t>七、65</w:t>
            </w:r>
          </w:p>
        </w:tc>
        <w:tc>
          <w:tcPr>
            <w:tcW w:w="955" w:type="pct"/>
            <w:tcBorders>
              <w:top w:val="outset" w:color="auto" w:sz="4" w:space="0"/>
              <w:left w:val="outset" w:color="auto" w:sz="4" w:space="0"/>
              <w:bottom w:val="outset" w:color="auto" w:sz="4" w:space="0"/>
              <w:right w:val="outset" w:color="auto" w:sz="4" w:space="0"/>
            </w:tcBorders>
            <w:vAlign w:val="bottom"/>
          </w:tcPr>
          <w:p w14:paraId="69EC2B79">
            <w:pPr>
              <w:jc w:val="right"/>
              <w:textAlignment w:val="bottom"/>
              <w:rPr>
                <w:rFonts w:cs="Times New Roman"/>
              </w:rPr>
            </w:pPr>
            <w:r>
              <w:rPr>
                <w:rFonts w:eastAsia="Arial Narrow" w:cs="Times New Roman"/>
                <w:color w:val="000000"/>
                <w:lang w:bidi="ar"/>
              </w:rPr>
              <w:t>118,775,901.52</w:t>
            </w:r>
          </w:p>
        </w:tc>
        <w:tc>
          <w:tcPr>
            <w:tcW w:w="955" w:type="pct"/>
            <w:tcBorders>
              <w:top w:val="outset" w:color="auto" w:sz="4" w:space="0"/>
              <w:left w:val="outset" w:color="auto" w:sz="4" w:space="0"/>
              <w:bottom w:val="outset" w:color="auto" w:sz="4" w:space="0"/>
              <w:right w:val="outset" w:color="auto" w:sz="4" w:space="0"/>
            </w:tcBorders>
            <w:vAlign w:val="bottom"/>
          </w:tcPr>
          <w:p w14:paraId="6495BFD1">
            <w:pPr>
              <w:jc w:val="right"/>
              <w:textAlignment w:val="bottom"/>
              <w:rPr>
                <w:rFonts w:cs="Times New Roman"/>
              </w:rPr>
            </w:pPr>
            <w:r>
              <w:rPr>
                <w:rFonts w:eastAsia="Arial Narrow" w:cs="Times New Roman"/>
                <w:color w:val="000000"/>
                <w:lang w:bidi="ar"/>
              </w:rPr>
              <w:t>158,017,862.43</w:t>
            </w:r>
          </w:p>
        </w:tc>
      </w:tr>
      <w:tr w14:paraId="4CBD8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E6EB454">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财务费用</w:t>
            </w:r>
          </w:p>
        </w:tc>
        <w:tc>
          <w:tcPr>
            <w:tcW w:w="521" w:type="pct"/>
            <w:tcBorders>
              <w:top w:val="outset" w:color="auto" w:sz="4" w:space="0"/>
              <w:left w:val="outset" w:color="auto" w:sz="4" w:space="0"/>
              <w:bottom w:val="outset" w:color="auto" w:sz="4" w:space="0"/>
              <w:right w:val="outset" w:color="auto" w:sz="4" w:space="0"/>
            </w:tcBorders>
            <w:vAlign w:val="center"/>
          </w:tcPr>
          <w:p w14:paraId="2141E236">
            <w:pPr>
              <w:textAlignment w:val="center"/>
              <w:rPr>
                <w:rFonts w:cs="Times New Roman"/>
              </w:rPr>
            </w:pPr>
            <w:r>
              <w:rPr>
                <w:rFonts w:cs="Times New Roman"/>
                <w:color w:val="000000"/>
                <w:lang w:bidi="ar"/>
              </w:rPr>
              <w:t>七、66</w:t>
            </w:r>
          </w:p>
        </w:tc>
        <w:tc>
          <w:tcPr>
            <w:tcW w:w="955" w:type="pct"/>
            <w:tcBorders>
              <w:top w:val="outset" w:color="auto" w:sz="4" w:space="0"/>
              <w:left w:val="outset" w:color="auto" w:sz="4" w:space="0"/>
              <w:bottom w:val="outset" w:color="auto" w:sz="4" w:space="0"/>
              <w:right w:val="outset" w:color="auto" w:sz="4" w:space="0"/>
            </w:tcBorders>
            <w:vAlign w:val="bottom"/>
          </w:tcPr>
          <w:p w14:paraId="2EC5867E">
            <w:pPr>
              <w:jc w:val="right"/>
              <w:textAlignment w:val="bottom"/>
              <w:rPr>
                <w:rFonts w:cs="Times New Roman"/>
              </w:rPr>
            </w:pPr>
            <w:r>
              <w:rPr>
                <w:rFonts w:eastAsia="Arial Narrow" w:cs="Times New Roman"/>
                <w:color w:val="000000"/>
                <w:lang w:bidi="ar"/>
              </w:rPr>
              <w:t>-14,188,414.87</w:t>
            </w:r>
          </w:p>
        </w:tc>
        <w:tc>
          <w:tcPr>
            <w:tcW w:w="955" w:type="pct"/>
            <w:tcBorders>
              <w:top w:val="outset" w:color="auto" w:sz="4" w:space="0"/>
              <w:left w:val="outset" w:color="auto" w:sz="4" w:space="0"/>
              <w:bottom w:val="outset" w:color="auto" w:sz="4" w:space="0"/>
              <w:right w:val="outset" w:color="auto" w:sz="4" w:space="0"/>
            </w:tcBorders>
            <w:vAlign w:val="bottom"/>
          </w:tcPr>
          <w:p w14:paraId="7BFD7212">
            <w:pPr>
              <w:jc w:val="right"/>
              <w:textAlignment w:val="bottom"/>
              <w:rPr>
                <w:rFonts w:cs="Times New Roman"/>
              </w:rPr>
            </w:pPr>
            <w:r>
              <w:rPr>
                <w:rFonts w:eastAsia="Arial Narrow" w:cs="Times New Roman"/>
                <w:color w:val="000000"/>
                <w:lang w:bidi="ar"/>
              </w:rPr>
              <w:t>-15,626,551.17</w:t>
            </w:r>
          </w:p>
        </w:tc>
      </w:tr>
      <w:tr w14:paraId="14591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C9C2052">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其中：利息费用</w:t>
            </w:r>
          </w:p>
        </w:tc>
        <w:tc>
          <w:tcPr>
            <w:tcW w:w="521" w:type="pct"/>
            <w:tcBorders>
              <w:top w:val="outset" w:color="auto" w:sz="4" w:space="0"/>
              <w:left w:val="outset" w:color="auto" w:sz="4" w:space="0"/>
              <w:bottom w:val="outset" w:color="auto" w:sz="4" w:space="0"/>
              <w:right w:val="outset" w:color="auto" w:sz="4" w:space="0"/>
            </w:tcBorders>
            <w:vAlign w:val="center"/>
          </w:tcPr>
          <w:p w14:paraId="00CEE4B6">
            <w:pPr>
              <w:textAlignment w:val="center"/>
              <w:rPr>
                <w:rFonts w:cs="Times New Roman"/>
              </w:rPr>
            </w:pPr>
            <w:r>
              <w:rPr>
                <w:rFonts w:cs="Times New Roman"/>
                <w:color w:val="000000"/>
                <w:lang w:bidi="ar"/>
              </w:rPr>
              <w:t>七、66</w:t>
            </w:r>
          </w:p>
        </w:tc>
        <w:tc>
          <w:tcPr>
            <w:tcW w:w="955" w:type="pct"/>
            <w:tcBorders>
              <w:top w:val="outset" w:color="auto" w:sz="4" w:space="0"/>
              <w:left w:val="outset" w:color="auto" w:sz="4" w:space="0"/>
              <w:bottom w:val="outset" w:color="auto" w:sz="4" w:space="0"/>
              <w:right w:val="outset" w:color="auto" w:sz="4" w:space="0"/>
            </w:tcBorders>
            <w:vAlign w:val="bottom"/>
          </w:tcPr>
          <w:p w14:paraId="1A007BAD">
            <w:pPr>
              <w:jc w:val="right"/>
              <w:textAlignment w:val="bottom"/>
              <w:rPr>
                <w:rFonts w:cs="Times New Roman"/>
              </w:rPr>
            </w:pPr>
            <w:r>
              <w:rPr>
                <w:rFonts w:eastAsia="Arial Narrow" w:cs="Times New Roman"/>
                <w:color w:val="000000"/>
                <w:lang w:bidi="ar"/>
              </w:rPr>
              <w:t>42,092,229.97</w:t>
            </w:r>
          </w:p>
        </w:tc>
        <w:tc>
          <w:tcPr>
            <w:tcW w:w="955" w:type="pct"/>
            <w:tcBorders>
              <w:top w:val="outset" w:color="auto" w:sz="4" w:space="0"/>
              <w:left w:val="outset" w:color="auto" w:sz="4" w:space="0"/>
              <w:bottom w:val="outset" w:color="auto" w:sz="4" w:space="0"/>
              <w:right w:val="outset" w:color="auto" w:sz="4" w:space="0"/>
            </w:tcBorders>
            <w:vAlign w:val="bottom"/>
          </w:tcPr>
          <w:p w14:paraId="22D01BD0">
            <w:pPr>
              <w:jc w:val="right"/>
              <w:textAlignment w:val="bottom"/>
              <w:rPr>
                <w:rFonts w:cs="Times New Roman"/>
              </w:rPr>
            </w:pPr>
            <w:r>
              <w:rPr>
                <w:rFonts w:eastAsia="Arial Narrow" w:cs="Times New Roman"/>
                <w:color w:val="000000"/>
                <w:lang w:bidi="ar"/>
              </w:rPr>
              <w:t>35,397,869.58</w:t>
            </w:r>
          </w:p>
        </w:tc>
      </w:tr>
      <w:tr w14:paraId="610571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4BBC13F">
            <w:pPr>
              <w:ind w:firstLine="1260" w:firstLineChars="6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利息收入</w:t>
            </w:r>
          </w:p>
        </w:tc>
        <w:tc>
          <w:tcPr>
            <w:tcW w:w="521" w:type="pct"/>
            <w:tcBorders>
              <w:top w:val="outset" w:color="auto" w:sz="4" w:space="0"/>
              <w:left w:val="outset" w:color="auto" w:sz="4" w:space="0"/>
              <w:bottom w:val="outset" w:color="auto" w:sz="4" w:space="0"/>
              <w:right w:val="outset" w:color="auto" w:sz="4" w:space="0"/>
            </w:tcBorders>
            <w:vAlign w:val="center"/>
          </w:tcPr>
          <w:p w14:paraId="55A33CC0">
            <w:pPr>
              <w:textAlignment w:val="center"/>
              <w:rPr>
                <w:rFonts w:cs="Times New Roman"/>
              </w:rPr>
            </w:pPr>
            <w:r>
              <w:rPr>
                <w:rFonts w:cs="Times New Roman"/>
                <w:color w:val="000000"/>
                <w:lang w:bidi="ar"/>
              </w:rPr>
              <w:t>七、66</w:t>
            </w:r>
          </w:p>
        </w:tc>
        <w:tc>
          <w:tcPr>
            <w:tcW w:w="955" w:type="pct"/>
            <w:tcBorders>
              <w:top w:val="outset" w:color="auto" w:sz="4" w:space="0"/>
              <w:left w:val="outset" w:color="auto" w:sz="4" w:space="0"/>
              <w:bottom w:val="outset" w:color="auto" w:sz="4" w:space="0"/>
              <w:right w:val="outset" w:color="auto" w:sz="4" w:space="0"/>
            </w:tcBorders>
            <w:vAlign w:val="bottom"/>
          </w:tcPr>
          <w:p w14:paraId="43839132">
            <w:pPr>
              <w:jc w:val="right"/>
              <w:textAlignment w:val="bottom"/>
              <w:rPr>
                <w:rFonts w:cs="Times New Roman"/>
              </w:rPr>
            </w:pPr>
            <w:r>
              <w:rPr>
                <w:rFonts w:eastAsia="Arial Narrow" w:cs="Times New Roman"/>
                <w:color w:val="000000"/>
                <w:lang w:bidi="ar"/>
              </w:rPr>
              <w:t>60,068,341.22</w:t>
            </w:r>
          </w:p>
        </w:tc>
        <w:tc>
          <w:tcPr>
            <w:tcW w:w="955" w:type="pct"/>
            <w:tcBorders>
              <w:top w:val="outset" w:color="auto" w:sz="4" w:space="0"/>
              <w:left w:val="outset" w:color="auto" w:sz="4" w:space="0"/>
              <w:bottom w:val="outset" w:color="auto" w:sz="4" w:space="0"/>
              <w:right w:val="outset" w:color="auto" w:sz="4" w:space="0"/>
            </w:tcBorders>
            <w:vAlign w:val="bottom"/>
          </w:tcPr>
          <w:p w14:paraId="1FA28631">
            <w:pPr>
              <w:jc w:val="right"/>
              <w:textAlignment w:val="bottom"/>
              <w:rPr>
                <w:rFonts w:cs="Times New Roman"/>
              </w:rPr>
            </w:pPr>
            <w:r>
              <w:rPr>
                <w:rFonts w:eastAsia="Arial Narrow" w:cs="Times New Roman"/>
                <w:color w:val="000000"/>
                <w:lang w:bidi="ar"/>
              </w:rPr>
              <w:t>51,034,553.34</w:t>
            </w:r>
          </w:p>
        </w:tc>
      </w:tr>
      <w:tr w14:paraId="6C38D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DD8DD75">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加：其他收益</w:t>
            </w:r>
          </w:p>
        </w:tc>
        <w:tc>
          <w:tcPr>
            <w:tcW w:w="521" w:type="pct"/>
            <w:tcBorders>
              <w:top w:val="outset" w:color="auto" w:sz="4" w:space="0"/>
              <w:left w:val="outset" w:color="auto" w:sz="4" w:space="0"/>
              <w:bottom w:val="outset" w:color="auto" w:sz="4" w:space="0"/>
              <w:right w:val="outset" w:color="auto" w:sz="4" w:space="0"/>
            </w:tcBorders>
            <w:vAlign w:val="center"/>
          </w:tcPr>
          <w:p w14:paraId="1D3ED7FC">
            <w:pPr>
              <w:textAlignment w:val="center"/>
              <w:rPr>
                <w:rFonts w:cs="Times New Roman"/>
              </w:rPr>
            </w:pPr>
            <w:r>
              <w:rPr>
                <w:rFonts w:cs="Times New Roman"/>
                <w:color w:val="000000"/>
                <w:lang w:bidi="ar"/>
              </w:rPr>
              <w:t>七、67</w:t>
            </w:r>
          </w:p>
        </w:tc>
        <w:tc>
          <w:tcPr>
            <w:tcW w:w="955" w:type="pct"/>
            <w:tcBorders>
              <w:top w:val="outset" w:color="auto" w:sz="4" w:space="0"/>
              <w:left w:val="outset" w:color="auto" w:sz="4" w:space="0"/>
              <w:bottom w:val="outset" w:color="auto" w:sz="4" w:space="0"/>
              <w:right w:val="outset" w:color="auto" w:sz="4" w:space="0"/>
            </w:tcBorders>
            <w:vAlign w:val="bottom"/>
          </w:tcPr>
          <w:p w14:paraId="28EC8C24">
            <w:pPr>
              <w:jc w:val="right"/>
              <w:textAlignment w:val="bottom"/>
              <w:rPr>
                <w:rFonts w:cs="Times New Roman"/>
              </w:rPr>
            </w:pPr>
            <w:r>
              <w:rPr>
                <w:rFonts w:eastAsia="Arial Narrow" w:cs="Times New Roman"/>
                <w:color w:val="000000"/>
                <w:lang w:bidi="ar"/>
              </w:rPr>
              <w:t>45,541,279.54</w:t>
            </w:r>
          </w:p>
        </w:tc>
        <w:tc>
          <w:tcPr>
            <w:tcW w:w="955" w:type="pct"/>
            <w:tcBorders>
              <w:top w:val="outset" w:color="auto" w:sz="4" w:space="0"/>
              <w:left w:val="outset" w:color="auto" w:sz="4" w:space="0"/>
              <w:bottom w:val="outset" w:color="auto" w:sz="4" w:space="0"/>
              <w:right w:val="outset" w:color="auto" w:sz="4" w:space="0"/>
            </w:tcBorders>
            <w:vAlign w:val="bottom"/>
          </w:tcPr>
          <w:p w14:paraId="12B48218">
            <w:pPr>
              <w:jc w:val="right"/>
              <w:textAlignment w:val="bottom"/>
              <w:rPr>
                <w:rFonts w:cs="Times New Roman"/>
              </w:rPr>
            </w:pPr>
            <w:r>
              <w:rPr>
                <w:rFonts w:eastAsia="Arial Narrow" w:cs="Times New Roman"/>
                <w:color w:val="000000"/>
                <w:lang w:bidi="ar"/>
              </w:rPr>
              <w:t>38,097,018.26</w:t>
            </w:r>
          </w:p>
        </w:tc>
      </w:tr>
      <w:tr w14:paraId="06EAE4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8E1C7C5">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投资收益（损失以“－”号填列）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7C4F8E25">
            <w:pPr>
              <w:textAlignment w:val="center"/>
              <w:rPr>
                <w:rFonts w:cs="Times New Roman"/>
              </w:rPr>
            </w:pPr>
            <w:r>
              <w:rPr>
                <w:rFonts w:cs="Times New Roman"/>
                <w:color w:val="000000"/>
                <w:lang w:bidi="ar"/>
              </w:rPr>
              <w:t>七、68</w:t>
            </w:r>
          </w:p>
        </w:tc>
        <w:tc>
          <w:tcPr>
            <w:tcW w:w="955" w:type="pct"/>
            <w:tcBorders>
              <w:top w:val="outset" w:color="auto" w:sz="4" w:space="0"/>
              <w:left w:val="outset" w:color="auto" w:sz="4" w:space="0"/>
              <w:bottom w:val="outset" w:color="auto" w:sz="4" w:space="0"/>
              <w:right w:val="outset" w:color="auto" w:sz="4" w:space="0"/>
            </w:tcBorders>
            <w:vAlign w:val="bottom"/>
          </w:tcPr>
          <w:p w14:paraId="6117E076">
            <w:pPr>
              <w:jc w:val="right"/>
              <w:textAlignment w:val="bottom"/>
              <w:rPr>
                <w:rFonts w:cs="Times New Roman"/>
              </w:rPr>
            </w:pPr>
            <w:r>
              <w:rPr>
                <w:rFonts w:eastAsia="Arial Narrow" w:cs="Times New Roman"/>
                <w:color w:val="000000"/>
                <w:lang w:bidi="ar"/>
              </w:rPr>
              <w:t>30,312,923.31</w:t>
            </w:r>
          </w:p>
        </w:tc>
        <w:tc>
          <w:tcPr>
            <w:tcW w:w="955" w:type="pct"/>
            <w:tcBorders>
              <w:top w:val="outset" w:color="auto" w:sz="4" w:space="0"/>
              <w:left w:val="outset" w:color="auto" w:sz="4" w:space="0"/>
              <w:bottom w:val="outset" w:color="auto" w:sz="4" w:space="0"/>
              <w:right w:val="outset" w:color="auto" w:sz="4" w:space="0"/>
            </w:tcBorders>
            <w:vAlign w:val="bottom"/>
          </w:tcPr>
          <w:p w14:paraId="590B9974">
            <w:pPr>
              <w:jc w:val="right"/>
              <w:textAlignment w:val="bottom"/>
              <w:rPr>
                <w:rFonts w:cs="Times New Roman"/>
              </w:rPr>
            </w:pPr>
            <w:r>
              <w:rPr>
                <w:rFonts w:eastAsia="Arial Narrow" w:cs="Times New Roman"/>
                <w:color w:val="000000"/>
                <w:lang w:bidi="ar"/>
              </w:rPr>
              <w:t>-3,586,240.83</w:t>
            </w:r>
          </w:p>
        </w:tc>
      </w:tr>
      <w:tr w14:paraId="230F35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64005D9">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其中：对联营企业和合营企业的投资收益</w:t>
            </w:r>
          </w:p>
        </w:tc>
        <w:tc>
          <w:tcPr>
            <w:tcW w:w="521" w:type="pct"/>
            <w:tcBorders>
              <w:top w:val="outset" w:color="auto" w:sz="4" w:space="0"/>
              <w:left w:val="outset" w:color="auto" w:sz="4" w:space="0"/>
              <w:bottom w:val="outset" w:color="auto" w:sz="4" w:space="0"/>
              <w:right w:val="outset" w:color="auto" w:sz="4" w:space="0"/>
            </w:tcBorders>
            <w:vAlign w:val="center"/>
          </w:tcPr>
          <w:p w14:paraId="1B123E53">
            <w:pPr>
              <w:textAlignment w:val="center"/>
              <w:rPr>
                <w:rFonts w:cs="Times New Roman"/>
              </w:rPr>
            </w:pPr>
            <w:r>
              <w:rPr>
                <w:rFonts w:cs="Times New Roman"/>
                <w:color w:val="000000"/>
                <w:lang w:bidi="ar"/>
              </w:rPr>
              <w:t>七、68</w:t>
            </w:r>
          </w:p>
        </w:tc>
        <w:tc>
          <w:tcPr>
            <w:tcW w:w="955" w:type="pct"/>
            <w:tcBorders>
              <w:top w:val="outset" w:color="auto" w:sz="4" w:space="0"/>
              <w:left w:val="outset" w:color="auto" w:sz="4" w:space="0"/>
              <w:bottom w:val="outset" w:color="auto" w:sz="4" w:space="0"/>
              <w:right w:val="outset" w:color="auto" w:sz="4" w:space="0"/>
            </w:tcBorders>
            <w:vAlign w:val="bottom"/>
          </w:tcPr>
          <w:p w14:paraId="5F5D7656">
            <w:pPr>
              <w:jc w:val="right"/>
              <w:textAlignment w:val="bottom"/>
              <w:rPr>
                <w:rFonts w:cs="Times New Roman"/>
              </w:rPr>
            </w:pPr>
            <w:r>
              <w:rPr>
                <w:rFonts w:eastAsia="Arial Narrow" w:cs="Times New Roman"/>
                <w:color w:val="000000"/>
                <w:lang w:bidi="ar"/>
              </w:rPr>
              <w:t>-3,274,736.02</w:t>
            </w:r>
          </w:p>
        </w:tc>
        <w:tc>
          <w:tcPr>
            <w:tcW w:w="955" w:type="pct"/>
            <w:tcBorders>
              <w:top w:val="outset" w:color="auto" w:sz="4" w:space="0"/>
              <w:left w:val="outset" w:color="auto" w:sz="4" w:space="0"/>
              <w:bottom w:val="outset" w:color="auto" w:sz="4" w:space="0"/>
              <w:right w:val="outset" w:color="auto" w:sz="4" w:space="0"/>
            </w:tcBorders>
            <w:vAlign w:val="bottom"/>
          </w:tcPr>
          <w:p w14:paraId="67CB1F1E">
            <w:pPr>
              <w:jc w:val="right"/>
              <w:textAlignment w:val="bottom"/>
              <w:rPr>
                <w:rFonts w:cs="Times New Roman"/>
              </w:rPr>
            </w:pPr>
            <w:r>
              <w:rPr>
                <w:rFonts w:eastAsia="Arial Narrow" w:cs="Times New Roman"/>
                <w:color w:val="000000"/>
                <w:lang w:bidi="ar"/>
              </w:rPr>
              <w:t>-3,975,064.83</w:t>
            </w:r>
          </w:p>
        </w:tc>
      </w:tr>
      <w:tr w14:paraId="61C0A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230FDED">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信用减值损失（损失以“-”号填列）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74CF3B08">
            <w:pPr>
              <w:textAlignment w:val="center"/>
              <w:rPr>
                <w:rFonts w:cs="Times New Roman"/>
              </w:rPr>
            </w:pPr>
            <w:r>
              <w:rPr>
                <w:rFonts w:cs="Times New Roman"/>
                <w:color w:val="000000"/>
                <w:lang w:bidi="ar"/>
              </w:rPr>
              <w:t>七、71</w:t>
            </w:r>
          </w:p>
        </w:tc>
        <w:tc>
          <w:tcPr>
            <w:tcW w:w="955" w:type="pct"/>
            <w:tcBorders>
              <w:top w:val="outset" w:color="auto" w:sz="4" w:space="0"/>
              <w:left w:val="outset" w:color="auto" w:sz="4" w:space="0"/>
              <w:bottom w:val="outset" w:color="auto" w:sz="4" w:space="0"/>
              <w:right w:val="outset" w:color="auto" w:sz="4" w:space="0"/>
            </w:tcBorders>
            <w:vAlign w:val="bottom"/>
          </w:tcPr>
          <w:p w14:paraId="04CACEA9">
            <w:pPr>
              <w:jc w:val="right"/>
              <w:textAlignment w:val="bottom"/>
              <w:rPr>
                <w:rFonts w:cs="Times New Roman"/>
              </w:rPr>
            </w:pPr>
            <w:r>
              <w:rPr>
                <w:rFonts w:eastAsia="Arial Narrow" w:cs="Times New Roman"/>
                <w:color w:val="000000"/>
                <w:lang w:bidi="ar"/>
              </w:rPr>
              <w:t>-20,724,573.95</w:t>
            </w:r>
          </w:p>
        </w:tc>
        <w:tc>
          <w:tcPr>
            <w:tcW w:w="955" w:type="pct"/>
            <w:tcBorders>
              <w:top w:val="outset" w:color="auto" w:sz="4" w:space="0"/>
              <w:left w:val="outset" w:color="auto" w:sz="4" w:space="0"/>
              <w:bottom w:val="outset" w:color="auto" w:sz="4" w:space="0"/>
              <w:right w:val="outset" w:color="auto" w:sz="4" w:space="0"/>
            </w:tcBorders>
            <w:vAlign w:val="bottom"/>
          </w:tcPr>
          <w:p w14:paraId="540ACAE5">
            <w:pPr>
              <w:jc w:val="right"/>
              <w:textAlignment w:val="bottom"/>
              <w:rPr>
                <w:rFonts w:cs="Times New Roman"/>
              </w:rPr>
            </w:pPr>
            <w:r>
              <w:rPr>
                <w:rFonts w:eastAsia="Arial Narrow" w:cs="Times New Roman"/>
                <w:color w:val="000000"/>
                <w:lang w:bidi="ar"/>
              </w:rPr>
              <w:t>3,689,827.51</w:t>
            </w:r>
          </w:p>
        </w:tc>
      </w:tr>
      <w:tr w14:paraId="6549C6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B0703D4">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资产减值损失（损失以“-”号填列）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782E0CC4">
            <w:pPr>
              <w:textAlignment w:val="center"/>
              <w:rPr>
                <w:rFonts w:cs="Times New Roman"/>
              </w:rPr>
            </w:pPr>
            <w:r>
              <w:rPr>
                <w:rFonts w:cs="Times New Roman"/>
                <w:color w:val="000000"/>
                <w:lang w:bidi="ar"/>
              </w:rPr>
              <w:t>七、72</w:t>
            </w:r>
          </w:p>
        </w:tc>
        <w:tc>
          <w:tcPr>
            <w:tcW w:w="955" w:type="pct"/>
            <w:tcBorders>
              <w:top w:val="outset" w:color="auto" w:sz="4" w:space="0"/>
              <w:left w:val="outset" w:color="auto" w:sz="4" w:space="0"/>
              <w:bottom w:val="outset" w:color="auto" w:sz="4" w:space="0"/>
              <w:right w:val="outset" w:color="auto" w:sz="4" w:space="0"/>
            </w:tcBorders>
            <w:vAlign w:val="bottom"/>
          </w:tcPr>
          <w:p w14:paraId="131D725B">
            <w:pPr>
              <w:jc w:val="right"/>
              <w:textAlignment w:val="bottom"/>
              <w:rPr>
                <w:rFonts w:cs="Times New Roman"/>
              </w:rPr>
            </w:pPr>
            <w:r>
              <w:rPr>
                <w:rFonts w:eastAsia="Arial Narrow" w:cs="Times New Roman"/>
                <w:color w:val="000000"/>
                <w:lang w:bidi="ar"/>
              </w:rPr>
              <w:t>-17,510,642.11</w:t>
            </w:r>
          </w:p>
        </w:tc>
        <w:tc>
          <w:tcPr>
            <w:tcW w:w="955" w:type="pct"/>
            <w:tcBorders>
              <w:top w:val="outset" w:color="auto" w:sz="4" w:space="0"/>
              <w:left w:val="outset" w:color="auto" w:sz="4" w:space="0"/>
              <w:bottom w:val="outset" w:color="auto" w:sz="4" w:space="0"/>
              <w:right w:val="outset" w:color="auto" w:sz="4" w:space="0"/>
            </w:tcBorders>
            <w:vAlign w:val="bottom"/>
          </w:tcPr>
          <w:p w14:paraId="04722EFD">
            <w:pPr>
              <w:jc w:val="right"/>
              <w:rPr>
                <w:rFonts w:cs="Times New Roman"/>
              </w:rPr>
            </w:pPr>
          </w:p>
        </w:tc>
      </w:tr>
      <w:tr w14:paraId="7ADF1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74095B23">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资产处置收益（损失以“－”号填列）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6B490471">
            <w:pPr>
              <w:textAlignment w:val="center"/>
              <w:rPr>
                <w:rFonts w:cs="Times New Roman"/>
              </w:rPr>
            </w:pPr>
            <w:r>
              <w:rPr>
                <w:rFonts w:cs="Times New Roman"/>
                <w:color w:val="000000"/>
                <w:lang w:bidi="ar"/>
              </w:rPr>
              <w:t>七、73</w:t>
            </w:r>
          </w:p>
        </w:tc>
        <w:tc>
          <w:tcPr>
            <w:tcW w:w="955" w:type="pct"/>
            <w:tcBorders>
              <w:top w:val="outset" w:color="auto" w:sz="4" w:space="0"/>
              <w:left w:val="outset" w:color="auto" w:sz="4" w:space="0"/>
              <w:bottom w:val="outset" w:color="auto" w:sz="4" w:space="0"/>
              <w:right w:val="outset" w:color="auto" w:sz="4" w:space="0"/>
            </w:tcBorders>
            <w:vAlign w:val="bottom"/>
          </w:tcPr>
          <w:p w14:paraId="4339DDE7">
            <w:pPr>
              <w:jc w:val="right"/>
              <w:textAlignment w:val="bottom"/>
              <w:rPr>
                <w:rFonts w:cs="Times New Roman"/>
              </w:rPr>
            </w:pPr>
            <w:r>
              <w:rPr>
                <w:rFonts w:eastAsia="Arial Narrow" w:cs="Times New Roman"/>
                <w:color w:val="000000"/>
                <w:lang w:bidi="ar"/>
              </w:rPr>
              <w:t>1,077,259.35</w:t>
            </w:r>
          </w:p>
        </w:tc>
        <w:tc>
          <w:tcPr>
            <w:tcW w:w="955" w:type="pct"/>
            <w:tcBorders>
              <w:top w:val="outset" w:color="auto" w:sz="4" w:space="0"/>
              <w:left w:val="outset" w:color="auto" w:sz="4" w:space="0"/>
              <w:bottom w:val="outset" w:color="auto" w:sz="4" w:space="0"/>
              <w:right w:val="outset" w:color="auto" w:sz="4" w:space="0"/>
            </w:tcBorders>
            <w:vAlign w:val="bottom"/>
          </w:tcPr>
          <w:p w14:paraId="6C9A6504">
            <w:pPr>
              <w:jc w:val="right"/>
              <w:textAlignment w:val="bottom"/>
              <w:rPr>
                <w:rFonts w:cs="Times New Roman"/>
              </w:rPr>
            </w:pPr>
            <w:r>
              <w:rPr>
                <w:rFonts w:eastAsia="Arial Narrow" w:cs="Times New Roman"/>
                <w:color w:val="000000"/>
                <w:lang w:bidi="ar"/>
              </w:rPr>
              <w:t>78,391.18</w:t>
            </w:r>
          </w:p>
        </w:tc>
      </w:tr>
      <w:tr w14:paraId="478F9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FB39A8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三、营业利润（亏损以“－”号填列）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077C5ED3">
            <w:pPr>
              <w:rPr>
                <w:rFonts w:cs="Times New Roman"/>
              </w:rPr>
            </w:pPr>
          </w:p>
        </w:tc>
        <w:tc>
          <w:tcPr>
            <w:tcW w:w="955" w:type="pct"/>
            <w:tcBorders>
              <w:top w:val="outset" w:color="auto" w:sz="4" w:space="0"/>
              <w:left w:val="outset" w:color="auto" w:sz="4" w:space="0"/>
              <w:bottom w:val="outset" w:color="auto" w:sz="4" w:space="0"/>
              <w:right w:val="outset" w:color="auto" w:sz="4" w:space="0"/>
            </w:tcBorders>
            <w:vAlign w:val="bottom"/>
          </w:tcPr>
          <w:p w14:paraId="3574092A">
            <w:pPr>
              <w:jc w:val="right"/>
              <w:textAlignment w:val="bottom"/>
              <w:rPr>
                <w:rFonts w:cs="Times New Roman"/>
              </w:rPr>
            </w:pPr>
            <w:r>
              <w:rPr>
                <w:rFonts w:eastAsia="Arial Narrow" w:cs="Times New Roman"/>
                <w:color w:val="000000"/>
                <w:lang w:bidi="ar"/>
              </w:rPr>
              <w:t>-58,981,712.66</w:t>
            </w:r>
          </w:p>
        </w:tc>
        <w:tc>
          <w:tcPr>
            <w:tcW w:w="955" w:type="pct"/>
            <w:tcBorders>
              <w:top w:val="outset" w:color="auto" w:sz="4" w:space="0"/>
              <w:left w:val="outset" w:color="auto" w:sz="4" w:space="0"/>
              <w:bottom w:val="outset" w:color="auto" w:sz="4" w:space="0"/>
              <w:right w:val="outset" w:color="auto" w:sz="4" w:space="0"/>
            </w:tcBorders>
            <w:vAlign w:val="bottom"/>
          </w:tcPr>
          <w:p w14:paraId="14CCFBAE">
            <w:pPr>
              <w:jc w:val="right"/>
              <w:textAlignment w:val="bottom"/>
              <w:rPr>
                <w:rFonts w:cs="Times New Roman"/>
              </w:rPr>
            </w:pPr>
            <w:r>
              <w:rPr>
                <w:rFonts w:eastAsia="Arial Narrow" w:cs="Times New Roman"/>
                <w:color w:val="000000"/>
                <w:lang w:bidi="ar"/>
              </w:rPr>
              <w:t>54,120,674.42</w:t>
            </w:r>
          </w:p>
        </w:tc>
      </w:tr>
      <w:tr w14:paraId="192A45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D6CF990">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加：营业外收入</w:t>
            </w:r>
          </w:p>
        </w:tc>
        <w:tc>
          <w:tcPr>
            <w:tcW w:w="521" w:type="pct"/>
            <w:tcBorders>
              <w:top w:val="outset" w:color="auto" w:sz="4" w:space="0"/>
              <w:left w:val="outset" w:color="auto" w:sz="4" w:space="0"/>
              <w:bottom w:val="outset" w:color="auto" w:sz="4" w:space="0"/>
              <w:right w:val="outset" w:color="auto" w:sz="4" w:space="0"/>
            </w:tcBorders>
            <w:vAlign w:val="center"/>
          </w:tcPr>
          <w:p w14:paraId="0FE78051">
            <w:pPr>
              <w:textAlignment w:val="center"/>
              <w:rPr>
                <w:rFonts w:cs="Times New Roman"/>
              </w:rPr>
            </w:pPr>
            <w:r>
              <w:rPr>
                <w:rFonts w:cs="Times New Roman"/>
                <w:color w:val="000000"/>
                <w:lang w:bidi="ar"/>
              </w:rPr>
              <w:t>七、74</w:t>
            </w:r>
          </w:p>
        </w:tc>
        <w:tc>
          <w:tcPr>
            <w:tcW w:w="955" w:type="pct"/>
            <w:tcBorders>
              <w:top w:val="outset" w:color="auto" w:sz="4" w:space="0"/>
              <w:left w:val="outset" w:color="auto" w:sz="4" w:space="0"/>
              <w:bottom w:val="outset" w:color="auto" w:sz="4" w:space="0"/>
              <w:right w:val="outset" w:color="auto" w:sz="4" w:space="0"/>
            </w:tcBorders>
            <w:vAlign w:val="bottom"/>
          </w:tcPr>
          <w:p w14:paraId="1EB52D27">
            <w:pPr>
              <w:jc w:val="right"/>
              <w:textAlignment w:val="bottom"/>
              <w:rPr>
                <w:rFonts w:cs="Times New Roman"/>
              </w:rPr>
            </w:pPr>
            <w:r>
              <w:rPr>
                <w:rFonts w:eastAsia="Arial Narrow" w:cs="Times New Roman"/>
                <w:color w:val="000000"/>
                <w:lang w:bidi="ar"/>
              </w:rPr>
              <w:t>12,980,895.32</w:t>
            </w:r>
          </w:p>
        </w:tc>
        <w:tc>
          <w:tcPr>
            <w:tcW w:w="955" w:type="pct"/>
            <w:tcBorders>
              <w:top w:val="outset" w:color="auto" w:sz="4" w:space="0"/>
              <w:left w:val="outset" w:color="auto" w:sz="4" w:space="0"/>
              <w:bottom w:val="outset" w:color="auto" w:sz="4" w:space="0"/>
              <w:right w:val="outset" w:color="auto" w:sz="4" w:space="0"/>
            </w:tcBorders>
            <w:vAlign w:val="bottom"/>
          </w:tcPr>
          <w:p w14:paraId="5697F02E">
            <w:pPr>
              <w:jc w:val="right"/>
              <w:textAlignment w:val="bottom"/>
              <w:rPr>
                <w:rFonts w:cs="Times New Roman"/>
              </w:rPr>
            </w:pPr>
            <w:r>
              <w:rPr>
                <w:rFonts w:eastAsia="Arial Narrow" w:cs="Times New Roman"/>
                <w:color w:val="000000"/>
                <w:lang w:bidi="ar"/>
              </w:rPr>
              <w:t>1,944,841.05</w:t>
            </w:r>
          </w:p>
        </w:tc>
      </w:tr>
      <w:tr w14:paraId="7BC81F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6A8279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减：营业外支出</w:t>
            </w:r>
          </w:p>
        </w:tc>
        <w:tc>
          <w:tcPr>
            <w:tcW w:w="521" w:type="pct"/>
            <w:tcBorders>
              <w:top w:val="outset" w:color="auto" w:sz="4" w:space="0"/>
              <w:left w:val="outset" w:color="auto" w:sz="4" w:space="0"/>
              <w:bottom w:val="outset" w:color="auto" w:sz="4" w:space="0"/>
              <w:right w:val="outset" w:color="auto" w:sz="4" w:space="0"/>
            </w:tcBorders>
            <w:vAlign w:val="center"/>
          </w:tcPr>
          <w:p w14:paraId="343ED0DD">
            <w:pPr>
              <w:textAlignment w:val="center"/>
              <w:rPr>
                <w:rFonts w:cs="Times New Roman"/>
              </w:rPr>
            </w:pPr>
            <w:r>
              <w:rPr>
                <w:rFonts w:cs="Times New Roman"/>
                <w:color w:val="000000"/>
                <w:lang w:bidi="ar"/>
              </w:rPr>
              <w:t>七、75</w:t>
            </w:r>
          </w:p>
        </w:tc>
        <w:tc>
          <w:tcPr>
            <w:tcW w:w="955" w:type="pct"/>
            <w:tcBorders>
              <w:top w:val="outset" w:color="auto" w:sz="4" w:space="0"/>
              <w:left w:val="outset" w:color="auto" w:sz="4" w:space="0"/>
              <w:bottom w:val="outset" w:color="auto" w:sz="4" w:space="0"/>
              <w:right w:val="outset" w:color="auto" w:sz="4" w:space="0"/>
            </w:tcBorders>
            <w:vAlign w:val="bottom"/>
          </w:tcPr>
          <w:p w14:paraId="798C2671">
            <w:pPr>
              <w:jc w:val="right"/>
              <w:textAlignment w:val="bottom"/>
              <w:rPr>
                <w:rFonts w:cs="Times New Roman"/>
              </w:rPr>
            </w:pPr>
            <w:r>
              <w:rPr>
                <w:rFonts w:eastAsia="Arial Narrow" w:cs="Times New Roman"/>
                <w:color w:val="000000"/>
                <w:lang w:bidi="ar"/>
              </w:rPr>
              <w:t>9,816,966.37</w:t>
            </w:r>
          </w:p>
        </w:tc>
        <w:tc>
          <w:tcPr>
            <w:tcW w:w="955" w:type="pct"/>
            <w:tcBorders>
              <w:top w:val="outset" w:color="auto" w:sz="4" w:space="0"/>
              <w:left w:val="outset" w:color="auto" w:sz="4" w:space="0"/>
              <w:bottom w:val="outset" w:color="auto" w:sz="4" w:space="0"/>
              <w:right w:val="outset" w:color="auto" w:sz="4" w:space="0"/>
            </w:tcBorders>
            <w:vAlign w:val="bottom"/>
          </w:tcPr>
          <w:p w14:paraId="1DF679A2">
            <w:pPr>
              <w:jc w:val="right"/>
              <w:textAlignment w:val="bottom"/>
              <w:rPr>
                <w:rFonts w:cs="Times New Roman"/>
              </w:rPr>
            </w:pPr>
            <w:r>
              <w:rPr>
                <w:rFonts w:eastAsia="Arial Narrow" w:cs="Times New Roman"/>
                <w:color w:val="000000"/>
                <w:lang w:bidi="ar"/>
              </w:rPr>
              <w:t>64,003,500.17</w:t>
            </w:r>
          </w:p>
        </w:tc>
      </w:tr>
      <w:tr w14:paraId="208B50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287545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四、利润总额（亏损总额以“－”号填列）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4488AA54">
            <w:pPr>
              <w:rPr>
                <w:rFonts w:cs="Times New Roman"/>
              </w:rPr>
            </w:pPr>
          </w:p>
        </w:tc>
        <w:tc>
          <w:tcPr>
            <w:tcW w:w="955" w:type="pct"/>
            <w:tcBorders>
              <w:top w:val="outset" w:color="auto" w:sz="4" w:space="0"/>
              <w:left w:val="outset" w:color="auto" w:sz="4" w:space="0"/>
              <w:bottom w:val="outset" w:color="auto" w:sz="4" w:space="0"/>
              <w:right w:val="outset" w:color="auto" w:sz="4" w:space="0"/>
            </w:tcBorders>
            <w:vAlign w:val="bottom"/>
          </w:tcPr>
          <w:p w14:paraId="21CE3FC5">
            <w:pPr>
              <w:jc w:val="right"/>
              <w:textAlignment w:val="bottom"/>
              <w:rPr>
                <w:rFonts w:cs="Times New Roman"/>
              </w:rPr>
            </w:pPr>
            <w:r>
              <w:rPr>
                <w:rFonts w:eastAsia="Arial Narrow" w:cs="Times New Roman"/>
                <w:color w:val="000000"/>
                <w:lang w:bidi="ar"/>
              </w:rPr>
              <w:t>-55,817,783.71</w:t>
            </w:r>
          </w:p>
        </w:tc>
        <w:tc>
          <w:tcPr>
            <w:tcW w:w="955" w:type="pct"/>
            <w:tcBorders>
              <w:top w:val="outset" w:color="auto" w:sz="4" w:space="0"/>
              <w:left w:val="outset" w:color="auto" w:sz="4" w:space="0"/>
              <w:bottom w:val="outset" w:color="auto" w:sz="4" w:space="0"/>
              <w:right w:val="outset" w:color="auto" w:sz="4" w:space="0"/>
            </w:tcBorders>
            <w:vAlign w:val="bottom"/>
          </w:tcPr>
          <w:p w14:paraId="0735F0EC">
            <w:pPr>
              <w:jc w:val="right"/>
              <w:textAlignment w:val="bottom"/>
              <w:rPr>
                <w:rFonts w:cs="Times New Roman"/>
              </w:rPr>
            </w:pPr>
            <w:r>
              <w:rPr>
                <w:rFonts w:eastAsia="Arial Narrow" w:cs="Times New Roman"/>
                <w:color w:val="000000"/>
                <w:lang w:bidi="ar"/>
              </w:rPr>
              <w:t>-7,937,984.70</w:t>
            </w:r>
          </w:p>
        </w:tc>
      </w:tr>
      <w:tr w14:paraId="341609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6627A20">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减：所得税费用</w:t>
            </w:r>
          </w:p>
        </w:tc>
        <w:tc>
          <w:tcPr>
            <w:tcW w:w="521" w:type="pct"/>
            <w:tcBorders>
              <w:top w:val="outset" w:color="auto" w:sz="4" w:space="0"/>
              <w:left w:val="outset" w:color="auto" w:sz="4" w:space="0"/>
              <w:bottom w:val="outset" w:color="auto" w:sz="4" w:space="0"/>
              <w:right w:val="outset" w:color="auto" w:sz="4" w:space="0"/>
            </w:tcBorders>
            <w:vAlign w:val="center"/>
          </w:tcPr>
          <w:p w14:paraId="5482E125">
            <w:pPr>
              <w:textAlignment w:val="center"/>
              <w:rPr>
                <w:rFonts w:cs="Times New Roman"/>
              </w:rPr>
            </w:pPr>
            <w:r>
              <w:rPr>
                <w:rFonts w:cs="Times New Roman"/>
                <w:color w:val="000000"/>
                <w:lang w:bidi="ar"/>
              </w:rPr>
              <w:t>七、76</w:t>
            </w:r>
          </w:p>
        </w:tc>
        <w:tc>
          <w:tcPr>
            <w:tcW w:w="955" w:type="pct"/>
            <w:tcBorders>
              <w:top w:val="outset" w:color="auto" w:sz="4" w:space="0"/>
              <w:left w:val="outset" w:color="auto" w:sz="4" w:space="0"/>
              <w:bottom w:val="outset" w:color="auto" w:sz="4" w:space="0"/>
              <w:right w:val="outset" w:color="auto" w:sz="4" w:space="0"/>
            </w:tcBorders>
            <w:vAlign w:val="bottom"/>
          </w:tcPr>
          <w:p w14:paraId="041D8444">
            <w:pPr>
              <w:jc w:val="right"/>
              <w:textAlignment w:val="bottom"/>
              <w:rPr>
                <w:rFonts w:cs="Times New Roman"/>
              </w:rPr>
            </w:pPr>
            <w:r>
              <w:rPr>
                <w:rFonts w:eastAsia="Arial Narrow" w:cs="Times New Roman"/>
                <w:color w:val="000000"/>
                <w:lang w:bidi="ar"/>
              </w:rPr>
              <w:t>23,850,812.91</w:t>
            </w:r>
          </w:p>
        </w:tc>
        <w:tc>
          <w:tcPr>
            <w:tcW w:w="955" w:type="pct"/>
            <w:tcBorders>
              <w:top w:val="outset" w:color="auto" w:sz="4" w:space="0"/>
              <w:left w:val="outset" w:color="auto" w:sz="4" w:space="0"/>
              <w:bottom w:val="outset" w:color="auto" w:sz="4" w:space="0"/>
              <w:right w:val="outset" w:color="auto" w:sz="4" w:space="0"/>
            </w:tcBorders>
            <w:vAlign w:val="bottom"/>
          </w:tcPr>
          <w:p w14:paraId="69CC1050">
            <w:pPr>
              <w:jc w:val="right"/>
              <w:textAlignment w:val="bottom"/>
              <w:rPr>
                <w:rFonts w:cs="Times New Roman"/>
              </w:rPr>
            </w:pPr>
            <w:r>
              <w:rPr>
                <w:rFonts w:eastAsia="Arial Narrow" w:cs="Times New Roman"/>
                <w:color w:val="000000"/>
                <w:lang w:bidi="ar"/>
              </w:rPr>
              <w:t>44,447,846.97</w:t>
            </w:r>
          </w:p>
        </w:tc>
      </w:tr>
      <w:tr w14:paraId="059A4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7774C5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五、净利润（净亏损以“－”号填列）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01316E4E">
            <w:pPr>
              <w:rPr>
                <w:rFonts w:cs="Times New Roman"/>
              </w:rPr>
            </w:pPr>
          </w:p>
        </w:tc>
        <w:tc>
          <w:tcPr>
            <w:tcW w:w="955" w:type="pct"/>
            <w:tcBorders>
              <w:top w:val="outset" w:color="auto" w:sz="4" w:space="0"/>
              <w:left w:val="outset" w:color="auto" w:sz="4" w:space="0"/>
              <w:bottom w:val="outset" w:color="auto" w:sz="4" w:space="0"/>
              <w:right w:val="outset" w:color="auto" w:sz="4" w:space="0"/>
            </w:tcBorders>
            <w:vAlign w:val="bottom"/>
          </w:tcPr>
          <w:p w14:paraId="2AC7227A">
            <w:pPr>
              <w:jc w:val="right"/>
              <w:textAlignment w:val="bottom"/>
              <w:rPr>
                <w:rFonts w:cs="Times New Roman"/>
              </w:rPr>
            </w:pPr>
            <w:r>
              <w:rPr>
                <w:rFonts w:eastAsia="Arial Narrow" w:cs="Times New Roman"/>
                <w:color w:val="000000"/>
                <w:lang w:bidi="ar"/>
              </w:rPr>
              <w:t>-79,668,596.62</w:t>
            </w:r>
          </w:p>
        </w:tc>
        <w:tc>
          <w:tcPr>
            <w:tcW w:w="955" w:type="pct"/>
            <w:tcBorders>
              <w:top w:val="outset" w:color="auto" w:sz="4" w:space="0"/>
              <w:left w:val="outset" w:color="auto" w:sz="4" w:space="0"/>
              <w:bottom w:val="outset" w:color="auto" w:sz="4" w:space="0"/>
              <w:right w:val="outset" w:color="auto" w:sz="4" w:space="0"/>
            </w:tcBorders>
            <w:vAlign w:val="bottom"/>
          </w:tcPr>
          <w:p w14:paraId="2E88974B">
            <w:pPr>
              <w:jc w:val="right"/>
              <w:textAlignment w:val="bottom"/>
              <w:rPr>
                <w:rFonts w:cs="Times New Roman"/>
              </w:rPr>
            </w:pPr>
            <w:r>
              <w:rPr>
                <w:rFonts w:eastAsia="Arial Narrow" w:cs="Times New Roman"/>
                <w:color w:val="000000"/>
                <w:lang w:bidi="ar"/>
              </w:rPr>
              <w:t>-52,385,831.67</w:t>
            </w:r>
          </w:p>
        </w:tc>
      </w:tr>
      <w:tr w14:paraId="7BC264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c576a2f5fbec4ba2b1cc36d0a215ba5c"/>
            <w:id w:val="147477355"/>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5BD05E1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（一）按经营持续性分类</w:t>
                </w:r>
              </w:p>
            </w:tc>
          </w:sdtContent>
        </w:sdt>
      </w:tr>
      <w:tr w14:paraId="507BE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5EB353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1.持续经营净利润（净亏损以“－”号填列）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51836D73">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20B31F92">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-79,668,596.62</w:t>
            </w:r>
          </w:p>
        </w:tc>
        <w:tc>
          <w:tcPr>
            <w:tcW w:w="955" w:type="pct"/>
            <w:tcBorders>
              <w:top w:val="outset" w:color="auto" w:sz="4" w:space="0"/>
              <w:left w:val="outset" w:color="auto" w:sz="4" w:space="0"/>
              <w:bottom w:val="outset" w:color="auto" w:sz="4" w:space="0"/>
              <w:right w:val="outset" w:color="auto" w:sz="4" w:space="0"/>
            </w:tcBorders>
            <w:vAlign w:val="center"/>
          </w:tcPr>
          <w:p w14:paraId="2F35D882">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-52,385,831.67</w:t>
            </w:r>
          </w:p>
        </w:tc>
      </w:tr>
      <w:tr w14:paraId="13566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75E54A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2.终止经营净利润（净亏损以“－”号填列）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4D18B5D9">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27484F52">
            <w:pPr>
              <w:jc w:val="right"/>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01997D54">
            <w:pPr>
              <w:jc w:val="right"/>
              <w:rPr>
                <w:rFonts w:cs="Times New Roman"/>
                <w:color w:val="000000" w:themeColor="text1"/>
                <w14:textFill>
                  <w14:solidFill>
                    <w14:schemeClr w14:val="tx1"/>
                  </w14:solidFill>
                </w14:textFill>
              </w:rPr>
            </w:pPr>
          </w:p>
        </w:tc>
      </w:tr>
      <w:tr w14:paraId="0743F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5da729560f54464cbcc9ce762078f9ba"/>
            <w:id w:val="147482094"/>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34EE0C7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（二）按所有权归属分类</w:t>
                </w:r>
              </w:p>
            </w:tc>
          </w:sdtContent>
        </w:sdt>
      </w:tr>
      <w:tr w14:paraId="0589A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615166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1.归属于母公司股东的净利润（净亏损以“-”号填列）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06002F76">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111D1D7C">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-79,031,846.24</w:t>
            </w:r>
          </w:p>
        </w:tc>
        <w:tc>
          <w:tcPr>
            <w:tcW w:w="955" w:type="pct"/>
            <w:tcBorders>
              <w:top w:val="outset" w:color="auto" w:sz="4" w:space="0"/>
              <w:left w:val="outset" w:color="auto" w:sz="4" w:space="0"/>
              <w:bottom w:val="outset" w:color="auto" w:sz="4" w:space="0"/>
              <w:right w:val="outset" w:color="auto" w:sz="4" w:space="0"/>
            </w:tcBorders>
            <w:vAlign w:val="center"/>
          </w:tcPr>
          <w:p w14:paraId="49CA9759">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-18,828,390.85</w:t>
            </w:r>
          </w:p>
        </w:tc>
      </w:tr>
      <w:tr w14:paraId="75010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568" w:type="pct"/>
            <w:tcBorders>
              <w:top w:val="outset" w:color="auto" w:sz="4" w:space="0"/>
              <w:left w:val="outset" w:color="auto" w:sz="4" w:space="0"/>
              <w:bottom w:val="outset" w:color="auto" w:sz="4" w:space="0"/>
              <w:right w:val="outset" w:color="auto" w:sz="4" w:space="0"/>
            </w:tcBorders>
            <w:vAlign w:val="center"/>
          </w:tcPr>
          <w:p w14:paraId="03C2813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2.少数股东损益（净亏损以“-”号填列）</w:t>
            </w:r>
          </w:p>
        </w:tc>
        <w:tc>
          <w:tcPr>
            <w:tcW w:w="521" w:type="pct"/>
            <w:tcBorders>
              <w:top w:val="outset" w:color="auto" w:sz="4" w:space="0"/>
              <w:left w:val="outset" w:color="auto" w:sz="4" w:space="0"/>
              <w:bottom w:val="outset" w:color="auto" w:sz="4" w:space="0"/>
              <w:right w:val="outset" w:color="auto" w:sz="4" w:space="0"/>
            </w:tcBorders>
            <w:vAlign w:val="center"/>
          </w:tcPr>
          <w:p w14:paraId="13CD0E6F">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6B06A825">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-636,750.38</w:t>
            </w:r>
          </w:p>
        </w:tc>
        <w:tc>
          <w:tcPr>
            <w:tcW w:w="955" w:type="pct"/>
            <w:tcBorders>
              <w:top w:val="outset" w:color="auto" w:sz="4" w:space="0"/>
              <w:left w:val="outset" w:color="auto" w:sz="4" w:space="0"/>
              <w:bottom w:val="outset" w:color="auto" w:sz="4" w:space="0"/>
              <w:right w:val="outset" w:color="auto" w:sz="4" w:space="0"/>
            </w:tcBorders>
            <w:vAlign w:val="center"/>
          </w:tcPr>
          <w:p w14:paraId="17FE344F">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-33,557,440.82</w:t>
            </w:r>
          </w:p>
        </w:tc>
      </w:tr>
      <w:tr w14:paraId="48EF07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708711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六、其他综合收益的税后净额</w:t>
            </w:r>
          </w:p>
        </w:tc>
        <w:tc>
          <w:tcPr>
            <w:tcW w:w="521" w:type="pct"/>
            <w:tcBorders>
              <w:top w:val="outset" w:color="auto" w:sz="4" w:space="0"/>
              <w:left w:val="outset" w:color="auto" w:sz="4" w:space="0"/>
              <w:bottom w:val="outset" w:color="auto" w:sz="4" w:space="0"/>
              <w:right w:val="outset" w:color="auto" w:sz="4" w:space="0"/>
            </w:tcBorders>
            <w:vAlign w:val="center"/>
          </w:tcPr>
          <w:p w14:paraId="0D294BC9">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40A21FBD">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-628,649.05</w:t>
            </w:r>
          </w:p>
        </w:tc>
        <w:tc>
          <w:tcPr>
            <w:tcW w:w="955" w:type="pct"/>
            <w:tcBorders>
              <w:top w:val="outset" w:color="auto" w:sz="4" w:space="0"/>
              <w:left w:val="outset" w:color="auto" w:sz="4" w:space="0"/>
              <w:bottom w:val="outset" w:color="auto" w:sz="4" w:space="0"/>
              <w:right w:val="outset" w:color="auto" w:sz="4" w:space="0"/>
            </w:tcBorders>
            <w:vAlign w:val="center"/>
          </w:tcPr>
          <w:p w14:paraId="38532BCB">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143,252.31</w:t>
            </w:r>
          </w:p>
        </w:tc>
      </w:tr>
      <w:tr w14:paraId="671A2E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08DA264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（一）归属母公司所有者的其他综合收益的税后净额</w:t>
            </w:r>
          </w:p>
        </w:tc>
        <w:tc>
          <w:tcPr>
            <w:tcW w:w="521" w:type="pct"/>
            <w:tcBorders>
              <w:top w:val="outset" w:color="auto" w:sz="4" w:space="0"/>
              <w:left w:val="outset" w:color="auto" w:sz="4" w:space="0"/>
              <w:bottom w:val="outset" w:color="auto" w:sz="4" w:space="0"/>
              <w:right w:val="outset" w:color="auto" w:sz="4" w:space="0"/>
            </w:tcBorders>
            <w:vAlign w:val="center"/>
          </w:tcPr>
          <w:p w14:paraId="4241F647">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674D4C0B">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-628,649.05</w:t>
            </w:r>
          </w:p>
        </w:tc>
        <w:tc>
          <w:tcPr>
            <w:tcW w:w="955" w:type="pct"/>
            <w:tcBorders>
              <w:top w:val="outset" w:color="auto" w:sz="4" w:space="0"/>
              <w:left w:val="outset" w:color="auto" w:sz="4" w:space="0"/>
              <w:bottom w:val="outset" w:color="auto" w:sz="4" w:space="0"/>
              <w:right w:val="outset" w:color="auto" w:sz="4" w:space="0"/>
            </w:tcBorders>
            <w:vAlign w:val="center"/>
          </w:tcPr>
          <w:p w14:paraId="2907ABFB">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143,252.31</w:t>
            </w:r>
          </w:p>
        </w:tc>
      </w:tr>
      <w:tr w14:paraId="7B244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2CF71B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1.不能重分类进损益的其他综合收益</w:t>
            </w:r>
          </w:p>
        </w:tc>
        <w:tc>
          <w:tcPr>
            <w:tcW w:w="521" w:type="pct"/>
            <w:tcBorders>
              <w:top w:val="outset" w:color="auto" w:sz="4" w:space="0"/>
              <w:left w:val="outset" w:color="auto" w:sz="4" w:space="0"/>
              <w:bottom w:val="outset" w:color="auto" w:sz="4" w:space="0"/>
              <w:right w:val="outset" w:color="auto" w:sz="4" w:space="0"/>
            </w:tcBorders>
            <w:vAlign w:val="center"/>
          </w:tcPr>
          <w:p w14:paraId="0F2B03B9">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283B849C">
            <w:pPr>
              <w:jc w:val="right"/>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27E2A5A4">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-32,610.17</w:t>
            </w:r>
          </w:p>
        </w:tc>
      </w:tr>
      <w:tr w14:paraId="2402FA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A4795A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（1）重新计量设定受益计划变动额</w:t>
            </w:r>
          </w:p>
        </w:tc>
        <w:tc>
          <w:tcPr>
            <w:tcW w:w="521" w:type="pct"/>
            <w:tcBorders>
              <w:top w:val="outset" w:color="auto" w:sz="4" w:space="0"/>
              <w:left w:val="outset" w:color="auto" w:sz="4" w:space="0"/>
              <w:bottom w:val="outset" w:color="auto" w:sz="4" w:space="0"/>
              <w:right w:val="outset" w:color="auto" w:sz="4" w:space="0"/>
            </w:tcBorders>
            <w:vAlign w:val="center"/>
          </w:tcPr>
          <w:p w14:paraId="34CFF0A3">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4C126170">
            <w:pPr>
              <w:jc w:val="right"/>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0FBC0594">
            <w:pPr>
              <w:jc w:val="right"/>
              <w:rPr>
                <w:rFonts w:cs="Times New Roman"/>
                <w:color w:val="000000" w:themeColor="text1"/>
                <w14:textFill>
                  <w14:solidFill>
                    <w14:schemeClr w14:val="tx1"/>
                  </w14:solidFill>
                </w14:textFill>
              </w:rPr>
            </w:pPr>
          </w:p>
        </w:tc>
      </w:tr>
      <w:tr w14:paraId="0748E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550E6C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（2）权益法下不能转损益的其他综合收益</w:t>
            </w:r>
          </w:p>
        </w:tc>
        <w:tc>
          <w:tcPr>
            <w:tcW w:w="521" w:type="pct"/>
            <w:tcBorders>
              <w:top w:val="outset" w:color="auto" w:sz="4" w:space="0"/>
              <w:left w:val="outset" w:color="auto" w:sz="4" w:space="0"/>
              <w:bottom w:val="outset" w:color="auto" w:sz="4" w:space="0"/>
              <w:right w:val="outset" w:color="auto" w:sz="4" w:space="0"/>
            </w:tcBorders>
            <w:vAlign w:val="center"/>
          </w:tcPr>
          <w:p w14:paraId="04BAE69B">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40C1E6C5">
            <w:pPr>
              <w:jc w:val="right"/>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086638C6">
            <w:pPr>
              <w:jc w:val="right"/>
              <w:rPr>
                <w:rFonts w:cs="Times New Roman"/>
                <w:color w:val="000000" w:themeColor="text1"/>
                <w14:textFill>
                  <w14:solidFill>
                    <w14:schemeClr w14:val="tx1"/>
                  </w14:solidFill>
                </w14:textFill>
              </w:rPr>
            </w:pPr>
          </w:p>
        </w:tc>
      </w:tr>
      <w:tr w14:paraId="47EAC6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132D88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（3）其他权益工具投资公允价值变动</w:t>
            </w:r>
          </w:p>
        </w:tc>
        <w:tc>
          <w:tcPr>
            <w:tcW w:w="521" w:type="pct"/>
            <w:tcBorders>
              <w:top w:val="outset" w:color="auto" w:sz="4" w:space="0"/>
              <w:left w:val="outset" w:color="auto" w:sz="4" w:space="0"/>
              <w:bottom w:val="outset" w:color="auto" w:sz="4" w:space="0"/>
              <w:right w:val="outset" w:color="auto" w:sz="4" w:space="0"/>
            </w:tcBorders>
            <w:vAlign w:val="center"/>
          </w:tcPr>
          <w:p w14:paraId="7BA2A6DC">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3AF427A5">
            <w:pPr>
              <w:jc w:val="right"/>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4104BAF4">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-32,610.17</w:t>
            </w:r>
          </w:p>
        </w:tc>
      </w:tr>
      <w:tr w14:paraId="2F6091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CF9FF4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2.将重分类进损益的其他综合收益</w:t>
            </w:r>
          </w:p>
        </w:tc>
        <w:tc>
          <w:tcPr>
            <w:tcW w:w="521" w:type="pct"/>
            <w:tcBorders>
              <w:top w:val="outset" w:color="auto" w:sz="4" w:space="0"/>
              <w:left w:val="outset" w:color="auto" w:sz="4" w:space="0"/>
              <w:bottom w:val="outset" w:color="auto" w:sz="4" w:space="0"/>
              <w:right w:val="outset" w:color="auto" w:sz="4" w:space="0"/>
            </w:tcBorders>
            <w:vAlign w:val="center"/>
          </w:tcPr>
          <w:p w14:paraId="3BBC7F8E">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5FE0CC41">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-628,649.05</w:t>
            </w:r>
          </w:p>
        </w:tc>
        <w:tc>
          <w:tcPr>
            <w:tcW w:w="955" w:type="pct"/>
            <w:tcBorders>
              <w:top w:val="outset" w:color="auto" w:sz="4" w:space="0"/>
              <w:left w:val="outset" w:color="auto" w:sz="4" w:space="0"/>
              <w:bottom w:val="outset" w:color="auto" w:sz="4" w:space="0"/>
              <w:right w:val="outset" w:color="auto" w:sz="4" w:space="0"/>
            </w:tcBorders>
            <w:vAlign w:val="center"/>
          </w:tcPr>
          <w:p w14:paraId="5E82C89F">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175,862.48</w:t>
            </w:r>
          </w:p>
        </w:tc>
      </w:tr>
      <w:tr w14:paraId="40B0A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6C20A1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（6）外币财务报表折算差额</w:t>
            </w:r>
          </w:p>
        </w:tc>
        <w:tc>
          <w:tcPr>
            <w:tcW w:w="521" w:type="pct"/>
            <w:tcBorders>
              <w:top w:val="outset" w:color="auto" w:sz="4" w:space="0"/>
              <w:left w:val="outset" w:color="auto" w:sz="4" w:space="0"/>
              <w:bottom w:val="outset" w:color="auto" w:sz="4" w:space="0"/>
              <w:right w:val="outset" w:color="auto" w:sz="4" w:space="0"/>
            </w:tcBorders>
            <w:vAlign w:val="center"/>
          </w:tcPr>
          <w:p w14:paraId="0BF219B4">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49DE8034">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-628,649.05</w:t>
            </w:r>
          </w:p>
        </w:tc>
        <w:tc>
          <w:tcPr>
            <w:tcW w:w="955" w:type="pct"/>
            <w:tcBorders>
              <w:top w:val="outset" w:color="auto" w:sz="4" w:space="0"/>
              <w:left w:val="outset" w:color="auto" w:sz="4" w:space="0"/>
              <w:bottom w:val="outset" w:color="auto" w:sz="4" w:space="0"/>
              <w:right w:val="outset" w:color="auto" w:sz="4" w:space="0"/>
            </w:tcBorders>
            <w:vAlign w:val="center"/>
          </w:tcPr>
          <w:p w14:paraId="31296EAE">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175,862.48</w:t>
            </w:r>
          </w:p>
        </w:tc>
      </w:tr>
      <w:tr w14:paraId="184FE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718F772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（二）归属于少数股东的其他综合收益的税后净额</w:t>
            </w:r>
          </w:p>
        </w:tc>
        <w:tc>
          <w:tcPr>
            <w:tcW w:w="521" w:type="pct"/>
            <w:tcBorders>
              <w:top w:val="outset" w:color="auto" w:sz="4" w:space="0"/>
              <w:left w:val="outset" w:color="auto" w:sz="4" w:space="0"/>
              <w:bottom w:val="outset" w:color="auto" w:sz="4" w:space="0"/>
              <w:right w:val="outset" w:color="auto" w:sz="4" w:space="0"/>
            </w:tcBorders>
            <w:vAlign w:val="center"/>
          </w:tcPr>
          <w:p w14:paraId="0E5D7181">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6B0E0D19">
            <w:pPr>
              <w:jc w:val="right"/>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71C7024F">
            <w:pPr>
              <w:jc w:val="right"/>
              <w:rPr>
                <w:rFonts w:cs="Times New Roman"/>
                <w:color w:val="000000" w:themeColor="text1"/>
                <w14:textFill>
                  <w14:solidFill>
                    <w14:schemeClr w14:val="tx1"/>
                  </w14:solidFill>
                </w14:textFill>
              </w:rPr>
            </w:pPr>
          </w:p>
        </w:tc>
      </w:tr>
      <w:tr w14:paraId="1A2E69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7755F0E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七、综合收益总额</w:t>
            </w:r>
          </w:p>
        </w:tc>
        <w:tc>
          <w:tcPr>
            <w:tcW w:w="521" w:type="pct"/>
            <w:tcBorders>
              <w:top w:val="outset" w:color="auto" w:sz="4" w:space="0"/>
              <w:left w:val="outset" w:color="auto" w:sz="4" w:space="0"/>
              <w:bottom w:val="outset" w:color="auto" w:sz="4" w:space="0"/>
              <w:right w:val="outset" w:color="auto" w:sz="4" w:space="0"/>
            </w:tcBorders>
            <w:vAlign w:val="center"/>
          </w:tcPr>
          <w:p w14:paraId="5C7314DB">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481B5A09">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-80,297,245.67</w:t>
            </w:r>
          </w:p>
        </w:tc>
        <w:tc>
          <w:tcPr>
            <w:tcW w:w="955" w:type="pct"/>
            <w:tcBorders>
              <w:top w:val="outset" w:color="auto" w:sz="4" w:space="0"/>
              <w:left w:val="outset" w:color="auto" w:sz="4" w:space="0"/>
              <w:bottom w:val="outset" w:color="auto" w:sz="4" w:space="0"/>
              <w:right w:val="outset" w:color="auto" w:sz="4" w:space="0"/>
            </w:tcBorders>
            <w:vAlign w:val="center"/>
          </w:tcPr>
          <w:p w14:paraId="2E3B8EEF">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-52,242,579.36</w:t>
            </w:r>
          </w:p>
        </w:tc>
      </w:tr>
      <w:tr w14:paraId="2DD94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961337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（一）归属于母公司所有者的综合收益总额</w:t>
            </w:r>
          </w:p>
        </w:tc>
        <w:tc>
          <w:tcPr>
            <w:tcW w:w="521" w:type="pct"/>
            <w:tcBorders>
              <w:top w:val="outset" w:color="auto" w:sz="4" w:space="0"/>
              <w:left w:val="outset" w:color="auto" w:sz="4" w:space="0"/>
              <w:bottom w:val="outset" w:color="auto" w:sz="4" w:space="0"/>
              <w:right w:val="outset" w:color="auto" w:sz="4" w:space="0"/>
            </w:tcBorders>
            <w:vAlign w:val="center"/>
          </w:tcPr>
          <w:p w14:paraId="22D5E1A3">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5F8B50DD">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-79,660,495.29</w:t>
            </w:r>
          </w:p>
        </w:tc>
        <w:tc>
          <w:tcPr>
            <w:tcW w:w="955" w:type="pct"/>
            <w:tcBorders>
              <w:top w:val="outset" w:color="auto" w:sz="4" w:space="0"/>
              <w:left w:val="outset" w:color="auto" w:sz="4" w:space="0"/>
              <w:bottom w:val="outset" w:color="auto" w:sz="4" w:space="0"/>
              <w:right w:val="outset" w:color="auto" w:sz="4" w:space="0"/>
            </w:tcBorders>
            <w:vAlign w:val="center"/>
          </w:tcPr>
          <w:p w14:paraId="7CFFED3A">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-18,685,138.54</w:t>
            </w:r>
          </w:p>
        </w:tc>
      </w:tr>
      <w:tr w14:paraId="5E165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F80A0C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（二）归属于少数股东的综合收益总额</w:t>
            </w:r>
          </w:p>
        </w:tc>
        <w:tc>
          <w:tcPr>
            <w:tcW w:w="521" w:type="pct"/>
            <w:tcBorders>
              <w:top w:val="outset" w:color="auto" w:sz="4" w:space="0"/>
              <w:left w:val="outset" w:color="auto" w:sz="4" w:space="0"/>
              <w:bottom w:val="outset" w:color="auto" w:sz="4" w:space="0"/>
              <w:right w:val="outset" w:color="auto" w:sz="4" w:space="0"/>
            </w:tcBorders>
            <w:vAlign w:val="center"/>
          </w:tcPr>
          <w:p w14:paraId="3989E3D1">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center"/>
          </w:tcPr>
          <w:p w14:paraId="672BC251">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-636,750.38</w:t>
            </w:r>
          </w:p>
        </w:tc>
        <w:tc>
          <w:tcPr>
            <w:tcW w:w="955" w:type="pct"/>
            <w:tcBorders>
              <w:top w:val="outset" w:color="auto" w:sz="4" w:space="0"/>
              <w:left w:val="outset" w:color="auto" w:sz="4" w:space="0"/>
              <w:bottom w:val="outset" w:color="auto" w:sz="4" w:space="0"/>
              <w:right w:val="outset" w:color="auto" w:sz="4" w:space="0"/>
            </w:tcBorders>
            <w:vAlign w:val="center"/>
          </w:tcPr>
          <w:p w14:paraId="6BE9DA82">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-33,557,440.82</w:t>
            </w:r>
          </w:p>
        </w:tc>
      </w:tr>
      <w:tr w14:paraId="50147E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color w:val="000000" w:themeColor="text1"/>
              <w14:textFill>
                <w14:solidFill>
                  <w14:schemeClr w14:val="tx1"/>
                </w14:solidFill>
              </w14:textFill>
            </w:rPr>
            <w:tag w:val="_PLD_2faba48500f741229b3467bfe3ce2495"/>
            <w:id w:val="147453872"/>
          </w:sdtPr>
          <w:sdtEndPr>
            <w:rPr>
              <w:rFonts w:cs="Times New Roman"/>
              <w:color w:val="000000" w:themeColor="text1"/>
              <w14:textFill>
                <w14:solidFill>
                  <w14:schemeClr w14:val="tx1"/>
                </w14:solidFill>
              </w14:textFill>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D94065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八、每股收益：</w:t>
                </w:r>
              </w:p>
            </w:tc>
          </w:sdtContent>
        </w:sdt>
      </w:tr>
      <w:tr w14:paraId="0F093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19151A4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（一）基本每股收益(元/股)</w:t>
            </w:r>
          </w:p>
        </w:tc>
        <w:tc>
          <w:tcPr>
            <w:tcW w:w="521" w:type="pct"/>
            <w:tcBorders>
              <w:top w:val="outset" w:color="auto" w:sz="4" w:space="0"/>
              <w:left w:val="outset" w:color="auto" w:sz="4" w:space="0"/>
              <w:bottom w:val="outset" w:color="auto" w:sz="4" w:space="0"/>
              <w:right w:val="outset" w:color="auto" w:sz="4" w:space="0"/>
            </w:tcBorders>
            <w:vAlign w:val="center"/>
          </w:tcPr>
          <w:p w14:paraId="102A84AB">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bottom"/>
          </w:tcPr>
          <w:p w14:paraId="397974BD">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-0.018</w:t>
            </w:r>
          </w:p>
        </w:tc>
        <w:tc>
          <w:tcPr>
            <w:tcW w:w="955" w:type="pct"/>
            <w:tcBorders>
              <w:top w:val="outset" w:color="auto" w:sz="4" w:space="0"/>
              <w:left w:val="outset" w:color="auto" w:sz="4" w:space="0"/>
              <w:bottom w:val="outset" w:color="auto" w:sz="4" w:space="0"/>
              <w:right w:val="outset" w:color="auto" w:sz="4" w:space="0"/>
            </w:tcBorders>
            <w:vAlign w:val="bottom"/>
          </w:tcPr>
          <w:p w14:paraId="325D95FE">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-0.004</w:t>
            </w:r>
          </w:p>
        </w:tc>
      </w:tr>
      <w:tr w14:paraId="266F9F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71FFEA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（二）稀释每股收益(元/股)</w:t>
            </w:r>
          </w:p>
        </w:tc>
        <w:tc>
          <w:tcPr>
            <w:tcW w:w="521" w:type="pct"/>
            <w:tcBorders>
              <w:top w:val="outset" w:color="auto" w:sz="4" w:space="0"/>
              <w:left w:val="outset" w:color="auto" w:sz="4" w:space="0"/>
              <w:bottom w:val="outset" w:color="auto" w:sz="4" w:space="0"/>
              <w:right w:val="outset" w:color="auto" w:sz="4" w:space="0"/>
            </w:tcBorders>
            <w:vAlign w:val="center"/>
          </w:tcPr>
          <w:p w14:paraId="351515BE">
            <w:pPr>
              <w:rPr>
                <w:rFonts w:cs="Times New Roman"/>
                <w:color w:val="000000" w:themeColor="text1"/>
                <w14:textFill>
                  <w14:solidFill>
                    <w14:schemeClr w14:val="tx1"/>
                  </w14:solidFill>
                </w14:textFill>
              </w:rPr>
            </w:pPr>
          </w:p>
        </w:tc>
        <w:tc>
          <w:tcPr>
            <w:tcW w:w="955" w:type="pct"/>
            <w:tcBorders>
              <w:top w:val="outset" w:color="auto" w:sz="4" w:space="0"/>
              <w:left w:val="outset" w:color="auto" w:sz="4" w:space="0"/>
              <w:bottom w:val="outset" w:color="auto" w:sz="4" w:space="0"/>
              <w:right w:val="outset" w:color="auto" w:sz="4" w:space="0"/>
            </w:tcBorders>
            <w:vAlign w:val="bottom"/>
          </w:tcPr>
          <w:p w14:paraId="1A40EA34">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-0.018</w:t>
            </w:r>
          </w:p>
        </w:tc>
        <w:tc>
          <w:tcPr>
            <w:tcW w:w="955" w:type="pct"/>
            <w:tcBorders>
              <w:top w:val="outset" w:color="auto" w:sz="4" w:space="0"/>
              <w:left w:val="outset" w:color="auto" w:sz="4" w:space="0"/>
              <w:bottom w:val="outset" w:color="auto" w:sz="4" w:space="0"/>
              <w:right w:val="outset" w:color="auto" w:sz="4" w:space="0"/>
            </w:tcBorders>
            <w:vAlign w:val="bottom"/>
          </w:tcPr>
          <w:p w14:paraId="1D6ECD45">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-0.004</w:t>
            </w:r>
          </w:p>
        </w:tc>
      </w:tr>
      <w:bookmarkEnd w:id="152"/>
    </w:tbl>
    <w:p w14:paraId="0D2A0AE6">
      <w:pPr>
        <w:rPr>
          <w:color w:val="000000" w:themeColor="text1"/>
          <w14:textFill>
            <w14:solidFill>
              <w14:schemeClr w14:val="tx1"/>
            </w14:solidFill>
          </w14:textFill>
        </w:rPr>
      </w:pPr>
    </w:p>
    <w:p w14:paraId="614F2A00">
      <w:pPr>
        <w:rPr>
          <w:b/>
          <w:bCs w:val="0"/>
          <w:color w:val="000000" w:themeColor="text1"/>
          <w14:textFill>
            <w14:solidFill>
              <w14:schemeClr w14:val="tx1"/>
            </w14:solidFill>
          </w14:textFill>
        </w:rPr>
      </w:pPr>
      <w:r>
        <w:rPr>
          <w:rFonts w:hint="eastAsia"/>
          <w:color w:val="000000" w:themeColor="text1"/>
          <w14:textFill>
            <w14:solidFill>
              <w14:schemeClr w14:val="tx1"/>
            </w14:solidFill>
          </w14:textFill>
        </w:rPr>
        <w:t>本期发生同一控制下企业合并的，被合并方在合并前实现的净利润为：</w:t>
      </w:r>
      <w:sdt>
        <w:sdtPr>
          <w:rPr>
            <w:rFonts w:hint="eastAsia"/>
            <w:color w:val="000000" w:themeColor="text1"/>
            <w14:textFill>
              <w14:solidFill>
                <w14:schemeClr w14:val="tx1"/>
              </w14:solidFill>
            </w14:textFill>
          </w:rPr>
          <w:alias w:val="同一控制下的企业合并中被合并方在合并前实现的净利润"/>
          <w:tag w:val="_GBC_0d3f3004d896427080339d4b0e2d499c"/>
          <w:id w:val="147478488"/>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 上期被合并方实现的净利润为： </w:t>
      </w:r>
      <w:sdt>
        <w:sdtPr>
          <w:rPr>
            <w:rFonts w:hint="eastAsia"/>
            <w:color w:val="000000" w:themeColor="text1"/>
            <w14:textFill>
              <w14:solidFill>
                <w14:schemeClr w14:val="tx1"/>
              </w14:solidFill>
            </w14:textFill>
          </w:rPr>
          <w:alias w:val="同一控制下的企业合并中被合并方在合并前实现的净利润"/>
          <w:tag w:val="_GBC_7e8cf02e71b9434883c60dcb8fb33270"/>
          <w:id w:val="147481388"/>
          <w:placeholder>
            <w:docPart w:val="GBC22222222222222222222222222222"/>
          </w:placeholder>
        </w:sdtPr>
        <w:sdtEndPr>
          <w:rPr>
            <w:rFonts w:hint="default"/>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14:paraId="154278FC">
      <w:pPr>
        <w:rPr>
          <w:color w:val="000000" w:themeColor="text1"/>
          <w:u w:val="single"/>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84d2ead02dbe49699dff5184a9cd1bd3"/>
          <w:id w:val="147470744"/>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e958f3d59232458da90c4799548d15ea"/>
          <w:id w:val="147462567"/>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83eea96809554a8b86e8c53c6e3da040"/>
          <w:id w:val="147466708"/>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28488599">
      <w:pPr>
        <w:rPr>
          <w:color w:val="000000" w:themeColor="text1"/>
          <w:u w:val="single"/>
          <w14:textFill>
            <w14:solidFill>
              <w14:schemeClr w14:val="tx1"/>
            </w14:solidFill>
          </w14:textFill>
        </w:rPr>
      </w:pPr>
    </w:p>
    <w:p w14:paraId="39B16827">
      <w:pPr>
        <w:rPr>
          <w:color w:val="000000" w:themeColor="text1"/>
          <w:u w:val="single"/>
          <w14:textFill>
            <w14:solidFill>
              <w14:schemeClr w14:val="tx1"/>
            </w14:solidFill>
          </w14:textFill>
        </w:rPr>
      </w:pPr>
    </w:p>
    <w:p w14:paraId="5D3F7336">
      <w:pPr>
        <w:pStyle w:val="57"/>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w:t>
      </w:r>
      <w:r>
        <w:rPr>
          <w:rFonts w:ascii="宋体" w:hAnsi="宋体"/>
          <w:color w:val="000000" w:themeColor="text1"/>
          <w14:textFill>
            <w14:solidFill>
              <w14:schemeClr w14:val="tx1"/>
            </w14:solidFill>
          </w14:textFill>
        </w:rPr>
        <w:t>利润表</w:t>
      </w:r>
    </w:p>
    <w:p w14:paraId="04D67A67">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2025年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14:paraId="355C2EF7">
      <w:pPr>
        <w:snapToGrid w:val="0"/>
        <w:spacing w:line="240" w:lineRule="atLeast"/>
        <w:jc w:val="right"/>
        <w:rPr>
          <w:b/>
          <w:bCs w:val="0"/>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利润表"/>
          <w:tag w:val="_GBC_955732cd74ff4f1f9b098e70c1b85c60"/>
          <w:id w:val="1474624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利润表"/>
          <w:tag w:val="_GBC_125a2547934143ccb384434361f57d37"/>
          <w:id w:val="1474620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648"/>
        <w:gridCol w:w="1082"/>
        <w:gridCol w:w="1584"/>
        <w:gridCol w:w="1735"/>
      </w:tblGrid>
      <w:tr w14:paraId="43E3AA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568" w:type="pct"/>
            <w:tcBorders>
              <w:top w:val="outset" w:color="auto" w:sz="4" w:space="0"/>
              <w:left w:val="outset" w:color="auto" w:sz="4" w:space="0"/>
              <w:bottom w:val="outset" w:color="auto" w:sz="4" w:space="0"/>
              <w:right w:val="outset" w:color="auto" w:sz="4" w:space="0"/>
            </w:tcBorders>
            <w:vAlign w:val="center"/>
          </w:tcPr>
          <w:sdt>
            <w:sdtPr>
              <w:rPr>
                <w:rFonts w:cs="Times New Roman"/>
              </w:rPr>
              <w:tag w:val="_PLD_2746da9ce382479bbcc34de94cc91419"/>
              <w:id w:val="147451916"/>
            </w:sdtPr>
            <w:sdtEndPr>
              <w:rPr>
                <w:rFonts w:cs="Times New Roman"/>
              </w:rPr>
            </w:sdtEndPr>
            <w:sdtContent>
              <w:p w14:paraId="0BE3BB9E">
                <w:pPr>
                  <w:ind w:left="40" w:hanging="39" w:hangingChars="19"/>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项目</w:t>
                </w:r>
              </w:p>
            </w:sdtContent>
          </w:sdt>
        </w:tc>
        <w:tc>
          <w:tcPr>
            <w:tcW w:w="598" w:type="pct"/>
            <w:tcBorders>
              <w:top w:val="outset" w:color="auto" w:sz="4" w:space="0"/>
              <w:left w:val="outset" w:color="auto" w:sz="4" w:space="0"/>
              <w:bottom w:val="outset" w:color="auto" w:sz="4" w:space="0"/>
              <w:right w:val="outset" w:color="auto" w:sz="4" w:space="0"/>
            </w:tcBorders>
            <w:vAlign w:val="center"/>
          </w:tcPr>
          <w:sdt>
            <w:sdtPr>
              <w:rPr>
                <w:rFonts w:cs="Times New Roman"/>
              </w:rPr>
              <w:tag w:val="_PLD_353d1b95815e4cb9bce619c23384aae7"/>
              <w:id w:val="147456035"/>
            </w:sdtPr>
            <w:sdtEndPr>
              <w:rPr>
                <w:rFonts w:cs="Times New Roman"/>
              </w:rPr>
            </w:sdtEndPr>
            <w:sdtContent>
              <w:p w14:paraId="19FFE195">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附注</w:t>
                </w:r>
              </w:p>
            </w:sdtContent>
          </w:sdt>
        </w:tc>
        <w:tc>
          <w:tcPr>
            <w:tcW w:w="875" w:type="pct"/>
            <w:tcBorders>
              <w:top w:val="outset" w:color="auto" w:sz="4" w:space="0"/>
              <w:left w:val="outset" w:color="auto" w:sz="4" w:space="0"/>
              <w:bottom w:val="outset" w:color="auto" w:sz="4" w:space="0"/>
              <w:right w:val="outset" w:color="auto" w:sz="4" w:space="0"/>
            </w:tcBorders>
            <w:vAlign w:val="center"/>
          </w:tcPr>
          <w:sdt>
            <w:sdtPr>
              <w:rPr>
                <w:rFonts w:cs="Times New Roman"/>
              </w:rPr>
              <w:tag w:val="_PLD_aa6da19e961f4f0aa9c1f47a5d8bdb21"/>
              <w:id w:val="147458480"/>
            </w:sdtPr>
            <w:sdtEndPr>
              <w:rPr>
                <w:rFonts w:cs="Times New Roman"/>
              </w:rPr>
            </w:sdtEndPr>
            <w:sdtContent>
              <w:p w14:paraId="7C88EB70">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2025年半年度</w:t>
                </w:r>
              </w:p>
            </w:sdtContent>
          </w:sdt>
        </w:tc>
        <w:tc>
          <w:tcPr>
            <w:tcW w:w="959" w:type="pct"/>
            <w:tcBorders>
              <w:top w:val="outset" w:color="auto" w:sz="4" w:space="0"/>
              <w:left w:val="outset" w:color="auto" w:sz="4" w:space="0"/>
              <w:bottom w:val="outset" w:color="auto" w:sz="4" w:space="0"/>
              <w:right w:val="outset" w:color="auto" w:sz="4" w:space="0"/>
            </w:tcBorders>
            <w:vAlign w:val="center"/>
          </w:tcPr>
          <w:sdt>
            <w:sdtPr>
              <w:rPr>
                <w:rFonts w:cs="Times New Roman"/>
              </w:rPr>
              <w:tag w:val="_PLD_fd6f3d63a7544a05b6f572cee64f39fb"/>
              <w:id w:val="147451237"/>
            </w:sdtPr>
            <w:sdtEndPr>
              <w:rPr>
                <w:rFonts w:cs="Times New Roman"/>
              </w:rPr>
            </w:sdtEndPr>
            <w:sdtContent>
              <w:p w14:paraId="2403AE1A">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2024年半年度</w:t>
                </w:r>
              </w:p>
            </w:sdtContent>
          </w:sdt>
        </w:tc>
      </w:tr>
      <w:tr w14:paraId="58DC04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A38DB6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一、营业收入</w:t>
            </w:r>
          </w:p>
        </w:tc>
        <w:tc>
          <w:tcPr>
            <w:tcW w:w="598" w:type="pct"/>
            <w:tcBorders>
              <w:top w:val="outset" w:color="auto" w:sz="4" w:space="0"/>
              <w:left w:val="outset" w:color="auto" w:sz="4" w:space="0"/>
              <w:bottom w:val="outset" w:color="auto" w:sz="4" w:space="0"/>
              <w:right w:val="outset" w:color="auto" w:sz="4" w:space="0"/>
            </w:tcBorders>
            <w:vAlign w:val="center"/>
          </w:tcPr>
          <w:p w14:paraId="6CC1FA77">
            <w:pPr>
              <w:jc w:val="center"/>
              <w:textAlignment w:val="center"/>
              <w:rPr>
                <w:rFonts w:cs="Times New Roman"/>
              </w:rPr>
            </w:pPr>
            <w:r>
              <w:rPr>
                <w:rFonts w:cs="Times New Roman"/>
                <w:color w:val="000000"/>
                <w:sz w:val="20"/>
                <w:szCs w:val="20"/>
                <w:lang w:bidi="ar"/>
              </w:rPr>
              <w:t>十九、4</w:t>
            </w:r>
          </w:p>
        </w:tc>
        <w:tc>
          <w:tcPr>
            <w:tcW w:w="875" w:type="pct"/>
            <w:tcBorders>
              <w:top w:val="outset" w:color="auto" w:sz="4" w:space="0"/>
              <w:left w:val="outset" w:color="auto" w:sz="4" w:space="0"/>
              <w:bottom w:val="outset" w:color="auto" w:sz="4" w:space="0"/>
              <w:right w:val="outset" w:color="auto" w:sz="4" w:space="0"/>
            </w:tcBorders>
            <w:vAlign w:val="bottom"/>
          </w:tcPr>
          <w:p w14:paraId="0417027A">
            <w:pPr>
              <w:jc w:val="right"/>
              <w:textAlignment w:val="bottom"/>
              <w:rPr>
                <w:rFonts w:cs="Times New Roman"/>
              </w:rPr>
            </w:pPr>
            <w:r>
              <w:rPr>
                <w:rFonts w:eastAsia="Arial Narrow" w:cs="Times New Roman"/>
                <w:color w:val="000000"/>
                <w:lang w:bidi="ar"/>
              </w:rPr>
              <w:t>5,334,155.45</w:t>
            </w:r>
          </w:p>
        </w:tc>
        <w:tc>
          <w:tcPr>
            <w:tcW w:w="959" w:type="pct"/>
            <w:tcBorders>
              <w:top w:val="outset" w:color="auto" w:sz="4" w:space="0"/>
              <w:left w:val="outset" w:color="auto" w:sz="4" w:space="0"/>
              <w:bottom w:val="outset" w:color="auto" w:sz="4" w:space="0"/>
              <w:right w:val="outset" w:color="auto" w:sz="4" w:space="0"/>
            </w:tcBorders>
            <w:vAlign w:val="bottom"/>
          </w:tcPr>
          <w:p w14:paraId="68CCF463">
            <w:pPr>
              <w:jc w:val="right"/>
              <w:textAlignment w:val="bottom"/>
              <w:rPr>
                <w:rFonts w:cs="Times New Roman"/>
              </w:rPr>
            </w:pPr>
            <w:r>
              <w:rPr>
                <w:rFonts w:eastAsia="Arial Narrow" w:cs="Times New Roman"/>
                <w:color w:val="000000"/>
                <w:lang w:bidi="ar"/>
              </w:rPr>
              <w:t>3,761,473.78</w:t>
            </w:r>
          </w:p>
        </w:tc>
      </w:tr>
      <w:tr w14:paraId="6F4CA3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7E93214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减：营业成本</w:t>
            </w:r>
          </w:p>
        </w:tc>
        <w:tc>
          <w:tcPr>
            <w:tcW w:w="598" w:type="pct"/>
            <w:tcBorders>
              <w:top w:val="outset" w:color="auto" w:sz="4" w:space="0"/>
              <w:left w:val="outset" w:color="auto" w:sz="4" w:space="0"/>
              <w:bottom w:val="outset" w:color="auto" w:sz="4" w:space="0"/>
              <w:right w:val="outset" w:color="auto" w:sz="4" w:space="0"/>
            </w:tcBorders>
            <w:vAlign w:val="center"/>
          </w:tcPr>
          <w:p w14:paraId="4E703803">
            <w:pPr>
              <w:jc w:val="center"/>
              <w:textAlignment w:val="center"/>
              <w:rPr>
                <w:rFonts w:cs="Times New Roman"/>
              </w:rPr>
            </w:pPr>
            <w:r>
              <w:rPr>
                <w:rFonts w:cs="Times New Roman"/>
                <w:color w:val="000000"/>
                <w:sz w:val="20"/>
                <w:szCs w:val="20"/>
                <w:lang w:bidi="ar"/>
              </w:rPr>
              <w:t>十九、4</w:t>
            </w:r>
          </w:p>
        </w:tc>
        <w:tc>
          <w:tcPr>
            <w:tcW w:w="875" w:type="pct"/>
            <w:tcBorders>
              <w:top w:val="outset" w:color="auto" w:sz="4" w:space="0"/>
              <w:left w:val="outset" w:color="auto" w:sz="4" w:space="0"/>
              <w:bottom w:val="outset" w:color="auto" w:sz="4" w:space="0"/>
              <w:right w:val="outset" w:color="auto" w:sz="4" w:space="0"/>
            </w:tcBorders>
            <w:vAlign w:val="bottom"/>
          </w:tcPr>
          <w:p w14:paraId="2DDD8C60">
            <w:pPr>
              <w:jc w:val="right"/>
              <w:textAlignment w:val="bottom"/>
              <w:rPr>
                <w:rFonts w:cs="Times New Roman"/>
              </w:rPr>
            </w:pPr>
            <w:r>
              <w:rPr>
                <w:rFonts w:eastAsia="Arial Narrow" w:cs="Times New Roman"/>
                <w:color w:val="000000"/>
                <w:lang w:bidi="ar"/>
              </w:rPr>
              <w:t>349,612.07</w:t>
            </w:r>
          </w:p>
        </w:tc>
        <w:tc>
          <w:tcPr>
            <w:tcW w:w="959" w:type="pct"/>
            <w:tcBorders>
              <w:top w:val="outset" w:color="auto" w:sz="4" w:space="0"/>
              <w:left w:val="outset" w:color="auto" w:sz="4" w:space="0"/>
              <w:bottom w:val="outset" w:color="auto" w:sz="4" w:space="0"/>
              <w:right w:val="outset" w:color="auto" w:sz="4" w:space="0"/>
            </w:tcBorders>
            <w:vAlign w:val="bottom"/>
          </w:tcPr>
          <w:p w14:paraId="2947DA0B">
            <w:pPr>
              <w:jc w:val="right"/>
              <w:rPr>
                <w:rFonts w:cs="Times New Roman"/>
              </w:rPr>
            </w:pPr>
          </w:p>
        </w:tc>
      </w:tr>
      <w:tr w14:paraId="0F454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4E0C061">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税金及附加</w:t>
            </w:r>
          </w:p>
        </w:tc>
        <w:tc>
          <w:tcPr>
            <w:tcW w:w="598" w:type="pct"/>
            <w:tcBorders>
              <w:top w:val="outset" w:color="auto" w:sz="4" w:space="0"/>
              <w:left w:val="outset" w:color="auto" w:sz="4" w:space="0"/>
              <w:bottom w:val="outset" w:color="auto" w:sz="4" w:space="0"/>
              <w:right w:val="outset" w:color="auto" w:sz="4" w:space="0"/>
            </w:tcBorders>
            <w:vAlign w:val="center"/>
          </w:tcPr>
          <w:p w14:paraId="4B7DC9E0">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43E6A493">
            <w:pPr>
              <w:jc w:val="right"/>
              <w:textAlignment w:val="bottom"/>
              <w:rPr>
                <w:rFonts w:cs="Times New Roman"/>
              </w:rPr>
            </w:pPr>
            <w:r>
              <w:rPr>
                <w:rFonts w:eastAsia="Arial Narrow" w:cs="Times New Roman"/>
                <w:color w:val="000000"/>
                <w:lang w:bidi="ar"/>
              </w:rPr>
              <w:t>2,142,156.01</w:t>
            </w:r>
          </w:p>
        </w:tc>
        <w:tc>
          <w:tcPr>
            <w:tcW w:w="959" w:type="pct"/>
            <w:tcBorders>
              <w:top w:val="outset" w:color="auto" w:sz="4" w:space="0"/>
              <w:left w:val="outset" w:color="auto" w:sz="4" w:space="0"/>
              <w:bottom w:val="outset" w:color="auto" w:sz="4" w:space="0"/>
              <w:right w:val="outset" w:color="auto" w:sz="4" w:space="0"/>
            </w:tcBorders>
            <w:vAlign w:val="bottom"/>
          </w:tcPr>
          <w:p w14:paraId="478637DA">
            <w:pPr>
              <w:jc w:val="right"/>
              <w:textAlignment w:val="bottom"/>
              <w:rPr>
                <w:rFonts w:cs="Times New Roman"/>
              </w:rPr>
            </w:pPr>
            <w:r>
              <w:rPr>
                <w:rFonts w:eastAsia="Arial Narrow" w:cs="Times New Roman"/>
                <w:color w:val="000000"/>
                <w:lang w:bidi="ar"/>
              </w:rPr>
              <w:t>203,425.77</w:t>
            </w:r>
          </w:p>
        </w:tc>
      </w:tr>
      <w:tr w14:paraId="7BC68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F52EC2E">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销售费用</w:t>
            </w:r>
          </w:p>
        </w:tc>
        <w:tc>
          <w:tcPr>
            <w:tcW w:w="598" w:type="pct"/>
            <w:tcBorders>
              <w:top w:val="outset" w:color="auto" w:sz="4" w:space="0"/>
              <w:left w:val="outset" w:color="auto" w:sz="4" w:space="0"/>
              <w:bottom w:val="outset" w:color="auto" w:sz="4" w:space="0"/>
              <w:right w:val="outset" w:color="auto" w:sz="4" w:space="0"/>
            </w:tcBorders>
            <w:vAlign w:val="center"/>
          </w:tcPr>
          <w:p w14:paraId="5C2D5693">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5D352A0F">
            <w:pPr>
              <w:jc w:val="right"/>
              <w:textAlignment w:val="bottom"/>
              <w:rPr>
                <w:rFonts w:cs="Times New Roman"/>
              </w:rPr>
            </w:pPr>
            <w:r>
              <w:rPr>
                <w:rFonts w:eastAsia="Arial Narrow" w:cs="Times New Roman"/>
                <w:color w:val="000000"/>
                <w:lang w:bidi="ar"/>
              </w:rPr>
              <w:t>9,824,166.94</w:t>
            </w:r>
          </w:p>
        </w:tc>
        <w:tc>
          <w:tcPr>
            <w:tcW w:w="959" w:type="pct"/>
            <w:tcBorders>
              <w:top w:val="outset" w:color="auto" w:sz="4" w:space="0"/>
              <w:left w:val="outset" w:color="auto" w:sz="4" w:space="0"/>
              <w:bottom w:val="outset" w:color="auto" w:sz="4" w:space="0"/>
              <w:right w:val="outset" w:color="auto" w:sz="4" w:space="0"/>
            </w:tcBorders>
            <w:vAlign w:val="bottom"/>
          </w:tcPr>
          <w:p w14:paraId="1265A55C">
            <w:pPr>
              <w:jc w:val="right"/>
              <w:textAlignment w:val="bottom"/>
              <w:rPr>
                <w:rFonts w:cs="Times New Roman"/>
              </w:rPr>
            </w:pPr>
            <w:r>
              <w:rPr>
                <w:rFonts w:eastAsia="Arial Narrow" w:cs="Times New Roman"/>
                <w:color w:val="000000"/>
                <w:lang w:bidi="ar"/>
              </w:rPr>
              <w:t>15,304,569.20</w:t>
            </w:r>
          </w:p>
        </w:tc>
      </w:tr>
      <w:tr w14:paraId="215463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5043C39">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管理费用</w:t>
            </w:r>
          </w:p>
        </w:tc>
        <w:tc>
          <w:tcPr>
            <w:tcW w:w="598" w:type="pct"/>
            <w:tcBorders>
              <w:top w:val="outset" w:color="auto" w:sz="4" w:space="0"/>
              <w:left w:val="outset" w:color="auto" w:sz="4" w:space="0"/>
              <w:bottom w:val="outset" w:color="auto" w:sz="4" w:space="0"/>
              <w:right w:val="outset" w:color="auto" w:sz="4" w:space="0"/>
            </w:tcBorders>
            <w:vAlign w:val="center"/>
          </w:tcPr>
          <w:p w14:paraId="4E47F42E">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01256E1A">
            <w:pPr>
              <w:jc w:val="right"/>
              <w:textAlignment w:val="bottom"/>
              <w:rPr>
                <w:rFonts w:cs="Times New Roman"/>
              </w:rPr>
            </w:pPr>
            <w:r>
              <w:rPr>
                <w:rFonts w:eastAsia="Arial Narrow" w:cs="Times New Roman"/>
                <w:color w:val="000000"/>
                <w:lang w:bidi="ar"/>
              </w:rPr>
              <w:t>39,500,499.60</w:t>
            </w:r>
          </w:p>
        </w:tc>
        <w:tc>
          <w:tcPr>
            <w:tcW w:w="959" w:type="pct"/>
            <w:tcBorders>
              <w:top w:val="outset" w:color="auto" w:sz="4" w:space="0"/>
              <w:left w:val="outset" w:color="auto" w:sz="4" w:space="0"/>
              <w:bottom w:val="outset" w:color="auto" w:sz="4" w:space="0"/>
              <w:right w:val="outset" w:color="auto" w:sz="4" w:space="0"/>
            </w:tcBorders>
            <w:vAlign w:val="bottom"/>
          </w:tcPr>
          <w:p w14:paraId="382A70AD">
            <w:pPr>
              <w:jc w:val="right"/>
              <w:textAlignment w:val="bottom"/>
              <w:rPr>
                <w:rFonts w:cs="Times New Roman"/>
              </w:rPr>
            </w:pPr>
            <w:r>
              <w:rPr>
                <w:rFonts w:eastAsia="Arial Narrow" w:cs="Times New Roman"/>
                <w:color w:val="000000"/>
                <w:lang w:bidi="ar"/>
              </w:rPr>
              <w:t>41,123,716.41</w:t>
            </w:r>
          </w:p>
        </w:tc>
      </w:tr>
      <w:tr w14:paraId="0F1F5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0F6AD0EB">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研发费用</w:t>
            </w:r>
          </w:p>
        </w:tc>
        <w:tc>
          <w:tcPr>
            <w:tcW w:w="598" w:type="pct"/>
            <w:tcBorders>
              <w:top w:val="outset" w:color="auto" w:sz="4" w:space="0"/>
              <w:left w:val="outset" w:color="auto" w:sz="4" w:space="0"/>
              <w:bottom w:val="outset" w:color="auto" w:sz="4" w:space="0"/>
              <w:right w:val="outset" w:color="auto" w:sz="4" w:space="0"/>
            </w:tcBorders>
            <w:vAlign w:val="center"/>
          </w:tcPr>
          <w:p w14:paraId="64616456">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386E745A">
            <w:pPr>
              <w:jc w:val="right"/>
              <w:textAlignment w:val="bottom"/>
              <w:rPr>
                <w:rFonts w:cs="Times New Roman"/>
              </w:rPr>
            </w:pPr>
            <w:r>
              <w:rPr>
                <w:rFonts w:eastAsia="Arial Narrow" w:cs="Times New Roman"/>
                <w:color w:val="000000"/>
                <w:lang w:bidi="ar"/>
              </w:rPr>
              <w:t>8,637,497.02</w:t>
            </w:r>
          </w:p>
        </w:tc>
        <w:tc>
          <w:tcPr>
            <w:tcW w:w="959" w:type="pct"/>
            <w:tcBorders>
              <w:top w:val="outset" w:color="auto" w:sz="4" w:space="0"/>
              <w:left w:val="outset" w:color="auto" w:sz="4" w:space="0"/>
              <w:bottom w:val="outset" w:color="auto" w:sz="4" w:space="0"/>
              <w:right w:val="outset" w:color="auto" w:sz="4" w:space="0"/>
            </w:tcBorders>
            <w:vAlign w:val="bottom"/>
          </w:tcPr>
          <w:p w14:paraId="2DEE46F4">
            <w:pPr>
              <w:jc w:val="right"/>
              <w:textAlignment w:val="bottom"/>
              <w:rPr>
                <w:rFonts w:cs="Times New Roman"/>
              </w:rPr>
            </w:pPr>
            <w:r>
              <w:rPr>
                <w:rFonts w:eastAsia="Arial Narrow" w:cs="Times New Roman"/>
                <w:color w:val="000000"/>
                <w:lang w:bidi="ar"/>
              </w:rPr>
              <w:t>11,681,937.92</w:t>
            </w:r>
          </w:p>
        </w:tc>
      </w:tr>
      <w:tr w14:paraId="700400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8230603">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财务费用</w:t>
            </w:r>
          </w:p>
        </w:tc>
        <w:tc>
          <w:tcPr>
            <w:tcW w:w="598" w:type="pct"/>
            <w:tcBorders>
              <w:top w:val="outset" w:color="auto" w:sz="4" w:space="0"/>
              <w:left w:val="outset" w:color="auto" w:sz="4" w:space="0"/>
              <w:bottom w:val="outset" w:color="auto" w:sz="4" w:space="0"/>
              <w:right w:val="outset" w:color="auto" w:sz="4" w:space="0"/>
            </w:tcBorders>
            <w:vAlign w:val="center"/>
          </w:tcPr>
          <w:p w14:paraId="6EFAB0BE">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66A7C094">
            <w:pPr>
              <w:jc w:val="right"/>
              <w:textAlignment w:val="bottom"/>
              <w:rPr>
                <w:rFonts w:cs="Times New Roman"/>
              </w:rPr>
            </w:pPr>
            <w:r>
              <w:rPr>
                <w:rFonts w:eastAsia="Arial Narrow" w:cs="Times New Roman"/>
                <w:color w:val="000000"/>
                <w:lang w:bidi="ar"/>
              </w:rPr>
              <w:t>1,346,602.34</w:t>
            </w:r>
          </w:p>
        </w:tc>
        <w:tc>
          <w:tcPr>
            <w:tcW w:w="959" w:type="pct"/>
            <w:tcBorders>
              <w:top w:val="outset" w:color="auto" w:sz="4" w:space="0"/>
              <w:left w:val="outset" w:color="auto" w:sz="4" w:space="0"/>
              <w:bottom w:val="outset" w:color="auto" w:sz="4" w:space="0"/>
              <w:right w:val="outset" w:color="auto" w:sz="4" w:space="0"/>
            </w:tcBorders>
            <w:vAlign w:val="bottom"/>
          </w:tcPr>
          <w:p w14:paraId="49F1BB97">
            <w:pPr>
              <w:jc w:val="right"/>
              <w:textAlignment w:val="bottom"/>
              <w:rPr>
                <w:rFonts w:cs="Times New Roman"/>
              </w:rPr>
            </w:pPr>
            <w:r>
              <w:rPr>
                <w:rFonts w:eastAsia="Arial Narrow" w:cs="Times New Roman"/>
                <w:color w:val="000000"/>
                <w:lang w:bidi="ar"/>
              </w:rPr>
              <w:t>-29,689,469.53</w:t>
            </w:r>
          </w:p>
        </w:tc>
      </w:tr>
      <w:tr w14:paraId="03B303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4F9C86A6">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其中：利息费用</w:t>
            </w:r>
          </w:p>
        </w:tc>
        <w:tc>
          <w:tcPr>
            <w:tcW w:w="598" w:type="pct"/>
            <w:tcBorders>
              <w:top w:val="outset" w:color="auto" w:sz="4" w:space="0"/>
              <w:left w:val="outset" w:color="auto" w:sz="4" w:space="0"/>
              <w:bottom w:val="outset" w:color="auto" w:sz="4" w:space="0"/>
              <w:right w:val="outset" w:color="auto" w:sz="4" w:space="0"/>
            </w:tcBorders>
            <w:vAlign w:val="center"/>
          </w:tcPr>
          <w:p w14:paraId="0EE9A853">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21D72FAF">
            <w:pPr>
              <w:jc w:val="right"/>
              <w:textAlignment w:val="bottom"/>
              <w:rPr>
                <w:rFonts w:cs="Times New Roman"/>
              </w:rPr>
            </w:pPr>
            <w:r>
              <w:rPr>
                <w:rFonts w:eastAsia="Arial Narrow" w:cs="Times New Roman"/>
                <w:color w:val="000000"/>
                <w:lang w:bidi="ar"/>
              </w:rPr>
              <w:t>38,285,876.22</w:t>
            </w:r>
          </w:p>
        </w:tc>
        <w:tc>
          <w:tcPr>
            <w:tcW w:w="959" w:type="pct"/>
            <w:tcBorders>
              <w:top w:val="outset" w:color="auto" w:sz="4" w:space="0"/>
              <w:left w:val="outset" w:color="auto" w:sz="4" w:space="0"/>
              <w:bottom w:val="outset" w:color="auto" w:sz="4" w:space="0"/>
              <w:right w:val="outset" w:color="auto" w:sz="4" w:space="0"/>
            </w:tcBorders>
            <w:vAlign w:val="bottom"/>
          </w:tcPr>
          <w:p w14:paraId="0352C54A">
            <w:pPr>
              <w:jc w:val="right"/>
              <w:textAlignment w:val="bottom"/>
              <w:rPr>
                <w:rFonts w:cs="Times New Roman"/>
              </w:rPr>
            </w:pPr>
            <w:r>
              <w:rPr>
                <w:rFonts w:eastAsia="Arial Narrow" w:cs="Times New Roman"/>
                <w:color w:val="000000"/>
                <w:lang w:bidi="ar"/>
              </w:rPr>
              <w:t>21,594,003.91</w:t>
            </w:r>
          </w:p>
        </w:tc>
      </w:tr>
      <w:tr w14:paraId="268A5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A98A179">
            <w:pPr>
              <w:ind w:firstLine="1260" w:firstLineChars="6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利息收入</w:t>
            </w:r>
          </w:p>
        </w:tc>
        <w:tc>
          <w:tcPr>
            <w:tcW w:w="598" w:type="pct"/>
            <w:tcBorders>
              <w:top w:val="outset" w:color="auto" w:sz="4" w:space="0"/>
              <w:left w:val="outset" w:color="auto" w:sz="4" w:space="0"/>
              <w:bottom w:val="outset" w:color="auto" w:sz="4" w:space="0"/>
              <w:right w:val="outset" w:color="auto" w:sz="4" w:space="0"/>
            </w:tcBorders>
            <w:vAlign w:val="center"/>
          </w:tcPr>
          <w:p w14:paraId="1C4EB580">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1A5A4EC4">
            <w:pPr>
              <w:jc w:val="right"/>
              <w:textAlignment w:val="bottom"/>
              <w:rPr>
                <w:rFonts w:cs="Times New Roman"/>
              </w:rPr>
            </w:pPr>
            <w:r>
              <w:rPr>
                <w:rFonts w:eastAsia="Arial Narrow" w:cs="Times New Roman"/>
                <w:color w:val="000000"/>
                <w:lang w:bidi="ar"/>
              </w:rPr>
              <w:t>36,950,893.68</w:t>
            </w:r>
          </w:p>
        </w:tc>
        <w:tc>
          <w:tcPr>
            <w:tcW w:w="959" w:type="pct"/>
            <w:tcBorders>
              <w:top w:val="outset" w:color="auto" w:sz="4" w:space="0"/>
              <w:left w:val="outset" w:color="auto" w:sz="4" w:space="0"/>
              <w:bottom w:val="outset" w:color="auto" w:sz="4" w:space="0"/>
              <w:right w:val="outset" w:color="auto" w:sz="4" w:space="0"/>
            </w:tcBorders>
            <w:vAlign w:val="bottom"/>
          </w:tcPr>
          <w:p w14:paraId="36E33DB8">
            <w:pPr>
              <w:jc w:val="right"/>
              <w:textAlignment w:val="bottom"/>
              <w:rPr>
                <w:rFonts w:cs="Times New Roman"/>
              </w:rPr>
            </w:pPr>
            <w:r>
              <w:rPr>
                <w:rFonts w:eastAsia="Arial Narrow" w:cs="Times New Roman"/>
                <w:color w:val="000000"/>
                <w:lang w:bidi="ar"/>
              </w:rPr>
              <w:t>51,310,705.49</w:t>
            </w:r>
          </w:p>
        </w:tc>
      </w:tr>
      <w:tr w14:paraId="0F2213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1C64C5F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加：其他收益</w:t>
            </w:r>
          </w:p>
        </w:tc>
        <w:tc>
          <w:tcPr>
            <w:tcW w:w="598" w:type="pct"/>
            <w:tcBorders>
              <w:top w:val="outset" w:color="auto" w:sz="4" w:space="0"/>
              <w:left w:val="outset" w:color="auto" w:sz="4" w:space="0"/>
              <w:bottom w:val="outset" w:color="auto" w:sz="4" w:space="0"/>
              <w:right w:val="outset" w:color="auto" w:sz="4" w:space="0"/>
            </w:tcBorders>
            <w:vAlign w:val="center"/>
          </w:tcPr>
          <w:p w14:paraId="0ED29746">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043E1E36">
            <w:pPr>
              <w:jc w:val="right"/>
              <w:textAlignment w:val="bottom"/>
              <w:rPr>
                <w:rFonts w:cs="Times New Roman"/>
              </w:rPr>
            </w:pPr>
            <w:r>
              <w:rPr>
                <w:rFonts w:eastAsia="Arial Narrow" w:cs="Times New Roman"/>
                <w:color w:val="000000"/>
                <w:lang w:bidi="ar"/>
              </w:rPr>
              <w:t>1,277,592.97</w:t>
            </w:r>
          </w:p>
        </w:tc>
        <w:tc>
          <w:tcPr>
            <w:tcW w:w="959" w:type="pct"/>
            <w:tcBorders>
              <w:top w:val="outset" w:color="auto" w:sz="4" w:space="0"/>
              <w:left w:val="outset" w:color="auto" w:sz="4" w:space="0"/>
              <w:bottom w:val="outset" w:color="auto" w:sz="4" w:space="0"/>
              <w:right w:val="outset" w:color="auto" w:sz="4" w:space="0"/>
            </w:tcBorders>
            <w:vAlign w:val="bottom"/>
          </w:tcPr>
          <w:p w14:paraId="28281140">
            <w:pPr>
              <w:jc w:val="right"/>
              <w:textAlignment w:val="bottom"/>
              <w:rPr>
                <w:rFonts w:cs="Times New Roman"/>
              </w:rPr>
            </w:pPr>
            <w:r>
              <w:rPr>
                <w:rFonts w:eastAsia="Arial Narrow" w:cs="Times New Roman"/>
                <w:color w:val="000000"/>
                <w:lang w:bidi="ar"/>
              </w:rPr>
              <w:t>265,848.92</w:t>
            </w:r>
          </w:p>
        </w:tc>
      </w:tr>
      <w:tr w14:paraId="061846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E4C8738">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投资收益（损失以“－”号填列）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0467490A">
            <w:pPr>
              <w:jc w:val="center"/>
              <w:textAlignment w:val="center"/>
              <w:rPr>
                <w:rFonts w:cs="Times New Roman"/>
              </w:rPr>
            </w:pPr>
            <w:r>
              <w:rPr>
                <w:rFonts w:cs="Times New Roman"/>
                <w:color w:val="000000"/>
                <w:sz w:val="20"/>
                <w:szCs w:val="20"/>
                <w:lang w:bidi="ar"/>
              </w:rPr>
              <w:t>十九、5</w:t>
            </w:r>
          </w:p>
        </w:tc>
        <w:tc>
          <w:tcPr>
            <w:tcW w:w="875" w:type="pct"/>
            <w:tcBorders>
              <w:top w:val="outset" w:color="auto" w:sz="4" w:space="0"/>
              <w:left w:val="outset" w:color="auto" w:sz="4" w:space="0"/>
              <w:bottom w:val="outset" w:color="auto" w:sz="4" w:space="0"/>
              <w:right w:val="outset" w:color="auto" w:sz="4" w:space="0"/>
            </w:tcBorders>
            <w:vAlign w:val="bottom"/>
          </w:tcPr>
          <w:p w14:paraId="148C6FBF">
            <w:pPr>
              <w:jc w:val="right"/>
              <w:textAlignment w:val="bottom"/>
              <w:rPr>
                <w:rFonts w:cs="Times New Roman"/>
              </w:rPr>
            </w:pPr>
            <w:r>
              <w:rPr>
                <w:rFonts w:eastAsia="Arial Narrow" w:cs="Times New Roman"/>
                <w:color w:val="000000"/>
                <w:lang w:bidi="ar"/>
              </w:rPr>
              <w:t>152,751,842.28</w:t>
            </w:r>
          </w:p>
        </w:tc>
        <w:tc>
          <w:tcPr>
            <w:tcW w:w="959" w:type="pct"/>
            <w:tcBorders>
              <w:top w:val="outset" w:color="auto" w:sz="4" w:space="0"/>
              <w:left w:val="outset" w:color="auto" w:sz="4" w:space="0"/>
              <w:bottom w:val="outset" w:color="auto" w:sz="4" w:space="0"/>
              <w:right w:val="outset" w:color="auto" w:sz="4" w:space="0"/>
            </w:tcBorders>
            <w:vAlign w:val="bottom"/>
          </w:tcPr>
          <w:p w14:paraId="01095ED5">
            <w:pPr>
              <w:jc w:val="right"/>
              <w:textAlignment w:val="bottom"/>
              <w:rPr>
                <w:rFonts w:cs="Times New Roman"/>
              </w:rPr>
            </w:pPr>
            <w:r>
              <w:rPr>
                <w:rFonts w:eastAsia="Arial Narrow" w:cs="Times New Roman"/>
                <w:color w:val="000000"/>
                <w:lang w:bidi="ar"/>
              </w:rPr>
              <w:t>2,326,339.29</w:t>
            </w:r>
          </w:p>
        </w:tc>
      </w:tr>
      <w:tr w14:paraId="774D3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1F230485">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其中：对联营企业和合营企业的投资收益</w:t>
            </w:r>
          </w:p>
        </w:tc>
        <w:tc>
          <w:tcPr>
            <w:tcW w:w="598" w:type="pct"/>
            <w:tcBorders>
              <w:top w:val="outset" w:color="auto" w:sz="4" w:space="0"/>
              <w:left w:val="outset" w:color="auto" w:sz="4" w:space="0"/>
              <w:bottom w:val="outset" w:color="auto" w:sz="4" w:space="0"/>
              <w:right w:val="outset" w:color="auto" w:sz="4" w:space="0"/>
            </w:tcBorders>
            <w:vAlign w:val="center"/>
          </w:tcPr>
          <w:p w14:paraId="000D3766">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566D1C37">
            <w:pPr>
              <w:jc w:val="right"/>
              <w:textAlignment w:val="bottom"/>
              <w:rPr>
                <w:rFonts w:cs="Times New Roman"/>
              </w:rPr>
            </w:pPr>
            <w:r>
              <w:rPr>
                <w:rFonts w:eastAsia="Arial Narrow" w:cs="Times New Roman"/>
                <w:color w:val="000000"/>
                <w:lang w:bidi="ar"/>
              </w:rPr>
              <w:t>5,787.51</w:t>
            </w:r>
          </w:p>
        </w:tc>
        <w:tc>
          <w:tcPr>
            <w:tcW w:w="959" w:type="pct"/>
            <w:tcBorders>
              <w:top w:val="outset" w:color="auto" w:sz="4" w:space="0"/>
              <w:left w:val="outset" w:color="auto" w:sz="4" w:space="0"/>
              <w:bottom w:val="outset" w:color="auto" w:sz="4" w:space="0"/>
              <w:right w:val="outset" w:color="auto" w:sz="4" w:space="0"/>
            </w:tcBorders>
            <w:vAlign w:val="bottom"/>
          </w:tcPr>
          <w:p w14:paraId="7A6A9909">
            <w:pPr>
              <w:jc w:val="right"/>
              <w:textAlignment w:val="bottom"/>
              <w:rPr>
                <w:rFonts w:cs="Times New Roman"/>
              </w:rPr>
            </w:pPr>
            <w:r>
              <w:rPr>
                <w:rFonts w:eastAsia="Arial Narrow" w:cs="Times New Roman"/>
                <w:color w:val="000000"/>
                <w:lang w:bidi="ar"/>
              </w:rPr>
              <w:t>-508,432.93</w:t>
            </w:r>
          </w:p>
        </w:tc>
      </w:tr>
      <w:tr w14:paraId="729293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20E9FAD">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信用减值损失（损失以“-”号填列）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0DA5ADE5">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49A11FE6">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74B15E54">
            <w:pPr>
              <w:jc w:val="right"/>
              <w:textAlignment w:val="bottom"/>
              <w:rPr>
                <w:rFonts w:cs="Times New Roman"/>
              </w:rPr>
            </w:pPr>
            <w:r>
              <w:rPr>
                <w:rFonts w:eastAsia="Arial Narrow" w:cs="Times New Roman"/>
                <w:color w:val="000000"/>
                <w:lang w:bidi="ar"/>
              </w:rPr>
              <w:t>-3,324,058.70</w:t>
            </w:r>
          </w:p>
        </w:tc>
      </w:tr>
      <w:tr w14:paraId="75109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FE1B8DB">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资产减值损失（损失以“-”号填列）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66A55BFE">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473B7EA3">
            <w:pPr>
              <w:jc w:val="right"/>
              <w:textAlignment w:val="bottom"/>
              <w:rPr>
                <w:rFonts w:cs="Times New Roman"/>
              </w:rPr>
            </w:pPr>
            <w:r>
              <w:rPr>
                <w:rFonts w:eastAsia="Arial Narrow" w:cs="Times New Roman"/>
                <w:color w:val="000000"/>
                <w:lang w:bidi="ar"/>
              </w:rPr>
              <w:t>-24,743,102.39</w:t>
            </w:r>
          </w:p>
        </w:tc>
        <w:tc>
          <w:tcPr>
            <w:tcW w:w="959" w:type="pct"/>
            <w:tcBorders>
              <w:top w:val="outset" w:color="auto" w:sz="4" w:space="0"/>
              <w:left w:val="outset" w:color="auto" w:sz="4" w:space="0"/>
              <w:bottom w:val="outset" w:color="auto" w:sz="4" w:space="0"/>
              <w:right w:val="outset" w:color="auto" w:sz="4" w:space="0"/>
            </w:tcBorders>
            <w:vAlign w:val="bottom"/>
          </w:tcPr>
          <w:p w14:paraId="27E7A7CF">
            <w:pPr>
              <w:jc w:val="right"/>
              <w:rPr>
                <w:rFonts w:cs="Times New Roman"/>
              </w:rPr>
            </w:pPr>
          </w:p>
        </w:tc>
      </w:tr>
      <w:tr w14:paraId="7BF869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2099BB1D">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资产处置收益（损失以“－”号填列）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36F8655E">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281F5847">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42B348AF">
            <w:pPr>
              <w:jc w:val="right"/>
              <w:rPr>
                <w:rFonts w:cs="Times New Roman"/>
              </w:rPr>
            </w:pPr>
          </w:p>
        </w:tc>
      </w:tr>
      <w:tr w14:paraId="69251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029ACDF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二、营业利润（亏损以“－”号填列）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0F9998C6">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2EF0BFC6">
            <w:pPr>
              <w:jc w:val="right"/>
              <w:textAlignment w:val="bottom"/>
              <w:rPr>
                <w:rFonts w:cs="Times New Roman"/>
              </w:rPr>
            </w:pPr>
            <w:r>
              <w:rPr>
                <w:rFonts w:eastAsia="Arial Narrow" w:cs="Times New Roman"/>
                <w:color w:val="000000"/>
                <w:lang w:bidi="ar"/>
              </w:rPr>
              <w:t>72,819,954.33</w:t>
            </w:r>
          </w:p>
        </w:tc>
        <w:tc>
          <w:tcPr>
            <w:tcW w:w="959" w:type="pct"/>
            <w:tcBorders>
              <w:top w:val="outset" w:color="auto" w:sz="4" w:space="0"/>
              <w:left w:val="outset" w:color="auto" w:sz="4" w:space="0"/>
              <w:bottom w:val="outset" w:color="auto" w:sz="4" w:space="0"/>
              <w:right w:val="outset" w:color="auto" w:sz="4" w:space="0"/>
            </w:tcBorders>
            <w:vAlign w:val="bottom"/>
          </w:tcPr>
          <w:p w14:paraId="6CC02529">
            <w:pPr>
              <w:jc w:val="right"/>
              <w:textAlignment w:val="bottom"/>
              <w:rPr>
                <w:rFonts w:cs="Times New Roman"/>
              </w:rPr>
            </w:pPr>
            <w:r>
              <w:rPr>
                <w:rFonts w:eastAsia="Arial Narrow" w:cs="Times New Roman"/>
                <w:color w:val="000000"/>
                <w:lang w:bidi="ar"/>
              </w:rPr>
              <w:t>-35,594,576.48</w:t>
            </w:r>
          </w:p>
        </w:tc>
      </w:tr>
      <w:tr w14:paraId="1D9470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0E25B9AF">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加：营业外收入</w:t>
            </w:r>
          </w:p>
        </w:tc>
        <w:tc>
          <w:tcPr>
            <w:tcW w:w="598" w:type="pct"/>
            <w:tcBorders>
              <w:top w:val="outset" w:color="auto" w:sz="4" w:space="0"/>
              <w:left w:val="outset" w:color="auto" w:sz="4" w:space="0"/>
              <w:bottom w:val="outset" w:color="auto" w:sz="4" w:space="0"/>
              <w:right w:val="outset" w:color="auto" w:sz="4" w:space="0"/>
            </w:tcBorders>
            <w:vAlign w:val="center"/>
          </w:tcPr>
          <w:p w14:paraId="48A93543">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31B0AFD1">
            <w:pPr>
              <w:jc w:val="right"/>
              <w:textAlignment w:val="bottom"/>
              <w:rPr>
                <w:rFonts w:cs="Times New Roman"/>
              </w:rPr>
            </w:pPr>
            <w:r>
              <w:rPr>
                <w:rFonts w:eastAsia="Arial Narrow" w:cs="Times New Roman"/>
                <w:color w:val="000000"/>
                <w:lang w:bidi="ar"/>
              </w:rPr>
              <w:t>556,155.00</w:t>
            </w:r>
          </w:p>
        </w:tc>
        <w:tc>
          <w:tcPr>
            <w:tcW w:w="959" w:type="pct"/>
            <w:tcBorders>
              <w:top w:val="outset" w:color="auto" w:sz="4" w:space="0"/>
              <w:left w:val="outset" w:color="auto" w:sz="4" w:space="0"/>
              <w:bottom w:val="outset" w:color="auto" w:sz="4" w:space="0"/>
              <w:right w:val="outset" w:color="auto" w:sz="4" w:space="0"/>
            </w:tcBorders>
            <w:vAlign w:val="bottom"/>
          </w:tcPr>
          <w:p w14:paraId="02B69215">
            <w:pPr>
              <w:jc w:val="right"/>
              <w:textAlignment w:val="bottom"/>
              <w:rPr>
                <w:rFonts w:cs="Times New Roman"/>
              </w:rPr>
            </w:pPr>
            <w:r>
              <w:rPr>
                <w:rFonts w:eastAsia="Arial Narrow" w:cs="Times New Roman"/>
                <w:color w:val="000000"/>
                <w:lang w:bidi="ar"/>
              </w:rPr>
              <w:t>50,588.00</w:t>
            </w:r>
          </w:p>
        </w:tc>
      </w:tr>
      <w:tr w14:paraId="126833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24D6855">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减：营业外支出</w:t>
            </w:r>
          </w:p>
        </w:tc>
        <w:tc>
          <w:tcPr>
            <w:tcW w:w="598" w:type="pct"/>
            <w:tcBorders>
              <w:top w:val="outset" w:color="auto" w:sz="4" w:space="0"/>
              <w:left w:val="outset" w:color="auto" w:sz="4" w:space="0"/>
              <w:bottom w:val="outset" w:color="auto" w:sz="4" w:space="0"/>
              <w:right w:val="outset" w:color="auto" w:sz="4" w:space="0"/>
            </w:tcBorders>
            <w:vAlign w:val="center"/>
          </w:tcPr>
          <w:p w14:paraId="16CA6A8D">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5212608D">
            <w:pPr>
              <w:jc w:val="right"/>
              <w:textAlignment w:val="bottom"/>
              <w:rPr>
                <w:rFonts w:cs="Times New Roman"/>
              </w:rPr>
            </w:pPr>
            <w:r>
              <w:rPr>
                <w:rFonts w:eastAsia="Arial Narrow" w:cs="Times New Roman"/>
                <w:color w:val="000000"/>
                <w:lang w:bidi="ar"/>
              </w:rPr>
              <w:t>241.57</w:t>
            </w:r>
          </w:p>
        </w:tc>
        <w:tc>
          <w:tcPr>
            <w:tcW w:w="959" w:type="pct"/>
            <w:tcBorders>
              <w:top w:val="outset" w:color="auto" w:sz="4" w:space="0"/>
              <w:left w:val="outset" w:color="auto" w:sz="4" w:space="0"/>
              <w:bottom w:val="outset" w:color="auto" w:sz="4" w:space="0"/>
              <w:right w:val="outset" w:color="auto" w:sz="4" w:space="0"/>
            </w:tcBorders>
            <w:vAlign w:val="bottom"/>
          </w:tcPr>
          <w:p w14:paraId="438EA499">
            <w:pPr>
              <w:jc w:val="right"/>
              <w:rPr>
                <w:rFonts w:cs="Times New Roman"/>
              </w:rPr>
            </w:pPr>
          </w:p>
        </w:tc>
      </w:tr>
      <w:tr w14:paraId="6FA6D7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16207DD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三、利润总额（亏损总额以“－”号填列）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7F96F2EE">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25A452DD">
            <w:pPr>
              <w:jc w:val="right"/>
              <w:textAlignment w:val="bottom"/>
              <w:rPr>
                <w:rFonts w:cs="Times New Roman"/>
              </w:rPr>
            </w:pPr>
            <w:r>
              <w:rPr>
                <w:rFonts w:eastAsia="Arial Narrow" w:cs="Times New Roman"/>
                <w:color w:val="000000"/>
                <w:lang w:bidi="ar"/>
              </w:rPr>
              <w:t>73,375,867.76</w:t>
            </w:r>
          </w:p>
        </w:tc>
        <w:tc>
          <w:tcPr>
            <w:tcW w:w="959" w:type="pct"/>
            <w:tcBorders>
              <w:top w:val="outset" w:color="auto" w:sz="4" w:space="0"/>
              <w:left w:val="outset" w:color="auto" w:sz="4" w:space="0"/>
              <w:bottom w:val="outset" w:color="auto" w:sz="4" w:space="0"/>
              <w:right w:val="outset" w:color="auto" w:sz="4" w:space="0"/>
            </w:tcBorders>
            <w:vAlign w:val="bottom"/>
          </w:tcPr>
          <w:p w14:paraId="25CA6765">
            <w:pPr>
              <w:jc w:val="right"/>
              <w:textAlignment w:val="bottom"/>
              <w:rPr>
                <w:rFonts w:cs="Times New Roman"/>
              </w:rPr>
            </w:pPr>
            <w:r>
              <w:rPr>
                <w:rFonts w:eastAsia="Arial Narrow" w:cs="Times New Roman"/>
                <w:color w:val="000000"/>
                <w:lang w:bidi="ar"/>
              </w:rPr>
              <w:t>-35,543,988.48</w:t>
            </w:r>
          </w:p>
        </w:tc>
      </w:tr>
      <w:tr w14:paraId="57B009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0EACF42">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减：所得税费用</w:t>
            </w:r>
          </w:p>
        </w:tc>
        <w:tc>
          <w:tcPr>
            <w:tcW w:w="598" w:type="pct"/>
            <w:tcBorders>
              <w:top w:val="outset" w:color="auto" w:sz="4" w:space="0"/>
              <w:left w:val="outset" w:color="auto" w:sz="4" w:space="0"/>
              <w:bottom w:val="outset" w:color="auto" w:sz="4" w:space="0"/>
              <w:right w:val="outset" w:color="auto" w:sz="4" w:space="0"/>
            </w:tcBorders>
            <w:vAlign w:val="center"/>
          </w:tcPr>
          <w:p w14:paraId="05982C84">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1B2F4DF4">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45AC0A6D">
            <w:pPr>
              <w:jc w:val="right"/>
              <w:rPr>
                <w:rFonts w:cs="Times New Roman"/>
              </w:rPr>
            </w:pPr>
          </w:p>
        </w:tc>
      </w:tr>
      <w:tr w14:paraId="327F0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054D024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四、净利润（净亏损以“－”号填列）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435F1E49">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64A560F5">
            <w:pPr>
              <w:jc w:val="right"/>
              <w:textAlignment w:val="bottom"/>
              <w:rPr>
                <w:rFonts w:cs="Times New Roman"/>
              </w:rPr>
            </w:pPr>
            <w:r>
              <w:rPr>
                <w:rFonts w:eastAsia="Arial Narrow" w:cs="Times New Roman"/>
                <w:color w:val="000000"/>
                <w:lang w:bidi="ar"/>
              </w:rPr>
              <w:t>73,375,867.76</w:t>
            </w:r>
          </w:p>
        </w:tc>
        <w:tc>
          <w:tcPr>
            <w:tcW w:w="959" w:type="pct"/>
            <w:tcBorders>
              <w:top w:val="outset" w:color="auto" w:sz="4" w:space="0"/>
              <w:left w:val="outset" w:color="auto" w:sz="4" w:space="0"/>
              <w:bottom w:val="outset" w:color="auto" w:sz="4" w:space="0"/>
              <w:right w:val="outset" w:color="auto" w:sz="4" w:space="0"/>
            </w:tcBorders>
            <w:vAlign w:val="bottom"/>
          </w:tcPr>
          <w:p w14:paraId="586B4D0E">
            <w:pPr>
              <w:jc w:val="right"/>
              <w:textAlignment w:val="bottom"/>
              <w:rPr>
                <w:rFonts w:cs="Times New Roman"/>
              </w:rPr>
            </w:pPr>
            <w:r>
              <w:rPr>
                <w:rFonts w:eastAsia="Arial Narrow" w:cs="Times New Roman"/>
                <w:color w:val="000000"/>
                <w:lang w:bidi="ar"/>
              </w:rPr>
              <w:t>-35,543,988.48</w:t>
            </w:r>
          </w:p>
        </w:tc>
      </w:tr>
      <w:tr w14:paraId="268CA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1B38A91B">
            <w:pPr>
              <w:ind w:firstLine="226" w:firstLineChars="10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（一）持续经营净利润（净亏损以“－”号填列）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301A9682">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491C8B28">
            <w:pPr>
              <w:jc w:val="right"/>
              <w:textAlignment w:val="bottom"/>
              <w:rPr>
                <w:rFonts w:cs="Times New Roman"/>
              </w:rPr>
            </w:pPr>
            <w:r>
              <w:rPr>
                <w:rFonts w:eastAsia="Arial Narrow" w:cs="Times New Roman"/>
                <w:color w:val="000000"/>
                <w:lang w:bidi="ar"/>
              </w:rPr>
              <w:t>73,375,867.76</w:t>
            </w:r>
          </w:p>
        </w:tc>
        <w:tc>
          <w:tcPr>
            <w:tcW w:w="959" w:type="pct"/>
            <w:tcBorders>
              <w:top w:val="outset" w:color="auto" w:sz="4" w:space="0"/>
              <w:left w:val="outset" w:color="auto" w:sz="4" w:space="0"/>
              <w:bottom w:val="outset" w:color="auto" w:sz="4" w:space="0"/>
              <w:right w:val="outset" w:color="auto" w:sz="4" w:space="0"/>
            </w:tcBorders>
            <w:vAlign w:val="bottom"/>
          </w:tcPr>
          <w:p w14:paraId="3C799172">
            <w:pPr>
              <w:jc w:val="right"/>
              <w:textAlignment w:val="bottom"/>
              <w:rPr>
                <w:rFonts w:cs="Times New Roman"/>
              </w:rPr>
            </w:pPr>
            <w:r>
              <w:rPr>
                <w:rFonts w:eastAsia="Arial Narrow" w:cs="Times New Roman"/>
                <w:color w:val="000000"/>
                <w:lang w:bidi="ar"/>
              </w:rPr>
              <w:t>-35,543,988.48</w:t>
            </w:r>
          </w:p>
        </w:tc>
      </w:tr>
      <w:tr w14:paraId="4590CE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AA6EA10">
            <w:pPr>
              <w:ind w:firstLine="226" w:firstLineChars="10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（二）终止经营净利润（净亏损以“－”号填列）</w:t>
            </w:r>
          </w:p>
        </w:tc>
        <w:tc>
          <w:tcPr>
            <w:tcW w:w="598" w:type="pct"/>
            <w:tcBorders>
              <w:top w:val="outset" w:color="auto" w:sz="4" w:space="0"/>
              <w:left w:val="outset" w:color="auto" w:sz="4" w:space="0"/>
              <w:bottom w:val="outset" w:color="auto" w:sz="4" w:space="0"/>
              <w:right w:val="outset" w:color="auto" w:sz="4" w:space="0"/>
            </w:tcBorders>
            <w:vAlign w:val="center"/>
          </w:tcPr>
          <w:p w14:paraId="1F6FCF92">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796D2264">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259489E4">
            <w:pPr>
              <w:jc w:val="right"/>
              <w:rPr>
                <w:rFonts w:cs="Times New Roman"/>
              </w:rPr>
            </w:pPr>
          </w:p>
        </w:tc>
      </w:tr>
      <w:tr w14:paraId="15CD7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7FDCF79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五、其他综合收益的税后净额</w:t>
            </w:r>
          </w:p>
        </w:tc>
        <w:tc>
          <w:tcPr>
            <w:tcW w:w="598" w:type="pct"/>
            <w:tcBorders>
              <w:top w:val="outset" w:color="auto" w:sz="4" w:space="0"/>
              <w:left w:val="outset" w:color="auto" w:sz="4" w:space="0"/>
              <w:bottom w:val="outset" w:color="auto" w:sz="4" w:space="0"/>
              <w:right w:val="outset" w:color="auto" w:sz="4" w:space="0"/>
            </w:tcBorders>
            <w:vAlign w:val="center"/>
          </w:tcPr>
          <w:p w14:paraId="469CF4A7">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0F9D478A">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00EE4205">
            <w:pPr>
              <w:jc w:val="right"/>
              <w:rPr>
                <w:rFonts w:cs="Times New Roman"/>
              </w:rPr>
            </w:pPr>
          </w:p>
        </w:tc>
      </w:tr>
      <w:tr w14:paraId="3130F3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54C5468E">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（一）不能重分类进损益的其他综合收益</w:t>
            </w:r>
          </w:p>
        </w:tc>
        <w:tc>
          <w:tcPr>
            <w:tcW w:w="598" w:type="pct"/>
            <w:tcBorders>
              <w:top w:val="outset" w:color="auto" w:sz="4" w:space="0"/>
              <w:left w:val="outset" w:color="auto" w:sz="4" w:space="0"/>
              <w:bottom w:val="outset" w:color="auto" w:sz="4" w:space="0"/>
              <w:right w:val="outset" w:color="auto" w:sz="4" w:space="0"/>
            </w:tcBorders>
            <w:vAlign w:val="center"/>
          </w:tcPr>
          <w:p w14:paraId="6DBF5FF8">
            <w:pPr>
              <w:jc w:val="cente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0B9BE655">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539F1B26">
            <w:pPr>
              <w:jc w:val="right"/>
              <w:rPr>
                <w:rFonts w:cs="Times New Roman"/>
              </w:rPr>
            </w:pPr>
          </w:p>
        </w:tc>
      </w:tr>
      <w:tr w14:paraId="6F136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65CB0BB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（二）将重分类进损益的其他综合收益</w:t>
            </w:r>
          </w:p>
        </w:tc>
        <w:tc>
          <w:tcPr>
            <w:tcW w:w="598" w:type="pct"/>
            <w:tcBorders>
              <w:top w:val="outset" w:color="auto" w:sz="4" w:space="0"/>
              <w:left w:val="outset" w:color="auto" w:sz="4" w:space="0"/>
              <w:bottom w:val="outset" w:color="auto" w:sz="4" w:space="0"/>
              <w:right w:val="outset" w:color="auto" w:sz="4" w:space="0"/>
            </w:tcBorders>
            <w:vAlign w:val="center"/>
          </w:tcPr>
          <w:p w14:paraId="7B7E150E">
            <w:pP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18D6CECA">
            <w:pPr>
              <w:jc w:val="right"/>
              <w:rPr>
                <w:rFonts w:cs="Times New Roman"/>
              </w:rPr>
            </w:pPr>
          </w:p>
        </w:tc>
        <w:tc>
          <w:tcPr>
            <w:tcW w:w="959" w:type="pct"/>
            <w:tcBorders>
              <w:top w:val="outset" w:color="auto" w:sz="4" w:space="0"/>
              <w:left w:val="outset" w:color="auto" w:sz="4" w:space="0"/>
              <w:bottom w:val="outset" w:color="auto" w:sz="4" w:space="0"/>
              <w:right w:val="outset" w:color="auto" w:sz="4" w:space="0"/>
            </w:tcBorders>
            <w:vAlign w:val="bottom"/>
          </w:tcPr>
          <w:p w14:paraId="2E982016">
            <w:pPr>
              <w:jc w:val="right"/>
              <w:rPr>
                <w:rFonts w:cs="Times New Roman"/>
              </w:rPr>
            </w:pPr>
          </w:p>
        </w:tc>
      </w:tr>
      <w:tr w14:paraId="2D68DE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68" w:type="pct"/>
            <w:tcBorders>
              <w:top w:val="outset" w:color="auto" w:sz="4" w:space="0"/>
              <w:left w:val="outset" w:color="auto" w:sz="4" w:space="0"/>
              <w:bottom w:val="outset" w:color="auto" w:sz="4" w:space="0"/>
              <w:right w:val="outset" w:color="auto" w:sz="4" w:space="0"/>
            </w:tcBorders>
            <w:vAlign w:val="center"/>
          </w:tcPr>
          <w:p w14:paraId="30997DC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六、综合收益总额</w:t>
            </w:r>
          </w:p>
        </w:tc>
        <w:tc>
          <w:tcPr>
            <w:tcW w:w="598" w:type="pct"/>
            <w:tcBorders>
              <w:top w:val="outset" w:color="auto" w:sz="4" w:space="0"/>
              <w:left w:val="outset" w:color="auto" w:sz="4" w:space="0"/>
              <w:bottom w:val="outset" w:color="auto" w:sz="4" w:space="0"/>
              <w:right w:val="outset" w:color="auto" w:sz="4" w:space="0"/>
            </w:tcBorders>
            <w:vAlign w:val="center"/>
          </w:tcPr>
          <w:p w14:paraId="5878D498">
            <w:pPr>
              <w:rPr>
                <w:rFonts w:cs="Times New Roman"/>
              </w:rPr>
            </w:pPr>
          </w:p>
        </w:tc>
        <w:tc>
          <w:tcPr>
            <w:tcW w:w="875" w:type="pct"/>
            <w:tcBorders>
              <w:top w:val="outset" w:color="auto" w:sz="4" w:space="0"/>
              <w:left w:val="outset" w:color="auto" w:sz="4" w:space="0"/>
              <w:bottom w:val="outset" w:color="auto" w:sz="4" w:space="0"/>
              <w:right w:val="outset" w:color="auto" w:sz="4" w:space="0"/>
            </w:tcBorders>
            <w:vAlign w:val="bottom"/>
          </w:tcPr>
          <w:p w14:paraId="2625DD57">
            <w:pPr>
              <w:jc w:val="right"/>
              <w:textAlignment w:val="bottom"/>
              <w:rPr>
                <w:rFonts w:cs="Times New Roman"/>
              </w:rPr>
            </w:pPr>
            <w:r>
              <w:rPr>
                <w:rFonts w:eastAsia="Arial Narrow" w:cs="Times New Roman"/>
                <w:color w:val="000000"/>
                <w:lang w:bidi="ar"/>
              </w:rPr>
              <w:t>73,375,867.76</w:t>
            </w:r>
          </w:p>
        </w:tc>
        <w:tc>
          <w:tcPr>
            <w:tcW w:w="959" w:type="pct"/>
            <w:tcBorders>
              <w:top w:val="outset" w:color="auto" w:sz="4" w:space="0"/>
              <w:left w:val="outset" w:color="auto" w:sz="4" w:space="0"/>
              <w:bottom w:val="outset" w:color="auto" w:sz="4" w:space="0"/>
              <w:right w:val="outset" w:color="auto" w:sz="4" w:space="0"/>
            </w:tcBorders>
            <w:vAlign w:val="bottom"/>
          </w:tcPr>
          <w:p w14:paraId="08D19388">
            <w:pPr>
              <w:jc w:val="right"/>
              <w:textAlignment w:val="bottom"/>
              <w:rPr>
                <w:rFonts w:cs="Times New Roman"/>
              </w:rPr>
            </w:pPr>
            <w:r>
              <w:rPr>
                <w:rFonts w:eastAsia="Arial Narrow" w:cs="Times New Roman"/>
                <w:color w:val="000000"/>
                <w:lang w:bidi="ar"/>
              </w:rPr>
              <w:t>-35,543,988.48</w:t>
            </w:r>
          </w:p>
        </w:tc>
      </w:tr>
    </w:tbl>
    <w:p w14:paraId="7C13F966">
      <w:pPr>
        <w:rPr>
          <w:color w:val="000000" w:themeColor="text1"/>
          <w14:textFill>
            <w14:solidFill>
              <w14:schemeClr w14:val="tx1"/>
            </w14:solidFill>
          </w14:textFill>
        </w:rPr>
      </w:pPr>
    </w:p>
    <w:p w14:paraId="4C706B70">
      <w:pPr>
        <w:snapToGrid w:val="0"/>
        <w:spacing w:line="240" w:lineRule="atLeast"/>
        <w:ind w:right="-153" w:rightChars="-73"/>
        <w:rPr>
          <w:rFonts w:cs="宋体-方正超大字符集"/>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6be9c51ef68a40f0b60486f4414f2413"/>
          <w:id w:val="147453888"/>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ac91a6c67f0a401ab312a449bd87b833"/>
          <w:id w:val="147477647"/>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60f6b900783346cfad817de4d84acf5e"/>
          <w:id w:val="147469715"/>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28ADD41F">
      <w:pPr>
        <w:snapToGrid w:val="0"/>
        <w:spacing w:line="240" w:lineRule="atLeast"/>
        <w:ind w:right="-153" w:rightChars="-73"/>
        <w:rPr>
          <w:b/>
          <w:bCs w:val="0"/>
          <w:color w:val="000000" w:themeColor="text1"/>
          <w14:textFill>
            <w14:solidFill>
              <w14:schemeClr w14:val="tx1"/>
            </w14:solidFill>
          </w14:textFill>
        </w:rPr>
      </w:pPr>
    </w:p>
    <w:p w14:paraId="609F275C">
      <w:pPr>
        <w:snapToGrid w:val="0"/>
        <w:spacing w:line="240" w:lineRule="atLeast"/>
        <w:ind w:right="-153" w:rightChars="-73"/>
        <w:rPr>
          <w:b/>
          <w:bCs w:val="0"/>
          <w:color w:val="000000" w:themeColor="text1"/>
          <w14:textFill>
            <w14:solidFill>
              <w14:schemeClr w14:val="tx1"/>
            </w14:solidFill>
          </w14:textFill>
        </w:rPr>
      </w:pPr>
    </w:p>
    <w:bookmarkEnd w:id="151"/>
    <w:p w14:paraId="5ED2C345">
      <w:pPr>
        <w:pStyle w:val="57"/>
        <w:jc w:val="center"/>
        <w:rPr>
          <w:rFonts w:ascii="宋体" w:hAnsi="宋体"/>
          <w:color w:val="000000" w:themeColor="text1"/>
          <w14:textFill>
            <w14:solidFill>
              <w14:schemeClr w14:val="tx1"/>
            </w14:solidFill>
          </w14:textFill>
        </w:rPr>
      </w:pPr>
      <w:bookmarkStart w:id="153" w:name="_Hlk10211424"/>
      <w:bookmarkEnd w:id="153"/>
      <w:bookmarkStart w:id="154" w:name="_Hlk10211590"/>
      <w:r>
        <w:rPr>
          <w:rFonts w:hint="eastAsia" w:ascii="宋体" w:hAnsi="宋体"/>
          <w:color w:val="000000" w:themeColor="text1"/>
          <w14:textFill>
            <w14:solidFill>
              <w14:schemeClr w14:val="tx1"/>
            </w14:solidFill>
          </w14:textFill>
        </w:rPr>
        <w:t>合并</w:t>
      </w:r>
      <w:r>
        <w:rPr>
          <w:rFonts w:ascii="宋体" w:hAnsi="宋体"/>
          <w:color w:val="000000" w:themeColor="text1"/>
          <w14:textFill>
            <w14:solidFill>
              <w14:schemeClr w14:val="tx1"/>
            </w14:solidFill>
          </w14:textFill>
        </w:rPr>
        <w:t>现金流量表</w:t>
      </w:r>
    </w:p>
    <w:p w14:paraId="0DEB529B">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2025年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14:paraId="26D379F3">
      <w:pPr>
        <w:jc w:val="right"/>
        <w:rPr>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合并现金流量表"/>
          <w:tag w:val="_GBC_7049413ddb8f4e5eac9cb9fb4f802433"/>
          <w:id w:val="1474670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币种：合并现金流量表"/>
          <w:tag w:val="_GBC_5ab1c6e244484b228b8cdc6ee3840fd6"/>
          <w:id w:val="14747361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610"/>
        <w:gridCol w:w="985"/>
        <w:gridCol w:w="1686"/>
        <w:gridCol w:w="1768"/>
      </w:tblGrid>
      <w:tr w14:paraId="167973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rPr>
              <w:rFonts w:cs="Times New Roman"/>
            </w:rPr>
            <w:tag w:val="_PLD_2a3b6af3ab824e2db1022630f7a58e18"/>
            <w:id w:val="147455583"/>
          </w:sdtPr>
          <w:sdtEndPr>
            <w:rPr>
              <w:rFonts w:cs="Times New Roman"/>
            </w:rPr>
          </w:sdtEndPr>
          <w:sdtContent>
            <w:tc>
              <w:tcPr>
                <w:tcW w:w="2548" w:type="pct"/>
                <w:tcBorders>
                  <w:top w:val="outset" w:color="auto" w:sz="4" w:space="0"/>
                  <w:left w:val="outset" w:color="auto" w:sz="4" w:space="0"/>
                  <w:bottom w:val="outset" w:color="auto" w:sz="4" w:space="0"/>
                  <w:right w:val="outset" w:color="auto" w:sz="4" w:space="0"/>
                </w:tcBorders>
                <w:vAlign w:val="center"/>
              </w:tcPr>
              <w:p w14:paraId="499D84EC">
                <w:pPr>
                  <w:jc w:val="center"/>
                  <w:rPr>
                    <w:rFonts w:cs="Times New Roman"/>
                    <w:b/>
                    <w:bCs w:val="0"/>
                    <w:color w:val="000000" w:themeColor="text1"/>
                    <w14:textFill>
                      <w14:solidFill>
                        <w14:schemeClr w14:val="tx1"/>
                      </w14:solidFill>
                    </w14:textFill>
                  </w:rPr>
                </w:pPr>
                <w:r>
                  <w:rPr>
                    <w:rFonts w:cs="Times New Roman"/>
                    <w:b/>
                    <w:color w:val="000000" w:themeColor="text1"/>
                    <w14:textFill>
                      <w14:solidFill>
                        <w14:schemeClr w14:val="tx1"/>
                      </w14:solidFill>
                    </w14:textFill>
                  </w:rPr>
                  <w:t>项目</w:t>
                </w:r>
              </w:p>
            </w:tc>
          </w:sdtContent>
        </w:sdt>
        <w:sdt>
          <w:sdtPr>
            <w:rPr>
              <w:rFonts w:cs="Times New Roman"/>
            </w:rPr>
            <w:tag w:val="_PLD_49df1a6f5a224085bdcd56671a898d47"/>
            <w:id w:val="147463386"/>
          </w:sdtPr>
          <w:sdtEndPr>
            <w:rPr>
              <w:rFonts w:cs="Times New Roman"/>
            </w:rPr>
          </w:sdtEndPr>
          <w:sdtContent>
            <w:tc>
              <w:tcPr>
                <w:tcW w:w="544" w:type="pct"/>
                <w:tcBorders>
                  <w:top w:val="outset" w:color="auto" w:sz="4" w:space="0"/>
                  <w:left w:val="outset" w:color="auto" w:sz="4" w:space="0"/>
                  <w:bottom w:val="outset" w:color="auto" w:sz="4" w:space="0"/>
                  <w:right w:val="outset" w:color="auto" w:sz="4" w:space="0"/>
                </w:tcBorders>
                <w:vAlign w:val="center"/>
              </w:tcPr>
              <w:p w14:paraId="4F6E3A42">
                <w:pPr>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附注</w:t>
                </w:r>
              </w:p>
            </w:tc>
          </w:sdtContent>
        </w:sdt>
        <w:sdt>
          <w:sdtPr>
            <w:rPr>
              <w:rFonts w:cs="Times New Roman"/>
            </w:rPr>
            <w:tag w:val="_PLD_aba5e14092764f689b78fdbe9892bc51"/>
            <w:id w:val="147455942"/>
          </w:sdtPr>
          <w:sdtEndPr>
            <w:rPr>
              <w:rFonts w:cs="Times New Roman"/>
            </w:rPr>
          </w:sdtEndPr>
          <w:sdtContent>
            <w:tc>
              <w:tcPr>
                <w:tcW w:w="931" w:type="pct"/>
                <w:tcBorders>
                  <w:top w:val="outset" w:color="auto" w:sz="4" w:space="0"/>
                  <w:left w:val="outset" w:color="auto" w:sz="4" w:space="0"/>
                  <w:bottom w:val="outset" w:color="auto" w:sz="4" w:space="0"/>
                  <w:right w:val="outset" w:color="auto" w:sz="4" w:space="0"/>
                </w:tcBorders>
                <w:vAlign w:val="center"/>
              </w:tcPr>
              <w:p w14:paraId="31231401">
                <w:pPr>
                  <w:autoSpaceDE w:val="0"/>
                  <w:autoSpaceDN w:val="0"/>
                  <w:adjustRightInd w:val="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2025年半年度</w:t>
                </w:r>
              </w:p>
            </w:tc>
          </w:sdtContent>
        </w:sdt>
        <w:sdt>
          <w:sdtPr>
            <w:rPr>
              <w:rFonts w:cs="Times New Roman"/>
            </w:rPr>
            <w:tag w:val="_PLD_8cac70c6f00c4266a9b8cff482cc71cc"/>
            <w:id w:val="147455094"/>
          </w:sdtPr>
          <w:sdtEndPr>
            <w:rPr>
              <w:rFonts w:cs="Times New Roman"/>
            </w:rPr>
          </w:sdtEndPr>
          <w:sdtContent>
            <w:tc>
              <w:tcPr>
                <w:tcW w:w="975" w:type="pct"/>
                <w:tcBorders>
                  <w:top w:val="outset" w:color="auto" w:sz="4" w:space="0"/>
                  <w:left w:val="outset" w:color="auto" w:sz="4" w:space="0"/>
                  <w:bottom w:val="outset" w:color="auto" w:sz="4" w:space="0"/>
                  <w:right w:val="outset" w:color="auto" w:sz="4" w:space="0"/>
                </w:tcBorders>
                <w:vAlign w:val="center"/>
              </w:tcPr>
              <w:p w14:paraId="413629AC">
                <w:pPr>
                  <w:autoSpaceDE w:val="0"/>
                  <w:autoSpaceDN w:val="0"/>
                  <w:adjustRightInd w:val="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2024年半年度</w:t>
                </w:r>
              </w:p>
            </w:tc>
          </w:sdtContent>
        </w:sdt>
      </w:tr>
      <w:tr w14:paraId="241DAF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ffd119a1ffa641c1a00397806a78ee23"/>
            <w:id w:val="147469406"/>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00D2A0B">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一、经营活动产生的现金流量：</w:t>
                </w:r>
              </w:p>
            </w:tc>
          </w:sdtContent>
        </w:sdt>
      </w:tr>
      <w:tr w14:paraId="3F6900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3C648EE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销售商品、提供劳务收到的现金</w:t>
            </w:r>
          </w:p>
        </w:tc>
        <w:tc>
          <w:tcPr>
            <w:tcW w:w="544" w:type="pct"/>
            <w:tcBorders>
              <w:top w:val="outset" w:color="auto" w:sz="4" w:space="0"/>
              <w:left w:val="outset" w:color="auto" w:sz="4" w:space="0"/>
              <w:bottom w:val="outset" w:color="auto" w:sz="4" w:space="0"/>
              <w:right w:val="outset" w:color="auto" w:sz="4" w:space="0"/>
            </w:tcBorders>
            <w:vAlign w:val="center"/>
          </w:tcPr>
          <w:p w14:paraId="411DF646">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431BEEEA">
            <w:pPr>
              <w:jc w:val="right"/>
              <w:textAlignment w:val="bottom"/>
              <w:rPr>
                <w:rFonts w:cs="Times New Roman"/>
              </w:rPr>
            </w:pPr>
            <w:r>
              <w:rPr>
                <w:rFonts w:eastAsia="Arial Narrow" w:cs="Times New Roman"/>
                <w:color w:val="000000"/>
                <w:lang w:bidi="ar"/>
              </w:rPr>
              <w:t>3,337,555,361.01</w:t>
            </w:r>
          </w:p>
        </w:tc>
        <w:tc>
          <w:tcPr>
            <w:tcW w:w="975" w:type="pct"/>
            <w:tcBorders>
              <w:top w:val="outset" w:color="auto" w:sz="4" w:space="0"/>
              <w:left w:val="outset" w:color="auto" w:sz="4" w:space="0"/>
              <w:bottom w:val="outset" w:color="auto" w:sz="4" w:space="0"/>
              <w:right w:val="outset" w:color="auto" w:sz="4" w:space="0"/>
            </w:tcBorders>
            <w:vAlign w:val="bottom"/>
          </w:tcPr>
          <w:p w14:paraId="14EA7EF4">
            <w:pPr>
              <w:jc w:val="right"/>
              <w:textAlignment w:val="bottom"/>
              <w:rPr>
                <w:rFonts w:cs="Times New Roman"/>
              </w:rPr>
            </w:pPr>
            <w:r>
              <w:rPr>
                <w:rFonts w:eastAsia="Arial Narrow" w:cs="Times New Roman"/>
                <w:color w:val="000000"/>
                <w:lang w:bidi="ar"/>
              </w:rPr>
              <w:t>3,373,458,340.66</w:t>
            </w:r>
          </w:p>
        </w:tc>
      </w:tr>
      <w:tr w14:paraId="4CFD3B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35015452">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收到的税费返还</w:t>
            </w:r>
          </w:p>
        </w:tc>
        <w:tc>
          <w:tcPr>
            <w:tcW w:w="544" w:type="pct"/>
            <w:tcBorders>
              <w:top w:val="outset" w:color="auto" w:sz="4" w:space="0"/>
              <w:left w:val="outset" w:color="auto" w:sz="4" w:space="0"/>
              <w:bottom w:val="outset" w:color="auto" w:sz="4" w:space="0"/>
              <w:right w:val="outset" w:color="auto" w:sz="4" w:space="0"/>
            </w:tcBorders>
            <w:vAlign w:val="center"/>
          </w:tcPr>
          <w:p w14:paraId="7FE2178C">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7CB9D429">
            <w:pPr>
              <w:jc w:val="right"/>
              <w:textAlignment w:val="bottom"/>
              <w:rPr>
                <w:rFonts w:cs="Times New Roman"/>
              </w:rPr>
            </w:pPr>
            <w:r>
              <w:rPr>
                <w:rFonts w:eastAsia="Arial Narrow" w:cs="Times New Roman"/>
                <w:color w:val="000000"/>
                <w:lang w:bidi="ar"/>
              </w:rPr>
              <w:t>33,083,214.19</w:t>
            </w:r>
          </w:p>
        </w:tc>
        <w:tc>
          <w:tcPr>
            <w:tcW w:w="975" w:type="pct"/>
            <w:tcBorders>
              <w:top w:val="outset" w:color="auto" w:sz="4" w:space="0"/>
              <w:left w:val="outset" w:color="auto" w:sz="4" w:space="0"/>
              <w:bottom w:val="outset" w:color="auto" w:sz="4" w:space="0"/>
              <w:right w:val="outset" w:color="auto" w:sz="4" w:space="0"/>
            </w:tcBorders>
            <w:vAlign w:val="bottom"/>
          </w:tcPr>
          <w:p w14:paraId="68459109">
            <w:pPr>
              <w:jc w:val="right"/>
              <w:textAlignment w:val="bottom"/>
              <w:rPr>
                <w:rFonts w:cs="Times New Roman"/>
              </w:rPr>
            </w:pPr>
            <w:r>
              <w:rPr>
                <w:rFonts w:eastAsia="Arial Narrow" w:cs="Times New Roman"/>
                <w:color w:val="000000"/>
                <w:lang w:bidi="ar"/>
              </w:rPr>
              <w:t>38,935,767.17</w:t>
            </w:r>
          </w:p>
        </w:tc>
      </w:tr>
      <w:tr w14:paraId="434CF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EE3BC19">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收到其他与经营活动有关的现金</w:t>
            </w:r>
          </w:p>
        </w:tc>
        <w:tc>
          <w:tcPr>
            <w:tcW w:w="544" w:type="pct"/>
            <w:tcBorders>
              <w:top w:val="outset" w:color="auto" w:sz="4" w:space="0"/>
              <w:left w:val="outset" w:color="auto" w:sz="4" w:space="0"/>
              <w:bottom w:val="outset" w:color="auto" w:sz="4" w:space="0"/>
              <w:right w:val="outset" w:color="auto" w:sz="4" w:space="0"/>
            </w:tcBorders>
            <w:vAlign w:val="center"/>
          </w:tcPr>
          <w:p w14:paraId="22C47AA6">
            <w:pPr>
              <w:jc w:val="center"/>
              <w:textAlignment w:val="center"/>
              <w:rPr>
                <w:rFonts w:cs="Times New Roman"/>
              </w:rPr>
            </w:pPr>
            <w:r>
              <w:rPr>
                <w:rFonts w:cs="Times New Roman"/>
                <w:color w:val="000000"/>
                <w:lang w:bidi="ar"/>
              </w:rPr>
              <w:t>七、78</w:t>
            </w:r>
          </w:p>
        </w:tc>
        <w:tc>
          <w:tcPr>
            <w:tcW w:w="931" w:type="pct"/>
            <w:tcBorders>
              <w:top w:val="outset" w:color="auto" w:sz="4" w:space="0"/>
              <w:left w:val="outset" w:color="auto" w:sz="4" w:space="0"/>
              <w:bottom w:val="outset" w:color="auto" w:sz="4" w:space="0"/>
              <w:right w:val="outset" w:color="auto" w:sz="4" w:space="0"/>
            </w:tcBorders>
            <w:vAlign w:val="bottom"/>
          </w:tcPr>
          <w:p w14:paraId="125DDC0D">
            <w:pPr>
              <w:jc w:val="right"/>
              <w:textAlignment w:val="bottom"/>
              <w:rPr>
                <w:rFonts w:cs="Times New Roman"/>
              </w:rPr>
            </w:pPr>
            <w:r>
              <w:rPr>
                <w:rFonts w:eastAsia="Arial Narrow" w:cs="Times New Roman"/>
                <w:color w:val="000000"/>
                <w:lang w:bidi="ar"/>
              </w:rPr>
              <w:t>399,646,508.77</w:t>
            </w:r>
          </w:p>
        </w:tc>
        <w:tc>
          <w:tcPr>
            <w:tcW w:w="975" w:type="pct"/>
            <w:tcBorders>
              <w:top w:val="outset" w:color="auto" w:sz="4" w:space="0"/>
              <w:left w:val="outset" w:color="auto" w:sz="4" w:space="0"/>
              <w:bottom w:val="outset" w:color="auto" w:sz="4" w:space="0"/>
              <w:right w:val="outset" w:color="auto" w:sz="4" w:space="0"/>
            </w:tcBorders>
            <w:vAlign w:val="bottom"/>
          </w:tcPr>
          <w:p w14:paraId="5A7A11B0">
            <w:pPr>
              <w:jc w:val="right"/>
              <w:textAlignment w:val="bottom"/>
              <w:rPr>
                <w:rFonts w:cs="Times New Roman"/>
              </w:rPr>
            </w:pPr>
            <w:r>
              <w:rPr>
                <w:rFonts w:eastAsia="Arial Narrow" w:cs="Times New Roman"/>
                <w:color w:val="000000"/>
                <w:lang w:bidi="ar"/>
              </w:rPr>
              <w:t>320,770,792.17</w:t>
            </w:r>
          </w:p>
        </w:tc>
      </w:tr>
      <w:tr w14:paraId="5F8DFD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7A626D1A">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经营活动现金流入小计</w:t>
            </w:r>
          </w:p>
        </w:tc>
        <w:tc>
          <w:tcPr>
            <w:tcW w:w="544" w:type="pct"/>
            <w:tcBorders>
              <w:top w:val="outset" w:color="auto" w:sz="4" w:space="0"/>
              <w:left w:val="outset" w:color="auto" w:sz="4" w:space="0"/>
              <w:bottom w:val="outset" w:color="auto" w:sz="4" w:space="0"/>
              <w:right w:val="outset" w:color="auto" w:sz="4" w:space="0"/>
            </w:tcBorders>
            <w:vAlign w:val="center"/>
          </w:tcPr>
          <w:p w14:paraId="5F9E5FE8">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752350A9">
            <w:pPr>
              <w:jc w:val="right"/>
              <w:textAlignment w:val="bottom"/>
              <w:rPr>
                <w:rFonts w:cs="Times New Roman"/>
              </w:rPr>
            </w:pPr>
            <w:r>
              <w:rPr>
                <w:rFonts w:eastAsia="Arial Narrow" w:cs="Times New Roman"/>
                <w:color w:val="000000"/>
                <w:lang w:bidi="ar"/>
              </w:rPr>
              <w:t>3,770,285,083.97</w:t>
            </w:r>
          </w:p>
        </w:tc>
        <w:tc>
          <w:tcPr>
            <w:tcW w:w="975" w:type="pct"/>
            <w:tcBorders>
              <w:top w:val="outset" w:color="auto" w:sz="4" w:space="0"/>
              <w:left w:val="outset" w:color="auto" w:sz="4" w:space="0"/>
              <w:bottom w:val="outset" w:color="auto" w:sz="4" w:space="0"/>
              <w:right w:val="outset" w:color="auto" w:sz="4" w:space="0"/>
            </w:tcBorders>
            <w:vAlign w:val="bottom"/>
          </w:tcPr>
          <w:p w14:paraId="2544BA04">
            <w:pPr>
              <w:jc w:val="right"/>
              <w:textAlignment w:val="bottom"/>
              <w:rPr>
                <w:rFonts w:cs="Times New Roman"/>
              </w:rPr>
            </w:pPr>
            <w:r>
              <w:rPr>
                <w:rFonts w:eastAsia="Arial Narrow" w:cs="Times New Roman"/>
                <w:color w:val="000000"/>
                <w:lang w:bidi="ar"/>
              </w:rPr>
              <w:t>3,733,164,900.00</w:t>
            </w:r>
          </w:p>
        </w:tc>
      </w:tr>
      <w:tr w14:paraId="33504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1AE9E12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购买商品、接受劳务支付的现金</w:t>
            </w:r>
          </w:p>
        </w:tc>
        <w:tc>
          <w:tcPr>
            <w:tcW w:w="544" w:type="pct"/>
            <w:tcBorders>
              <w:top w:val="outset" w:color="auto" w:sz="4" w:space="0"/>
              <w:left w:val="outset" w:color="auto" w:sz="4" w:space="0"/>
              <w:bottom w:val="outset" w:color="auto" w:sz="4" w:space="0"/>
              <w:right w:val="outset" w:color="auto" w:sz="4" w:space="0"/>
            </w:tcBorders>
            <w:vAlign w:val="center"/>
          </w:tcPr>
          <w:p w14:paraId="56D2BAA0">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082AE010">
            <w:pPr>
              <w:jc w:val="right"/>
              <w:textAlignment w:val="bottom"/>
              <w:rPr>
                <w:rFonts w:cs="Times New Roman"/>
              </w:rPr>
            </w:pPr>
            <w:r>
              <w:rPr>
                <w:rFonts w:eastAsia="Arial Narrow" w:cs="Times New Roman"/>
                <w:color w:val="000000"/>
                <w:lang w:bidi="ar"/>
              </w:rPr>
              <w:t>3,252,859,841.29</w:t>
            </w:r>
          </w:p>
        </w:tc>
        <w:tc>
          <w:tcPr>
            <w:tcW w:w="975" w:type="pct"/>
            <w:tcBorders>
              <w:top w:val="outset" w:color="auto" w:sz="4" w:space="0"/>
              <w:left w:val="outset" w:color="auto" w:sz="4" w:space="0"/>
              <w:bottom w:val="outset" w:color="auto" w:sz="4" w:space="0"/>
              <w:right w:val="outset" w:color="auto" w:sz="4" w:space="0"/>
            </w:tcBorders>
            <w:vAlign w:val="bottom"/>
          </w:tcPr>
          <w:p w14:paraId="30BDB018">
            <w:pPr>
              <w:jc w:val="right"/>
              <w:textAlignment w:val="bottom"/>
              <w:rPr>
                <w:rFonts w:cs="Times New Roman"/>
              </w:rPr>
            </w:pPr>
            <w:r>
              <w:rPr>
                <w:rFonts w:eastAsia="Arial Narrow" w:cs="Times New Roman"/>
                <w:color w:val="000000"/>
                <w:lang w:bidi="ar"/>
              </w:rPr>
              <w:t>3,891,744,843.32</w:t>
            </w:r>
          </w:p>
        </w:tc>
      </w:tr>
      <w:tr w14:paraId="61FCB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2790B309">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支付给职工及为职工支付的现金</w:t>
            </w:r>
          </w:p>
        </w:tc>
        <w:tc>
          <w:tcPr>
            <w:tcW w:w="544" w:type="pct"/>
            <w:tcBorders>
              <w:top w:val="outset" w:color="auto" w:sz="4" w:space="0"/>
              <w:left w:val="outset" w:color="auto" w:sz="4" w:space="0"/>
              <w:bottom w:val="outset" w:color="auto" w:sz="4" w:space="0"/>
              <w:right w:val="outset" w:color="auto" w:sz="4" w:space="0"/>
            </w:tcBorders>
            <w:vAlign w:val="center"/>
          </w:tcPr>
          <w:p w14:paraId="4D026557">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51D85BDF">
            <w:pPr>
              <w:jc w:val="right"/>
              <w:textAlignment w:val="bottom"/>
              <w:rPr>
                <w:rFonts w:cs="Times New Roman"/>
              </w:rPr>
            </w:pPr>
            <w:r>
              <w:rPr>
                <w:rFonts w:eastAsia="Arial Narrow" w:cs="Times New Roman"/>
                <w:color w:val="000000"/>
                <w:lang w:bidi="ar"/>
              </w:rPr>
              <w:t>723,371,879.92</w:t>
            </w:r>
          </w:p>
        </w:tc>
        <w:tc>
          <w:tcPr>
            <w:tcW w:w="975" w:type="pct"/>
            <w:tcBorders>
              <w:top w:val="outset" w:color="auto" w:sz="4" w:space="0"/>
              <w:left w:val="outset" w:color="auto" w:sz="4" w:space="0"/>
              <w:bottom w:val="outset" w:color="auto" w:sz="4" w:space="0"/>
              <w:right w:val="outset" w:color="auto" w:sz="4" w:space="0"/>
            </w:tcBorders>
            <w:vAlign w:val="bottom"/>
          </w:tcPr>
          <w:p w14:paraId="1C623F49">
            <w:pPr>
              <w:jc w:val="right"/>
              <w:textAlignment w:val="bottom"/>
              <w:rPr>
                <w:rFonts w:cs="Times New Roman"/>
              </w:rPr>
            </w:pPr>
            <w:r>
              <w:rPr>
                <w:rFonts w:eastAsia="Arial Narrow" w:cs="Times New Roman"/>
                <w:color w:val="000000"/>
                <w:lang w:bidi="ar"/>
              </w:rPr>
              <w:t>800,896,790.91</w:t>
            </w:r>
          </w:p>
        </w:tc>
      </w:tr>
      <w:tr w14:paraId="32C5B7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77DB4E2">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支付的各项税费</w:t>
            </w:r>
          </w:p>
        </w:tc>
        <w:tc>
          <w:tcPr>
            <w:tcW w:w="544" w:type="pct"/>
            <w:tcBorders>
              <w:top w:val="outset" w:color="auto" w:sz="4" w:space="0"/>
              <w:left w:val="outset" w:color="auto" w:sz="4" w:space="0"/>
              <w:bottom w:val="outset" w:color="auto" w:sz="4" w:space="0"/>
              <w:right w:val="outset" w:color="auto" w:sz="4" w:space="0"/>
            </w:tcBorders>
            <w:vAlign w:val="center"/>
          </w:tcPr>
          <w:p w14:paraId="211CB0A7">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2373B5DA">
            <w:pPr>
              <w:jc w:val="right"/>
              <w:textAlignment w:val="bottom"/>
              <w:rPr>
                <w:rFonts w:cs="Times New Roman"/>
              </w:rPr>
            </w:pPr>
            <w:r>
              <w:rPr>
                <w:rFonts w:eastAsia="Arial Narrow" w:cs="Times New Roman"/>
                <w:color w:val="000000"/>
                <w:lang w:bidi="ar"/>
              </w:rPr>
              <w:t>158,053,434.99</w:t>
            </w:r>
          </w:p>
        </w:tc>
        <w:tc>
          <w:tcPr>
            <w:tcW w:w="975" w:type="pct"/>
            <w:tcBorders>
              <w:top w:val="outset" w:color="auto" w:sz="4" w:space="0"/>
              <w:left w:val="outset" w:color="auto" w:sz="4" w:space="0"/>
              <w:bottom w:val="outset" w:color="auto" w:sz="4" w:space="0"/>
              <w:right w:val="outset" w:color="auto" w:sz="4" w:space="0"/>
            </w:tcBorders>
            <w:vAlign w:val="bottom"/>
          </w:tcPr>
          <w:p w14:paraId="0BAD627C">
            <w:pPr>
              <w:jc w:val="right"/>
              <w:textAlignment w:val="bottom"/>
              <w:rPr>
                <w:rFonts w:cs="Times New Roman"/>
              </w:rPr>
            </w:pPr>
            <w:r>
              <w:rPr>
                <w:rFonts w:eastAsia="Arial Narrow" w:cs="Times New Roman"/>
                <w:color w:val="000000"/>
                <w:lang w:bidi="ar"/>
              </w:rPr>
              <w:t>153,102,282.41</w:t>
            </w:r>
          </w:p>
        </w:tc>
      </w:tr>
      <w:tr w14:paraId="17ADB9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B00AC1C">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支付其他与经营活动有关的现金</w:t>
            </w:r>
          </w:p>
        </w:tc>
        <w:tc>
          <w:tcPr>
            <w:tcW w:w="544" w:type="pct"/>
            <w:tcBorders>
              <w:top w:val="outset" w:color="auto" w:sz="4" w:space="0"/>
              <w:left w:val="outset" w:color="auto" w:sz="4" w:space="0"/>
              <w:bottom w:val="outset" w:color="auto" w:sz="4" w:space="0"/>
              <w:right w:val="outset" w:color="auto" w:sz="4" w:space="0"/>
            </w:tcBorders>
            <w:vAlign w:val="center"/>
          </w:tcPr>
          <w:p w14:paraId="2E7D1E39">
            <w:pPr>
              <w:jc w:val="center"/>
              <w:textAlignment w:val="center"/>
              <w:rPr>
                <w:rFonts w:cs="Times New Roman"/>
              </w:rPr>
            </w:pPr>
            <w:r>
              <w:rPr>
                <w:rFonts w:cs="Times New Roman"/>
                <w:color w:val="000000"/>
                <w:lang w:bidi="ar"/>
              </w:rPr>
              <w:t>七、78</w:t>
            </w:r>
          </w:p>
        </w:tc>
        <w:tc>
          <w:tcPr>
            <w:tcW w:w="931" w:type="pct"/>
            <w:tcBorders>
              <w:top w:val="outset" w:color="auto" w:sz="4" w:space="0"/>
              <w:left w:val="outset" w:color="auto" w:sz="4" w:space="0"/>
              <w:bottom w:val="outset" w:color="auto" w:sz="4" w:space="0"/>
              <w:right w:val="outset" w:color="auto" w:sz="4" w:space="0"/>
            </w:tcBorders>
            <w:vAlign w:val="bottom"/>
          </w:tcPr>
          <w:p w14:paraId="2939A540">
            <w:pPr>
              <w:jc w:val="right"/>
              <w:textAlignment w:val="bottom"/>
              <w:rPr>
                <w:rFonts w:cs="Times New Roman"/>
              </w:rPr>
            </w:pPr>
            <w:r>
              <w:rPr>
                <w:rFonts w:eastAsia="Arial Narrow" w:cs="Times New Roman"/>
                <w:color w:val="000000"/>
                <w:lang w:bidi="ar"/>
              </w:rPr>
              <w:t>532,711,992.93</w:t>
            </w:r>
          </w:p>
        </w:tc>
        <w:tc>
          <w:tcPr>
            <w:tcW w:w="975" w:type="pct"/>
            <w:tcBorders>
              <w:top w:val="outset" w:color="auto" w:sz="4" w:space="0"/>
              <w:left w:val="outset" w:color="auto" w:sz="4" w:space="0"/>
              <w:bottom w:val="outset" w:color="auto" w:sz="4" w:space="0"/>
              <w:right w:val="outset" w:color="auto" w:sz="4" w:space="0"/>
            </w:tcBorders>
            <w:vAlign w:val="bottom"/>
          </w:tcPr>
          <w:p w14:paraId="691B8668">
            <w:pPr>
              <w:jc w:val="right"/>
              <w:textAlignment w:val="bottom"/>
              <w:rPr>
                <w:rFonts w:cs="Times New Roman"/>
              </w:rPr>
            </w:pPr>
            <w:r>
              <w:rPr>
                <w:rFonts w:eastAsia="Arial Narrow" w:cs="Times New Roman"/>
                <w:color w:val="000000"/>
                <w:lang w:bidi="ar"/>
              </w:rPr>
              <w:t>505,777,740.13</w:t>
            </w:r>
          </w:p>
        </w:tc>
      </w:tr>
      <w:tr w14:paraId="2AE1F8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5AA872AE">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经营活动现金流出小计</w:t>
            </w:r>
          </w:p>
        </w:tc>
        <w:tc>
          <w:tcPr>
            <w:tcW w:w="544" w:type="pct"/>
            <w:tcBorders>
              <w:top w:val="outset" w:color="auto" w:sz="4" w:space="0"/>
              <w:left w:val="outset" w:color="auto" w:sz="4" w:space="0"/>
              <w:bottom w:val="outset" w:color="auto" w:sz="4" w:space="0"/>
              <w:right w:val="outset" w:color="auto" w:sz="4" w:space="0"/>
            </w:tcBorders>
            <w:vAlign w:val="center"/>
          </w:tcPr>
          <w:p w14:paraId="2C7D2E81">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0830B4BC">
            <w:pPr>
              <w:jc w:val="right"/>
              <w:textAlignment w:val="bottom"/>
              <w:rPr>
                <w:rFonts w:cs="Times New Roman"/>
              </w:rPr>
            </w:pPr>
            <w:r>
              <w:rPr>
                <w:rFonts w:eastAsia="Arial Narrow" w:cs="Times New Roman"/>
                <w:color w:val="000000"/>
                <w:lang w:bidi="ar"/>
              </w:rPr>
              <w:t>4,666,997,149.13</w:t>
            </w:r>
          </w:p>
        </w:tc>
        <w:tc>
          <w:tcPr>
            <w:tcW w:w="975" w:type="pct"/>
            <w:tcBorders>
              <w:top w:val="outset" w:color="auto" w:sz="4" w:space="0"/>
              <w:left w:val="outset" w:color="auto" w:sz="4" w:space="0"/>
              <w:bottom w:val="outset" w:color="auto" w:sz="4" w:space="0"/>
              <w:right w:val="outset" w:color="auto" w:sz="4" w:space="0"/>
            </w:tcBorders>
            <w:vAlign w:val="bottom"/>
          </w:tcPr>
          <w:p w14:paraId="28690313">
            <w:pPr>
              <w:jc w:val="right"/>
              <w:textAlignment w:val="bottom"/>
              <w:rPr>
                <w:rFonts w:cs="Times New Roman"/>
              </w:rPr>
            </w:pPr>
            <w:r>
              <w:rPr>
                <w:rFonts w:eastAsia="Arial Narrow" w:cs="Times New Roman"/>
                <w:color w:val="000000"/>
                <w:lang w:bidi="ar"/>
              </w:rPr>
              <w:t>5,351,521,656.77</w:t>
            </w:r>
          </w:p>
        </w:tc>
      </w:tr>
      <w:tr w14:paraId="11E6D1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3C2F7EE2">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经营活动产生的现金流量净额</w:t>
            </w:r>
          </w:p>
        </w:tc>
        <w:tc>
          <w:tcPr>
            <w:tcW w:w="544" w:type="pct"/>
            <w:tcBorders>
              <w:top w:val="outset" w:color="auto" w:sz="4" w:space="0"/>
              <w:left w:val="outset" w:color="auto" w:sz="4" w:space="0"/>
              <w:bottom w:val="outset" w:color="auto" w:sz="4" w:space="0"/>
              <w:right w:val="outset" w:color="auto" w:sz="4" w:space="0"/>
            </w:tcBorders>
            <w:vAlign w:val="center"/>
          </w:tcPr>
          <w:p w14:paraId="40272FC4">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49FAF3DF">
            <w:pPr>
              <w:jc w:val="right"/>
              <w:textAlignment w:val="bottom"/>
              <w:rPr>
                <w:rFonts w:cs="Times New Roman"/>
              </w:rPr>
            </w:pPr>
            <w:r>
              <w:rPr>
                <w:rFonts w:eastAsia="Arial Narrow" w:cs="Times New Roman"/>
                <w:color w:val="000000"/>
                <w:lang w:bidi="ar"/>
              </w:rPr>
              <w:t>-896,712,065.16</w:t>
            </w:r>
          </w:p>
        </w:tc>
        <w:tc>
          <w:tcPr>
            <w:tcW w:w="975" w:type="pct"/>
            <w:tcBorders>
              <w:top w:val="outset" w:color="auto" w:sz="4" w:space="0"/>
              <w:left w:val="outset" w:color="auto" w:sz="4" w:space="0"/>
              <w:bottom w:val="outset" w:color="auto" w:sz="4" w:space="0"/>
              <w:right w:val="outset" w:color="auto" w:sz="4" w:space="0"/>
            </w:tcBorders>
            <w:vAlign w:val="bottom"/>
          </w:tcPr>
          <w:p w14:paraId="03A05B57">
            <w:pPr>
              <w:jc w:val="right"/>
              <w:textAlignment w:val="bottom"/>
              <w:rPr>
                <w:rFonts w:cs="Times New Roman"/>
              </w:rPr>
            </w:pPr>
            <w:r>
              <w:rPr>
                <w:rFonts w:eastAsia="Arial Narrow" w:cs="Times New Roman"/>
                <w:color w:val="000000"/>
                <w:lang w:bidi="ar"/>
              </w:rPr>
              <w:t>-1,618,356,756.77</w:t>
            </w:r>
          </w:p>
        </w:tc>
      </w:tr>
      <w:tr w14:paraId="0F887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95b1c638e8714129b03173a0758b863f"/>
            <w:id w:val="147482580"/>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58409931">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二、投资活动产生的现金流量：</w:t>
                </w:r>
              </w:p>
            </w:tc>
          </w:sdtContent>
        </w:sdt>
      </w:tr>
      <w:tr w14:paraId="625588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3544658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收回投资收到的现金</w:t>
            </w:r>
          </w:p>
        </w:tc>
        <w:tc>
          <w:tcPr>
            <w:tcW w:w="544" w:type="pct"/>
            <w:tcBorders>
              <w:top w:val="outset" w:color="auto" w:sz="4" w:space="0"/>
              <w:left w:val="outset" w:color="auto" w:sz="4" w:space="0"/>
              <w:bottom w:val="outset" w:color="auto" w:sz="4" w:space="0"/>
              <w:right w:val="outset" w:color="auto" w:sz="4" w:space="0"/>
            </w:tcBorders>
            <w:vAlign w:val="center"/>
          </w:tcPr>
          <w:p w14:paraId="7C3C9FD8">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2DC6C306">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57CD9774">
            <w:pPr>
              <w:jc w:val="right"/>
              <w:rPr>
                <w:rFonts w:cs="Times New Roman"/>
              </w:rPr>
            </w:pPr>
          </w:p>
        </w:tc>
      </w:tr>
      <w:tr w14:paraId="7D542F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7ED3613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取得投资收益收到的现金</w:t>
            </w:r>
          </w:p>
        </w:tc>
        <w:tc>
          <w:tcPr>
            <w:tcW w:w="544" w:type="pct"/>
            <w:tcBorders>
              <w:top w:val="outset" w:color="auto" w:sz="4" w:space="0"/>
              <w:left w:val="outset" w:color="auto" w:sz="4" w:space="0"/>
              <w:bottom w:val="outset" w:color="auto" w:sz="4" w:space="0"/>
              <w:right w:val="outset" w:color="auto" w:sz="4" w:space="0"/>
            </w:tcBorders>
            <w:vAlign w:val="center"/>
          </w:tcPr>
          <w:p w14:paraId="63CAF6E3">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3C7CD551">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57C440C1">
            <w:pPr>
              <w:jc w:val="right"/>
              <w:textAlignment w:val="bottom"/>
              <w:rPr>
                <w:rFonts w:cs="Times New Roman"/>
              </w:rPr>
            </w:pPr>
            <w:r>
              <w:rPr>
                <w:rFonts w:eastAsia="Arial Narrow" w:cs="Times New Roman"/>
                <w:color w:val="000000"/>
                <w:lang w:bidi="ar"/>
              </w:rPr>
              <w:t>2,635,500.00</w:t>
            </w:r>
          </w:p>
        </w:tc>
      </w:tr>
      <w:tr w14:paraId="7EF9C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01F6432F">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处置固定资产、无形资产和其他长期资产收回的现金净额</w:t>
            </w:r>
          </w:p>
        </w:tc>
        <w:tc>
          <w:tcPr>
            <w:tcW w:w="544" w:type="pct"/>
            <w:tcBorders>
              <w:top w:val="outset" w:color="auto" w:sz="4" w:space="0"/>
              <w:left w:val="outset" w:color="auto" w:sz="4" w:space="0"/>
              <w:bottom w:val="outset" w:color="auto" w:sz="4" w:space="0"/>
              <w:right w:val="outset" w:color="auto" w:sz="4" w:space="0"/>
            </w:tcBorders>
            <w:vAlign w:val="center"/>
          </w:tcPr>
          <w:p w14:paraId="29CEE84C">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center"/>
          </w:tcPr>
          <w:p w14:paraId="497AB7B3">
            <w:pPr>
              <w:jc w:val="right"/>
              <w:textAlignment w:val="bottom"/>
              <w:rPr>
                <w:rFonts w:cs="Times New Roman"/>
              </w:rPr>
            </w:pPr>
            <w:r>
              <w:rPr>
                <w:rFonts w:eastAsia="Arial Narrow" w:cs="Times New Roman"/>
                <w:color w:val="000000"/>
                <w:lang w:bidi="ar"/>
              </w:rPr>
              <w:t>203,950.00</w:t>
            </w:r>
          </w:p>
        </w:tc>
        <w:tc>
          <w:tcPr>
            <w:tcW w:w="975" w:type="pct"/>
            <w:tcBorders>
              <w:top w:val="outset" w:color="auto" w:sz="4" w:space="0"/>
              <w:left w:val="outset" w:color="auto" w:sz="4" w:space="0"/>
              <w:bottom w:val="outset" w:color="auto" w:sz="4" w:space="0"/>
              <w:right w:val="outset" w:color="auto" w:sz="4" w:space="0"/>
            </w:tcBorders>
            <w:vAlign w:val="center"/>
          </w:tcPr>
          <w:p w14:paraId="0E38977F">
            <w:pPr>
              <w:jc w:val="right"/>
              <w:textAlignment w:val="bottom"/>
              <w:rPr>
                <w:rFonts w:cs="Times New Roman"/>
              </w:rPr>
            </w:pPr>
            <w:r>
              <w:rPr>
                <w:rFonts w:eastAsia="Arial Narrow" w:cs="Times New Roman"/>
                <w:color w:val="000000"/>
                <w:lang w:bidi="ar"/>
              </w:rPr>
              <w:t>1,358,313.03</w:t>
            </w:r>
          </w:p>
        </w:tc>
      </w:tr>
      <w:tr w14:paraId="084819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5FA6A04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处置子公司及其他营业单位收到的现金净额</w:t>
            </w:r>
          </w:p>
        </w:tc>
        <w:tc>
          <w:tcPr>
            <w:tcW w:w="544" w:type="pct"/>
            <w:tcBorders>
              <w:top w:val="outset" w:color="auto" w:sz="4" w:space="0"/>
              <w:left w:val="outset" w:color="auto" w:sz="4" w:space="0"/>
              <w:bottom w:val="outset" w:color="auto" w:sz="4" w:space="0"/>
              <w:right w:val="outset" w:color="auto" w:sz="4" w:space="0"/>
            </w:tcBorders>
            <w:vAlign w:val="center"/>
          </w:tcPr>
          <w:p w14:paraId="44A03273">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2DD75999">
            <w:pPr>
              <w:jc w:val="right"/>
              <w:textAlignment w:val="bottom"/>
              <w:rPr>
                <w:rFonts w:cs="Times New Roman"/>
              </w:rPr>
            </w:pPr>
            <w:r>
              <w:rPr>
                <w:rFonts w:eastAsia="Arial Narrow" w:cs="Times New Roman"/>
                <w:color w:val="000000"/>
                <w:lang w:bidi="ar"/>
              </w:rPr>
              <w:t>-182,679.76</w:t>
            </w:r>
          </w:p>
        </w:tc>
        <w:tc>
          <w:tcPr>
            <w:tcW w:w="975" w:type="pct"/>
            <w:tcBorders>
              <w:top w:val="outset" w:color="auto" w:sz="4" w:space="0"/>
              <w:left w:val="outset" w:color="auto" w:sz="4" w:space="0"/>
              <w:bottom w:val="outset" w:color="auto" w:sz="4" w:space="0"/>
              <w:right w:val="outset" w:color="auto" w:sz="4" w:space="0"/>
            </w:tcBorders>
            <w:vAlign w:val="bottom"/>
          </w:tcPr>
          <w:p w14:paraId="61255ABC">
            <w:pPr>
              <w:jc w:val="right"/>
              <w:rPr>
                <w:rFonts w:cs="Times New Roman"/>
              </w:rPr>
            </w:pPr>
          </w:p>
        </w:tc>
      </w:tr>
      <w:tr w14:paraId="52CC27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F416B83">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收到其他与投资活动有关的现金</w:t>
            </w:r>
          </w:p>
        </w:tc>
        <w:tc>
          <w:tcPr>
            <w:tcW w:w="544" w:type="pct"/>
            <w:tcBorders>
              <w:top w:val="outset" w:color="auto" w:sz="4" w:space="0"/>
              <w:left w:val="outset" w:color="auto" w:sz="4" w:space="0"/>
              <w:bottom w:val="outset" w:color="auto" w:sz="4" w:space="0"/>
              <w:right w:val="outset" w:color="auto" w:sz="4" w:space="0"/>
            </w:tcBorders>
            <w:vAlign w:val="center"/>
          </w:tcPr>
          <w:p w14:paraId="21AB1072">
            <w:pPr>
              <w:jc w:val="center"/>
              <w:textAlignment w:val="center"/>
              <w:rPr>
                <w:rFonts w:cs="Times New Roman"/>
              </w:rPr>
            </w:pPr>
            <w:r>
              <w:rPr>
                <w:rFonts w:cs="Times New Roman"/>
                <w:color w:val="000000"/>
                <w:lang w:bidi="ar"/>
              </w:rPr>
              <w:t>七、78</w:t>
            </w:r>
          </w:p>
        </w:tc>
        <w:tc>
          <w:tcPr>
            <w:tcW w:w="931" w:type="pct"/>
            <w:tcBorders>
              <w:top w:val="outset" w:color="auto" w:sz="4" w:space="0"/>
              <w:left w:val="outset" w:color="auto" w:sz="4" w:space="0"/>
              <w:bottom w:val="outset" w:color="auto" w:sz="4" w:space="0"/>
              <w:right w:val="outset" w:color="auto" w:sz="4" w:space="0"/>
            </w:tcBorders>
            <w:vAlign w:val="bottom"/>
          </w:tcPr>
          <w:p w14:paraId="72DABE3D">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29F7D947">
            <w:pPr>
              <w:jc w:val="right"/>
              <w:textAlignment w:val="bottom"/>
              <w:rPr>
                <w:rFonts w:cs="Times New Roman"/>
              </w:rPr>
            </w:pPr>
            <w:r>
              <w:rPr>
                <w:rFonts w:eastAsia="Arial Narrow" w:cs="Times New Roman"/>
                <w:color w:val="000000"/>
                <w:lang w:bidi="ar"/>
              </w:rPr>
              <w:t>1,723,594.68</w:t>
            </w:r>
          </w:p>
        </w:tc>
      </w:tr>
      <w:tr w14:paraId="7B472E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051F5E43">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投资活动现金流入小计</w:t>
            </w:r>
          </w:p>
        </w:tc>
        <w:tc>
          <w:tcPr>
            <w:tcW w:w="544" w:type="pct"/>
            <w:tcBorders>
              <w:top w:val="outset" w:color="auto" w:sz="4" w:space="0"/>
              <w:left w:val="outset" w:color="auto" w:sz="4" w:space="0"/>
              <w:bottom w:val="outset" w:color="auto" w:sz="4" w:space="0"/>
              <w:right w:val="outset" w:color="auto" w:sz="4" w:space="0"/>
            </w:tcBorders>
            <w:vAlign w:val="center"/>
          </w:tcPr>
          <w:p w14:paraId="584AD3DF">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22CA10B4">
            <w:pPr>
              <w:jc w:val="right"/>
              <w:textAlignment w:val="bottom"/>
              <w:rPr>
                <w:rFonts w:cs="Times New Roman"/>
              </w:rPr>
            </w:pPr>
            <w:r>
              <w:rPr>
                <w:rFonts w:eastAsia="Arial Narrow" w:cs="Times New Roman"/>
                <w:color w:val="000000"/>
                <w:lang w:bidi="ar"/>
              </w:rPr>
              <w:t>21,270.24</w:t>
            </w:r>
          </w:p>
        </w:tc>
        <w:tc>
          <w:tcPr>
            <w:tcW w:w="975" w:type="pct"/>
            <w:tcBorders>
              <w:top w:val="outset" w:color="auto" w:sz="4" w:space="0"/>
              <w:left w:val="outset" w:color="auto" w:sz="4" w:space="0"/>
              <w:bottom w:val="outset" w:color="auto" w:sz="4" w:space="0"/>
              <w:right w:val="outset" w:color="auto" w:sz="4" w:space="0"/>
            </w:tcBorders>
            <w:vAlign w:val="bottom"/>
          </w:tcPr>
          <w:p w14:paraId="5A99BF28">
            <w:pPr>
              <w:jc w:val="right"/>
              <w:textAlignment w:val="bottom"/>
              <w:rPr>
                <w:rFonts w:cs="Times New Roman"/>
              </w:rPr>
            </w:pPr>
            <w:r>
              <w:rPr>
                <w:rFonts w:eastAsia="Arial Narrow" w:cs="Times New Roman"/>
                <w:color w:val="000000"/>
                <w:lang w:bidi="ar"/>
              </w:rPr>
              <w:t>5,717,407.71</w:t>
            </w:r>
          </w:p>
        </w:tc>
      </w:tr>
      <w:tr w14:paraId="3CBE4E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5A69AA41">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购建固定资产、无形资产和其他长期资产支付的现金</w:t>
            </w:r>
          </w:p>
        </w:tc>
        <w:tc>
          <w:tcPr>
            <w:tcW w:w="544" w:type="pct"/>
            <w:tcBorders>
              <w:top w:val="outset" w:color="auto" w:sz="4" w:space="0"/>
              <w:left w:val="outset" w:color="auto" w:sz="4" w:space="0"/>
              <w:bottom w:val="outset" w:color="auto" w:sz="4" w:space="0"/>
              <w:right w:val="outset" w:color="auto" w:sz="4" w:space="0"/>
            </w:tcBorders>
            <w:vAlign w:val="center"/>
          </w:tcPr>
          <w:p w14:paraId="428F2524">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center"/>
          </w:tcPr>
          <w:p w14:paraId="208504B5">
            <w:pPr>
              <w:jc w:val="right"/>
              <w:textAlignment w:val="bottom"/>
              <w:rPr>
                <w:rFonts w:cs="Times New Roman"/>
              </w:rPr>
            </w:pPr>
            <w:r>
              <w:rPr>
                <w:rFonts w:eastAsia="Arial Narrow" w:cs="Times New Roman"/>
                <w:color w:val="000000"/>
                <w:lang w:bidi="ar"/>
              </w:rPr>
              <w:t>367,510,725.05</w:t>
            </w:r>
          </w:p>
        </w:tc>
        <w:tc>
          <w:tcPr>
            <w:tcW w:w="975" w:type="pct"/>
            <w:tcBorders>
              <w:top w:val="outset" w:color="auto" w:sz="4" w:space="0"/>
              <w:left w:val="outset" w:color="auto" w:sz="4" w:space="0"/>
              <w:bottom w:val="outset" w:color="auto" w:sz="4" w:space="0"/>
              <w:right w:val="outset" w:color="auto" w:sz="4" w:space="0"/>
            </w:tcBorders>
            <w:vAlign w:val="center"/>
          </w:tcPr>
          <w:p w14:paraId="556F2322">
            <w:pPr>
              <w:jc w:val="right"/>
              <w:textAlignment w:val="bottom"/>
              <w:rPr>
                <w:rFonts w:cs="Times New Roman"/>
              </w:rPr>
            </w:pPr>
            <w:r>
              <w:rPr>
                <w:rFonts w:eastAsia="Arial Narrow" w:cs="Times New Roman"/>
                <w:color w:val="000000"/>
                <w:lang w:bidi="ar"/>
              </w:rPr>
              <w:t>165,742,646.84</w:t>
            </w:r>
          </w:p>
        </w:tc>
      </w:tr>
      <w:tr w14:paraId="1D21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7B54431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支付其他与投资活动有关的现金</w:t>
            </w:r>
          </w:p>
        </w:tc>
        <w:tc>
          <w:tcPr>
            <w:tcW w:w="544" w:type="pct"/>
            <w:tcBorders>
              <w:top w:val="outset" w:color="auto" w:sz="4" w:space="0"/>
              <w:left w:val="outset" w:color="auto" w:sz="4" w:space="0"/>
              <w:bottom w:val="outset" w:color="auto" w:sz="4" w:space="0"/>
              <w:right w:val="outset" w:color="auto" w:sz="4" w:space="0"/>
            </w:tcBorders>
            <w:vAlign w:val="center"/>
          </w:tcPr>
          <w:p w14:paraId="30CFDDFD">
            <w:pPr>
              <w:jc w:val="center"/>
              <w:textAlignment w:val="center"/>
              <w:rPr>
                <w:rFonts w:cs="Times New Roman"/>
              </w:rPr>
            </w:pPr>
            <w:r>
              <w:rPr>
                <w:rFonts w:cs="Times New Roman"/>
                <w:color w:val="000000"/>
                <w:lang w:bidi="ar"/>
              </w:rPr>
              <w:t>七、78</w:t>
            </w:r>
          </w:p>
        </w:tc>
        <w:tc>
          <w:tcPr>
            <w:tcW w:w="931" w:type="pct"/>
            <w:tcBorders>
              <w:top w:val="outset" w:color="auto" w:sz="4" w:space="0"/>
              <w:left w:val="outset" w:color="auto" w:sz="4" w:space="0"/>
              <w:bottom w:val="outset" w:color="auto" w:sz="4" w:space="0"/>
              <w:right w:val="outset" w:color="auto" w:sz="4" w:space="0"/>
            </w:tcBorders>
            <w:vAlign w:val="bottom"/>
          </w:tcPr>
          <w:p w14:paraId="5CECAC07">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702ABE57">
            <w:pPr>
              <w:jc w:val="right"/>
              <w:rPr>
                <w:rFonts w:cs="Times New Roman"/>
              </w:rPr>
            </w:pPr>
          </w:p>
        </w:tc>
      </w:tr>
      <w:tr w14:paraId="4530E6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F59BF48">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投资活动现金流出小计</w:t>
            </w:r>
          </w:p>
        </w:tc>
        <w:tc>
          <w:tcPr>
            <w:tcW w:w="544" w:type="pct"/>
            <w:tcBorders>
              <w:top w:val="outset" w:color="auto" w:sz="4" w:space="0"/>
              <w:left w:val="outset" w:color="auto" w:sz="4" w:space="0"/>
              <w:bottom w:val="outset" w:color="auto" w:sz="4" w:space="0"/>
              <w:right w:val="outset" w:color="auto" w:sz="4" w:space="0"/>
            </w:tcBorders>
            <w:vAlign w:val="center"/>
          </w:tcPr>
          <w:p w14:paraId="1C359E4B">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238A4C1A">
            <w:pPr>
              <w:jc w:val="right"/>
              <w:textAlignment w:val="bottom"/>
              <w:rPr>
                <w:rFonts w:cs="Times New Roman"/>
              </w:rPr>
            </w:pPr>
            <w:r>
              <w:rPr>
                <w:rFonts w:eastAsia="Arial Narrow" w:cs="Times New Roman"/>
                <w:color w:val="000000"/>
                <w:lang w:bidi="ar"/>
              </w:rPr>
              <w:t>367,510,725.05</w:t>
            </w:r>
          </w:p>
        </w:tc>
        <w:tc>
          <w:tcPr>
            <w:tcW w:w="975" w:type="pct"/>
            <w:tcBorders>
              <w:top w:val="outset" w:color="auto" w:sz="4" w:space="0"/>
              <w:left w:val="outset" w:color="auto" w:sz="4" w:space="0"/>
              <w:bottom w:val="outset" w:color="auto" w:sz="4" w:space="0"/>
              <w:right w:val="outset" w:color="auto" w:sz="4" w:space="0"/>
            </w:tcBorders>
            <w:vAlign w:val="bottom"/>
          </w:tcPr>
          <w:p w14:paraId="23838768">
            <w:pPr>
              <w:jc w:val="right"/>
              <w:textAlignment w:val="bottom"/>
              <w:rPr>
                <w:rFonts w:cs="Times New Roman"/>
              </w:rPr>
            </w:pPr>
            <w:r>
              <w:rPr>
                <w:rFonts w:eastAsia="Arial Narrow" w:cs="Times New Roman"/>
                <w:color w:val="000000"/>
                <w:lang w:bidi="ar"/>
              </w:rPr>
              <w:t>165,742,646.84</w:t>
            </w:r>
          </w:p>
        </w:tc>
      </w:tr>
      <w:tr w14:paraId="400A1D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3EB8B0EF">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投资活动产生的现金流量净额</w:t>
            </w:r>
          </w:p>
        </w:tc>
        <w:tc>
          <w:tcPr>
            <w:tcW w:w="544" w:type="pct"/>
            <w:tcBorders>
              <w:top w:val="outset" w:color="auto" w:sz="4" w:space="0"/>
              <w:left w:val="outset" w:color="auto" w:sz="4" w:space="0"/>
              <w:bottom w:val="outset" w:color="auto" w:sz="4" w:space="0"/>
              <w:right w:val="outset" w:color="auto" w:sz="4" w:space="0"/>
            </w:tcBorders>
            <w:vAlign w:val="center"/>
          </w:tcPr>
          <w:p w14:paraId="5919555F">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5336791B">
            <w:pPr>
              <w:jc w:val="right"/>
              <w:textAlignment w:val="bottom"/>
              <w:rPr>
                <w:rFonts w:cs="Times New Roman"/>
              </w:rPr>
            </w:pPr>
            <w:r>
              <w:rPr>
                <w:rFonts w:eastAsia="Arial Narrow" w:cs="Times New Roman"/>
                <w:color w:val="000000"/>
                <w:lang w:bidi="ar"/>
              </w:rPr>
              <w:t>-367,489,454.81</w:t>
            </w:r>
          </w:p>
        </w:tc>
        <w:tc>
          <w:tcPr>
            <w:tcW w:w="975" w:type="pct"/>
            <w:tcBorders>
              <w:top w:val="outset" w:color="auto" w:sz="4" w:space="0"/>
              <w:left w:val="outset" w:color="auto" w:sz="4" w:space="0"/>
              <w:bottom w:val="outset" w:color="auto" w:sz="4" w:space="0"/>
              <w:right w:val="outset" w:color="auto" w:sz="4" w:space="0"/>
            </w:tcBorders>
            <w:vAlign w:val="bottom"/>
          </w:tcPr>
          <w:p w14:paraId="3FCCD497">
            <w:pPr>
              <w:jc w:val="right"/>
              <w:textAlignment w:val="bottom"/>
              <w:rPr>
                <w:rFonts w:cs="Times New Roman"/>
              </w:rPr>
            </w:pPr>
            <w:r>
              <w:rPr>
                <w:rFonts w:eastAsia="Arial Narrow" w:cs="Times New Roman"/>
                <w:color w:val="000000"/>
                <w:lang w:bidi="ar"/>
              </w:rPr>
              <w:t>-160,025,239.13</w:t>
            </w:r>
          </w:p>
        </w:tc>
      </w:tr>
      <w:tr w14:paraId="54609E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0ebd9a8b5d8e4227a6bc3b0738379ef1"/>
            <w:id w:val="147475639"/>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2AEEDF3A">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三、筹资活动产生的现金流量：</w:t>
                </w:r>
              </w:p>
            </w:tc>
          </w:sdtContent>
        </w:sdt>
      </w:tr>
      <w:tr w14:paraId="454D12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0558CD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吸收投资收到的现金</w:t>
            </w:r>
          </w:p>
        </w:tc>
        <w:tc>
          <w:tcPr>
            <w:tcW w:w="544" w:type="pct"/>
            <w:tcBorders>
              <w:top w:val="outset" w:color="auto" w:sz="4" w:space="0"/>
              <w:left w:val="outset" w:color="auto" w:sz="4" w:space="0"/>
              <w:bottom w:val="outset" w:color="auto" w:sz="4" w:space="0"/>
              <w:right w:val="outset" w:color="auto" w:sz="4" w:space="0"/>
            </w:tcBorders>
            <w:vAlign w:val="center"/>
          </w:tcPr>
          <w:p w14:paraId="2BE2E09A">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7081851C">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29FE94E6">
            <w:pPr>
              <w:jc w:val="right"/>
              <w:textAlignment w:val="bottom"/>
              <w:rPr>
                <w:rFonts w:cs="Times New Roman"/>
              </w:rPr>
            </w:pPr>
            <w:r>
              <w:rPr>
                <w:rFonts w:eastAsia="Arial Narrow" w:cs="Times New Roman"/>
                <w:color w:val="000000"/>
                <w:lang w:bidi="ar"/>
              </w:rPr>
              <w:t>2,000,000.00</w:t>
            </w:r>
          </w:p>
        </w:tc>
      </w:tr>
      <w:tr w14:paraId="2AB5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494A3F28">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其中：子公司吸收少数股东投资收到的现金</w:t>
            </w:r>
          </w:p>
        </w:tc>
        <w:tc>
          <w:tcPr>
            <w:tcW w:w="544" w:type="pct"/>
            <w:tcBorders>
              <w:top w:val="outset" w:color="auto" w:sz="4" w:space="0"/>
              <w:left w:val="outset" w:color="auto" w:sz="4" w:space="0"/>
              <w:bottom w:val="outset" w:color="auto" w:sz="4" w:space="0"/>
              <w:right w:val="outset" w:color="auto" w:sz="4" w:space="0"/>
            </w:tcBorders>
            <w:vAlign w:val="center"/>
          </w:tcPr>
          <w:p w14:paraId="07CF0EAA">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542BB4A5">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3C313765">
            <w:pPr>
              <w:jc w:val="right"/>
              <w:textAlignment w:val="bottom"/>
              <w:rPr>
                <w:rFonts w:cs="Times New Roman"/>
              </w:rPr>
            </w:pPr>
            <w:r>
              <w:rPr>
                <w:rFonts w:eastAsia="Arial Narrow" w:cs="Times New Roman"/>
                <w:color w:val="000000"/>
                <w:lang w:bidi="ar"/>
              </w:rPr>
              <w:t>2,000,000.00</w:t>
            </w:r>
          </w:p>
        </w:tc>
      </w:tr>
      <w:tr w14:paraId="4FC110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583604D6">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取得借款收到的现金</w:t>
            </w:r>
          </w:p>
        </w:tc>
        <w:tc>
          <w:tcPr>
            <w:tcW w:w="544" w:type="pct"/>
            <w:tcBorders>
              <w:top w:val="outset" w:color="auto" w:sz="4" w:space="0"/>
              <w:left w:val="outset" w:color="auto" w:sz="4" w:space="0"/>
              <w:bottom w:val="outset" w:color="auto" w:sz="4" w:space="0"/>
              <w:right w:val="outset" w:color="auto" w:sz="4" w:space="0"/>
            </w:tcBorders>
            <w:vAlign w:val="center"/>
          </w:tcPr>
          <w:p w14:paraId="03023594">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27F5B980">
            <w:pPr>
              <w:jc w:val="right"/>
              <w:textAlignment w:val="bottom"/>
              <w:rPr>
                <w:rFonts w:cs="Times New Roman"/>
              </w:rPr>
            </w:pPr>
            <w:r>
              <w:rPr>
                <w:rFonts w:eastAsia="Arial Narrow" w:cs="Times New Roman"/>
                <w:color w:val="000000"/>
                <w:lang w:bidi="ar"/>
              </w:rPr>
              <w:t>2,198,640,803.38</w:t>
            </w:r>
          </w:p>
        </w:tc>
        <w:tc>
          <w:tcPr>
            <w:tcW w:w="975" w:type="pct"/>
            <w:tcBorders>
              <w:top w:val="outset" w:color="auto" w:sz="4" w:space="0"/>
              <w:left w:val="outset" w:color="auto" w:sz="4" w:space="0"/>
              <w:bottom w:val="outset" w:color="auto" w:sz="4" w:space="0"/>
              <w:right w:val="outset" w:color="auto" w:sz="4" w:space="0"/>
            </w:tcBorders>
            <w:vAlign w:val="bottom"/>
          </w:tcPr>
          <w:p w14:paraId="318655E0">
            <w:pPr>
              <w:jc w:val="right"/>
              <w:textAlignment w:val="bottom"/>
              <w:rPr>
                <w:rFonts w:cs="Times New Roman"/>
              </w:rPr>
            </w:pPr>
            <w:r>
              <w:rPr>
                <w:rFonts w:eastAsia="Arial Narrow" w:cs="Times New Roman"/>
                <w:color w:val="000000"/>
                <w:lang w:bidi="ar"/>
              </w:rPr>
              <w:t>786,733,650.31</w:t>
            </w:r>
          </w:p>
        </w:tc>
      </w:tr>
      <w:tr w14:paraId="71F83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7B33160B">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收到其他与筹资活动有关的现金</w:t>
            </w:r>
          </w:p>
        </w:tc>
        <w:tc>
          <w:tcPr>
            <w:tcW w:w="544" w:type="pct"/>
            <w:tcBorders>
              <w:top w:val="outset" w:color="auto" w:sz="4" w:space="0"/>
              <w:left w:val="outset" w:color="auto" w:sz="4" w:space="0"/>
              <w:bottom w:val="outset" w:color="auto" w:sz="4" w:space="0"/>
              <w:right w:val="outset" w:color="auto" w:sz="4" w:space="0"/>
            </w:tcBorders>
            <w:vAlign w:val="center"/>
          </w:tcPr>
          <w:p w14:paraId="07EF3735">
            <w:pPr>
              <w:jc w:val="center"/>
              <w:textAlignment w:val="center"/>
              <w:rPr>
                <w:rFonts w:cs="Times New Roman"/>
              </w:rPr>
            </w:pPr>
            <w:r>
              <w:rPr>
                <w:rFonts w:cs="Times New Roman"/>
                <w:color w:val="000000"/>
                <w:lang w:bidi="ar"/>
              </w:rPr>
              <w:t>七、78</w:t>
            </w:r>
          </w:p>
        </w:tc>
        <w:tc>
          <w:tcPr>
            <w:tcW w:w="931" w:type="pct"/>
            <w:tcBorders>
              <w:top w:val="outset" w:color="auto" w:sz="4" w:space="0"/>
              <w:left w:val="outset" w:color="auto" w:sz="4" w:space="0"/>
              <w:bottom w:val="outset" w:color="auto" w:sz="4" w:space="0"/>
              <w:right w:val="outset" w:color="auto" w:sz="4" w:space="0"/>
            </w:tcBorders>
            <w:vAlign w:val="bottom"/>
          </w:tcPr>
          <w:p w14:paraId="1ADF7867">
            <w:pPr>
              <w:jc w:val="right"/>
              <w:textAlignment w:val="bottom"/>
              <w:rPr>
                <w:rFonts w:cs="Times New Roman"/>
              </w:rPr>
            </w:pPr>
            <w:r>
              <w:rPr>
                <w:rFonts w:eastAsia="Arial Narrow" w:cs="Times New Roman"/>
                <w:color w:val="000000"/>
                <w:lang w:bidi="ar"/>
              </w:rPr>
              <w:t>11,204,249.08</w:t>
            </w:r>
          </w:p>
        </w:tc>
        <w:tc>
          <w:tcPr>
            <w:tcW w:w="975" w:type="pct"/>
            <w:tcBorders>
              <w:top w:val="outset" w:color="auto" w:sz="4" w:space="0"/>
              <w:left w:val="outset" w:color="auto" w:sz="4" w:space="0"/>
              <w:bottom w:val="outset" w:color="auto" w:sz="4" w:space="0"/>
              <w:right w:val="outset" w:color="auto" w:sz="4" w:space="0"/>
            </w:tcBorders>
            <w:vAlign w:val="bottom"/>
          </w:tcPr>
          <w:p w14:paraId="37FD142A">
            <w:pPr>
              <w:jc w:val="right"/>
              <w:textAlignment w:val="bottom"/>
              <w:rPr>
                <w:rFonts w:cs="Times New Roman"/>
              </w:rPr>
            </w:pPr>
            <w:r>
              <w:rPr>
                <w:rFonts w:eastAsia="Arial Narrow" w:cs="Times New Roman"/>
                <w:color w:val="000000"/>
                <w:lang w:bidi="ar"/>
              </w:rPr>
              <w:t>11,109,769.81</w:t>
            </w:r>
          </w:p>
        </w:tc>
      </w:tr>
      <w:tr w14:paraId="098718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012F3C60">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筹资活动现金流入小计</w:t>
            </w:r>
          </w:p>
        </w:tc>
        <w:tc>
          <w:tcPr>
            <w:tcW w:w="544" w:type="pct"/>
            <w:tcBorders>
              <w:top w:val="outset" w:color="auto" w:sz="4" w:space="0"/>
              <w:left w:val="outset" w:color="auto" w:sz="4" w:space="0"/>
              <w:bottom w:val="outset" w:color="auto" w:sz="4" w:space="0"/>
              <w:right w:val="outset" w:color="auto" w:sz="4" w:space="0"/>
            </w:tcBorders>
            <w:vAlign w:val="center"/>
          </w:tcPr>
          <w:p w14:paraId="3C41B61B">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53A2F203">
            <w:pPr>
              <w:jc w:val="right"/>
              <w:textAlignment w:val="bottom"/>
              <w:rPr>
                <w:rFonts w:cs="Times New Roman"/>
              </w:rPr>
            </w:pPr>
            <w:r>
              <w:rPr>
                <w:rFonts w:eastAsia="Arial Narrow" w:cs="Times New Roman"/>
                <w:color w:val="000000"/>
                <w:lang w:bidi="ar"/>
              </w:rPr>
              <w:t>2,209,845,052.46</w:t>
            </w:r>
          </w:p>
        </w:tc>
        <w:tc>
          <w:tcPr>
            <w:tcW w:w="975" w:type="pct"/>
            <w:tcBorders>
              <w:top w:val="outset" w:color="auto" w:sz="4" w:space="0"/>
              <w:left w:val="outset" w:color="auto" w:sz="4" w:space="0"/>
              <w:bottom w:val="outset" w:color="auto" w:sz="4" w:space="0"/>
              <w:right w:val="outset" w:color="auto" w:sz="4" w:space="0"/>
            </w:tcBorders>
            <w:vAlign w:val="bottom"/>
          </w:tcPr>
          <w:p w14:paraId="1BD54A6E">
            <w:pPr>
              <w:jc w:val="right"/>
              <w:textAlignment w:val="bottom"/>
              <w:rPr>
                <w:rFonts w:cs="Times New Roman"/>
              </w:rPr>
            </w:pPr>
            <w:r>
              <w:rPr>
                <w:rFonts w:eastAsia="Arial Narrow" w:cs="Times New Roman"/>
                <w:color w:val="000000"/>
                <w:lang w:bidi="ar"/>
              </w:rPr>
              <w:t>799,843,420.12</w:t>
            </w:r>
          </w:p>
        </w:tc>
      </w:tr>
      <w:tr w14:paraId="365CF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3026DFE0">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偿还债务支付的现金</w:t>
            </w:r>
          </w:p>
        </w:tc>
        <w:tc>
          <w:tcPr>
            <w:tcW w:w="544" w:type="pct"/>
            <w:tcBorders>
              <w:top w:val="outset" w:color="auto" w:sz="4" w:space="0"/>
              <w:left w:val="outset" w:color="auto" w:sz="4" w:space="0"/>
              <w:bottom w:val="outset" w:color="auto" w:sz="4" w:space="0"/>
              <w:right w:val="outset" w:color="auto" w:sz="4" w:space="0"/>
            </w:tcBorders>
            <w:vAlign w:val="center"/>
          </w:tcPr>
          <w:p w14:paraId="0F75A035">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5C36D3B8">
            <w:pPr>
              <w:jc w:val="right"/>
              <w:textAlignment w:val="bottom"/>
              <w:rPr>
                <w:rFonts w:cs="Times New Roman"/>
              </w:rPr>
            </w:pPr>
            <w:r>
              <w:rPr>
                <w:rFonts w:eastAsia="Arial Narrow" w:cs="Times New Roman"/>
                <w:color w:val="000000"/>
                <w:lang w:bidi="ar"/>
              </w:rPr>
              <w:t>366,050,000.00</w:t>
            </w:r>
          </w:p>
        </w:tc>
        <w:tc>
          <w:tcPr>
            <w:tcW w:w="975" w:type="pct"/>
            <w:tcBorders>
              <w:top w:val="outset" w:color="auto" w:sz="4" w:space="0"/>
              <w:left w:val="outset" w:color="auto" w:sz="4" w:space="0"/>
              <w:bottom w:val="outset" w:color="auto" w:sz="4" w:space="0"/>
              <w:right w:val="outset" w:color="auto" w:sz="4" w:space="0"/>
            </w:tcBorders>
            <w:vAlign w:val="bottom"/>
          </w:tcPr>
          <w:p w14:paraId="139EF0A2">
            <w:pPr>
              <w:jc w:val="right"/>
              <w:textAlignment w:val="bottom"/>
              <w:rPr>
                <w:rFonts w:cs="Times New Roman"/>
              </w:rPr>
            </w:pPr>
            <w:r>
              <w:rPr>
                <w:rFonts w:eastAsia="Arial Narrow" w:cs="Times New Roman"/>
                <w:color w:val="000000"/>
                <w:lang w:bidi="ar"/>
              </w:rPr>
              <w:t>1,408,500,000.00</w:t>
            </w:r>
          </w:p>
        </w:tc>
      </w:tr>
      <w:tr w14:paraId="5C0AF0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1D2DBCC5">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分配股利、利润或偿付利息支付的现金</w:t>
            </w:r>
          </w:p>
        </w:tc>
        <w:tc>
          <w:tcPr>
            <w:tcW w:w="544" w:type="pct"/>
            <w:tcBorders>
              <w:top w:val="outset" w:color="auto" w:sz="4" w:space="0"/>
              <w:left w:val="outset" w:color="auto" w:sz="4" w:space="0"/>
              <w:bottom w:val="outset" w:color="auto" w:sz="4" w:space="0"/>
              <w:right w:val="outset" w:color="auto" w:sz="4" w:space="0"/>
            </w:tcBorders>
            <w:vAlign w:val="center"/>
          </w:tcPr>
          <w:p w14:paraId="16B89848">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6E0AB1F0">
            <w:pPr>
              <w:jc w:val="right"/>
              <w:textAlignment w:val="bottom"/>
              <w:rPr>
                <w:rFonts w:cs="Times New Roman"/>
              </w:rPr>
            </w:pPr>
            <w:r>
              <w:rPr>
                <w:rFonts w:eastAsia="Arial Narrow" w:cs="Times New Roman"/>
                <w:color w:val="000000"/>
                <w:lang w:bidi="ar"/>
              </w:rPr>
              <w:t>48,228,510.39</w:t>
            </w:r>
          </w:p>
        </w:tc>
        <w:tc>
          <w:tcPr>
            <w:tcW w:w="975" w:type="pct"/>
            <w:tcBorders>
              <w:top w:val="outset" w:color="auto" w:sz="4" w:space="0"/>
              <w:left w:val="outset" w:color="auto" w:sz="4" w:space="0"/>
              <w:bottom w:val="outset" w:color="auto" w:sz="4" w:space="0"/>
              <w:right w:val="outset" w:color="auto" w:sz="4" w:space="0"/>
            </w:tcBorders>
            <w:vAlign w:val="bottom"/>
          </w:tcPr>
          <w:p w14:paraId="7272A728">
            <w:pPr>
              <w:jc w:val="right"/>
              <w:textAlignment w:val="bottom"/>
              <w:rPr>
                <w:rFonts w:cs="Times New Roman"/>
              </w:rPr>
            </w:pPr>
            <w:r>
              <w:rPr>
                <w:rFonts w:eastAsia="Arial Narrow" w:cs="Times New Roman"/>
                <w:color w:val="000000"/>
                <w:lang w:bidi="ar"/>
              </w:rPr>
              <w:t>37,793,678.92</w:t>
            </w:r>
          </w:p>
        </w:tc>
      </w:tr>
      <w:tr w14:paraId="70CD6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3346C84">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其中：子公司支付给少数股东的股利、利润</w:t>
            </w:r>
          </w:p>
        </w:tc>
        <w:tc>
          <w:tcPr>
            <w:tcW w:w="544" w:type="pct"/>
            <w:tcBorders>
              <w:top w:val="outset" w:color="auto" w:sz="4" w:space="0"/>
              <w:left w:val="outset" w:color="auto" w:sz="4" w:space="0"/>
              <w:bottom w:val="outset" w:color="auto" w:sz="4" w:space="0"/>
              <w:right w:val="outset" w:color="auto" w:sz="4" w:space="0"/>
            </w:tcBorders>
            <w:vAlign w:val="center"/>
          </w:tcPr>
          <w:p w14:paraId="01376BF4">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1B963AC7">
            <w:pPr>
              <w:jc w:val="right"/>
              <w:rPr>
                <w:rFonts w:cs="Times New Roman"/>
              </w:rPr>
            </w:pPr>
          </w:p>
        </w:tc>
        <w:tc>
          <w:tcPr>
            <w:tcW w:w="975" w:type="pct"/>
            <w:tcBorders>
              <w:top w:val="outset" w:color="auto" w:sz="4" w:space="0"/>
              <w:left w:val="outset" w:color="auto" w:sz="4" w:space="0"/>
              <w:bottom w:val="outset" w:color="auto" w:sz="4" w:space="0"/>
              <w:right w:val="outset" w:color="auto" w:sz="4" w:space="0"/>
            </w:tcBorders>
            <w:vAlign w:val="bottom"/>
          </w:tcPr>
          <w:p w14:paraId="506C6DA4">
            <w:pPr>
              <w:jc w:val="right"/>
              <w:rPr>
                <w:rFonts w:cs="Times New Roman"/>
              </w:rPr>
            </w:pPr>
          </w:p>
        </w:tc>
      </w:tr>
      <w:tr w14:paraId="4FC6F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59C2BAA">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支付其他与筹资活动有关的现金</w:t>
            </w:r>
          </w:p>
        </w:tc>
        <w:tc>
          <w:tcPr>
            <w:tcW w:w="544" w:type="pct"/>
            <w:tcBorders>
              <w:top w:val="outset" w:color="auto" w:sz="4" w:space="0"/>
              <w:left w:val="outset" w:color="auto" w:sz="4" w:space="0"/>
              <w:bottom w:val="outset" w:color="auto" w:sz="4" w:space="0"/>
              <w:right w:val="outset" w:color="auto" w:sz="4" w:space="0"/>
            </w:tcBorders>
            <w:vAlign w:val="center"/>
          </w:tcPr>
          <w:p w14:paraId="274AB578">
            <w:pPr>
              <w:jc w:val="center"/>
              <w:textAlignment w:val="center"/>
              <w:rPr>
                <w:rFonts w:cs="Times New Roman"/>
              </w:rPr>
            </w:pPr>
            <w:r>
              <w:rPr>
                <w:rFonts w:cs="Times New Roman"/>
                <w:color w:val="000000"/>
                <w:lang w:bidi="ar"/>
              </w:rPr>
              <w:t>七、78</w:t>
            </w:r>
          </w:p>
        </w:tc>
        <w:tc>
          <w:tcPr>
            <w:tcW w:w="931" w:type="pct"/>
            <w:tcBorders>
              <w:top w:val="outset" w:color="auto" w:sz="4" w:space="0"/>
              <w:left w:val="outset" w:color="auto" w:sz="4" w:space="0"/>
              <w:bottom w:val="outset" w:color="auto" w:sz="4" w:space="0"/>
              <w:right w:val="outset" w:color="auto" w:sz="4" w:space="0"/>
            </w:tcBorders>
            <w:vAlign w:val="bottom"/>
          </w:tcPr>
          <w:p w14:paraId="48B50A0D">
            <w:pPr>
              <w:jc w:val="right"/>
              <w:textAlignment w:val="bottom"/>
              <w:rPr>
                <w:rFonts w:cs="Times New Roman"/>
              </w:rPr>
            </w:pPr>
            <w:r>
              <w:rPr>
                <w:rFonts w:eastAsia="Arial Narrow" w:cs="Times New Roman"/>
                <w:color w:val="000000"/>
                <w:lang w:bidi="ar"/>
              </w:rPr>
              <w:t>53,043,674.16</w:t>
            </w:r>
          </w:p>
        </w:tc>
        <w:tc>
          <w:tcPr>
            <w:tcW w:w="975" w:type="pct"/>
            <w:tcBorders>
              <w:top w:val="outset" w:color="auto" w:sz="4" w:space="0"/>
              <w:left w:val="outset" w:color="auto" w:sz="4" w:space="0"/>
              <w:bottom w:val="outset" w:color="auto" w:sz="4" w:space="0"/>
              <w:right w:val="outset" w:color="auto" w:sz="4" w:space="0"/>
            </w:tcBorders>
            <w:vAlign w:val="bottom"/>
          </w:tcPr>
          <w:p w14:paraId="584E3F16">
            <w:pPr>
              <w:jc w:val="right"/>
              <w:textAlignment w:val="bottom"/>
              <w:rPr>
                <w:rFonts w:cs="Times New Roman"/>
              </w:rPr>
            </w:pPr>
            <w:r>
              <w:rPr>
                <w:rFonts w:eastAsia="Arial Narrow" w:cs="Times New Roman"/>
                <w:color w:val="000000"/>
                <w:lang w:bidi="ar"/>
              </w:rPr>
              <w:t>14,568,284.52</w:t>
            </w:r>
          </w:p>
        </w:tc>
      </w:tr>
      <w:tr w14:paraId="302AC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7F297CD4">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筹资活动现金流出小计</w:t>
            </w:r>
          </w:p>
        </w:tc>
        <w:tc>
          <w:tcPr>
            <w:tcW w:w="544" w:type="pct"/>
            <w:tcBorders>
              <w:top w:val="outset" w:color="auto" w:sz="4" w:space="0"/>
              <w:left w:val="outset" w:color="auto" w:sz="4" w:space="0"/>
              <w:bottom w:val="outset" w:color="auto" w:sz="4" w:space="0"/>
              <w:right w:val="outset" w:color="auto" w:sz="4" w:space="0"/>
            </w:tcBorders>
            <w:vAlign w:val="center"/>
          </w:tcPr>
          <w:p w14:paraId="4BCD4455">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6E7387B5">
            <w:pPr>
              <w:jc w:val="right"/>
              <w:textAlignment w:val="bottom"/>
              <w:rPr>
                <w:rFonts w:cs="Times New Roman"/>
              </w:rPr>
            </w:pPr>
            <w:r>
              <w:rPr>
                <w:rFonts w:eastAsia="Arial Narrow" w:cs="Times New Roman"/>
                <w:color w:val="000000"/>
                <w:lang w:bidi="ar"/>
              </w:rPr>
              <w:t>467,322,184.55</w:t>
            </w:r>
          </w:p>
        </w:tc>
        <w:tc>
          <w:tcPr>
            <w:tcW w:w="975" w:type="pct"/>
            <w:tcBorders>
              <w:top w:val="outset" w:color="auto" w:sz="4" w:space="0"/>
              <w:left w:val="outset" w:color="auto" w:sz="4" w:space="0"/>
              <w:bottom w:val="outset" w:color="auto" w:sz="4" w:space="0"/>
              <w:right w:val="outset" w:color="auto" w:sz="4" w:space="0"/>
            </w:tcBorders>
            <w:vAlign w:val="bottom"/>
          </w:tcPr>
          <w:p w14:paraId="171DB65D">
            <w:pPr>
              <w:jc w:val="right"/>
              <w:textAlignment w:val="bottom"/>
              <w:rPr>
                <w:rFonts w:cs="Times New Roman"/>
              </w:rPr>
            </w:pPr>
            <w:r>
              <w:rPr>
                <w:rFonts w:eastAsia="Arial Narrow" w:cs="Times New Roman"/>
                <w:color w:val="000000"/>
                <w:lang w:bidi="ar"/>
              </w:rPr>
              <w:t>1,460,861,963.44</w:t>
            </w:r>
          </w:p>
        </w:tc>
      </w:tr>
      <w:tr w14:paraId="5D775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05FAF4F9">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筹资活动产生的现金流量净额</w:t>
            </w:r>
          </w:p>
        </w:tc>
        <w:tc>
          <w:tcPr>
            <w:tcW w:w="544" w:type="pct"/>
            <w:tcBorders>
              <w:top w:val="outset" w:color="auto" w:sz="4" w:space="0"/>
              <w:left w:val="outset" w:color="auto" w:sz="4" w:space="0"/>
              <w:bottom w:val="outset" w:color="auto" w:sz="4" w:space="0"/>
              <w:right w:val="outset" w:color="auto" w:sz="4" w:space="0"/>
            </w:tcBorders>
            <w:vAlign w:val="center"/>
          </w:tcPr>
          <w:p w14:paraId="75E8DE10">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762BFB78">
            <w:pPr>
              <w:jc w:val="right"/>
              <w:textAlignment w:val="bottom"/>
              <w:rPr>
                <w:rFonts w:cs="Times New Roman"/>
              </w:rPr>
            </w:pPr>
            <w:r>
              <w:rPr>
                <w:rFonts w:eastAsia="Arial Narrow" w:cs="Times New Roman"/>
                <w:color w:val="000000"/>
                <w:lang w:bidi="ar"/>
              </w:rPr>
              <w:t>1,742,522,867.91</w:t>
            </w:r>
          </w:p>
        </w:tc>
        <w:tc>
          <w:tcPr>
            <w:tcW w:w="975" w:type="pct"/>
            <w:tcBorders>
              <w:top w:val="outset" w:color="auto" w:sz="4" w:space="0"/>
              <w:left w:val="outset" w:color="auto" w:sz="4" w:space="0"/>
              <w:bottom w:val="outset" w:color="auto" w:sz="4" w:space="0"/>
              <w:right w:val="outset" w:color="auto" w:sz="4" w:space="0"/>
            </w:tcBorders>
            <w:vAlign w:val="bottom"/>
          </w:tcPr>
          <w:p w14:paraId="357346C9">
            <w:pPr>
              <w:jc w:val="right"/>
              <w:textAlignment w:val="bottom"/>
              <w:rPr>
                <w:rFonts w:cs="Times New Roman"/>
              </w:rPr>
            </w:pPr>
            <w:r>
              <w:rPr>
                <w:rFonts w:eastAsia="Arial Narrow" w:cs="Times New Roman"/>
                <w:color w:val="000000"/>
                <w:lang w:bidi="ar"/>
              </w:rPr>
              <w:t>-661,018,543.32</w:t>
            </w:r>
          </w:p>
        </w:tc>
      </w:tr>
      <w:tr w14:paraId="1FDA10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61EF1AF0">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四、汇率变动对现金及现金等价物的影响</w:t>
            </w:r>
          </w:p>
        </w:tc>
        <w:tc>
          <w:tcPr>
            <w:tcW w:w="544" w:type="pct"/>
            <w:tcBorders>
              <w:top w:val="outset" w:color="auto" w:sz="4" w:space="0"/>
              <w:left w:val="outset" w:color="auto" w:sz="4" w:space="0"/>
              <w:bottom w:val="outset" w:color="auto" w:sz="4" w:space="0"/>
              <w:right w:val="outset" w:color="auto" w:sz="4" w:space="0"/>
            </w:tcBorders>
            <w:vAlign w:val="center"/>
          </w:tcPr>
          <w:p w14:paraId="57138C21">
            <w:pPr>
              <w:jc w:val="cente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054019A5">
            <w:pPr>
              <w:jc w:val="right"/>
              <w:textAlignment w:val="bottom"/>
              <w:rPr>
                <w:rFonts w:cs="Times New Roman"/>
              </w:rPr>
            </w:pPr>
            <w:r>
              <w:rPr>
                <w:rFonts w:eastAsia="Arial Narrow" w:cs="Times New Roman"/>
                <w:color w:val="000000"/>
                <w:lang w:bidi="ar"/>
              </w:rPr>
              <w:t>-693,952.51</w:t>
            </w:r>
          </w:p>
        </w:tc>
        <w:tc>
          <w:tcPr>
            <w:tcW w:w="975" w:type="pct"/>
            <w:tcBorders>
              <w:top w:val="outset" w:color="auto" w:sz="4" w:space="0"/>
              <w:left w:val="outset" w:color="auto" w:sz="4" w:space="0"/>
              <w:bottom w:val="outset" w:color="auto" w:sz="4" w:space="0"/>
              <w:right w:val="outset" w:color="auto" w:sz="4" w:space="0"/>
            </w:tcBorders>
            <w:vAlign w:val="bottom"/>
          </w:tcPr>
          <w:p w14:paraId="18CDA094">
            <w:pPr>
              <w:jc w:val="right"/>
              <w:textAlignment w:val="bottom"/>
              <w:rPr>
                <w:rFonts w:cs="Times New Roman"/>
              </w:rPr>
            </w:pPr>
            <w:r>
              <w:rPr>
                <w:rFonts w:eastAsia="Arial Narrow" w:cs="Times New Roman"/>
                <w:color w:val="000000"/>
                <w:lang w:bidi="ar"/>
              </w:rPr>
              <w:t>89,536.92</w:t>
            </w:r>
          </w:p>
        </w:tc>
      </w:tr>
      <w:tr w14:paraId="10D855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4C0F68FE">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五、现金及现金等价物净增加额</w:t>
            </w:r>
          </w:p>
        </w:tc>
        <w:tc>
          <w:tcPr>
            <w:tcW w:w="544" w:type="pct"/>
            <w:tcBorders>
              <w:top w:val="outset" w:color="auto" w:sz="4" w:space="0"/>
              <w:left w:val="outset" w:color="auto" w:sz="4" w:space="0"/>
              <w:bottom w:val="outset" w:color="auto" w:sz="4" w:space="0"/>
              <w:right w:val="outset" w:color="auto" w:sz="4" w:space="0"/>
            </w:tcBorders>
            <w:vAlign w:val="center"/>
          </w:tcPr>
          <w:p w14:paraId="74FE7F29">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6AC3B69F">
            <w:pPr>
              <w:jc w:val="right"/>
              <w:textAlignment w:val="bottom"/>
              <w:rPr>
                <w:rFonts w:cs="Times New Roman"/>
              </w:rPr>
            </w:pPr>
            <w:r>
              <w:rPr>
                <w:rFonts w:eastAsia="Arial Narrow" w:cs="Times New Roman"/>
                <w:color w:val="000000"/>
                <w:lang w:bidi="ar"/>
              </w:rPr>
              <w:t>477,627,395.43</w:t>
            </w:r>
          </w:p>
        </w:tc>
        <w:tc>
          <w:tcPr>
            <w:tcW w:w="975" w:type="pct"/>
            <w:tcBorders>
              <w:top w:val="outset" w:color="auto" w:sz="4" w:space="0"/>
              <w:left w:val="outset" w:color="auto" w:sz="4" w:space="0"/>
              <w:bottom w:val="outset" w:color="auto" w:sz="4" w:space="0"/>
              <w:right w:val="outset" w:color="auto" w:sz="4" w:space="0"/>
            </w:tcBorders>
            <w:vAlign w:val="bottom"/>
          </w:tcPr>
          <w:p w14:paraId="643943F2">
            <w:pPr>
              <w:jc w:val="right"/>
              <w:textAlignment w:val="bottom"/>
              <w:rPr>
                <w:rFonts w:cs="Times New Roman"/>
              </w:rPr>
            </w:pPr>
            <w:r>
              <w:rPr>
                <w:rFonts w:eastAsia="Arial Narrow" w:cs="Times New Roman"/>
                <w:color w:val="000000"/>
                <w:lang w:bidi="ar"/>
              </w:rPr>
              <w:t>-2,439,311,002.30</w:t>
            </w:r>
          </w:p>
        </w:tc>
      </w:tr>
      <w:tr w14:paraId="34C82C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1339FA97">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加：期初现金及现金等价物余额</w:t>
            </w:r>
          </w:p>
        </w:tc>
        <w:tc>
          <w:tcPr>
            <w:tcW w:w="544" w:type="pct"/>
            <w:tcBorders>
              <w:top w:val="outset" w:color="auto" w:sz="4" w:space="0"/>
              <w:left w:val="outset" w:color="auto" w:sz="4" w:space="0"/>
              <w:bottom w:val="outset" w:color="auto" w:sz="4" w:space="0"/>
              <w:right w:val="outset" w:color="auto" w:sz="4" w:space="0"/>
            </w:tcBorders>
            <w:vAlign w:val="center"/>
          </w:tcPr>
          <w:p w14:paraId="6A3ABDC7">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7208C1ED">
            <w:pPr>
              <w:jc w:val="right"/>
              <w:textAlignment w:val="bottom"/>
              <w:rPr>
                <w:rFonts w:cs="Times New Roman"/>
              </w:rPr>
            </w:pPr>
            <w:r>
              <w:rPr>
                <w:rFonts w:eastAsia="Arial Narrow" w:cs="Times New Roman"/>
                <w:color w:val="000000"/>
                <w:lang w:bidi="ar"/>
              </w:rPr>
              <w:t>5,365,543,602.37</w:t>
            </w:r>
          </w:p>
        </w:tc>
        <w:tc>
          <w:tcPr>
            <w:tcW w:w="975" w:type="pct"/>
            <w:tcBorders>
              <w:top w:val="outset" w:color="auto" w:sz="4" w:space="0"/>
              <w:left w:val="outset" w:color="auto" w:sz="4" w:space="0"/>
              <w:bottom w:val="outset" w:color="auto" w:sz="4" w:space="0"/>
              <w:right w:val="outset" w:color="auto" w:sz="4" w:space="0"/>
            </w:tcBorders>
            <w:vAlign w:val="bottom"/>
          </w:tcPr>
          <w:p w14:paraId="3B11C14E">
            <w:pPr>
              <w:jc w:val="right"/>
              <w:textAlignment w:val="bottom"/>
              <w:rPr>
                <w:rFonts w:cs="Times New Roman"/>
              </w:rPr>
            </w:pPr>
            <w:r>
              <w:rPr>
                <w:rFonts w:eastAsia="Arial Narrow" w:cs="Times New Roman"/>
                <w:color w:val="000000"/>
                <w:lang w:bidi="ar"/>
              </w:rPr>
              <w:t>6,495,626,671.63</w:t>
            </w:r>
          </w:p>
        </w:tc>
      </w:tr>
      <w:tr w14:paraId="575E7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48" w:type="pct"/>
            <w:tcBorders>
              <w:top w:val="outset" w:color="auto" w:sz="4" w:space="0"/>
              <w:left w:val="outset" w:color="auto" w:sz="4" w:space="0"/>
              <w:bottom w:val="outset" w:color="auto" w:sz="4" w:space="0"/>
              <w:right w:val="outset" w:color="auto" w:sz="4" w:space="0"/>
            </w:tcBorders>
            <w:vAlign w:val="center"/>
          </w:tcPr>
          <w:p w14:paraId="72BB74D3">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六、期末现金及现金等价物余额</w:t>
            </w:r>
          </w:p>
        </w:tc>
        <w:tc>
          <w:tcPr>
            <w:tcW w:w="544" w:type="pct"/>
            <w:tcBorders>
              <w:top w:val="outset" w:color="auto" w:sz="4" w:space="0"/>
              <w:left w:val="outset" w:color="auto" w:sz="4" w:space="0"/>
              <w:bottom w:val="outset" w:color="auto" w:sz="4" w:space="0"/>
              <w:right w:val="outset" w:color="auto" w:sz="4" w:space="0"/>
            </w:tcBorders>
            <w:vAlign w:val="center"/>
          </w:tcPr>
          <w:p w14:paraId="57395739">
            <w:pPr>
              <w:rPr>
                <w:rFonts w:cs="Times New Roman"/>
              </w:rPr>
            </w:pPr>
          </w:p>
        </w:tc>
        <w:tc>
          <w:tcPr>
            <w:tcW w:w="931" w:type="pct"/>
            <w:tcBorders>
              <w:top w:val="outset" w:color="auto" w:sz="4" w:space="0"/>
              <w:left w:val="outset" w:color="auto" w:sz="4" w:space="0"/>
              <w:bottom w:val="outset" w:color="auto" w:sz="4" w:space="0"/>
              <w:right w:val="outset" w:color="auto" w:sz="4" w:space="0"/>
            </w:tcBorders>
            <w:vAlign w:val="bottom"/>
          </w:tcPr>
          <w:p w14:paraId="5C9C0E76">
            <w:pPr>
              <w:jc w:val="right"/>
              <w:textAlignment w:val="bottom"/>
              <w:rPr>
                <w:rFonts w:cs="Times New Roman"/>
              </w:rPr>
            </w:pPr>
            <w:r>
              <w:rPr>
                <w:rFonts w:eastAsia="Arial Narrow" w:cs="Times New Roman"/>
                <w:color w:val="000000"/>
                <w:lang w:bidi="ar"/>
              </w:rPr>
              <w:t>5,843,170,997.80</w:t>
            </w:r>
          </w:p>
        </w:tc>
        <w:tc>
          <w:tcPr>
            <w:tcW w:w="975" w:type="pct"/>
            <w:tcBorders>
              <w:top w:val="outset" w:color="auto" w:sz="4" w:space="0"/>
              <w:left w:val="outset" w:color="auto" w:sz="4" w:space="0"/>
              <w:bottom w:val="outset" w:color="auto" w:sz="4" w:space="0"/>
              <w:right w:val="outset" w:color="auto" w:sz="4" w:space="0"/>
            </w:tcBorders>
            <w:vAlign w:val="bottom"/>
          </w:tcPr>
          <w:p w14:paraId="101C7B70">
            <w:pPr>
              <w:jc w:val="right"/>
              <w:textAlignment w:val="bottom"/>
              <w:rPr>
                <w:rFonts w:cs="Times New Roman"/>
              </w:rPr>
            </w:pPr>
            <w:r>
              <w:rPr>
                <w:rFonts w:eastAsia="Arial Narrow" w:cs="Times New Roman"/>
                <w:color w:val="000000"/>
                <w:lang w:bidi="ar"/>
              </w:rPr>
              <w:t>4,056,315,669.33</w:t>
            </w:r>
          </w:p>
        </w:tc>
      </w:tr>
    </w:tbl>
    <w:p w14:paraId="46BFD930">
      <w:pPr>
        <w:snapToGrid w:val="0"/>
        <w:spacing w:line="240" w:lineRule="atLeast"/>
        <w:ind w:right="25" w:rightChars="12"/>
        <w:rPr>
          <w:color w:val="000000" w:themeColor="text1"/>
          <w14:textFill>
            <w14:solidFill>
              <w14:schemeClr w14:val="tx1"/>
            </w14:solidFill>
          </w14:textFill>
        </w:rPr>
      </w:pPr>
    </w:p>
    <w:p w14:paraId="137A713F">
      <w:pPr>
        <w:snapToGrid w:val="0"/>
        <w:spacing w:line="240" w:lineRule="atLeast"/>
        <w:ind w:right="25" w:rightChars="12"/>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d1f7cb193ab444ff8482a06aad12f0db"/>
          <w:id w:val="147467722"/>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45110b4746914613a7aad68cef7b1bed"/>
          <w:id w:val="147452585"/>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e7d70223996e482d9871cfff87704452"/>
          <w:id w:val="147482072"/>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592F4C12">
      <w:pPr>
        <w:rPr>
          <w:color w:val="000000" w:themeColor="text1"/>
          <w14:textFill>
            <w14:solidFill>
              <w14:schemeClr w14:val="tx1"/>
            </w14:solidFill>
          </w14:textFill>
        </w:rPr>
      </w:pPr>
    </w:p>
    <w:p w14:paraId="1BB5D63B">
      <w:pPr>
        <w:pStyle w:val="57"/>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w:t>
      </w:r>
      <w:r>
        <w:rPr>
          <w:rFonts w:ascii="宋体" w:hAnsi="宋体"/>
          <w:color w:val="000000" w:themeColor="text1"/>
          <w14:textFill>
            <w14:solidFill>
              <w14:schemeClr w14:val="tx1"/>
            </w14:solidFill>
          </w14:textFill>
        </w:rPr>
        <w:t>现金流量表</w:t>
      </w:r>
    </w:p>
    <w:p w14:paraId="36A737B5">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2025年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14:paraId="490F39C9">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现金流量表"/>
          <w:tag w:val="_GBC_993ead81b27a41dfaccaacfaec8b7c78"/>
          <w:id w:val="1474623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现金流量表"/>
          <w:tag w:val="_GBC_2dd4b706d0a244a4b4c21166025356cc"/>
          <w:id w:val="1474655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603"/>
        <w:gridCol w:w="1002"/>
        <w:gridCol w:w="1686"/>
        <w:gridCol w:w="1758"/>
      </w:tblGrid>
      <w:tr w14:paraId="66070B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sdt>
          <w:sdtPr>
            <w:rPr>
              <w:rFonts w:cs="Times New Roman"/>
            </w:rPr>
            <w:tag w:val="_PLD_20ae0904ed714106892a5beddfe5846a"/>
            <w:id w:val="147451963"/>
          </w:sdtPr>
          <w:sdtEndPr>
            <w:rPr>
              <w:rFonts w:cs="Times New Roman"/>
            </w:rPr>
          </w:sdtEndPr>
          <w:sdtContent>
            <w:tc>
              <w:tcPr>
                <w:tcW w:w="2559" w:type="pct"/>
                <w:tcBorders>
                  <w:top w:val="outset" w:color="auto" w:sz="4" w:space="0"/>
                  <w:left w:val="outset" w:color="auto" w:sz="4" w:space="0"/>
                  <w:bottom w:val="outset" w:color="auto" w:sz="4" w:space="0"/>
                  <w:right w:val="outset" w:color="auto" w:sz="4" w:space="0"/>
                </w:tcBorders>
                <w:vAlign w:val="center"/>
              </w:tcPr>
              <w:p w14:paraId="40EBA92F">
                <w:pPr>
                  <w:jc w:val="center"/>
                  <w:rPr>
                    <w:rFonts w:cs="Times New Roman"/>
                    <w:b/>
                    <w:bCs w:val="0"/>
                    <w:color w:val="000000" w:themeColor="text1"/>
                    <w14:textFill>
                      <w14:solidFill>
                        <w14:schemeClr w14:val="tx1"/>
                      </w14:solidFill>
                    </w14:textFill>
                  </w:rPr>
                </w:pPr>
                <w:r>
                  <w:rPr>
                    <w:rFonts w:cs="Times New Roman"/>
                    <w:b/>
                    <w:color w:val="000000" w:themeColor="text1"/>
                    <w14:textFill>
                      <w14:solidFill>
                        <w14:schemeClr w14:val="tx1"/>
                      </w14:solidFill>
                    </w14:textFill>
                  </w:rPr>
                  <w:t>项目</w:t>
                </w:r>
              </w:p>
            </w:tc>
          </w:sdtContent>
        </w:sdt>
        <w:sdt>
          <w:sdtPr>
            <w:rPr>
              <w:rFonts w:cs="Times New Roman"/>
            </w:rPr>
            <w:tag w:val="_PLD_9cb87427e0de42d2b7e58a286ff58290"/>
            <w:id w:val="147479717"/>
          </w:sdtPr>
          <w:sdtEndPr>
            <w:rPr>
              <w:rFonts w:cs="Times New Roman"/>
            </w:rPr>
          </w:sdtEndPr>
          <w:sdtContent>
            <w:tc>
              <w:tcPr>
                <w:tcW w:w="569" w:type="pct"/>
                <w:tcBorders>
                  <w:top w:val="outset" w:color="auto" w:sz="4" w:space="0"/>
                  <w:left w:val="outset" w:color="auto" w:sz="4" w:space="0"/>
                  <w:bottom w:val="outset" w:color="auto" w:sz="4" w:space="0"/>
                  <w:right w:val="outset" w:color="auto" w:sz="4" w:space="0"/>
                </w:tcBorders>
                <w:vAlign w:val="center"/>
              </w:tcPr>
              <w:p w14:paraId="16AEE939">
                <w:pPr>
                  <w:autoSpaceDE w:val="0"/>
                  <w:autoSpaceDN w:val="0"/>
                  <w:adjustRightInd w:val="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附注</w:t>
                </w:r>
              </w:p>
            </w:tc>
          </w:sdtContent>
        </w:sdt>
        <w:sdt>
          <w:sdtPr>
            <w:rPr>
              <w:rFonts w:cs="Times New Roman"/>
            </w:rPr>
            <w:tag w:val="_PLD_514bbce28b6040e393e59c5ec50c3820"/>
            <w:id w:val="147460743"/>
          </w:sdtPr>
          <w:sdtEndPr>
            <w:rPr>
              <w:rFonts w:cs="Times New Roman"/>
            </w:rPr>
          </w:sdtEndPr>
          <w:sdtContent>
            <w:tc>
              <w:tcPr>
                <w:tcW w:w="885" w:type="pct"/>
                <w:tcBorders>
                  <w:top w:val="outset" w:color="auto" w:sz="4" w:space="0"/>
                  <w:left w:val="outset" w:color="auto" w:sz="4" w:space="0"/>
                  <w:bottom w:val="outset" w:color="auto" w:sz="4" w:space="0"/>
                  <w:right w:val="outset" w:color="auto" w:sz="4" w:space="0"/>
                </w:tcBorders>
                <w:vAlign w:val="center"/>
              </w:tcPr>
              <w:p w14:paraId="488C6BB8">
                <w:pPr>
                  <w:autoSpaceDE w:val="0"/>
                  <w:autoSpaceDN w:val="0"/>
                  <w:adjustRightInd w:val="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2025年半年度</w:t>
                </w:r>
              </w:p>
            </w:tc>
          </w:sdtContent>
        </w:sdt>
        <w:sdt>
          <w:sdtPr>
            <w:rPr>
              <w:rFonts w:cs="Times New Roman"/>
            </w:rPr>
            <w:tag w:val="_PLD_de39c3f730c74ecca3c9a890bc08a2c1"/>
            <w:id w:val="147461905"/>
          </w:sdtPr>
          <w:sdtEndPr>
            <w:rPr>
              <w:rFonts w:cs="Times New Roman"/>
            </w:rPr>
          </w:sdtEndPr>
          <w:sdtContent>
            <w:tc>
              <w:tcPr>
                <w:tcW w:w="985" w:type="pct"/>
                <w:tcBorders>
                  <w:top w:val="outset" w:color="auto" w:sz="4" w:space="0"/>
                  <w:left w:val="outset" w:color="auto" w:sz="4" w:space="0"/>
                  <w:bottom w:val="outset" w:color="auto" w:sz="4" w:space="0"/>
                  <w:right w:val="outset" w:color="auto" w:sz="4" w:space="0"/>
                </w:tcBorders>
                <w:vAlign w:val="center"/>
              </w:tcPr>
              <w:p w14:paraId="2B5E06C0">
                <w:pPr>
                  <w:autoSpaceDE w:val="0"/>
                  <w:autoSpaceDN w:val="0"/>
                  <w:adjustRightInd w:val="0"/>
                  <w:jc w:val="center"/>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2024年半年度</w:t>
                </w:r>
              </w:p>
            </w:tc>
          </w:sdtContent>
        </w:sdt>
      </w:tr>
      <w:tr w14:paraId="53F97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575fd724a7cb4261a6c80660162ce2fb"/>
            <w:id w:val="147460153"/>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2D76FE67">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一、经营活动产生的现金流量：</w:t>
                </w:r>
              </w:p>
            </w:tc>
          </w:sdtContent>
        </w:sdt>
      </w:tr>
      <w:tr w14:paraId="38865D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3BCFF03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销售商品、提供劳务收到的现金</w:t>
            </w:r>
          </w:p>
        </w:tc>
        <w:tc>
          <w:tcPr>
            <w:tcW w:w="569" w:type="pct"/>
            <w:tcBorders>
              <w:top w:val="outset" w:color="auto" w:sz="4" w:space="0"/>
              <w:left w:val="outset" w:color="auto" w:sz="4" w:space="0"/>
              <w:bottom w:val="outset" w:color="auto" w:sz="4" w:space="0"/>
              <w:right w:val="outset" w:color="auto" w:sz="4" w:space="0"/>
            </w:tcBorders>
            <w:vAlign w:val="center"/>
          </w:tcPr>
          <w:p w14:paraId="1DE5E0AE">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DC1B82E">
            <w:pPr>
              <w:jc w:val="right"/>
              <w:textAlignment w:val="bottom"/>
              <w:rPr>
                <w:rFonts w:cs="Times New Roman"/>
              </w:rPr>
            </w:pPr>
            <w:r>
              <w:rPr>
                <w:rFonts w:eastAsia="Arial Narrow" w:cs="Times New Roman"/>
                <w:color w:val="000000"/>
                <w:lang w:bidi="ar"/>
              </w:rPr>
              <w:t>253,307.20</w:t>
            </w:r>
          </w:p>
        </w:tc>
        <w:tc>
          <w:tcPr>
            <w:tcW w:w="1786" w:type="dxa"/>
            <w:tcBorders>
              <w:top w:val="outset" w:color="auto" w:sz="4" w:space="0"/>
              <w:left w:val="outset" w:color="auto" w:sz="4" w:space="0"/>
              <w:bottom w:val="outset" w:color="auto" w:sz="4" w:space="0"/>
              <w:right w:val="outset" w:color="auto" w:sz="4" w:space="0"/>
            </w:tcBorders>
            <w:vAlign w:val="bottom"/>
          </w:tcPr>
          <w:p w14:paraId="16D9E428">
            <w:pPr>
              <w:jc w:val="right"/>
              <w:textAlignment w:val="bottom"/>
              <w:rPr>
                <w:rFonts w:cs="Times New Roman"/>
              </w:rPr>
            </w:pPr>
            <w:r>
              <w:rPr>
                <w:rFonts w:eastAsia="Arial Narrow" w:cs="Times New Roman"/>
                <w:color w:val="000000"/>
                <w:lang w:bidi="ar"/>
              </w:rPr>
              <w:t>13,759,857.94</w:t>
            </w:r>
          </w:p>
        </w:tc>
      </w:tr>
      <w:tr w14:paraId="5E7859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158B07C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收到其他与经营活动有关的现金</w:t>
            </w:r>
          </w:p>
        </w:tc>
        <w:tc>
          <w:tcPr>
            <w:tcW w:w="569" w:type="pct"/>
            <w:tcBorders>
              <w:top w:val="outset" w:color="auto" w:sz="4" w:space="0"/>
              <w:left w:val="outset" w:color="auto" w:sz="4" w:space="0"/>
              <w:bottom w:val="outset" w:color="auto" w:sz="4" w:space="0"/>
              <w:right w:val="outset" w:color="auto" w:sz="4" w:space="0"/>
            </w:tcBorders>
            <w:vAlign w:val="center"/>
          </w:tcPr>
          <w:p w14:paraId="16145A56">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6183B6F7">
            <w:pPr>
              <w:jc w:val="right"/>
              <w:textAlignment w:val="bottom"/>
              <w:rPr>
                <w:rFonts w:cs="Times New Roman"/>
              </w:rPr>
            </w:pPr>
            <w:r>
              <w:rPr>
                <w:rFonts w:eastAsia="Arial Narrow" w:cs="Times New Roman"/>
                <w:color w:val="000000"/>
                <w:lang w:bidi="ar"/>
              </w:rPr>
              <w:t>35,754,874.04</w:t>
            </w:r>
          </w:p>
        </w:tc>
        <w:tc>
          <w:tcPr>
            <w:tcW w:w="1786" w:type="dxa"/>
            <w:tcBorders>
              <w:top w:val="outset" w:color="auto" w:sz="4" w:space="0"/>
              <w:left w:val="outset" w:color="auto" w:sz="4" w:space="0"/>
              <w:bottom w:val="outset" w:color="auto" w:sz="4" w:space="0"/>
              <w:right w:val="outset" w:color="auto" w:sz="4" w:space="0"/>
            </w:tcBorders>
            <w:vAlign w:val="bottom"/>
          </w:tcPr>
          <w:p w14:paraId="6C2FF845">
            <w:pPr>
              <w:jc w:val="right"/>
              <w:textAlignment w:val="bottom"/>
              <w:rPr>
                <w:rFonts w:cs="Times New Roman"/>
              </w:rPr>
            </w:pPr>
            <w:r>
              <w:rPr>
                <w:rFonts w:eastAsia="Arial Narrow" w:cs="Times New Roman"/>
                <w:color w:val="000000"/>
                <w:lang w:bidi="ar"/>
              </w:rPr>
              <w:t>43,303,235.56</w:t>
            </w:r>
          </w:p>
        </w:tc>
      </w:tr>
      <w:tr w14:paraId="14881F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7C53DFA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经营活动现金流入小计</w:t>
            </w:r>
          </w:p>
        </w:tc>
        <w:tc>
          <w:tcPr>
            <w:tcW w:w="569" w:type="pct"/>
            <w:tcBorders>
              <w:top w:val="outset" w:color="auto" w:sz="4" w:space="0"/>
              <w:left w:val="outset" w:color="auto" w:sz="4" w:space="0"/>
              <w:bottom w:val="outset" w:color="auto" w:sz="4" w:space="0"/>
              <w:right w:val="outset" w:color="auto" w:sz="4" w:space="0"/>
            </w:tcBorders>
            <w:vAlign w:val="center"/>
          </w:tcPr>
          <w:p w14:paraId="1359E1B0">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57FD1C1D">
            <w:pPr>
              <w:jc w:val="right"/>
              <w:textAlignment w:val="bottom"/>
              <w:rPr>
                <w:rFonts w:cs="Times New Roman"/>
              </w:rPr>
            </w:pPr>
            <w:r>
              <w:rPr>
                <w:rFonts w:eastAsia="Arial Narrow" w:cs="Times New Roman"/>
                <w:color w:val="000000"/>
                <w:lang w:bidi="ar"/>
              </w:rPr>
              <w:t>36,008,181.24</w:t>
            </w:r>
          </w:p>
        </w:tc>
        <w:tc>
          <w:tcPr>
            <w:tcW w:w="1786" w:type="dxa"/>
            <w:tcBorders>
              <w:top w:val="outset" w:color="auto" w:sz="4" w:space="0"/>
              <w:left w:val="outset" w:color="auto" w:sz="4" w:space="0"/>
              <w:bottom w:val="outset" w:color="auto" w:sz="4" w:space="0"/>
              <w:right w:val="outset" w:color="auto" w:sz="4" w:space="0"/>
            </w:tcBorders>
            <w:vAlign w:val="bottom"/>
          </w:tcPr>
          <w:p w14:paraId="03BC5273">
            <w:pPr>
              <w:jc w:val="right"/>
              <w:textAlignment w:val="bottom"/>
              <w:rPr>
                <w:rFonts w:cs="Times New Roman"/>
              </w:rPr>
            </w:pPr>
            <w:r>
              <w:rPr>
                <w:rFonts w:eastAsia="Arial Narrow" w:cs="Times New Roman"/>
                <w:color w:val="000000"/>
                <w:lang w:bidi="ar"/>
              </w:rPr>
              <w:t>57,063,093.50</w:t>
            </w:r>
          </w:p>
        </w:tc>
      </w:tr>
      <w:tr w14:paraId="1FB86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18F147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购买商品、接受劳务支付的现金</w:t>
            </w:r>
          </w:p>
        </w:tc>
        <w:tc>
          <w:tcPr>
            <w:tcW w:w="569" w:type="pct"/>
            <w:tcBorders>
              <w:top w:val="outset" w:color="auto" w:sz="4" w:space="0"/>
              <w:left w:val="outset" w:color="auto" w:sz="4" w:space="0"/>
              <w:bottom w:val="outset" w:color="auto" w:sz="4" w:space="0"/>
              <w:right w:val="outset" w:color="auto" w:sz="4" w:space="0"/>
            </w:tcBorders>
            <w:vAlign w:val="center"/>
          </w:tcPr>
          <w:p w14:paraId="7EADA049">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376EE2C7">
            <w:pPr>
              <w:jc w:val="right"/>
              <w:textAlignment w:val="bottom"/>
              <w:rPr>
                <w:rFonts w:cs="Times New Roman"/>
              </w:rPr>
            </w:pPr>
            <w:r>
              <w:rPr>
                <w:rFonts w:eastAsia="Arial Narrow" w:cs="Times New Roman"/>
                <w:color w:val="000000"/>
                <w:lang w:bidi="ar"/>
              </w:rPr>
              <w:t>767,963.63</w:t>
            </w:r>
          </w:p>
        </w:tc>
        <w:tc>
          <w:tcPr>
            <w:tcW w:w="1786" w:type="dxa"/>
            <w:tcBorders>
              <w:top w:val="outset" w:color="auto" w:sz="4" w:space="0"/>
              <w:left w:val="outset" w:color="auto" w:sz="4" w:space="0"/>
              <w:bottom w:val="outset" w:color="auto" w:sz="4" w:space="0"/>
              <w:right w:val="outset" w:color="auto" w:sz="4" w:space="0"/>
            </w:tcBorders>
            <w:vAlign w:val="bottom"/>
          </w:tcPr>
          <w:p w14:paraId="438D0068">
            <w:pPr>
              <w:jc w:val="right"/>
              <w:textAlignment w:val="bottom"/>
              <w:rPr>
                <w:rFonts w:cs="Times New Roman"/>
              </w:rPr>
            </w:pPr>
            <w:r>
              <w:rPr>
                <w:rFonts w:eastAsia="Arial Narrow" w:cs="Times New Roman"/>
                <w:color w:val="000000"/>
                <w:lang w:bidi="ar"/>
              </w:rPr>
              <w:t>641,217.19</w:t>
            </w:r>
          </w:p>
        </w:tc>
      </w:tr>
      <w:tr w14:paraId="1D040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5A3C6D0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支付给职工及为职工支付的现金</w:t>
            </w:r>
          </w:p>
        </w:tc>
        <w:tc>
          <w:tcPr>
            <w:tcW w:w="569" w:type="pct"/>
            <w:tcBorders>
              <w:top w:val="outset" w:color="auto" w:sz="4" w:space="0"/>
              <w:left w:val="outset" w:color="auto" w:sz="4" w:space="0"/>
              <w:bottom w:val="outset" w:color="auto" w:sz="4" w:space="0"/>
              <w:right w:val="outset" w:color="auto" w:sz="4" w:space="0"/>
            </w:tcBorders>
            <w:vAlign w:val="center"/>
          </w:tcPr>
          <w:p w14:paraId="49A34CDF">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5A51F228">
            <w:pPr>
              <w:jc w:val="right"/>
              <w:textAlignment w:val="bottom"/>
              <w:rPr>
                <w:rFonts w:cs="Times New Roman"/>
              </w:rPr>
            </w:pPr>
            <w:r>
              <w:rPr>
                <w:rFonts w:eastAsia="Arial Narrow" w:cs="Times New Roman"/>
                <w:color w:val="000000"/>
                <w:lang w:bidi="ar"/>
              </w:rPr>
              <w:t>52,463,810.67</w:t>
            </w:r>
          </w:p>
        </w:tc>
        <w:tc>
          <w:tcPr>
            <w:tcW w:w="1786" w:type="dxa"/>
            <w:tcBorders>
              <w:top w:val="outset" w:color="auto" w:sz="4" w:space="0"/>
              <w:left w:val="outset" w:color="auto" w:sz="4" w:space="0"/>
              <w:bottom w:val="outset" w:color="auto" w:sz="4" w:space="0"/>
              <w:right w:val="outset" w:color="auto" w:sz="4" w:space="0"/>
            </w:tcBorders>
            <w:vAlign w:val="bottom"/>
          </w:tcPr>
          <w:p w14:paraId="153570FF">
            <w:pPr>
              <w:jc w:val="right"/>
              <w:textAlignment w:val="bottom"/>
              <w:rPr>
                <w:rFonts w:cs="Times New Roman"/>
              </w:rPr>
            </w:pPr>
            <w:r>
              <w:rPr>
                <w:rFonts w:eastAsia="Arial Narrow" w:cs="Times New Roman"/>
                <w:color w:val="000000"/>
                <w:lang w:bidi="ar"/>
              </w:rPr>
              <w:t>47,706,988.15</w:t>
            </w:r>
          </w:p>
        </w:tc>
      </w:tr>
      <w:tr w14:paraId="50A66E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E06D73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支付的各项税费</w:t>
            </w:r>
          </w:p>
        </w:tc>
        <w:tc>
          <w:tcPr>
            <w:tcW w:w="569" w:type="pct"/>
            <w:tcBorders>
              <w:top w:val="outset" w:color="auto" w:sz="4" w:space="0"/>
              <w:left w:val="outset" w:color="auto" w:sz="4" w:space="0"/>
              <w:bottom w:val="outset" w:color="auto" w:sz="4" w:space="0"/>
              <w:right w:val="outset" w:color="auto" w:sz="4" w:space="0"/>
            </w:tcBorders>
            <w:vAlign w:val="center"/>
          </w:tcPr>
          <w:p w14:paraId="05EC4B9A">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8EBCB04">
            <w:pPr>
              <w:jc w:val="right"/>
              <w:textAlignment w:val="bottom"/>
              <w:rPr>
                <w:rFonts w:cs="Times New Roman"/>
              </w:rPr>
            </w:pPr>
            <w:r>
              <w:rPr>
                <w:rFonts w:eastAsia="Arial Narrow" w:cs="Times New Roman"/>
                <w:color w:val="000000"/>
                <w:lang w:bidi="ar"/>
              </w:rPr>
              <w:t>3,042,336.66</w:t>
            </w:r>
          </w:p>
        </w:tc>
        <w:tc>
          <w:tcPr>
            <w:tcW w:w="1786" w:type="dxa"/>
            <w:tcBorders>
              <w:top w:val="outset" w:color="auto" w:sz="4" w:space="0"/>
              <w:left w:val="outset" w:color="auto" w:sz="4" w:space="0"/>
              <w:bottom w:val="outset" w:color="auto" w:sz="4" w:space="0"/>
              <w:right w:val="outset" w:color="auto" w:sz="4" w:space="0"/>
            </w:tcBorders>
            <w:vAlign w:val="bottom"/>
          </w:tcPr>
          <w:p w14:paraId="44E0C7A4">
            <w:pPr>
              <w:jc w:val="right"/>
              <w:textAlignment w:val="bottom"/>
              <w:rPr>
                <w:rFonts w:cs="Times New Roman"/>
              </w:rPr>
            </w:pPr>
            <w:r>
              <w:rPr>
                <w:rFonts w:eastAsia="Arial Narrow" w:cs="Times New Roman"/>
                <w:color w:val="000000"/>
                <w:lang w:bidi="ar"/>
              </w:rPr>
              <w:t>4,570,017.25</w:t>
            </w:r>
          </w:p>
        </w:tc>
      </w:tr>
      <w:tr w14:paraId="53352B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3A04098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支付其他与经营活动有关的现金</w:t>
            </w:r>
          </w:p>
        </w:tc>
        <w:tc>
          <w:tcPr>
            <w:tcW w:w="569" w:type="pct"/>
            <w:tcBorders>
              <w:top w:val="outset" w:color="auto" w:sz="4" w:space="0"/>
              <w:left w:val="outset" w:color="auto" w:sz="4" w:space="0"/>
              <w:bottom w:val="outset" w:color="auto" w:sz="4" w:space="0"/>
              <w:right w:val="outset" w:color="auto" w:sz="4" w:space="0"/>
            </w:tcBorders>
            <w:vAlign w:val="center"/>
          </w:tcPr>
          <w:p w14:paraId="38E69AE3">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02C75A1B">
            <w:pPr>
              <w:jc w:val="right"/>
              <w:textAlignment w:val="bottom"/>
              <w:rPr>
                <w:rFonts w:cs="Times New Roman"/>
              </w:rPr>
            </w:pPr>
            <w:r>
              <w:rPr>
                <w:rFonts w:eastAsia="Arial Narrow" w:cs="Times New Roman"/>
                <w:color w:val="000000"/>
                <w:lang w:bidi="ar"/>
              </w:rPr>
              <w:t>26,985,885.21</w:t>
            </w:r>
          </w:p>
        </w:tc>
        <w:tc>
          <w:tcPr>
            <w:tcW w:w="1786" w:type="dxa"/>
            <w:tcBorders>
              <w:top w:val="outset" w:color="auto" w:sz="4" w:space="0"/>
              <w:left w:val="outset" w:color="auto" w:sz="4" w:space="0"/>
              <w:bottom w:val="outset" w:color="auto" w:sz="4" w:space="0"/>
              <w:right w:val="outset" w:color="auto" w:sz="4" w:space="0"/>
            </w:tcBorders>
            <w:vAlign w:val="bottom"/>
          </w:tcPr>
          <w:p w14:paraId="36A35D0E">
            <w:pPr>
              <w:jc w:val="right"/>
              <w:textAlignment w:val="bottom"/>
              <w:rPr>
                <w:rFonts w:cs="Times New Roman"/>
              </w:rPr>
            </w:pPr>
            <w:r>
              <w:rPr>
                <w:rFonts w:eastAsia="Arial Narrow" w:cs="Times New Roman"/>
                <w:color w:val="000000"/>
                <w:lang w:bidi="ar"/>
              </w:rPr>
              <w:t>26,272,498.85</w:t>
            </w:r>
          </w:p>
        </w:tc>
      </w:tr>
      <w:tr w14:paraId="65539E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A280B4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经营活动现金流出小计</w:t>
            </w:r>
          </w:p>
        </w:tc>
        <w:tc>
          <w:tcPr>
            <w:tcW w:w="569" w:type="pct"/>
            <w:tcBorders>
              <w:top w:val="outset" w:color="auto" w:sz="4" w:space="0"/>
              <w:left w:val="outset" w:color="auto" w:sz="4" w:space="0"/>
              <w:bottom w:val="outset" w:color="auto" w:sz="4" w:space="0"/>
              <w:right w:val="outset" w:color="auto" w:sz="4" w:space="0"/>
            </w:tcBorders>
            <w:vAlign w:val="center"/>
          </w:tcPr>
          <w:p w14:paraId="1C921853">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301A0D82">
            <w:pPr>
              <w:jc w:val="right"/>
              <w:textAlignment w:val="bottom"/>
              <w:rPr>
                <w:rFonts w:cs="Times New Roman"/>
              </w:rPr>
            </w:pPr>
            <w:r>
              <w:rPr>
                <w:rFonts w:eastAsia="Arial Narrow" w:cs="Times New Roman"/>
                <w:color w:val="000000"/>
                <w:lang w:bidi="ar"/>
              </w:rPr>
              <w:t>83,259,996.17</w:t>
            </w:r>
          </w:p>
        </w:tc>
        <w:tc>
          <w:tcPr>
            <w:tcW w:w="1786" w:type="dxa"/>
            <w:tcBorders>
              <w:top w:val="outset" w:color="auto" w:sz="4" w:space="0"/>
              <w:left w:val="outset" w:color="auto" w:sz="4" w:space="0"/>
              <w:bottom w:val="outset" w:color="auto" w:sz="4" w:space="0"/>
              <w:right w:val="outset" w:color="auto" w:sz="4" w:space="0"/>
            </w:tcBorders>
            <w:vAlign w:val="bottom"/>
          </w:tcPr>
          <w:p w14:paraId="214DBA80">
            <w:pPr>
              <w:jc w:val="right"/>
              <w:textAlignment w:val="bottom"/>
              <w:rPr>
                <w:rFonts w:cs="Times New Roman"/>
              </w:rPr>
            </w:pPr>
            <w:r>
              <w:rPr>
                <w:rFonts w:eastAsia="Arial Narrow" w:cs="Times New Roman"/>
                <w:color w:val="000000"/>
                <w:lang w:bidi="ar"/>
              </w:rPr>
              <w:t>79,190,721.44</w:t>
            </w:r>
          </w:p>
        </w:tc>
      </w:tr>
      <w:tr w14:paraId="7EE16A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57845A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经营活动产生的现金流量净额</w:t>
            </w:r>
          </w:p>
        </w:tc>
        <w:tc>
          <w:tcPr>
            <w:tcW w:w="569" w:type="pct"/>
            <w:tcBorders>
              <w:top w:val="outset" w:color="auto" w:sz="4" w:space="0"/>
              <w:left w:val="outset" w:color="auto" w:sz="4" w:space="0"/>
              <w:bottom w:val="outset" w:color="auto" w:sz="4" w:space="0"/>
              <w:right w:val="outset" w:color="auto" w:sz="4" w:space="0"/>
            </w:tcBorders>
            <w:vAlign w:val="center"/>
          </w:tcPr>
          <w:p w14:paraId="52CB3CFF">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66633E90">
            <w:pPr>
              <w:jc w:val="right"/>
              <w:textAlignment w:val="bottom"/>
              <w:rPr>
                <w:rFonts w:cs="Times New Roman"/>
              </w:rPr>
            </w:pPr>
            <w:r>
              <w:rPr>
                <w:rFonts w:eastAsia="Arial Narrow" w:cs="Times New Roman"/>
                <w:color w:val="000000"/>
                <w:lang w:bidi="ar"/>
              </w:rPr>
              <w:t>-47,251,814.93</w:t>
            </w:r>
          </w:p>
        </w:tc>
        <w:tc>
          <w:tcPr>
            <w:tcW w:w="1786" w:type="dxa"/>
            <w:tcBorders>
              <w:top w:val="outset" w:color="auto" w:sz="4" w:space="0"/>
              <w:left w:val="outset" w:color="auto" w:sz="4" w:space="0"/>
              <w:bottom w:val="outset" w:color="auto" w:sz="4" w:space="0"/>
              <w:right w:val="outset" w:color="auto" w:sz="4" w:space="0"/>
            </w:tcBorders>
            <w:vAlign w:val="bottom"/>
          </w:tcPr>
          <w:p w14:paraId="3DF58BBA">
            <w:pPr>
              <w:jc w:val="right"/>
              <w:textAlignment w:val="bottom"/>
              <w:rPr>
                <w:rFonts w:cs="Times New Roman"/>
              </w:rPr>
            </w:pPr>
            <w:r>
              <w:rPr>
                <w:rFonts w:eastAsia="Arial Narrow" w:cs="Times New Roman"/>
                <w:color w:val="000000"/>
                <w:lang w:bidi="ar"/>
              </w:rPr>
              <w:t>-22,127,627.94</w:t>
            </w:r>
          </w:p>
        </w:tc>
      </w:tr>
      <w:tr w14:paraId="4767C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8f9190ce4227402ab02ac6431a00b46e"/>
            <w:id w:val="147450945"/>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0336884">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二、投资活动产生的现金流量：</w:t>
                </w:r>
              </w:p>
            </w:tc>
          </w:sdtContent>
        </w:sdt>
      </w:tr>
      <w:tr w14:paraId="1F9541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7C2623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收到其他与投资活动有关的现金</w:t>
            </w:r>
          </w:p>
        </w:tc>
        <w:tc>
          <w:tcPr>
            <w:tcW w:w="569" w:type="pct"/>
            <w:tcBorders>
              <w:top w:val="outset" w:color="auto" w:sz="4" w:space="0"/>
              <w:left w:val="outset" w:color="auto" w:sz="4" w:space="0"/>
              <w:bottom w:val="outset" w:color="auto" w:sz="4" w:space="0"/>
              <w:right w:val="outset" w:color="auto" w:sz="4" w:space="0"/>
            </w:tcBorders>
            <w:vAlign w:val="center"/>
          </w:tcPr>
          <w:p w14:paraId="4DA9B173">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10223A21">
            <w:pPr>
              <w:jc w:val="right"/>
              <w:textAlignment w:val="bottom"/>
              <w:rPr>
                <w:rFonts w:cs="Times New Roman"/>
              </w:rPr>
            </w:pPr>
            <w:r>
              <w:rPr>
                <w:rFonts w:eastAsia="Arial Narrow" w:cs="Times New Roman"/>
                <w:color w:val="000000"/>
                <w:lang w:bidi="ar"/>
              </w:rPr>
              <w:t>518,845,774.17</w:t>
            </w:r>
          </w:p>
        </w:tc>
        <w:tc>
          <w:tcPr>
            <w:tcW w:w="1786" w:type="dxa"/>
            <w:tcBorders>
              <w:top w:val="outset" w:color="auto" w:sz="4" w:space="0"/>
              <w:left w:val="outset" w:color="auto" w:sz="4" w:space="0"/>
              <w:bottom w:val="outset" w:color="auto" w:sz="4" w:space="0"/>
              <w:right w:val="outset" w:color="auto" w:sz="4" w:space="0"/>
            </w:tcBorders>
            <w:vAlign w:val="bottom"/>
          </w:tcPr>
          <w:p w14:paraId="70F01291">
            <w:pPr>
              <w:jc w:val="right"/>
              <w:textAlignment w:val="bottom"/>
              <w:rPr>
                <w:rFonts w:cs="Times New Roman"/>
              </w:rPr>
            </w:pPr>
            <w:r>
              <w:rPr>
                <w:rFonts w:eastAsia="Arial Narrow" w:cs="Times New Roman"/>
                <w:color w:val="000000"/>
                <w:lang w:bidi="ar"/>
              </w:rPr>
              <w:t>464,335,005.85</w:t>
            </w:r>
          </w:p>
        </w:tc>
      </w:tr>
      <w:tr w14:paraId="29DCD8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195895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投资活动现金流入小计</w:t>
            </w:r>
          </w:p>
        </w:tc>
        <w:tc>
          <w:tcPr>
            <w:tcW w:w="569" w:type="pct"/>
            <w:tcBorders>
              <w:top w:val="outset" w:color="auto" w:sz="4" w:space="0"/>
              <w:left w:val="outset" w:color="auto" w:sz="4" w:space="0"/>
              <w:bottom w:val="outset" w:color="auto" w:sz="4" w:space="0"/>
              <w:right w:val="outset" w:color="auto" w:sz="4" w:space="0"/>
            </w:tcBorders>
            <w:vAlign w:val="center"/>
          </w:tcPr>
          <w:p w14:paraId="149639B5">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F260DF5">
            <w:pPr>
              <w:jc w:val="right"/>
              <w:textAlignment w:val="bottom"/>
              <w:rPr>
                <w:rFonts w:cs="Times New Roman"/>
              </w:rPr>
            </w:pPr>
            <w:r>
              <w:rPr>
                <w:rFonts w:eastAsia="Arial Narrow" w:cs="Times New Roman"/>
                <w:color w:val="000000"/>
                <w:lang w:bidi="ar"/>
              </w:rPr>
              <w:t>518,845,774.17</w:t>
            </w:r>
          </w:p>
        </w:tc>
        <w:tc>
          <w:tcPr>
            <w:tcW w:w="1786" w:type="dxa"/>
            <w:tcBorders>
              <w:top w:val="outset" w:color="auto" w:sz="4" w:space="0"/>
              <w:left w:val="outset" w:color="auto" w:sz="4" w:space="0"/>
              <w:bottom w:val="outset" w:color="auto" w:sz="4" w:space="0"/>
              <w:right w:val="outset" w:color="auto" w:sz="4" w:space="0"/>
            </w:tcBorders>
            <w:vAlign w:val="bottom"/>
          </w:tcPr>
          <w:p w14:paraId="6C7C3A1F">
            <w:pPr>
              <w:jc w:val="right"/>
              <w:textAlignment w:val="bottom"/>
              <w:rPr>
                <w:rFonts w:cs="Times New Roman"/>
              </w:rPr>
            </w:pPr>
            <w:r>
              <w:rPr>
                <w:rFonts w:eastAsia="Arial Narrow" w:cs="Times New Roman"/>
                <w:color w:val="000000"/>
                <w:lang w:bidi="ar"/>
              </w:rPr>
              <w:t>464,335,005.85</w:t>
            </w:r>
          </w:p>
        </w:tc>
      </w:tr>
      <w:tr w14:paraId="544CBE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A46C26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购建固定资产、无形资产和其他长期资产支付的现金</w:t>
            </w:r>
          </w:p>
        </w:tc>
        <w:tc>
          <w:tcPr>
            <w:tcW w:w="569" w:type="pct"/>
            <w:tcBorders>
              <w:top w:val="outset" w:color="auto" w:sz="4" w:space="0"/>
              <w:left w:val="outset" w:color="auto" w:sz="4" w:space="0"/>
              <w:bottom w:val="outset" w:color="auto" w:sz="4" w:space="0"/>
              <w:right w:val="outset" w:color="auto" w:sz="4" w:space="0"/>
            </w:tcBorders>
            <w:vAlign w:val="center"/>
          </w:tcPr>
          <w:p w14:paraId="53937D89">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center"/>
          </w:tcPr>
          <w:p w14:paraId="40F5CC8C">
            <w:pPr>
              <w:jc w:val="right"/>
              <w:textAlignment w:val="bottom"/>
              <w:rPr>
                <w:rFonts w:cs="Times New Roman"/>
              </w:rPr>
            </w:pPr>
            <w:r>
              <w:rPr>
                <w:rFonts w:eastAsia="Arial Narrow" w:cs="Times New Roman"/>
                <w:color w:val="000000"/>
                <w:lang w:bidi="ar"/>
              </w:rPr>
              <w:t>3,277,834.15</w:t>
            </w:r>
          </w:p>
        </w:tc>
        <w:tc>
          <w:tcPr>
            <w:tcW w:w="1786" w:type="dxa"/>
            <w:tcBorders>
              <w:top w:val="outset" w:color="auto" w:sz="4" w:space="0"/>
              <w:left w:val="outset" w:color="auto" w:sz="4" w:space="0"/>
              <w:bottom w:val="outset" w:color="auto" w:sz="4" w:space="0"/>
              <w:right w:val="outset" w:color="auto" w:sz="4" w:space="0"/>
            </w:tcBorders>
            <w:vAlign w:val="center"/>
          </w:tcPr>
          <w:p w14:paraId="6D65312C">
            <w:pPr>
              <w:jc w:val="right"/>
              <w:textAlignment w:val="bottom"/>
              <w:rPr>
                <w:rFonts w:cs="Times New Roman"/>
              </w:rPr>
            </w:pPr>
            <w:r>
              <w:rPr>
                <w:rFonts w:eastAsia="Arial Narrow" w:cs="Times New Roman"/>
                <w:color w:val="000000"/>
                <w:lang w:bidi="ar"/>
              </w:rPr>
              <w:t>7,935,934.48</w:t>
            </w:r>
          </w:p>
        </w:tc>
      </w:tr>
      <w:tr w14:paraId="7BF72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131BB61B">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投资支付的现金</w:t>
            </w:r>
          </w:p>
        </w:tc>
        <w:tc>
          <w:tcPr>
            <w:tcW w:w="569" w:type="pct"/>
            <w:tcBorders>
              <w:top w:val="outset" w:color="auto" w:sz="4" w:space="0"/>
              <w:left w:val="outset" w:color="auto" w:sz="4" w:space="0"/>
              <w:bottom w:val="outset" w:color="auto" w:sz="4" w:space="0"/>
              <w:right w:val="outset" w:color="auto" w:sz="4" w:space="0"/>
            </w:tcBorders>
            <w:vAlign w:val="center"/>
          </w:tcPr>
          <w:p w14:paraId="296FA03A">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D657750">
            <w:pPr>
              <w:jc w:val="right"/>
              <w:textAlignment w:val="bottom"/>
              <w:rPr>
                <w:rFonts w:cs="Times New Roman"/>
              </w:rPr>
            </w:pPr>
            <w:r>
              <w:rPr>
                <w:rFonts w:eastAsia="Arial Narrow" w:cs="Times New Roman"/>
                <w:color w:val="000000"/>
                <w:lang w:bidi="ar"/>
              </w:rPr>
              <w:t>5,000,000.00</w:t>
            </w:r>
          </w:p>
        </w:tc>
        <w:tc>
          <w:tcPr>
            <w:tcW w:w="1786" w:type="dxa"/>
            <w:tcBorders>
              <w:top w:val="outset" w:color="auto" w:sz="4" w:space="0"/>
              <w:left w:val="outset" w:color="auto" w:sz="4" w:space="0"/>
              <w:bottom w:val="outset" w:color="auto" w:sz="4" w:space="0"/>
              <w:right w:val="outset" w:color="auto" w:sz="4" w:space="0"/>
            </w:tcBorders>
            <w:vAlign w:val="bottom"/>
          </w:tcPr>
          <w:p w14:paraId="0CD47F45">
            <w:pPr>
              <w:jc w:val="right"/>
              <w:rPr>
                <w:rFonts w:cs="Times New Roman"/>
              </w:rPr>
            </w:pPr>
          </w:p>
        </w:tc>
      </w:tr>
      <w:tr w14:paraId="47398D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0135B4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支付其他与投资活动有关的现金</w:t>
            </w:r>
          </w:p>
        </w:tc>
        <w:tc>
          <w:tcPr>
            <w:tcW w:w="569" w:type="pct"/>
            <w:tcBorders>
              <w:top w:val="outset" w:color="auto" w:sz="4" w:space="0"/>
              <w:left w:val="outset" w:color="auto" w:sz="4" w:space="0"/>
              <w:bottom w:val="outset" w:color="auto" w:sz="4" w:space="0"/>
              <w:right w:val="outset" w:color="auto" w:sz="4" w:space="0"/>
            </w:tcBorders>
            <w:vAlign w:val="center"/>
          </w:tcPr>
          <w:p w14:paraId="72F1A3B7">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6131290B">
            <w:pPr>
              <w:jc w:val="right"/>
              <w:textAlignment w:val="bottom"/>
              <w:rPr>
                <w:rFonts w:cs="Times New Roman"/>
              </w:rPr>
            </w:pPr>
            <w:r>
              <w:rPr>
                <w:rFonts w:eastAsia="Arial Narrow" w:cs="Times New Roman"/>
                <w:color w:val="000000"/>
                <w:lang w:bidi="ar"/>
              </w:rPr>
              <w:t>827,748,990.56</w:t>
            </w:r>
          </w:p>
        </w:tc>
        <w:tc>
          <w:tcPr>
            <w:tcW w:w="1786" w:type="dxa"/>
            <w:tcBorders>
              <w:top w:val="outset" w:color="auto" w:sz="4" w:space="0"/>
              <w:left w:val="outset" w:color="auto" w:sz="4" w:space="0"/>
              <w:bottom w:val="outset" w:color="auto" w:sz="4" w:space="0"/>
              <w:right w:val="outset" w:color="auto" w:sz="4" w:space="0"/>
            </w:tcBorders>
            <w:vAlign w:val="bottom"/>
          </w:tcPr>
          <w:p w14:paraId="05BD3E8E">
            <w:pPr>
              <w:jc w:val="right"/>
              <w:textAlignment w:val="bottom"/>
              <w:rPr>
                <w:rFonts w:cs="Times New Roman"/>
              </w:rPr>
            </w:pPr>
            <w:r>
              <w:rPr>
                <w:rFonts w:eastAsia="Arial Narrow" w:cs="Times New Roman"/>
                <w:color w:val="000000"/>
                <w:lang w:bidi="ar"/>
              </w:rPr>
              <w:t>340,031,454.35</w:t>
            </w:r>
          </w:p>
        </w:tc>
      </w:tr>
      <w:tr w14:paraId="111A93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671E30E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投资活动现金流出小计</w:t>
            </w:r>
          </w:p>
        </w:tc>
        <w:tc>
          <w:tcPr>
            <w:tcW w:w="569" w:type="pct"/>
            <w:tcBorders>
              <w:top w:val="outset" w:color="auto" w:sz="4" w:space="0"/>
              <w:left w:val="outset" w:color="auto" w:sz="4" w:space="0"/>
              <w:bottom w:val="outset" w:color="auto" w:sz="4" w:space="0"/>
              <w:right w:val="outset" w:color="auto" w:sz="4" w:space="0"/>
            </w:tcBorders>
            <w:vAlign w:val="center"/>
          </w:tcPr>
          <w:p w14:paraId="47F603A6">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D5BD554">
            <w:pPr>
              <w:jc w:val="right"/>
              <w:textAlignment w:val="bottom"/>
              <w:rPr>
                <w:rFonts w:cs="Times New Roman"/>
              </w:rPr>
            </w:pPr>
            <w:r>
              <w:rPr>
                <w:rFonts w:eastAsia="Arial Narrow" w:cs="Times New Roman"/>
                <w:color w:val="000000"/>
                <w:lang w:bidi="ar"/>
              </w:rPr>
              <w:t>836,026,824.71</w:t>
            </w:r>
          </w:p>
        </w:tc>
        <w:tc>
          <w:tcPr>
            <w:tcW w:w="1786" w:type="dxa"/>
            <w:tcBorders>
              <w:top w:val="outset" w:color="auto" w:sz="4" w:space="0"/>
              <w:left w:val="outset" w:color="auto" w:sz="4" w:space="0"/>
              <w:bottom w:val="outset" w:color="auto" w:sz="4" w:space="0"/>
              <w:right w:val="outset" w:color="auto" w:sz="4" w:space="0"/>
            </w:tcBorders>
            <w:vAlign w:val="bottom"/>
          </w:tcPr>
          <w:p w14:paraId="1C373394">
            <w:pPr>
              <w:jc w:val="right"/>
              <w:textAlignment w:val="bottom"/>
              <w:rPr>
                <w:rFonts w:cs="Times New Roman"/>
              </w:rPr>
            </w:pPr>
            <w:r>
              <w:rPr>
                <w:rFonts w:eastAsia="Arial Narrow" w:cs="Times New Roman"/>
                <w:color w:val="000000"/>
                <w:lang w:bidi="ar"/>
              </w:rPr>
              <w:t>347,967,388.83</w:t>
            </w:r>
          </w:p>
        </w:tc>
      </w:tr>
      <w:tr w14:paraId="585A6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A66C85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投资活动产生的现金流量净额</w:t>
            </w:r>
          </w:p>
        </w:tc>
        <w:tc>
          <w:tcPr>
            <w:tcW w:w="569" w:type="pct"/>
            <w:tcBorders>
              <w:top w:val="outset" w:color="auto" w:sz="4" w:space="0"/>
              <w:left w:val="outset" w:color="auto" w:sz="4" w:space="0"/>
              <w:bottom w:val="outset" w:color="auto" w:sz="4" w:space="0"/>
              <w:right w:val="outset" w:color="auto" w:sz="4" w:space="0"/>
            </w:tcBorders>
            <w:vAlign w:val="center"/>
          </w:tcPr>
          <w:p w14:paraId="0160F689">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869B0BC">
            <w:pPr>
              <w:jc w:val="right"/>
              <w:textAlignment w:val="bottom"/>
              <w:rPr>
                <w:rFonts w:cs="Times New Roman"/>
              </w:rPr>
            </w:pPr>
            <w:r>
              <w:rPr>
                <w:rFonts w:eastAsia="Arial Narrow" w:cs="Times New Roman"/>
                <w:color w:val="000000"/>
                <w:lang w:bidi="ar"/>
              </w:rPr>
              <w:t>-317,181,050.54</w:t>
            </w:r>
          </w:p>
        </w:tc>
        <w:tc>
          <w:tcPr>
            <w:tcW w:w="1786" w:type="dxa"/>
            <w:tcBorders>
              <w:top w:val="outset" w:color="auto" w:sz="4" w:space="0"/>
              <w:left w:val="outset" w:color="auto" w:sz="4" w:space="0"/>
              <w:bottom w:val="outset" w:color="auto" w:sz="4" w:space="0"/>
              <w:right w:val="outset" w:color="auto" w:sz="4" w:space="0"/>
            </w:tcBorders>
            <w:vAlign w:val="bottom"/>
          </w:tcPr>
          <w:p w14:paraId="61535D8D">
            <w:pPr>
              <w:jc w:val="right"/>
              <w:textAlignment w:val="bottom"/>
              <w:rPr>
                <w:rFonts w:cs="Times New Roman"/>
              </w:rPr>
            </w:pPr>
            <w:r>
              <w:rPr>
                <w:rFonts w:eastAsia="Arial Narrow" w:cs="Times New Roman"/>
                <w:color w:val="000000"/>
                <w:lang w:bidi="ar"/>
              </w:rPr>
              <w:t>116,367,617.02</w:t>
            </w:r>
          </w:p>
        </w:tc>
      </w:tr>
      <w:tr w14:paraId="3C1996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rPr>
              <w:rFonts w:cs="Times New Roman"/>
            </w:rPr>
            <w:tag w:val="_PLD_7d68e34216d04af0934267b3078d3c35"/>
            <w:id w:val="147471309"/>
          </w:sdtPr>
          <w:sdtEndPr>
            <w:rPr>
              <w:rFonts w:cs="Times New Roman"/>
            </w:rPr>
          </w:sdtEndPr>
          <w:sdtContent>
            <w:tc>
              <w:tcPr>
                <w:tcW w:w="5000" w:type="pct"/>
                <w:gridSpan w:val="4"/>
                <w:tcBorders>
                  <w:top w:val="outset" w:color="auto" w:sz="4" w:space="0"/>
                  <w:left w:val="outset" w:color="auto" w:sz="4" w:space="0"/>
                  <w:bottom w:val="outset" w:color="auto" w:sz="4" w:space="0"/>
                  <w:right w:val="outset" w:color="auto" w:sz="4" w:space="0"/>
                </w:tcBorders>
                <w:vAlign w:val="center"/>
              </w:tcPr>
              <w:p w14:paraId="19870FFE">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三、筹资活动产生的现金流量：</w:t>
                </w:r>
              </w:p>
            </w:tc>
          </w:sdtContent>
        </w:sdt>
      </w:tr>
      <w:tr w14:paraId="4FEDED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5E5DEC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取得借款收到的现金</w:t>
            </w:r>
          </w:p>
        </w:tc>
        <w:tc>
          <w:tcPr>
            <w:tcW w:w="569" w:type="pct"/>
            <w:tcBorders>
              <w:top w:val="outset" w:color="auto" w:sz="4" w:space="0"/>
              <w:left w:val="outset" w:color="auto" w:sz="4" w:space="0"/>
              <w:bottom w:val="outset" w:color="auto" w:sz="4" w:space="0"/>
              <w:right w:val="outset" w:color="auto" w:sz="4" w:space="0"/>
            </w:tcBorders>
            <w:vAlign w:val="center"/>
          </w:tcPr>
          <w:p w14:paraId="128E181A">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25279CE">
            <w:pPr>
              <w:jc w:val="right"/>
              <w:textAlignment w:val="bottom"/>
              <w:rPr>
                <w:rFonts w:cs="Times New Roman"/>
              </w:rPr>
            </w:pPr>
            <w:r>
              <w:rPr>
                <w:rFonts w:eastAsia="Arial Narrow" w:cs="Times New Roman"/>
                <w:color w:val="000000"/>
                <w:lang w:bidi="ar"/>
              </w:rPr>
              <w:t>2,025,000,000.00</w:t>
            </w:r>
          </w:p>
        </w:tc>
        <w:tc>
          <w:tcPr>
            <w:tcW w:w="1786" w:type="dxa"/>
            <w:tcBorders>
              <w:top w:val="outset" w:color="auto" w:sz="4" w:space="0"/>
              <w:left w:val="outset" w:color="auto" w:sz="4" w:space="0"/>
              <w:bottom w:val="outset" w:color="auto" w:sz="4" w:space="0"/>
              <w:right w:val="outset" w:color="auto" w:sz="4" w:space="0"/>
            </w:tcBorders>
            <w:vAlign w:val="bottom"/>
          </w:tcPr>
          <w:p w14:paraId="139C8BEE">
            <w:pPr>
              <w:jc w:val="right"/>
              <w:textAlignment w:val="bottom"/>
              <w:rPr>
                <w:rFonts w:cs="Times New Roman"/>
              </w:rPr>
            </w:pPr>
            <w:r>
              <w:rPr>
                <w:rFonts w:eastAsia="Arial Narrow" w:cs="Times New Roman"/>
                <w:color w:val="000000"/>
                <w:lang w:bidi="ar"/>
              </w:rPr>
              <w:t>335,000,000.00</w:t>
            </w:r>
          </w:p>
        </w:tc>
      </w:tr>
      <w:tr w14:paraId="7C963B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B0113C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收到其他与筹资活动有关的现金</w:t>
            </w:r>
          </w:p>
        </w:tc>
        <w:tc>
          <w:tcPr>
            <w:tcW w:w="569" w:type="pct"/>
            <w:tcBorders>
              <w:top w:val="outset" w:color="auto" w:sz="4" w:space="0"/>
              <w:left w:val="outset" w:color="auto" w:sz="4" w:space="0"/>
              <w:bottom w:val="outset" w:color="auto" w:sz="4" w:space="0"/>
              <w:right w:val="outset" w:color="auto" w:sz="4" w:space="0"/>
            </w:tcBorders>
            <w:vAlign w:val="center"/>
          </w:tcPr>
          <w:p w14:paraId="4B0037DC">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3B334853">
            <w:pPr>
              <w:jc w:val="right"/>
              <w:rPr>
                <w:rFonts w:cs="Times New Roman"/>
              </w:rPr>
            </w:pPr>
          </w:p>
        </w:tc>
        <w:tc>
          <w:tcPr>
            <w:tcW w:w="1786" w:type="dxa"/>
            <w:tcBorders>
              <w:top w:val="outset" w:color="auto" w:sz="4" w:space="0"/>
              <w:left w:val="outset" w:color="auto" w:sz="4" w:space="0"/>
              <w:bottom w:val="outset" w:color="auto" w:sz="4" w:space="0"/>
              <w:right w:val="outset" w:color="auto" w:sz="4" w:space="0"/>
            </w:tcBorders>
            <w:vAlign w:val="bottom"/>
          </w:tcPr>
          <w:p w14:paraId="23C943AE">
            <w:pPr>
              <w:jc w:val="right"/>
              <w:rPr>
                <w:rFonts w:cs="Times New Roman"/>
              </w:rPr>
            </w:pPr>
          </w:p>
        </w:tc>
      </w:tr>
      <w:tr w14:paraId="6BE0D2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5D47F5B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筹资活动现金流入小计</w:t>
            </w:r>
          </w:p>
        </w:tc>
        <w:tc>
          <w:tcPr>
            <w:tcW w:w="569" w:type="pct"/>
            <w:tcBorders>
              <w:top w:val="outset" w:color="auto" w:sz="4" w:space="0"/>
              <w:left w:val="outset" w:color="auto" w:sz="4" w:space="0"/>
              <w:bottom w:val="outset" w:color="auto" w:sz="4" w:space="0"/>
              <w:right w:val="outset" w:color="auto" w:sz="4" w:space="0"/>
            </w:tcBorders>
            <w:vAlign w:val="center"/>
          </w:tcPr>
          <w:p w14:paraId="37C79830">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7804A912">
            <w:pPr>
              <w:jc w:val="right"/>
              <w:textAlignment w:val="bottom"/>
              <w:rPr>
                <w:rFonts w:cs="Times New Roman"/>
              </w:rPr>
            </w:pPr>
            <w:r>
              <w:rPr>
                <w:rFonts w:eastAsia="Arial Narrow" w:cs="Times New Roman"/>
                <w:color w:val="000000"/>
                <w:lang w:bidi="ar"/>
              </w:rPr>
              <w:t>2,025,000,000.00</w:t>
            </w:r>
          </w:p>
        </w:tc>
        <w:tc>
          <w:tcPr>
            <w:tcW w:w="1786" w:type="dxa"/>
            <w:tcBorders>
              <w:top w:val="outset" w:color="auto" w:sz="4" w:space="0"/>
              <w:left w:val="outset" w:color="auto" w:sz="4" w:space="0"/>
              <w:bottom w:val="outset" w:color="auto" w:sz="4" w:space="0"/>
              <w:right w:val="outset" w:color="auto" w:sz="4" w:space="0"/>
            </w:tcBorders>
            <w:vAlign w:val="bottom"/>
          </w:tcPr>
          <w:p w14:paraId="72703523">
            <w:pPr>
              <w:jc w:val="right"/>
              <w:textAlignment w:val="bottom"/>
              <w:rPr>
                <w:rFonts w:cs="Times New Roman"/>
              </w:rPr>
            </w:pPr>
            <w:r>
              <w:rPr>
                <w:rFonts w:eastAsia="Arial Narrow" w:cs="Times New Roman"/>
                <w:color w:val="000000"/>
                <w:lang w:bidi="ar"/>
              </w:rPr>
              <w:t>335,000,000.00</w:t>
            </w:r>
          </w:p>
        </w:tc>
      </w:tr>
      <w:tr w14:paraId="49041F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166282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偿还债务支付的现金</w:t>
            </w:r>
          </w:p>
        </w:tc>
        <w:tc>
          <w:tcPr>
            <w:tcW w:w="569" w:type="pct"/>
            <w:tcBorders>
              <w:top w:val="outset" w:color="auto" w:sz="4" w:space="0"/>
              <w:left w:val="outset" w:color="auto" w:sz="4" w:space="0"/>
              <w:bottom w:val="outset" w:color="auto" w:sz="4" w:space="0"/>
              <w:right w:val="outset" w:color="auto" w:sz="4" w:space="0"/>
            </w:tcBorders>
            <w:vAlign w:val="center"/>
          </w:tcPr>
          <w:p w14:paraId="3DFCB9A0">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2CA22D69">
            <w:pPr>
              <w:jc w:val="right"/>
              <w:textAlignment w:val="bottom"/>
              <w:rPr>
                <w:rFonts w:cs="Times New Roman"/>
              </w:rPr>
            </w:pPr>
            <w:r>
              <w:rPr>
                <w:rFonts w:eastAsia="Arial Narrow" w:cs="Times New Roman"/>
                <w:color w:val="000000"/>
                <w:lang w:bidi="ar"/>
              </w:rPr>
              <w:t>56,550,000.00</w:t>
            </w:r>
          </w:p>
        </w:tc>
        <w:tc>
          <w:tcPr>
            <w:tcW w:w="1786" w:type="dxa"/>
            <w:tcBorders>
              <w:top w:val="outset" w:color="auto" w:sz="4" w:space="0"/>
              <w:left w:val="outset" w:color="auto" w:sz="4" w:space="0"/>
              <w:bottom w:val="outset" w:color="auto" w:sz="4" w:space="0"/>
              <w:right w:val="outset" w:color="auto" w:sz="4" w:space="0"/>
            </w:tcBorders>
            <w:vAlign w:val="bottom"/>
          </w:tcPr>
          <w:p w14:paraId="7644DCBC">
            <w:pPr>
              <w:jc w:val="right"/>
              <w:textAlignment w:val="bottom"/>
              <w:rPr>
                <w:rFonts w:cs="Times New Roman"/>
              </w:rPr>
            </w:pPr>
            <w:r>
              <w:rPr>
                <w:rFonts w:eastAsia="Arial Narrow" w:cs="Times New Roman"/>
                <w:color w:val="000000"/>
                <w:lang w:bidi="ar"/>
              </w:rPr>
              <w:t>832,000,000.00</w:t>
            </w:r>
          </w:p>
        </w:tc>
      </w:tr>
      <w:tr w14:paraId="5C6A7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424E1C2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分配股利、利润或偿付利息支付的现金</w:t>
            </w:r>
          </w:p>
        </w:tc>
        <w:tc>
          <w:tcPr>
            <w:tcW w:w="569" w:type="pct"/>
            <w:tcBorders>
              <w:top w:val="outset" w:color="auto" w:sz="4" w:space="0"/>
              <w:left w:val="outset" w:color="auto" w:sz="4" w:space="0"/>
              <w:bottom w:val="outset" w:color="auto" w:sz="4" w:space="0"/>
              <w:right w:val="outset" w:color="auto" w:sz="4" w:space="0"/>
            </w:tcBorders>
            <w:vAlign w:val="center"/>
          </w:tcPr>
          <w:p w14:paraId="4BCBCA66">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3EA37A99">
            <w:pPr>
              <w:jc w:val="right"/>
              <w:textAlignment w:val="bottom"/>
              <w:rPr>
                <w:rFonts w:cs="Times New Roman"/>
              </w:rPr>
            </w:pPr>
            <w:r>
              <w:rPr>
                <w:rFonts w:eastAsia="Arial Narrow" w:cs="Times New Roman"/>
                <w:color w:val="000000"/>
                <w:lang w:bidi="ar"/>
              </w:rPr>
              <w:t>44,793,760.27</w:t>
            </w:r>
          </w:p>
        </w:tc>
        <w:tc>
          <w:tcPr>
            <w:tcW w:w="1786" w:type="dxa"/>
            <w:tcBorders>
              <w:top w:val="outset" w:color="auto" w:sz="4" w:space="0"/>
              <w:left w:val="outset" w:color="auto" w:sz="4" w:space="0"/>
              <w:bottom w:val="outset" w:color="auto" w:sz="4" w:space="0"/>
              <w:right w:val="outset" w:color="auto" w:sz="4" w:space="0"/>
            </w:tcBorders>
            <w:vAlign w:val="bottom"/>
          </w:tcPr>
          <w:p w14:paraId="1BD01EF7">
            <w:pPr>
              <w:jc w:val="right"/>
              <w:textAlignment w:val="bottom"/>
              <w:rPr>
                <w:rFonts w:cs="Times New Roman"/>
              </w:rPr>
            </w:pPr>
            <w:r>
              <w:rPr>
                <w:rFonts w:eastAsia="Arial Narrow" w:cs="Times New Roman"/>
                <w:color w:val="000000"/>
                <w:lang w:bidi="ar"/>
              </w:rPr>
              <w:t>29,489,413.33</w:t>
            </w:r>
          </w:p>
        </w:tc>
      </w:tr>
      <w:tr w14:paraId="7FBC91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12F50CF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支付其他与筹资活动有关的现金</w:t>
            </w:r>
          </w:p>
        </w:tc>
        <w:tc>
          <w:tcPr>
            <w:tcW w:w="569" w:type="pct"/>
            <w:tcBorders>
              <w:top w:val="outset" w:color="auto" w:sz="4" w:space="0"/>
              <w:left w:val="outset" w:color="auto" w:sz="4" w:space="0"/>
              <w:bottom w:val="outset" w:color="auto" w:sz="4" w:space="0"/>
              <w:right w:val="outset" w:color="auto" w:sz="4" w:space="0"/>
            </w:tcBorders>
            <w:vAlign w:val="center"/>
          </w:tcPr>
          <w:p w14:paraId="75DC1D20">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564ABAB8">
            <w:pPr>
              <w:jc w:val="right"/>
              <w:textAlignment w:val="bottom"/>
              <w:rPr>
                <w:rFonts w:cs="Times New Roman"/>
              </w:rPr>
            </w:pPr>
            <w:r>
              <w:rPr>
                <w:rFonts w:eastAsia="Arial Narrow" w:cs="Times New Roman"/>
                <w:color w:val="000000"/>
                <w:lang w:bidi="ar"/>
              </w:rPr>
              <w:t>261,938,040.72</w:t>
            </w:r>
          </w:p>
        </w:tc>
        <w:tc>
          <w:tcPr>
            <w:tcW w:w="1786" w:type="dxa"/>
            <w:tcBorders>
              <w:top w:val="outset" w:color="auto" w:sz="4" w:space="0"/>
              <w:left w:val="outset" w:color="auto" w:sz="4" w:space="0"/>
              <w:bottom w:val="outset" w:color="auto" w:sz="4" w:space="0"/>
              <w:right w:val="outset" w:color="auto" w:sz="4" w:space="0"/>
            </w:tcBorders>
            <w:vAlign w:val="bottom"/>
          </w:tcPr>
          <w:p w14:paraId="4E9580BA">
            <w:pPr>
              <w:jc w:val="right"/>
              <w:textAlignment w:val="bottom"/>
              <w:rPr>
                <w:rFonts w:cs="Times New Roman"/>
              </w:rPr>
            </w:pPr>
            <w:r>
              <w:rPr>
                <w:rFonts w:eastAsia="Arial Narrow" w:cs="Times New Roman"/>
                <w:color w:val="000000"/>
                <w:lang w:bidi="ar"/>
              </w:rPr>
              <w:t>353,000,000.00</w:t>
            </w:r>
          </w:p>
        </w:tc>
      </w:tr>
      <w:tr w14:paraId="49B041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A91691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筹资活动现金流出小计</w:t>
            </w:r>
          </w:p>
        </w:tc>
        <w:tc>
          <w:tcPr>
            <w:tcW w:w="569" w:type="pct"/>
            <w:tcBorders>
              <w:top w:val="outset" w:color="auto" w:sz="4" w:space="0"/>
              <w:left w:val="outset" w:color="auto" w:sz="4" w:space="0"/>
              <w:bottom w:val="outset" w:color="auto" w:sz="4" w:space="0"/>
              <w:right w:val="outset" w:color="auto" w:sz="4" w:space="0"/>
            </w:tcBorders>
            <w:vAlign w:val="center"/>
          </w:tcPr>
          <w:p w14:paraId="25CF3B59">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49928BF4">
            <w:pPr>
              <w:jc w:val="right"/>
              <w:textAlignment w:val="bottom"/>
              <w:rPr>
                <w:rFonts w:cs="Times New Roman"/>
              </w:rPr>
            </w:pPr>
            <w:r>
              <w:rPr>
                <w:rFonts w:eastAsia="Arial Narrow" w:cs="Times New Roman"/>
                <w:color w:val="000000"/>
                <w:lang w:bidi="ar"/>
              </w:rPr>
              <w:t>363,281,800.99</w:t>
            </w:r>
          </w:p>
        </w:tc>
        <w:tc>
          <w:tcPr>
            <w:tcW w:w="1786" w:type="dxa"/>
            <w:tcBorders>
              <w:top w:val="outset" w:color="auto" w:sz="4" w:space="0"/>
              <w:left w:val="outset" w:color="auto" w:sz="4" w:space="0"/>
              <w:bottom w:val="outset" w:color="auto" w:sz="4" w:space="0"/>
              <w:right w:val="outset" w:color="auto" w:sz="4" w:space="0"/>
            </w:tcBorders>
            <w:vAlign w:val="bottom"/>
          </w:tcPr>
          <w:p w14:paraId="23950E9E">
            <w:pPr>
              <w:jc w:val="right"/>
              <w:textAlignment w:val="bottom"/>
              <w:rPr>
                <w:rFonts w:cs="Times New Roman"/>
              </w:rPr>
            </w:pPr>
            <w:r>
              <w:rPr>
                <w:rFonts w:eastAsia="Arial Narrow" w:cs="Times New Roman"/>
                <w:color w:val="000000"/>
                <w:lang w:bidi="ar"/>
              </w:rPr>
              <w:t>1,214,489,413.33</w:t>
            </w:r>
          </w:p>
        </w:tc>
      </w:tr>
      <w:tr w14:paraId="7894CE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2E2444C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筹资活动产生的现金流量净额</w:t>
            </w:r>
          </w:p>
        </w:tc>
        <w:tc>
          <w:tcPr>
            <w:tcW w:w="569" w:type="pct"/>
            <w:tcBorders>
              <w:top w:val="outset" w:color="auto" w:sz="4" w:space="0"/>
              <w:left w:val="outset" w:color="auto" w:sz="4" w:space="0"/>
              <w:bottom w:val="outset" w:color="auto" w:sz="4" w:space="0"/>
              <w:right w:val="outset" w:color="auto" w:sz="4" w:space="0"/>
            </w:tcBorders>
            <w:vAlign w:val="center"/>
          </w:tcPr>
          <w:p w14:paraId="55A4E50A">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17DF296D">
            <w:pPr>
              <w:jc w:val="right"/>
              <w:textAlignment w:val="bottom"/>
              <w:rPr>
                <w:rFonts w:cs="Times New Roman"/>
              </w:rPr>
            </w:pPr>
            <w:r>
              <w:rPr>
                <w:rFonts w:eastAsia="Arial Narrow" w:cs="Times New Roman"/>
                <w:color w:val="000000"/>
                <w:lang w:bidi="ar"/>
              </w:rPr>
              <w:t>1,661,718,199.01</w:t>
            </w:r>
          </w:p>
        </w:tc>
        <w:tc>
          <w:tcPr>
            <w:tcW w:w="1786" w:type="dxa"/>
            <w:tcBorders>
              <w:top w:val="outset" w:color="auto" w:sz="4" w:space="0"/>
              <w:left w:val="outset" w:color="auto" w:sz="4" w:space="0"/>
              <w:bottom w:val="outset" w:color="auto" w:sz="4" w:space="0"/>
              <w:right w:val="outset" w:color="auto" w:sz="4" w:space="0"/>
            </w:tcBorders>
            <w:vAlign w:val="bottom"/>
          </w:tcPr>
          <w:p w14:paraId="3B801079">
            <w:pPr>
              <w:jc w:val="right"/>
              <w:textAlignment w:val="bottom"/>
              <w:rPr>
                <w:rFonts w:cs="Times New Roman"/>
              </w:rPr>
            </w:pPr>
            <w:r>
              <w:rPr>
                <w:rFonts w:eastAsia="Arial Narrow" w:cs="Times New Roman"/>
                <w:color w:val="000000"/>
                <w:lang w:bidi="ar"/>
              </w:rPr>
              <w:t>-879,489,413.33</w:t>
            </w:r>
          </w:p>
        </w:tc>
      </w:tr>
      <w:tr w14:paraId="4C465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5D99CF0B">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四、汇率变动对现金及现金等价物的影响</w:t>
            </w:r>
          </w:p>
        </w:tc>
        <w:tc>
          <w:tcPr>
            <w:tcW w:w="569" w:type="pct"/>
            <w:tcBorders>
              <w:top w:val="outset" w:color="auto" w:sz="4" w:space="0"/>
              <w:left w:val="outset" w:color="auto" w:sz="4" w:space="0"/>
              <w:bottom w:val="outset" w:color="auto" w:sz="4" w:space="0"/>
              <w:right w:val="outset" w:color="auto" w:sz="4" w:space="0"/>
            </w:tcBorders>
            <w:vAlign w:val="center"/>
          </w:tcPr>
          <w:p w14:paraId="17B652E1">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25DD0ACA">
            <w:pPr>
              <w:jc w:val="right"/>
              <w:rPr>
                <w:rFonts w:cs="Times New Roman"/>
              </w:rPr>
            </w:pPr>
          </w:p>
        </w:tc>
        <w:tc>
          <w:tcPr>
            <w:tcW w:w="1786" w:type="dxa"/>
            <w:tcBorders>
              <w:top w:val="outset" w:color="auto" w:sz="4" w:space="0"/>
              <w:left w:val="outset" w:color="auto" w:sz="4" w:space="0"/>
              <w:bottom w:val="outset" w:color="auto" w:sz="4" w:space="0"/>
              <w:right w:val="outset" w:color="auto" w:sz="4" w:space="0"/>
            </w:tcBorders>
            <w:vAlign w:val="bottom"/>
          </w:tcPr>
          <w:p w14:paraId="5A6FBB68">
            <w:pPr>
              <w:jc w:val="right"/>
              <w:rPr>
                <w:rFonts w:cs="Times New Roman"/>
              </w:rPr>
            </w:pPr>
          </w:p>
        </w:tc>
      </w:tr>
      <w:tr w14:paraId="0751A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097CA320">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五、现金及现金等价物净增加额</w:t>
            </w:r>
          </w:p>
        </w:tc>
        <w:tc>
          <w:tcPr>
            <w:tcW w:w="569" w:type="pct"/>
            <w:tcBorders>
              <w:top w:val="outset" w:color="auto" w:sz="4" w:space="0"/>
              <w:left w:val="outset" w:color="auto" w:sz="4" w:space="0"/>
              <w:bottom w:val="outset" w:color="auto" w:sz="4" w:space="0"/>
              <w:right w:val="outset" w:color="auto" w:sz="4" w:space="0"/>
            </w:tcBorders>
            <w:vAlign w:val="center"/>
          </w:tcPr>
          <w:p w14:paraId="7EA27B35">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12A0DC8C">
            <w:pPr>
              <w:jc w:val="right"/>
              <w:textAlignment w:val="bottom"/>
              <w:rPr>
                <w:rFonts w:cs="Times New Roman"/>
              </w:rPr>
            </w:pPr>
            <w:r>
              <w:rPr>
                <w:rFonts w:eastAsia="Arial Narrow" w:cs="Times New Roman"/>
                <w:color w:val="000000"/>
                <w:lang w:bidi="ar"/>
              </w:rPr>
              <w:t>1,297,285,333.54</w:t>
            </w:r>
          </w:p>
        </w:tc>
        <w:tc>
          <w:tcPr>
            <w:tcW w:w="1786" w:type="dxa"/>
            <w:tcBorders>
              <w:top w:val="outset" w:color="auto" w:sz="4" w:space="0"/>
              <w:left w:val="outset" w:color="auto" w:sz="4" w:space="0"/>
              <w:bottom w:val="outset" w:color="auto" w:sz="4" w:space="0"/>
              <w:right w:val="outset" w:color="auto" w:sz="4" w:space="0"/>
            </w:tcBorders>
            <w:vAlign w:val="bottom"/>
          </w:tcPr>
          <w:p w14:paraId="427552CE">
            <w:pPr>
              <w:jc w:val="right"/>
              <w:textAlignment w:val="bottom"/>
              <w:rPr>
                <w:rFonts w:cs="Times New Roman"/>
              </w:rPr>
            </w:pPr>
            <w:r>
              <w:rPr>
                <w:rFonts w:eastAsia="Arial Narrow" w:cs="Times New Roman"/>
                <w:color w:val="000000"/>
                <w:lang w:bidi="ar"/>
              </w:rPr>
              <w:t>-785,249,424.25</w:t>
            </w:r>
          </w:p>
        </w:tc>
      </w:tr>
      <w:tr w14:paraId="32A8A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68EB491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加：期初现金及现金等价物余额</w:t>
            </w:r>
          </w:p>
        </w:tc>
        <w:tc>
          <w:tcPr>
            <w:tcW w:w="569" w:type="pct"/>
            <w:tcBorders>
              <w:top w:val="outset" w:color="auto" w:sz="4" w:space="0"/>
              <w:left w:val="outset" w:color="auto" w:sz="4" w:space="0"/>
              <w:bottom w:val="outset" w:color="auto" w:sz="4" w:space="0"/>
              <w:right w:val="outset" w:color="auto" w:sz="4" w:space="0"/>
            </w:tcBorders>
            <w:vAlign w:val="center"/>
          </w:tcPr>
          <w:p w14:paraId="6D0070A9">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03265957">
            <w:pPr>
              <w:jc w:val="right"/>
              <w:textAlignment w:val="bottom"/>
              <w:rPr>
                <w:rFonts w:cs="Times New Roman"/>
              </w:rPr>
            </w:pPr>
            <w:r>
              <w:rPr>
                <w:rFonts w:eastAsia="Arial Narrow" w:cs="Times New Roman"/>
                <w:color w:val="000000"/>
                <w:lang w:bidi="ar"/>
              </w:rPr>
              <w:t>1,936,480,869.63</w:t>
            </w:r>
          </w:p>
        </w:tc>
        <w:tc>
          <w:tcPr>
            <w:tcW w:w="1786" w:type="dxa"/>
            <w:tcBorders>
              <w:top w:val="outset" w:color="auto" w:sz="4" w:space="0"/>
              <w:left w:val="outset" w:color="auto" w:sz="4" w:space="0"/>
              <w:bottom w:val="outset" w:color="auto" w:sz="4" w:space="0"/>
              <w:right w:val="outset" w:color="auto" w:sz="4" w:space="0"/>
            </w:tcBorders>
            <w:vAlign w:val="bottom"/>
          </w:tcPr>
          <w:p w14:paraId="5E30BA97">
            <w:pPr>
              <w:jc w:val="right"/>
              <w:textAlignment w:val="bottom"/>
              <w:rPr>
                <w:rFonts w:cs="Times New Roman"/>
              </w:rPr>
            </w:pPr>
            <w:r>
              <w:rPr>
                <w:rFonts w:eastAsia="Arial Narrow" w:cs="Times New Roman"/>
                <w:color w:val="000000"/>
                <w:lang w:bidi="ar"/>
              </w:rPr>
              <w:t>3,026,644,117.34</w:t>
            </w:r>
          </w:p>
        </w:tc>
      </w:tr>
      <w:tr w14:paraId="28CA5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559" w:type="pct"/>
            <w:tcBorders>
              <w:top w:val="outset" w:color="auto" w:sz="4" w:space="0"/>
              <w:left w:val="outset" w:color="auto" w:sz="4" w:space="0"/>
              <w:bottom w:val="outset" w:color="auto" w:sz="4" w:space="0"/>
              <w:right w:val="outset" w:color="auto" w:sz="4" w:space="0"/>
            </w:tcBorders>
            <w:vAlign w:val="center"/>
          </w:tcPr>
          <w:p w14:paraId="3F131462">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六、期末现金及现金等价物余额</w:t>
            </w:r>
          </w:p>
        </w:tc>
        <w:tc>
          <w:tcPr>
            <w:tcW w:w="569" w:type="pct"/>
            <w:tcBorders>
              <w:top w:val="outset" w:color="auto" w:sz="4" w:space="0"/>
              <w:left w:val="outset" w:color="auto" w:sz="4" w:space="0"/>
              <w:bottom w:val="outset" w:color="auto" w:sz="4" w:space="0"/>
              <w:right w:val="outset" w:color="auto" w:sz="4" w:space="0"/>
            </w:tcBorders>
            <w:vAlign w:val="center"/>
          </w:tcPr>
          <w:p w14:paraId="3E40E0EE">
            <w:pPr>
              <w:pStyle w:val="55"/>
              <w:spacing w:after="0" w:line="240" w:lineRule="auto"/>
              <w:rPr>
                <w:rFonts w:cs="Times New Roman"/>
              </w:rPr>
            </w:pPr>
          </w:p>
        </w:tc>
        <w:tc>
          <w:tcPr>
            <w:tcW w:w="1602" w:type="dxa"/>
            <w:tcBorders>
              <w:top w:val="outset" w:color="auto" w:sz="4" w:space="0"/>
              <w:left w:val="outset" w:color="auto" w:sz="4" w:space="0"/>
              <w:bottom w:val="outset" w:color="auto" w:sz="4" w:space="0"/>
              <w:right w:val="outset" w:color="auto" w:sz="4" w:space="0"/>
            </w:tcBorders>
            <w:vAlign w:val="bottom"/>
          </w:tcPr>
          <w:p w14:paraId="505BFEF6">
            <w:pPr>
              <w:jc w:val="right"/>
              <w:textAlignment w:val="bottom"/>
              <w:rPr>
                <w:rFonts w:cs="Times New Roman"/>
              </w:rPr>
            </w:pPr>
            <w:r>
              <w:rPr>
                <w:rFonts w:eastAsia="Arial Narrow" w:cs="Times New Roman"/>
                <w:color w:val="000000"/>
                <w:lang w:bidi="ar"/>
              </w:rPr>
              <w:t>3,233,766,203.17</w:t>
            </w:r>
          </w:p>
        </w:tc>
        <w:tc>
          <w:tcPr>
            <w:tcW w:w="1786" w:type="dxa"/>
            <w:tcBorders>
              <w:top w:val="outset" w:color="auto" w:sz="4" w:space="0"/>
              <w:left w:val="outset" w:color="auto" w:sz="4" w:space="0"/>
              <w:bottom w:val="outset" w:color="auto" w:sz="4" w:space="0"/>
              <w:right w:val="outset" w:color="auto" w:sz="4" w:space="0"/>
            </w:tcBorders>
            <w:vAlign w:val="bottom"/>
          </w:tcPr>
          <w:p w14:paraId="0FA31F4E">
            <w:pPr>
              <w:jc w:val="right"/>
              <w:textAlignment w:val="bottom"/>
              <w:rPr>
                <w:rFonts w:cs="Times New Roman"/>
              </w:rPr>
            </w:pPr>
            <w:r>
              <w:rPr>
                <w:rFonts w:eastAsia="Arial Narrow" w:cs="Times New Roman"/>
                <w:color w:val="000000"/>
                <w:lang w:bidi="ar"/>
              </w:rPr>
              <w:t>2,241,394,693.09</w:t>
            </w:r>
          </w:p>
        </w:tc>
      </w:tr>
    </w:tbl>
    <w:p w14:paraId="5BA695CB">
      <w:pPr>
        <w:snapToGrid w:val="0"/>
        <w:spacing w:line="240" w:lineRule="atLeast"/>
        <w:ind w:right="-153" w:rightChars="-73"/>
        <w:rPr>
          <w:color w:val="000000" w:themeColor="text1"/>
          <w14:textFill>
            <w14:solidFill>
              <w14:schemeClr w14:val="tx1"/>
            </w14:solidFill>
          </w14:textFill>
        </w:rPr>
      </w:pPr>
    </w:p>
    <w:p w14:paraId="79E429CF">
      <w:pPr>
        <w:snapToGrid w:val="0"/>
        <w:spacing w:line="240" w:lineRule="atLeast"/>
        <w:ind w:right="-153" w:rightChars="-73"/>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b872f4b10a12453987b2d73dfe2a5ff9"/>
          <w:id w:val="147454717"/>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29443dd8858043c68f8217b05d1e3346"/>
          <w:id w:val="147475716"/>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952065710c0f41709539d877935c1903"/>
          <w:id w:val="147463418"/>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79ACECCA">
      <w:pPr>
        <w:rPr>
          <w:b/>
          <w:bCs w:val="0"/>
          <w:color w:val="000000" w:themeColor="text1"/>
          <w14:textFill>
            <w14:solidFill>
              <w14:schemeClr w14:val="tx1"/>
            </w14:solidFill>
          </w14:textFill>
        </w:rPr>
      </w:pPr>
    </w:p>
    <w:bookmarkEnd w:id="154"/>
    <w:p w14:paraId="27CE4F4C">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bookmarkStart w:id="155" w:name="_Hlk10211660"/>
      <w:bookmarkEnd w:id="155"/>
    </w:p>
    <w:p w14:paraId="0856619F">
      <w:pPr>
        <w:pStyle w:val="57"/>
        <w:jc w:val="center"/>
        <w:rPr>
          <w:rFonts w:ascii="宋体" w:hAnsi="宋体"/>
          <w:color w:val="000000" w:themeColor="text1"/>
          <w14:textFill>
            <w14:solidFill>
              <w14:schemeClr w14:val="tx1"/>
            </w14:solidFill>
          </w14:textFill>
        </w:rPr>
      </w:pPr>
      <w:bookmarkStart w:id="156" w:name="_Hlk10211858"/>
      <w:r>
        <w:rPr>
          <w:rFonts w:ascii="宋体" w:hAnsi="宋体"/>
          <w:color w:val="000000" w:themeColor="text1"/>
          <w14:textFill>
            <w14:solidFill>
              <w14:schemeClr w14:val="tx1"/>
            </w14:solidFill>
          </w14:textFill>
        </w:rPr>
        <w:t>合并</w:t>
      </w:r>
      <w:r>
        <w:rPr>
          <w:rFonts w:hint="eastAsia" w:ascii="宋体" w:hAnsi="宋体"/>
          <w:color w:val="000000" w:themeColor="text1"/>
          <w14:textFill>
            <w14:solidFill>
              <w14:schemeClr w14:val="tx1"/>
            </w14:solidFill>
          </w14:textFill>
        </w:rPr>
        <w:t>所有者权益变动表</w:t>
      </w:r>
    </w:p>
    <w:p w14:paraId="0E296EE9">
      <w:pPr>
        <w:tabs>
          <w:tab w:val="left" w:pos="10080"/>
        </w:tabs>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2025年</w:t>
      </w:r>
      <w:r>
        <w:rPr>
          <w:rFonts w:hint="eastAsia"/>
          <w:color w:val="000000" w:themeColor="text1"/>
          <w14:textFill>
            <w14:solidFill>
              <w14:schemeClr w14:val="tx1"/>
            </w14:solidFill>
          </w14:textFill>
        </w:rPr>
        <w:t>1—6月</w:t>
      </w:r>
    </w:p>
    <w:p w14:paraId="73AF6AA6">
      <w:pPr>
        <w:tabs>
          <w:tab w:val="left" w:pos="10080"/>
        </w:tabs>
        <w:snapToGrid w:val="0"/>
        <w:spacing w:line="240" w:lineRule="atLeast"/>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股东权益调节表"/>
          <w:tag w:val="_GBC_57faea4e453e49ad93821b7dd6ce8bc4"/>
          <w:id w:val="1474714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股东权益调节表"/>
          <w:tag w:val="_GBC_cef77704267643d794145c73763360e5"/>
          <w:id w:val="1474751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9"/>
        <w:gridCol w:w="1452"/>
        <w:gridCol w:w="1211"/>
        <w:gridCol w:w="1135"/>
        <w:gridCol w:w="1329"/>
        <w:gridCol w:w="1208"/>
        <w:gridCol w:w="1178"/>
        <w:gridCol w:w="1254"/>
        <w:gridCol w:w="1218"/>
        <w:gridCol w:w="1431"/>
      </w:tblGrid>
      <w:tr w14:paraId="12B9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pct"/>
            <w:vMerge w:val="restart"/>
            <w:vAlign w:val="center"/>
          </w:tcPr>
          <w:sdt>
            <w:sdtPr>
              <w:tag w:val="_PLD_5bd68ed5796041328d1a003c1362ceaf"/>
              <w:id w:val="147474130"/>
            </w:sdtPr>
            <w:sdtContent>
              <w:p w14:paraId="4A57369A">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w:t>
                </w:r>
              </w:p>
            </w:sdtContent>
          </w:sdt>
        </w:tc>
        <w:tc>
          <w:tcPr>
            <w:tcW w:w="4052" w:type="pct"/>
            <w:gridSpan w:val="9"/>
            <w:vAlign w:val="center"/>
          </w:tcPr>
          <w:p w14:paraId="67A80824">
            <w:pPr>
              <w:snapToGrid w:val="0"/>
              <w:spacing w:line="240" w:lineRule="atLeast"/>
              <w:ind w:right="-1594" w:rightChars="-759"/>
              <w:jc w:val="center"/>
              <w:rPr>
                <w:color w:val="000000" w:themeColor="text1"/>
                <w14:textFill>
                  <w14:solidFill>
                    <w14:schemeClr w14:val="tx1"/>
                  </w14:solidFill>
                </w14:textFill>
              </w:rPr>
            </w:pPr>
            <w:sdt>
              <w:sdtPr>
                <w:tag w:val="_PLD_70c71cd0427542b1b96a0fa943173d3d"/>
                <w:id w:val="147477454"/>
              </w:sdtPr>
              <w:sdtContent>
                <w:r>
                  <w:rPr>
                    <w:rFonts w:hint="eastAsia"/>
                    <w:color w:val="000000" w:themeColor="text1"/>
                    <w:sz w:val="18"/>
                    <w:szCs w:val="18"/>
                    <w14:textFill>
                      <w14:solidFill>
                        <w14:schemeClr w14:val="tx1"/>
                      </w14:solidFill>
                    </w14:textFill>
                  </w:rPr>
                  <w:t>2025年半年度</w:t>
                </w:r>
              </w:sdtContent>
            </w:sdt>
          </w:p>
        </w:tc>
      </w:tr>
      <w:tr w14:paraId="7708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47" w:type="pct"/>
            <w:vMerge w:val="continue"/>
            <w:vAlign w:val="center"/>
          </w:tcPr>
          <w:p w14:paraId="00845346">
            <w:pPr>
              <w:snapToGrid w:val="0"/>
              <w:spacing w:line="240" w:lineRule="atLeast"/>
              <w:ind w:right="-1594" w:rightChars="-759"/>
              <w:rPr>
                <w:color w:val="000000" w:themeColor="text1"/>
                <w:sz w:val="18"/>
                <w:szCs w:val="18"/>
                <w14:textFill>
                  <w14:solidFill>
                    <w14:schemeClr w14:val="tx1"/>
                  </w14:solidFill>
                </w14:textFill>
              </w:rPr>
            </w:pPr>
          </w:p>
        </w:tc>
        <w:sdt>
          <w:sdtPr>
            <w:tag w:val="_PLD_e146ec74496c4c03a714dcef40faa972"/>
            <w:id w:val="147458326"/>
          </w:sdtPr>
          <w:sdtContent>
            <w:tc>
              <w:tcPr>
                <w:tcW w:w="3112" w:type="pct"/>
                <w:gridSpan w:val="7"/>
                <w:vAlign w:val="center"/>
              </w:tcPr>
              <w:p w14:paraId="3422BF93">
                <w:pPr>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归属于母公司所有者权益</w:t>
                </w:r>
              </w:p>
            </w:tc>
          </w:sdtContent>
        </w:sdt>
        <w:sdt>
          <w:sdtPr>
            <w:tag w:val="_PLD_b1ca85c50c1341e59b4b412e92d87f2f"/>
            <w:id w:val="147454166"/>
          </w:sdtPr>
          <w:sdtContent>
            <w:tc>
              <w:tcPr>
                <w:tcW w:w="432" w:type="pct"/>
                <w:vMerge w:val="restart"/>
                <w:vAlign w:val="center"/>
              </w:tcPr>
              <w:p w14:paraId="0A712A4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少数股东</w:t>
                </w:r>
              </w:p>
              <w:p w14:paraId="0455E74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权益</w:t>
                </w:r>
              </w:p>
            </w:tc>
          </w:sdtContent>
        </w:sdt>
        <w:sdt>
          <w:sdtPr>
            <w:tag w:val="_PLD_0e252e0d00f04386b93d4e3064ba423d"/>
            <w:id w:val="147475929"/>
          </w:sdtPr>
          <w:sdtContent>
            <w:tc>
              <w:tcPr>
                <w:tcW w:w="507" w:type="pct"/>
                <w:vMerge w:val="restart"/>
                <w:vAlign w:val="center"/>
              </w:tcPr>
              <w:p w14:paraId="06C46E7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所有者权益</w:t>
                </w:r>
              </w:p>
              <w:p w14:paraId="1138FF6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合计</w:t>
                </w:r>
              </w:p>
            </w:tc>
          </w:sdtContent>
        </w:sdt>
      </w:tr>
      <w:tr w14:paraId="3E38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47" w:type="pct"/>
            <w:vMerge w:val="continue"/>
            <w:vAlign w:val="center"/>
          </w:tcPr>
          <w:p w14:paraId="73DB986E">
            <w:pPr>
              <w:snapToGrid w:val="0"/>
              <w:spacing w:line="240" w:lineRule="atLeast"/>
              <w:ind w:right="-1594" w:rightChars="-759"/>
              <w:rPr>
                <w:color w:val="000000" w:themeColor="text1"/>
                <w:sz w:val="18"/>
                <w:szCs w:val="18"/>
                <w14:textFill>
                  <w14:solidFill>
                    <w14:schemeClr w14:val="tx1"/>
                  </w14:solidFill>
                </w14:textFill>
              </w:rPr>
            </w:pPr>
          </w:p>
        </w:tc>
        <w:sdt>
          <w:sdtPr>
            <w:tag w:val="_PLD_1605afb5a60946a9ba86cca783d492d3"/>
            <w:id w:val="147466454"/>
          </w:sdtPr>
          <w:sdtContent>
            <w:tc>
              <w:tcPr>
                <w:tcW w:w="515" w:type="pct"/>
                <w:vAlign w:val="center"/>
              </w:tcPr>
              <w:p w14:paraId="3A16BC9E">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实收资本</w:t>
                </w:r>
                <w:r>
                  <w:rPr>
                    <w:color w:val="000000" w:themeColor="text1"/>
                    <w:sz w:val="18"/>
                    <w:szCs w:val="18"/>
                    <w14:textFill>
                      <w14:solidFill>
                        <w14:schemeClr w14:val="tx1"/>
                      </w14:solidFill>
                    </w14:textFill>
                  </w:rPr>
                  <w:t xml:space="preserve"> (或股本)</w:t>
                </w:r>
              </w:p>
            </w:tc>
          </w:sdtContent>
        </w:sdt>
        <w:sdt>
          <w:sdtPr>
            <w:tag w:val="_PLD_f67d05ac9f6f4daaafdf90084911dcee"/>
            <w:id w:val="147453278"/>
          </w:sdtPr>
          <w:sdtContent>
            <w:tc>
              <w:tcPr>
                <w:tcW w:w="430" w:type="pct"/>
                <w:vAlign w:val="center"/>
              </w:tcPr>
              <w:p w14:paraId="725301CD">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资本公积</w:t>
                </w:r>
              </w:p>
            </w:tc>
          </w:sdtContent>
        </w:sdt>
        <w:sdt>
          <w:sdtPr>
            <w:tag w:val="_PLD_21df11f52b3443acacf7dd8421b5cc67"/>
            <w:id w:val="147453081"/>
          </w:sdtPr>
          <w:sdtContent>
            <w:tc>
              <w:tcPr>
                <w:tcW w:w="403" w:type="pct"/>
                <w:vAlign w:val="center"/>
              </w:tcPr>
              <w:p w14:paraId="55FA7819">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减：库存股</w:t>
                </w:r>
              </w:p>
            </w:tc>
          </w:sdtContent>
        </w:sdt>
        <w:sdt>
          <w:sdtPr>
            <w:tag w:val="_PLD_bdc12fd277ea4fbe9c90f9480d9ecddb"/>
            <w:id w:val="147460224"/>
          </w:sdtPr>
          <w:sdtContent>
            <w:tc>
              <w:tcPr>
                <w:tcW w:w="472" w:type="pct"/>
                <w:vAlign w:val="center"/>
              </w:tcPr>
              <w:p w14:paraId="34052CC7">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其他综合收益</w:t>
                </w:r>
              </w:p>
            </w:tc>
          </w:sdtContent>
        </w:sdt>
        <w:sdt>
          <w:sdtPr>
            <w:tag w:val="_PLD_1ee8f47ee38e4000af64e781a1a0e729"/>
            <w:id w:val="147478485"/>
          </w:sdtPr>
          <w:sdtContent>
            <w:tc>
              <w:tcPr>
                <w:tcW w:w="429" w:type="pct"/>
                <w:vAlign w:val="center"/>
              </w:tcPr>
              <w:p w14:paraId="09D27A1A">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盈余公积</w:t>
                </w:r>
              </w:p>
            </w:tc>
          </w:sdtContent>
        </w:sdt>
        <w:sdt>
          <w:sdtPr>
            <w:tag w:val="_PLD_f20054bead0a491aafe7bb5a5952f48f"/>
            <w:id w:val="147470668"/>
          </w:sdtPr>
          <w:sdtContent>
            <w:tc>
              <w:tcPr>
                <w:tcW w:w="418" w:type="pct"/>
                <w:vAlign w:val="center"/>
              </w:tcPr>
              <w:p w14:paraId="1415AB1E">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未分配利润</w:t>
                </w:r>
              </w:p>
            </w:tc>
          </w:sdtContent>
        </w:sdt>
        <w:tc>
          <w:tcPr>
            <w:tcW w:w="442" w:type="pct"/>
            <w:vAlign w:val="center"/>
          </w:tcPr>
          <w:sdt>
            <w:sdtPr>
              <w:tag w:val="_PLD_97c92cf2be1e4f36880a16a2c16704b4"/>
              <w:id w:val="147461334"/>
            </w:sdtPr>
            <w:sdtContent>
              <w:p w14:paraId="496DEED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小计</w:t>
                </w:r>
              </w:p>
            </w:sdtContent>
          </w:sdt>
        </w:tc>
        <w:tc>
          <w:tcPr>
            <w:tcW w:w="432" w:type="pct"/>
            <w:vMerge w:val="continue"/>
            <w:vAlign w:val="center"/>
          </w:tcPr>
          <w:p w14:paraId="71495CBB">
            <w:pPr>
              <w:jc w:val="center"/>
              <w:rPr>
                <w:color w:val="000000" w:themeColor="text1"/>
                <w:sz w:val="18"/>
                <w:szCs w:val="18"/>
                <w14:textFill>
                  <w14:solidFill>
                    <w14:schemeClr w14:val="tx1"/>
                  </w14:solidFill>
                </w14:textFill>
              </w:rPr>
            </w:pPr>
          </w:p>
        </w:tc>
        <w:tc>
          <w:tcPr>
            <w:tcW w:w="507" w:type="pct"/>
            <w:vMerge w:val="continue"/>
            <w:vAlign w:val="center"/>
          </w:tcPr>
          <w:p w14:paraId="1987C7DE">
            <w:pPr>
              <w:jc w:val="center"/>
              <w:rPr>
                <w:color w:val="000000" w:themeColor="text1"/>
                <w:sz w:val="18"/>
                <w:szCs w:val="18"/>
                <w14:textFill>
                  <w14:solidFill>
                    <w14:schemeClr w14:val="tx1"/>
                  </w14:solidFill>
                </w14:textFill>
              </w:rPr>
            </w:pPr>
          </w:p>
        </w:tc>
      </w:tr>
      <w:tr w14:paraId="1ED3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f22f69e67ea4292afb08dec65f863c7"/>
            <w:id w:val="147476346"/>
          </w:sdtPr>
          <w:sdtContent>
            <w:tc>
              <w:tcPr>
                <w:tcW w:w="947" w:type="pct"/>
                <w:vAlign w:val="center"/>
              </w:tcPr>
              <w:p w14:paraId="120EB082">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一、上年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末余额</w:t>
                </w:r>
              </w:p>
            </w:tc>
          </w:sdtContent>
        </w:sdt>
        <w:tc>
          <w:tcPr>
            <w:tcW w:w="515" w:type="pct"/>
            <w:vAlign w:val="center"/>
          </w:tcPr>
          <w:p w14:paraId="22271BB6">
            <w:pPr>
              <w:jc w:val="right"/>
              <w:textAlignment w:val="bottom"/>
              <w:rPr>
                <w:rFonts w:cs="Times New Roman"/>
                <w:sz w:val="13"/>
                <w:szCs w:val="13"/>
              </w:rPr>
            </w:pPr>
            <w:r>
              <w:rPr>
                <w:rFonts w:eastAsia="Arial Narrow" w:cs="Times New Roman"/>
                <w:color w:val="000000"/>
                <w:sz w:val="13"/>
                <w:szCs w:val="13"/>
                <w:lang w:bidi="ar"/>
              </w:rPr>
              <w:t>4,391,629,404.00</w:t>
            </w:r>
          </w:p>
        </w:tc>
        <w:tc>
          <w:tcPr>
            <w:tcW w:w="430" w:type="pct"/>
            <w:vAlign w:val="center"/>
          </w:tcPr>
          <w:p w14:paraId="0EAB4CEA">
            <w:pPr>
              <w:jc w:val="right"/>
              <w:textAlignment w:val="bottom"/>
              <w:rPr>
                <w:rFonts w:cs="Times New Roman"/>
                <w:sz w:val="13"/>
                <w:szCs w:val="13"/>
              </w:rPr>
            </w:pPr>
            <w:r>
              <w:rPr>
                <w:rFonts w:eastAsia="Arial Narrow" w:cs="Times New Roman"/>
                <w:color w:val="000000"/>
                <w:sz w:val="13"/>
                <w:szCs w:val="13"/>
                <w:lang w:bidi="ar"/>
              </w:rPr>
              <w:t>8,067,766,137.08</w:t>
            </w:r>
          </w:p>
        </w:tc>
        <w:tc>
          <w:tcPr>
            <w:tcW w:w="403" w:type="pct"/>
            <w:vAlign w:val="center"/>
          </w:tcPr>
          <w:p w14:paraId="60D7D11E">
            <w:pPr>
              <w:jc w:val="right"/>
              <w:rPr>
                <w:rFonts w:cs="Times New Roman"/>
                <w:sz w:val="13"/>
                <w:szCs w:val="13"/>
              </w:rPr>
            </w:pPr>
          </w:p>
        </w:tc>
        <w:tc>
          <w:tcPr>
            <w:tcW w:w="472" w:type="pct"/>
            <w:vAlign w:val="center"/>
          </w:tcPr>
          <w:p w14:paraId="468EC909">
            <w:pPr>
              <w:jc w:val="right"/>
              <w:textAlignment w:val="bottom"/>
              <w:rPr>
                <w:rFonts w:cs="Times New Roman"/>
                <w:sz w:val="13"/>
                <w:szCs w:val="13"/>
              </w:rPr>
            </w:pPr>
            <w:r>
              <w:rPr>
                <w:rFonts w:eastAsia="Arial Narrow" w:cs="Times New Roman"/>
                <w:color w:val="000000"/>
                <w:sz w:val="13"/>
                <w:szCs w:val="13"/>
                <w:lang w:bidi="ar"/>
              </w:rPr>
              <w:t>-318,634,689.43</w:t>
            </w:r>
          </w:p>
        </w:tc>
        <w:tc>
          <w:tcPr>
            <w:tcW w:w="429" w:type="pct"/>
            <w:vAlign w:val="center"/>
          </w:tcPr>
          <w:p w14:paraId="582C83D2">
            <w:pPr>
              <w:jc w:val="right"/>
              <w:textAlignment w:val="bottom"/>
              <w:rPr>
                <w:rFonts w:cs="Times New Roman"/>
                <w:sz w:val="13"/>
                <w:szCs w:val="13"/>
              </w:rPr>
            </w:pPr>
            <w:r>
              <w:rPr>
                <w:rFonts w:eastAsia="Arial Narrow" w:cs="Times New Roman"/>
                <w:color w:val="000000"/>
                <w:sz w:val="13"/>
                <w:szCs w:val="13"/>
                <w:lang w:bidi="ar"/>
              </w:rPr>
              <w:t>369,677,423.82</w:t>
            </w:r>
          </w:p>
        </w:tc>
        <w:tc>
          <w:tcPr>
            <w:tcW w:w="418" w:type="pct"/>
            <w:vAlign w:val="center"/>
          </w:tcPr>
          <w:p w14:paraId="214B3D98">
            <w:pPr>
              <w:jc w:val="right"/>
              <w:textAlignment w:val="bottom"/>
              <w:rPr>
                <w:rFonts w:cs="Times New Roman"/>
                <w:sz w:val="13"/>
                <w:szCs w:val="13"/>
              </w:rPr>
            </w:pPr>
            <w:r>
              <w:rPr>
                <w:rFonts w:eastAsia="Arial Narrow" w:cs="Times New Roman"/>
                <w:color w:val="000000"/>
                <w:sz w:val="13"/>
                <w:szCs w:val="13"/>
                <w:lang w:bidi="ar"/>
              </w:rPr>
              <w:t>103,250,332.59</w:t>
            </w:r>
          </w:p>
        </w:tc>
        <w:tc>
          <w:tcPr>
            <w:tcW w:w="442" w:type="pct"/>
            <w:vAlign w:val="center"/>
          </w:tcPr>
          <w:p w14:paraId="5D727AC8">
            <w:pPr>
              <w:jc w:val="right"/>
              <w:textAlignment w:val="bottom"/>
              <w:rPr>
                <w:rFonts w:cs="Times New Roman"/>
                <w:sz w:val="13"/>
                <w:szCs w:val="13"/>
              </w:rPr>
            </w:pPr>
            <w:r>
              <w:rPr>
                <w:rFonts w:eastAsia="Arial Narrow" w:cs="Times New Roman"/>
                <w:color w:val="000000"/>
                <w:sz w:val="13"/>
                <w:szCs w:val="13"/>
                <w:lang w:bidi="ar"/>
              </w:rPr>
              <w:t>12,613,688,608.06</w:t>
            </w:r>
          </w:p>
        </w:tc>
        <w:tc>
          <w:tcPr>
            <w:tcW w:w="432" w:type="pct"/>
            <w:vAlign w:val="center"/>
          </w:tcPr>
          <w:p w14:paraId="6920405A">
            <w:pPr>
              <w:jc w:val="right"/>
              <w:textAlignment w:val="bottom"/>
              <w:rPr>
                <w:rFonts w:cs="Times New Roman"/>
                <w:sz w:val="13"/>
                <w:szCs w:val="13"/>
              </w:rPr>
            </w:pPr>
            <w:r>
              <w:rPr>
                <w:rFonts w:eastAsia="Arial Narrow" w:cs="Times New Roman"/>
                <w:color w:val="000000"/>
                <w:sz w:val="13"/>
                <w:szCs w:val="13"/>
                <w:lang w:bidi="ar"/>
              </w:rPr>
              <w:t>-98,740,594.34</w:t>
            </w:r>
          </w:p>
        </w:tc>
        <w:tc>
          <w:tcPr>
            <w:tcW w:w="507" w:type="pct"/>
            <w:vAlign w:val="center"/>
          </w:tcPr>
          <w:p w14:paraId="2867FF2E">
            <w:pPr>
              <w:jc w:val="right"/>
              <w:textAlignment w:val="bottom"/>
              <w:rPr>
                <w:rFonts w:cs="Times New Roman"/>
                <w:sz w:val="13"/>
                <w:szCs w:val="13"/>
              </w:rPr>
            </w:pPr>
            <w:r>
              <w:rPr>
                <w:rFonts w:eastAsia="Arial Narrow" w:cs="Times New Roman"/>
                <w:color w:val="000000"/>
                <w:sz w:val="13"/>
                <w:szCs w:val="13"/>
                <w:lang w:bidi="ar"/>
              </w:rPr>
              <w:t>12,514,948,013.72</w:t>
            </w:r>
          </w:p>
        </w:tc>
      </w:tr>
      <w:tr w14:paraId="2CD0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6d601e73dc14990b60ca53acf1371ba"/>
            <w:id w:val="147460253"/>
          </w:sdtPr>
          <w:sdtContent>
            <w:tc>
              <w:tcPr>
                <w:tcW w:w="947" w:type="pct"/>
                <w:vAlign w:val="center"/>
              </w:tcPr>
              <w:p w14:paraId="007D87CA">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二、本年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初余额</w:t>
                </w:r>
              </w:p>
            </w:tc>
          </w:sdtContent>
        </w:sdt>
        <w:tc>
          <w:tcPr>
            <w:tcW w:w="515" w:type="pct"/>
            <w:vAlign w:val="center"/>
          </w:tcPr>
          <w:p w14:paraId="5828904F">
            <w:pPr>
              <w:jc w:val="right"/>
              <w:textAlignment w:val="bottom"/>
              <w:rPr>
                <w:rFonts w:cs="Times New Roman"/>
                <w:sz w:val="13"/>
                <w:szCs w:val="13"/>
              </w:rPr>
            </w:pPr>
            <w:r>
              <w:rPr>
                <w:rFonts w:eastAsia="Arial Narrow" w:cs="Times New Roman"/>
                <w:color w:val="000000"/>
                <w:sz w:val="13"/>
                <w:szCs w:val="13"/>
                <w:lang w:bidi="ar"/>
              </w:rPr>
              <w:t>4,391,629,404.00</w:t>
            </w:r>
          </w:p>
        </w:tc>
        <w:tc>
          <w:tcPr>
            <w:tcW w:w="430" w:type="pct"/>
            <w:vAlign w:val="center"/>
          </w:tcPr>
          <w:p w14:paraId="3C8DAEAD">
            <w:pPr>
              <w:jc w:val="right"/>
              <w:textAlignment w:val="bottom"/>
              <w:rPr>
                <w:rFonts w:cs="Times New Roman"/>
                <w:sz w:val="13"/>
                <w:szCs w:val="13"/>
              </w:rPr>
            </w:pPr>
            <w:r>
              <w:rPr>
                <w:rFonts w:eastAsia="Arial Narrow" w:cs="Times New Roman"/>
                <w:color w:val="000000"/>
                <w:sz w:val="13"/>
                <w:szCs w:val="13"/>
                <w:lang w:bidi="ar"/>
              </w:rPr>
              <w:t>8,067,766,137.08</w:t>
            </w:r>
          </w:p>
        </w:tc>
        <w:tc>
          <w:tcPr>
            <w:tcW w:w="403" w:type="pct"/>
            <w:vAlign w:val="center"/>
          </w:tcPr>
          <w:p w14:paraId="0E243A47">
            <w:pPr>
              <w:jc w:val="right"/>
              <w:rPr>
                <w:rFonts w:cs="Times New Roman"/>
                <w:sz w:val="13"/>
                <w:szCs w:val="13"/>
              </w:rPr>
            </w:pPr>
          </w:p>
        </w:tc>
        <w:tc>
          <w:tcPr>
            <w:tcW w:w="472" w:type="pct"/>
            <w:vAlign w:val="center"/>
          </w:tcPr>
          <w:p w14:paraId="74C2DD28">
            <w:pPr>
              <w:jc w:val="right"/>
              <w:textAlignment w:val="bottom"/>
              <w:rPr>
                <w:rFonts w:cs="Times New Roman"/>
                <w:sz w:val="13"/>
                <w:szCs w:val="13"/>
              </w:rPr>
            </w:pPr>
            <w:r>
              <w:rPr>
                <w:rFonts w:eastAsia="Arial Narrow" w:cs="Times New Roman"/>
                <w:color w:val="000000"/>
                <w:sz w:val="13"/>
                <w:szCs w:val="13"/>
                <w:lang w:bidi="ar"/>
              </w:rPr>
              <w:t>-318,634,689.43</w:t>
            </w:r>
          </w:p>
        </w:tc>
        <w:tc>
          <w:tcPr>
            <w:tcW w:w="429" w:type="pct"/>
            <w:vAlign w:val="center"/>
          </w:tcPr>
          <w:p w14:paraId="4F2A83CE">
            <w:pPr>
              <w:jc w:val="right"/>
              <w:textAlignment w:val="bottom"/>
              <w:rPr>
                <w:rFonts w:cs="Times New Roman"/>
                <w:sz w:val="13"/>
                <w:szCs w:val="13"/>
              </w:rPr>
            </w:pPr>
            <w:r>
              <w:rPr>
                <w:rFonts w:eastAsia="Arial Narrow" w:cs="Times New Roman"/>
                <w:color w:val="000000"/>
                <w:sz w:val="13"/>
                <w:szCs w:val="13"/>
                <w:lang w:bidi="ar"/>
              </w:rPr>
              <w:t>369,677,423.82</w:t>
            </w:r>
          </w:p>
        </w:tc>
        <w:tc>
          <w:tcPr>
            <w:tcW w:w="418" w:type="pct"/>
            <w:vAlign w:val="center"/>
          </w:tcPr>
          <w:p w14:paraId="1EBC3B43">
            <w:pPr>
              <w:jc w:val="right"/>
              <w:textAlignment w:val="bottom"/>
              <w:rPr>
                <w:rFonts w:cs="Times New Roman"/>
                <w:sz w:val="13"/>
                <w:szCs w:val="13"/>
              </w:rPr>
            </w:pPr>
            <w:r>
              <w:rPr>
                <w:rFonts w:eastAsia="Arial Narrow" w:cs="Times New Roman"/>
                <w:color w:val="000000"/>
                <w:sz w:val="13"/>
                <w:szCs w:val="13"/>
                <w:lang w:bidi="ar"/>
              </w:rPr>
              <w:t>103,250,332.59</w:t>
            </w:r>
          </w:p>
        </w:tc>
        <w:tc>
          <w:tcPr>
            <w:tcW w:w="442" w:type="pct"/>
            <w:vAlign w:val="center"/>
          </w:tcPr>
          <w:p w14:paraId="78DADA88">
            <w:pPr>
              <w:jc w:val="right"/>
              <w:textAlignment w:val="bottom"/>
              <w:rPr>
                <w:rFonts w:cs="Times New Roman"/>
                <w:sz w:val="13"/>
                <w:szCs w:val="13"/>
              </w:rPr>
            </w:pPr>
            <w:r>
              <w:rPr>
                <w:rFonts w:eastAsia="Arial Narrow" w:cs="Times New Roman"/>
                <w:color w:val="000000"/>
                <w:sz w:val="13"/>
                <w:szCs w:val="13"/>
                <w:lang w:bidi="ar"/>
              </w:rPr>
              <w:t>12,613,688,608.06</w:t>
            </w:r>
          </w:p>
        </w:tc>
        <w:tc>
          <w:tcPr>
            <w:tcW w:w="432" w:type="pct"/>
            <w:vAlign w:val="center"/>
          </w:tcPr>
          <w:p w14:paraId="23B2A089">
            <w:pPr>
              <w:jc w:val="right"/>
              <w:textAlignment w:val="bottom"/>
              <w:rPr>
                <w:rFonts w:cs="Times New Roman"/>
                <w:sz w:val="13"/>
                <w:szCs w:val="13"/>
              </w:rPr>
            </w:pPr>
            <w:r>
              <w:rPr>
                <w:rFonts w:eastAsia="Arial Narrow" w:cs="Times New Roman"/>
                <w:color w:val="000000"/>
                <w:sz w:val="13"/>
                <w:szCs w:val="13"/>
                <w:lang w:bidi="ar"/>
              </w:rPr>
              <w:t>-98,740,594.34</w:t>
            </w:r>
          </w:p>
        </w:tc>
        <w:tc>
          <w:tcPr>
            <w:tcW w:w="507" w:type="pct"/>
            <w:vAlign w:val="center"/>
          </w:tcPr>
          <w:p w14:paraId="2CC48162">
            <w:pPr>
              <w:jc w:val="right"/>
              <w:textAlignment w:val="bottom"/>
              <w:rPr>
                <w:rFonts w:cs="Times New Roman"/>
                <w:sz w:val="13"/>
                <w:szCs w:val="13"/>
              </w:rPr>
            </w:pPr>
            <w:r>
              <w:rPr>
                <w:rFonts w:eastAsia="Arial Narrow" w:cs="Times New Roman"/>
                <w:color w:val="000000"/>
                <w:sz w:val="13"/>
                <w:szCs w:val="13"/>
                <w:lang w:bidi="ar"/>
              </w:rPr>
              <w:t>12,514,948,013.72</w:t>
            </w:r>
          </w:p>
        </w:tc>
      </w:tr>
      <w:tr w14:paraId="1638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0156dcb8ac241a7929015e75c8eef16"/>
            <w:id w:val="147468178"/>
          </w:sdtPr>
          <w:sdtContent>
            <w:tc>
              <w:tcPr>
                <w:tcW w:w="947" w:type="pct"/>
                <w:vAlign w:val="center"/>
              </w:tcPr>
              <w:p w14:paraId="30E168A3">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三、本</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增减变动金额（减少以“－”号填列）</w:t>
                </w:r>
              </w:p>
            </w:tc>
          </w:sdtContent>
        </w:sdt>
        <w:tc>
          <w:tcPr>
            <w:tcW w:w="515" w:type="pct"/>
            <w:vAlign w:val="center"/>
          </w:tcPr>
          <w:p w14:paraId="7BCCE188">
            <w:pPr>
              <w:jc w:val="right"/>
              <w:rPr>
                <w:rFonts w:cs="Times New Roman"/>
                <w:sz w:val="13"/>
                <w:szCs w:val="13"/>
              </w:rPr>
            </w:pPr>
          </w:p>
        </w:tc>
        <w:tc>
          <w:tcPr>
            <w:tcW w:w="430" w:type="pct"/>
            <w:vAlign w:val="center"/>
          </w:tcPr>
          <w:p w14:paraId="0F5BD731">
            <w:pPr>
              <w:jc w:val="right"/>
              <w:rPr>
                <w:rFonts w:cs="Times New Roman"/>
                <w:sz w:val="13"/>
                <w:szCs w:val="13"/>
              </w:rPr>
            </w:pPr>
          </w:p>
        </w:tc>
        <w:tc>
          <w:tcPr>
            <w:tcW w:w="403" w:type="pct"/>
            <w:vAlign w:val="center"/>
          </w:tcPr>
          <w:p w14:paraId="48037007">
            <w:pPr>
              <w:jc w:val="right"/>
              <w:textAlignment w:val="bottom"/>
              <w:rPr>
                <w:rFonts w:cs="Times New Roman"/>
                <w:sz w:val="13"/>
                <w:szCs w:val="13"/>
              </w:rPr>
            </w:pPr>
            <w:r>
              <w:rPr>
                <w:rFonts w:eastAsia="Arial Narrow" w:cs="Times New Roman"/>
                <w:color w:val="000000"/>
                <w:sz w:val="13"/>
                <w:szCs w:val="13"/>
                <w:lang w:bidi="ar"/>
              </w:rPr>
              <w:t>39,938,040.72</w:t>
            </w:r>
          </w:p>
        </w:tc>
        <w:tc>
          <w:tcPr>
            <w:tcW w:w="472" w:type="pct"/>
            <w:vAlign w:val="center"/>
          </w:tcPr>
          <w:p w14:paraId="3A01F90E">
            <w:pPr>
              <w:jc w:val="right"/>
              <w:textAlignment w:val="bottom"/>
              <w:rPr>
                <w:rFonts w:cs="Times New Roman"/>
                <w:sz w:val="13"/>
                <w:szCs w:val="13"/>
              </w:rPr>
            </w:pPr>
            <w:r>
              <w:rPr>
                <w:rFonts w:eastAsia="Arial Narrow" w:cs="Times New Roman"/>
                <w:color w:val="000000"/>
                <w:sz w:val="13"/>
                <w:szCs w:val="13"/>
                <w:lang w:bidi="ar"/>
              </w:rPr>
              <w:t>-628,649.05</w:t>
            </w:r>
          </w:p>
        </w:tc>
        <w:tc>
          <w:tcPr>
            <w:tcW w:w="429" w:type="pct"/>
            <w:vAlign w:val="center"/>
          </w:tcPr>
          <w:p w14:paraId="05DCE219">
            <w:pPr>
              <w:jc w:val="right"/>
              <w:rPr>
                <w:rFonts w:cs="Times New Roman"/>
                <w:sz w:val="13"/>
                <w:szCs w:val="13"/>
              </w:rPr>
            </w:pPr>
          </w:p>
        </w:tc>
        <w:tc>
          <w:tcPr>
            <w:tcW w:w="418" w:type="pct"/>
            <w:vAlign w:val="center"/>
          </w:tcPr>
          <w:p w14:paraId="2790E1DF">
            <w:pPr>
              <w:jc w:val="right"/>
              <w:textAlignment w:val="bottom"/>
              <w:rPr>
                <w:rFonts w:cs="Times New Roman"/>
                <w:sz w:val="13"/>
                <w:szCs w:val="13"/>
              </w:rPr>
            </w:pPr>
            <w:r>
              <w:rPr>
                <w:rFonts w:eastAsia="Arial Narrow" w:cs="Times New Roman"/>
                <w:color w:val="000000"/>
                <w:sz w:val="13"/>
                <w:szCs w:val="13"/>
                <w:lang w:bidi="ar"/>
              </w:rPr>
              <w:t>-79,031,846.24</w:t>
            </w:r>
          </w:p>
        </w:tc>
        <w:tc>
          <w:tcPr>
            <w:tcW w:w="442" w:type="pct"/>
            <w:vAlign w:val="center"/>
          </w:tcPr>
          <w:p w14:paraId="643DD457">
            <w:pPr>
              <w:jc w:val="right"/>
              <w:textAlignment w:val="bottom"/>
              <w:rPr>
                <w:rFonts w:cs="Times New Roman"/>
                <w:sz w:val="13"/>
                <w:szCs w:val="13"/>
              </w:rPr>
            </w:pPr>
            <w:r>
              <w:rPr>
                <w:rFonts w:eastAsia="Arial Narrow" w:cs="Times New Roman"/>
                <w:color w:val="000000"/>
                <w:sz w:val="13"/>
                <w:szCs w:val="13"/>
                <w:lang w:bidi="ar"/>
              </w:rPr>
              <w:t>-119,598,536.01</w:t>
            </w:r>
          </w:p>
        </w:tc>
        <w:tc>
          <w:tcPr>
            <w:tcW w:w="432" w:type="pct"/>
            <w:vAlign w:val="center"/>
          </w:tcPr>
          <w:p w14:paraId="65074125">
            <w:pPr>
              <w:jc w:val="right"/>
              <w:textAlignment w:val="bottom"/>
              <w:rPr>
                <w:rFonts w:cs="Times New Roman"/>
                <w:sz w:val="13"/>
                <w:szCs w:val="13"/>
              </w:rPr>
            </w:pPr>
            <w:r>
              <w:rPr>
                <w:rFonts w:eastAsia="Arial Narrow" w:cs="Times New Roman"/>
                <w:color w:val="000000"/>
                <w:sz w:val="13"/>
                <w:szCs w:val="13"/>
                <w:lang w:bidi="ar"/>
              </w:rPr>
              <w:t>-636,750.38</w:t>
            </w:r>
          </w:p>
        </w:tc>
        <w:tc>
          <w:tcPr>
            <w:tcW w:w="507" w:type="pct"/>
            <w:vAlign w:val="center"/>
          </w:tcPr>
          <w:p w14:paraId="6DAB01FB">
            <w:pPr>
              <w:jc w:val="right"/>
              <w:textAlignment w:val="bottom"/>
              <w:rPr>
                <w:rFonts w:cs="Times New Roman"/>
                <w:sz w:val="13"/>
                <w:szCs w:val="13"/>
              </w:rPr>
            </w:pPr>
            <w:r>
              <w:rPr>
                <w:rFonts w:eastAsia="Arial Narrow" w:cs="Times New Roman"/>
                <w:color w:val="000000"/>
                <w:sz w:val="13"/>
                <w:szCs w:val="13"/>
                <w:lang w:bidi="ar"/>
              </w:rPr>
              <w:t>-120,235,286.39</w:t>
            </w:r>
          </w:p>
        </w:tc>
      </w:tr>
      <w:tr w14:paraId="7CD5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05dacde51ff43abaf7ec73bf9668d99"/>
            <w:id w:val="147475174"/>
          </w:sdtPr>
          <w:sdtContent>
            <w:tc>
              <w:tcPr>
                <w:tcW w:w="947" w:type="pct"/>
                <w:vAlign w:val="center"/>
              </w:tcPr>
              <w:p w14:paraId="3ECD1AB8">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（一）综合收益总额</w:t>
                </w:r>
              </w:p>
            </w:tc>
          </w:sdtContent>
        </w:sdt>
        <w:tc>
          <w:tcPr>
            <w:tcW w:w="515" w:type="pct"/>
            <w:vAlign w:val="center"/>
          </w:tcPr>
          <w:p w14:paraId="309DF67B">
            <w:pPr>
              <w:jc w:val="right"/>
              <w:rPr>
                <w:rFonts w:cs="Times New Roman"/>
                <w:sz w:val="13"/>
                <w:szCs w:val="13"/>
              </w:rPr>
            </w:pPr>
          </w:p>
        </w:tc>
        <w:tc>
          <w:tcPr>
            <w:tcW w:w="430" w:type="pct"/>
            <w:vAlign w:val="center"/>
          </w:tcPr>
          <w:p w14:paraId="51798BE0">
            <w:pPr>
              <w:jc w:val="right"/>
              <w:rPr>
                <w:rFonts w:cs="Times New Roman"/>
                <w:sz w:val="13"/>
                <w:szCs w:val="13"/>
              </w:rPr>
            </w:pPr>
          </w:p>
        </w:tc>
        <w:tc>
          <w:tcPr>
            <w:tcW w:w="403" w:type="pct"/>
            <w:vAlign w:val="center"/>
          </w:tcPr>
          <w:p w14:paraId="420ACB18">
            <w:pPr>
              <w:jc w:val="right"/>
              <w:rPr>
                <w:rFonts w:cs="Times New Roman"/>
                <w:sz w:val="13"/>
                <w:szCs w:val="13"/>
              </w:rPr>
            </w:pPr>
          </w:p>
        </w:tc>
        <w:tc>
          <w:tcPr>
            <w:tcW w:w="472" w:type="pct"/>
            <w:vAlign w:val="center"/>
          </w:tcPr>
          <w:p w14:paraId="4C39921B">
            <w:pPr>
              <w:jc w:val="right"/>
              <w:textAlignment w:val="bottom"/>
              <w:rPr>
                <w:rFonts w:cs="Times New Roman"/>
                <w:sz w:val="13"/>
                <w:szCs w:val="13"/>
              </w:rPr>
            </w:pPr>
            <w:r>
              <w:rPr>
                <w:rFonts w:eastAsia="Arial Narrow" w:cs="Times New Roman"/>
                <w:color w:val="000000"/>
                <w:sz w:val="13"/>
                <w:szCs w:val="13"/>
                <w:lang w:bidi="ar"/>
              </w:rPr>
              <w:t>-628,649.05</w:t>
            </w:r>
          </w:p>
        </w:tc>
        <w:tc>
          <w:tcPr>
            <w:tcW w:w="429" w:type="pct"/>
            <w:vAlign w:val="center"/>
          </w:tcPr>
          <w:p w14:paraId="20587FC8">
            <w:pPr>
              <w:jc w:val="right"/>
              <w:rPr>
                <w:rFonts w:cs="Times New Roman"/>
                <w:sz w:val="13"/>
                <w:szCs w:val="13"/>
              </w:rPr>
            </w:pPr>
          </w:p>
        </w:tc>
        <w:tc>
          <w:tcPr>
            <w:tcW w:w="418" w:type="pct"/>
            <w:vAlign w:val="center"/>
          </w:tcPr>
          <w:p w14:paraId="18497133">
            <w:pPr>
              <w:jc w:val="right"/>
              <w:textAlignment w:val="bottom"/>
              <w:rPr>
                <w:rFonts w:cs="Times New Roman"/>
                <w:sz w:val="13"/>
                <w:szCs w:val="13"/>
              </w:rPr>
            </w:pPr>
            <w:r>
              <w:rPr>
                <w:rFonts w:eastAsia="Arial Narrow" w:cs="Times New Roman"/>
                <w:color w:val="000000"/>
                <w:sz w:val="13"/>
                <w:szCs w:val="13"/>
                <w:lang w:bidi="ar"/>
              </w:rPr>
              <w:t>-79,031,846.24</w:t>
            </w:r>
          </w:p>
        </w:tc>
        <w:tc>
          <w:tcPr>
            <w:tcW w:w="442" w:type="pct"/>
            <w:vAlign w:val="center"/>
          </w:tcPr>
          <w:p w14:paraId="4EFC0C72">
            <w:pPr>
              <w:jc w:val="right"/>
              <w:textAlignment w:val="bottom"/>
              <w:rPr>
                <w:rFonts w:cs="Times New Roman"/>
                <w:sz w:val="13"/>
                <w:szCs w:val="13"/>
              </w:rPr>
            </w:pPr>
            <w:r>
              <w:rPr>
                <w:rFonts w:eastAsia="Arial Narrow" w:cs="Times New Roman"/>
                <w:color w:val="000000"/>
                <w:sz w:val="13"/>
                <w:szCs w:val="13"/>
                <w:lang w:bidi="ar"/>
              </w:rPr>
              <w:t>-79,660,495.29</w:t>
            </w:r>
          </w:p>
        </w:tc>
        <w:tc>
          <w:tcPr>
            <w:tcW w:w="432" w:type="pct"/>
            <w:vAlign w:val="center"/>
          </w:tcPr>
          <w:p w14:paraId="16ADF5AE">
            <w:pPr>
              <w:jc w:val="right"/>
              <w:textAlignment w:val="bottom"/>
              <w:rPr>
                <w:rFonts w:cs="Times New Roman"/>
                <w:sz w:val="13"/>
                <w:szCs w:val="13"/>
              </w:rPr>
            </w:pPr>
            <w:r>
              <w:rPr>
                <w:rFonts w:eastAsia="Arial Narrow" w:cs="Times New Roman"/>
                <w:color w:val="000000"/>
                <w:sz w:val="13"/>
                <w:szCs w:val="13"/>
                <w:lang w:bidi="ar"/>
              </w:rPr>
              <w:t>-636,750.38</w:t>
            </w:r>
          </w:p>
        </w:tc>
        <w:tc>
          <w:tcPr>
            <w:tcW w:w="507" w:type="pct"/>
            <w:vAlign w:val="center"/>
          </w:tcPr>
          <w:p w14:paraId="66E9D5F1">
            <w:pPr>
              <w:jc w:val="right"/>
              <w:textAlignment w:val="bottom"/>
              <w:rPr>
                <w:rFonts w:cs="Times New Roman"/>
                <w:sz w:val="13"/>
                <w:szCs w:val="13"/>
              </w:rPr>
            </w:pPr>
            <w:r>
              <w:rPr>
                <w:rFonts w:eastAsia="Arial Narrow" w:cs="Times New Roman"/>
                <w:color w:val="000000"/>
                <w:sz w:val="13"/>
                <w:szCs w:val="13"/>
                <w:lang w:bidi="ar"/>
              </w:rPr>
              <w:t>-80,297,245.67</w:t>
            </w:r>
          </w:p>
        </w:tc>
      </w:tr>
      <w:tr w14:paraId="7B10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17921fb207340239c73a056e615d773"/>
            <w:id w:val="147452516"/>
          </w:sdtPr>
          <w:sdtContent>
            <w:tc>
              <w:tcPr>
                <w:tcW w:w="947" w:type="pct"/>
                <w:vAlign w:val="center"/>
              </w:tcPr>
              <w:p w14:paraId="2E84864C">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二</w:t>
                </w:r>
                <w:r>
                  <w:rPr>
                    <w:color w:val="000000" w:themeColor="text1"/>
                    <w:sz w:val="18"/>
                    <w:szCs w:val="18"/>
                    <w14:textFill>
                      <w14:solidFill>
                        <w14:schemeClr w14:val="tx1"/>
                      </w14:solidFill>
                    </w14:textFill>
                  </w:rPr>
                  <w:t>）所有者投入和减少资本</w:t>
                </w:r>
              </w:p>
            </w:tc>
          </w:sdtContent>
        </w:sdt>
        <w:tc>
          <w:tcPr>
            <w:tcW w:w="515" w:type="pct"/>
            <w:vAlign w:val="center"/>
          </w:tcPr>
          <w:p w14:paraId="26EE503A">
            <w:pPr>
              <w:jc w:val="right"/>
              <w:rPr>
                <w:rFonts w:cs="Times New Roman"/>
                <w:sz w:val="13"/>
                <w:szCs w:val="13"/>
              </w:rPr>
            </w:pPr>
          </w:p>
        </w:tc>
        <w:tc>
          <w:tcPr>
            <w:tcW w:w="430" w:type="pct"/>
            <w:vAlign w:val="center"/>
          </w:tcPr>
          <w:p w14:paraId="5A21E4C5">
            <w:pPr>
              <w:jc w:val="right"/>
              <w:rPr>
                <w:rFonts w:cs="Times New Roman"/>
                <w:sz w:val="13"/>
                <w:szCs w:val="13"/>
              </w:rPr>
            </w:pPr>
          </w:p>
        </w:tc>
        <w:tc>
          <w:tcPr>
            <w:tcW w:w="403" w:type="pct"/>
            <w:vAlign w:val="center"/>
          </w:tcPr>
          <w:p w14:paraId="3BE3AA27">
            <w:pPr>
              <w:jc w:val="right"/>
              <w:textAlignment w:val="bottom"/>
              <w:rPr>
                <w:rFonts w:cs="Times New Roman"/>
                <w:sz w:val="13"/>
                <w:szCs w:val="13"/>
              </w:rPr>
            </w:pPr>
            <w:r>
              <w:rPr>
                <w:rFonts w:eastAsia="Arial Narrow" w:cs="Times New Roman"/>
                <w:color w:val="000000"/>
                <w:sz w:val="13"/>
                <w:szCs w:val="13"/>
                <w:lang w:bidi="ar"/>
              </w:rPr>
              <w:t>39,938,040.72</w:t>
            </w:r>
          </w:p>
        </w:tc>
        <w:tc>
          <w:tcPr>
            <w:tcW w:w="472" w:type="pct"/>
            <w:vAlign w:val="center"/>
          </w:tcPr>
          <w:p w14:paraId="1F4D2BC0">
            <w:pPr>
              <w:jc w:val="right"/>
              <w:rPr>
                <w:rFonts w:cs="Times New Roman"/>
                <w:sz w:val="13"/>
                <w:szCs w:val="13"/>
              </w:rPr>
            </w:pPr>
          </w:p>
        </w:tc>
        <w:tc>
          <w:tcPr>
            <w:tcW w:w="429" w:type="pct"/>
            <w:vAlign w:val="center"/>
          </w:tcPr>
          <w:p w14:paraId="0570FE5A">
            <w:pPr>
              <w:jc w:val="right"/>
              <w:rPr>
                <w:rFonts w:cs="Times New Roman"/>
                <w:sz w:val="13"/>
                <w:szCs w:val="13"/>
              </w:rPr>
            </w:pPr>
          </w:p>
        </w:tc>
        <w:tc>
          <w:tcPr>
            <w:tcW w:w="418" w:type="pct"/>
            <w:vAlign w:val="center"/>
          </w:tcPr>
          <w:p w14:paraId="5F8927EA">
            <w:pPr>
              <w:jc w:val="right"/>
              <w:rPr>
                <w:rFonts w:cs="Times New Roman"/>
                <w:sz w:val="13"/>
                <w:szCs w:val="13"/>
              </w:rPr>
            </w:pPr>
          </w:p>
        </w:tc>
        <w:tc>
          <w:tcPr>
            <w:tcW w:w="442" w:type="pct"/>
            <w:vAlign w:val="center"/>
          </w:tcPr>
          <w:p w14:paraId="7226C487">
            <w:pPr>
              <w:jc w:val="right"/>
              <w:textAlignment w:val="bottom"/>
              <w:rPr>
                <w:rFonts w:cs="Times New Roman"/>
                <w:sz w:val="13"/>
                <w:szCs w:val="13"/>
              </w:rPr>
            </w:pPr>
            <w:r>
              <w:rPr>
                <w:rFonts w:eastAsia="Arial Narrow" w:cs="Times New Roman"/>
                <w:color w:val="000000"/>
                <w:sz w:val="13"/>
                <w:szCs w:val="13"/>
                <w:lang w:bidi="ar"/>
              </w:rPr>
              <w:t>-39,938,040.72</w:t>
            </w:r>
          </w:p>
        </w:tc>
        <w:tc>
          <w:tcPr>
            <w:tcW w:w="432" w:type="pct"/>
            <w:vAlign w:val="center"/>
          </w:tcPr>
          <w:p w14:paraId="70234659">
            <w:pPr>
              <w:jc w:val="right"/>
              <w:rPr>
                <w:rFonts w:cs="Times New Roman"/>
                <w:sz w:val="13"/>
                <w:szCs w:val="13"/>
              </w:rPr>
            </w:pPr>
          </w:p>
        </w:tc>
        <w:tc>
          <w:tcPr>
            <w:tcW w:w="507" w:type="pct"/>
            <w:vAlign w:val="center"/>
          </w:tcPr>
          <w:p w14:paraId="24563274">
            <w:pPr>
              <w:jc w:val="right"/>
              <w:textAlignment w:val="bottom"/>
              <w:rPr>
                <w:rFonts w:cs="Times New Roman"/>
                <w:sz w:val="13"/>
                <w:szCs w:val="13"/>
              </w:rPr>
            </w:pPr>
            <w:r>
              <w:rPr>
                <w:rFonts w:eastAsia="Arial Narrow" w:cs="Times New Roman"/>
                <w:color w:val="000000"/>
                <w:sz w:val="13"/>
                <w:szCs w:val="13"/>
                <w:lang w:bidi="ar"/>
              </w:rPr>
              <w:t>-39,938,040.72</w:t>
            </w:r>
          </w:p>
        </w:tc>
      </w:tr>
      <w:tr w14:paraId="510E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6538f5d06744ca9be65b0b439b17643"/>
            <w:id w:val="147475750"/>
          </w:sdtPr>
          <w:sdtContent>
            <w:tc>
              <w:tcPr>
                <w:tcW w:w="947" w:type="pct"/>
                <w:vAlign w:val="center"/>
              </w:tcPr>
              <w:p w14:paraId="1A2736BF">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．其他</w:t>
                </w:r>
              </w:p>
            </w:tc>
          </w:sdtContent>
        </w:sdt>
        <w:tc>
          <w:tcPr>
            <w:tcW w:w="515" w:type="pct"/>
            <w:vAlign w:val="center"/>
          </w:tcPr>
          <w:p w14:paraId="3D2CD8BB">
            <w:pPr>
              <w:jc w:val="right"/>
              <w:rPr>
                <w:rFonts w:cs="Times New Roman"/>
                <w:sz w:val="13"/>
                <w:szCs w:val="13"/>
              </w:rPr>
            </w:pPr>
          </w:p>
        </w:tc>
        <w:tc>
          <w:tcPr>
            <w:tcW w:w="430" w:type="pct"/>
            <w:vAlign w:val="center"/>
          </w:tcPr>
          <w:p w14:paraId="05B69118">
            <w:pPr>
              <w:jc w:val="right"/>
              <w:rPr>
                <w:rFonts w:cs="Times New Roman"/>
                <w:sz w:val="13"/>
                <w:szCs w:val="13"/>
              </w:rPr>
            </w:pPr>
          </w:p>
        </w:tc>
        <w:tc>
          <w:tcPr>
            <w:tcW w:w="403" w:type="pct"/>
            <w:vAlign w:val="center"/>
          </w:tcPr>
          <w:p w14:paraId="3B6B1E24">
            <w:pPr>
              <w:jc w:val="right"/>
              <w:textAlignment w:val="bottom"/>
              <w:rPr>
                <w:rFonts w:cs="Times New Roman"/>
                <w:sz w:val="13"/>
                <w:szCs w:val="13"/>
              </w:rPr>
            </w:pPr>
            <w:r>
              <w:rPr>
                <w:rFonts w:eastAsia="Arial Narrow" w:cs="Times New Roman"/>
                <w:color w:val="000000"/>
                <w:sz w:val="13"/>
                <w:szCs w:val="13"/>
                <w:lang w:bidi="ar"/>
              </w:rPr>
              <w:t>39,938,040.72</w:t>
            </w:r>
          </w:p>
        </w:tc>
        <w:tc>
          <w:tcPr>
            <w:tcW w:w="472" w:type="pct"/>
            <w:vAlign w:val="center"/>
          </w:tcPr>
          <w:p w14:paraId="6E6152B1">
            <w:pPr>
              <w:jc w:val="right"/>
              <w:rPr>
                <w:rFonts w:cs="Times New Roman"/>
                <w:sz w:val="13"/>
                <w:szCs w:val="13"/>
              </w:rPr>
            </w:pPr>
          </w:p>
        </w:tc>
        <w:tc>
          <w:tcPr>
            <w:tcW w:w="429" w:type="pct"/>
            <w:vAlign w:val="center"/>
          </w:tcPr>
          <w:p w14:paraId="0309F6B3">
            <w:pPr>
              <w:jc w:val="right"/>
              <w:rPr>
                <w:rFonts w:cs="Times New Roman"/>
                <w:sz w:val="13"/>
                <w:szCs w:val="13"/>
              </w:rPr>
            </w:pPr>
          </w:p>
        </w:tc>
        <w:tc>
          <w:tcPr>
            <w:tcW w:w="418" w:type="pct"/>
            <w:vAlign w:val="center"/>
          </w:tcPr>
          <w:p w14:paraId="356EAF50">
            <w:pPr>
              <w:jc w:val="right"/>
              <w:rPr>
                <w:rFonts w:cs="Times New Roman"/>
                <w:sz w:val="13"/>
                <w:szCs w:val="13"/>
              </w:rPr>
            </w:pPr>
          </w:p>
        </w:tc>
        <w:tc>
          <w:tcPr>
            <w:tcW w:w="442" w:type="pct"/>
            <w:vAlign w:val="center"/>
          </w:tcPr>
          <w:p w14:paraId="416AEDC7">
            <w:pPr>
              <w:jc w:val="right"/>
              <w:textAlignment w:val="bottom"/>
              <w:rPr>
                <w:rFonts w:cs="Times New Roman"/>
                <w:sz w:val="13"/>
                <w:szCs w:val="13"/>
              </w:rPr>
            </w:pPr>
            <w:r>
              <w:rPr>
                <w:rFonts w:eastAsia="Arial Narrow" w:cs="Times New Roman"/>
                <w:color w:val="000000"/>
                <w:sz w:val="13"/>
                <w:szCs w:val="13"/>
                <w:lang w:bidi="ar"/>
              </w:rPr>
              <w:t>-39,938,040.72</w:t>
            </w:r>
          </w:p>
        </w:tc>
        <w:tc>
          <w:tcPr>
            <w:tcW w:w="432" w:type="pct"/>
            <w:vAlign w:val="center"/>
          </w:tcPr>
          <w:p w14:paraId="682A3EC0">
            <w:pPr>
              <w:jc w:val="right"/>
              <w:rPr>
                <w:rFonts w:cs="Times New Roman"/>
                <w:sz w:val="13"/>
                <w:szCs w:val="13"/>
              </w:rPr>
            </w:pPr>
          </w:p>
        </w:tc>
        <w:tc>
          <w:tcPr>
            <w:tcW w:w="507" w:type="pct"/>
            <w:vAlign w:val="center"/>
          </w:tcPr>
          <w:p w14:paraId="34403C39">
            <w:pPr>
              <w:jc w:val="right"/>
              <w:textAlignment w:val="bottom"/>
              <w:rPr>
                <w:rFonts w:cs="Times New Roman"/>
                <w:sz w:val="13"/>
                <w:szCs w:val="13"/>
              </w:rPr>
            </w:pPr>
            <w:r>
              <w:rPr>
                <w:rFonts w:eastAsia="Arial Narrow" w:cs="Times New Roman"/>
                <w:color w:val="000000"/>
                <w:sz w:val="13"/>
                <w:szCs w:val="13"/>
                <w:lang w:bidi="ar"/>
              </w:rPr>
              <w:t>-39,938,040.72</w:t>
            </w:r>
          </w:p>
        </w:tc>
      </w:tr>
      <w:tr w14:paraId="58F2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fb1d678e8ca4e3ba31e34bed05e6c58"/>
            <w:id w:val="147471884"/>
          </w:sdtPr>
          <w:sdtContent>
            <w:tc>
              <w:tcPr>
                <w:tcW w:w="947" w:type="pct"/>
                <w:vAlign w:val="center"/>
              </w:tcPr>
              <w:p w14:paraId="2425E4A8">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三</w:t>
                </w:r>
                <w:r>
                  <w:rPr>
                    <w:color w:val="000000" w:themeColor="text1"/>
                    <w:sz w:val="18"/>
                    <w:szCs w:val="18"/>
                    <w14:textFill>
                      <w14:solidFill>
                        <w14:schemeClr w14:val="tx1"/>
                      </w14:solidFill>
                    </w14:textFill>
                  </w:rPr>
                  <w:t>）利润分配</w:t>
                </w:r>
              </w:p>
            </w:tc>
          </w:sdtContent>
        </w:sdt>
        <w:tc>
          <w:tcPr>
            <w:tcW w:w="515" w:type="pct"/>
            <w:vAlign w:val="center"/>
          </w:tcPr>
          <w:p w14:paraId="62745DFA">
            <w:pPr>
              <w:jc w:val="right"/>
              <w:rPr>
                <w:rFonts w:cs="Times New Roman"/>
                <w:sz w:val="13"/>
                <w:szCs w:val="13"/>
              </w:rPr>
            </w:pPr>
          </w:p>
        </w:tc>
        <w:tc>
          <w:tcPr>
            <w:tcW w:w="430" w:type="pct"/>
            <w:vAlign w:val="center"/>
          </w:tcPr>
          <w:p w14:paraId="6DCC75B0">
            <w:pPr>
              <w:jc w:val="right"/>
              <w:rPr>
                <w:rFonts w:cs="Times New Roman"/>
                <w:sz w:val="13"/>
                <w:szCs w:val="13"/>
              </w:rPr>
            </w:pPr>
          </w:p>
        </w:tc>
        <w:tc>
          <w:tcPr>
            <w:tcW w:w="403" w:type="pct"/>
            <w:vAlign w:val="center"/>
          </w:tcPr>
          <w:p w14:paraId="72420CA4">
            <w:pPr>
              <w:jc w:val="right"/>
              <w:rPr>
                <w:rFonts w:cs="Times New Roman"/>
                <w:sz w:val="13"/>
                <w:szCs w:val="13"/>
              </w:rPr>
            </w:pPr>
          </w:p>
        </w:tc>
        <w:tc>
          <w:tcPr>
            <w:tcW w:w="472" w:type="pct"/>
            <w:vAlign w:val="center"/>
          </w:tcPr>
          <w:p w14:paraId="1593ED44">
            <w:pPr>
              <w:jc w:val="right"/>
              <w:rPr>
                <w:rFonts w:cs="Times New Roman"/>
                <w:sz w:val="13"/>
                <w:szCs w:val="13"/>
              </w:rPr>
            </w:pPr>
          </w:p>
        </w:tc>
        <w:tc>
          <w:tcPr>
            <w:tcW w:w="429" w:type="pct"/>
            <w:vAlign w:val="center"/>
          </w:tcPr>
          <w:p w14:paraId="12C5C843">
            <w:pPr>
              <w:jc w:val="right"/>
              <w:rPr>
                <w:rFonts w:cs="Times New Roman"/>
                <w:sz w:val="13"/>
                <w:szCs w:val="13"/>
              </w:rPr>
            </w:pPr>
          </w:p>
        </w:tc>
        <w:tc>
          <w:tcPr>
            <w:tcW w:w="418" w:type="pct"/>
            <w:vAlign w:val="center"/>
          </w:tcPr>
          <w:p w14:paraId="3BEC8DFA">
            <w:pPr>
              <w:jc w:val="right"/>
              <w:rPr>
                <w:rFonts w:cs="Times New Roman"/>
                <w:sz w:val="13"/>
                <w:szCs w:val="13"/>
              </w:rPr>
            </w:pPr>
          </w:p>
        </w:tc>
        <w:tc>
          <w:tcPr>
            <w:tcW w:w="442" w:type="pct"/>
            <w:vAlign w:val="center"/>
          </w:tcPr>
          <w:p w14:paraId="4CA55192">
            <w:pPr>
              <w:jc w:val="right"/>
              <w:rPr>
                <w:rFonts w:cs="Times New Roman"/>
                <w:sz w:val="13"/>
                <w:szCs w:val="13"/>
              </w:rPr>
            </w:pPr>
          </w:p>
        </w:tc>
        <w:tc>
          <w:tcPr>
            <w:tcW w:w="432" w:type="pct"/>
            <w:vAlign w:val="center"/>
          </w:tcPr>
          <w:p w14:paraId="439F4CEE">
            <w:pPr>
              <w:jc w:val="right"/>
              <w:rPr>
                <w:rFonts w:cs="Times New Roman"/>
                <w:sz w:val="13"/>
                <w:szCs w:val="13"/>
              </w:rPr>
            </w:pPr>
          </w:p>
        </w:tc>
        <w:tc>
          <w:tcPr>
            <w:tcW w:w="507" w:type="pct"/>
            <w:vAlign w:val="center"/>
          </w:tcPr>
          <w:p w14:paraId="64B5CCDD">
            <w:pPr>
              <w:jc w:val="right"/>
              <w:rPr>
                <w:rFonts w:cs="Times New Roman"/>
                <w:sz w:val="13"/>
                <w:szCs w:val="13"/>
              </w:rPr>
            </w:pPr>
          </w:p>
        </w:tc>
      </w:tr>
      <w:tr w14:paraId="69B8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3ab84b7536c4ddcaaad4c99a2dd5fd3"/>
            <w:id w:val="147457874"/>
          </w:sdtPr>
          <w:sdtContent>
            <w:tc>
              <w:tcPr>
                <w:tcW w:w="947" w:type="pct"/>
                <w:vAlign w:val="center"/>
              </w:tcPr>
              <w:p w14:paraId="046E854E">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四</w:t>
                </w:r>
                <w:r>
                  <w:rPr>
                    <w:color w:val="000000" w:themeColor="text1"/>
                    <w:sz w:val="18"/>
                    <w:szCs w:val="18"/>
                    <w14:textFill>
                      <w14:solidFill>
                        <w14:schemeClr w14:val="tx1"/>
                      </w14:solidFill>
                    </w14:textFill>
                  </w:rPr>
                  <w:t>）所有者权益内部结转</w:t>
                </w:r>
              </w:p>
            </w:tc>
          </w:sdtContent>
        </w:sdt>
        <w:tc>
          <w:tcPr>
            <w:tcW w:w="515" w:type="pct"/>
            <w:vAlign w:val="center"/>
          </w:tcPr>
          <w:p w14:paraId="59B800C6">
            <w:pPr>
              <w:jc w:val="right"/>
              <w:rPr>
                <w:rFonts w:cs="Times New Roman"/>
                <w:sz w:val="13"/>
                <w:szCs w:val="13"/>
              </w:rPr>
            </w:pPr>
          </w:p>
        </w:tc>
        <w:tc>
          <w:tcPr>
            <w:tcW w:w="430" w:type="pct"/>
            <w:vAlign w:val="center"/>
          </w:tcPr>
          <w:p w14:paraId="5A17FA8B">
            <w:pPr>
              <w:jc w:val="right"/>
              <w:rPr>
                <w:rFonts w:cs="Times New Roman"/>
                <w:sz w:val="13"/>
                <w:szCs w:val="13"/>
              </w:rPr>
            </w:pPr>
          </w:p>
        </w:tc>
        <w:tc>
          <w:tcPr>
            <w:tcW w:w="403" w:type="pct"/>
            <w:vAlign w:val="center"/>
          </w:tcPr>
          <w:p w14:paraId="7E37142D">
            <w:pPr>
              <w:jc w:val="right"/>
              <w:rPr>
                <w:rFonts w:cs="Times New Roman"/>
                <w:sz w:val="13"/>
                <w:szCs w:val="13"/>
              </w:rPr>
            </w:pPr>
          </w:p>
        </w:tc>
        <w:tc>
          <w:tcPr>
            <w:tcW w:w="472" w:type="pct"/>
            <w:vAlign w:val="center"/>
          </w:tcPr>
          <w:p w14:paraId="233F88D5">
            <w:pPr>
              <w:jc w:val="right"/>
              <w:rPr>
                <w:rFonts w:cs="Times New Roman"/>
                <w:sz w:val="13"/>
                <w:szCs w:val="13"/>
              </w:rPr>
            </w:pPr>
          </w:p>
        </w:tc>
        <w:tc>
          <w:tcPr>
            <w:tcW w:w="429" w:type="pct"/>
            <w:vAlign w:val="center"/>
          </w:tcPr>
          <w:p w14:paraId="4421B141">
            <w:pPr>
              <w:jc w:val="right"/>
              <w:rPr>
                <w:rFonts w:cs="Times New Roman"/>
                <w:sz w:val="13"/>
                <w:szCs w:val="13"/>
              </w:rPr>
            </w:pPr>
          </w:p>
        </w:tc>
        <w:tc>
          <w:tcPr>
            <w:tcW w:w="418" w:type="pct"/>
            <w:vAlign w:val="center"/>
          </w:tcPr>
          <w:p w14:paraId="17B98809">
            <w:pPr>
              <w:jc w:val="right"/>
              <w:rPr>
                <w:rFonts w:cs="Times New Roman"/>
                <w:sz w:val="13"/>
                <w:szCs w:val="13"/>
              </w:rPr>
            </w:pPr>
          </w:p>
        </w:tc>
        <w:tc>
          <w:tcPr>
            <w:tcW w:w="442" w:type="pct"/>
            <w:vAlign w:val="center"/>
          </w:tcPr>
          <w:p w14:paraId="1CA3B74F">
            <w:pPr>
              <w:jc w:val="right"/>
              <w:rPr>
                <w:rFonts w:cs="Times New Roman"/>
                <w:sz w:val="13"/>
                <w:szCs w:val="13"/>
              </w:rPr>
            </w:pPr>
          </w:p>
        </w:tc>
        <w:tc>
          <w:tcPr>
            <w:tcW w:w="432" w:type="pct"/>
            <w:vAlign w:val="center"/>
          </w:tcPr>
          <w:p w14:paraId="6EF20E10">
            <w:pPr>
              <w:jc w:val="right"/>
              <w:rPr>
                <w:rFonts w:cs="Times New Roman"/>
                <w:sz w:val="13"/>
                <w:szCs w:val="13"/>
              </w:rPr>
            </w:pPr>
          </w:p>
        </w:tc>
        <w:tc>
          <w:tcPr>
            <w:tcW w:w="507" w:type="pct"/>
            <w:vAlign w:val="center"/>
          </w:tcPr>
          <w:p w14:paraId="7B9B150B">
            <w:pPr>
              <w:jc w:val="right"/>
              <w:rPr>
                <w:rFonts w:cs="Times New Roman"/>
                <w:sz w:val="13"/>
                <w:szCs w:val="13"/>
              </w:rPr>
            </w:pPr>
          </w:p>
        </w:tc>
      </w:tr>
      <w:tr w14:paraId="66E2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4d25c6e75074c52a0f884581cc84dba"/>
            <w:id w:val="147457738"/>
          </w:sdtPr>
          <w:sdtContent>
            <w:tc>
              <w:tcPr>
                <w:tcW w:w="947" w:type="pct"/>
                <w:vAlign w:val="center"/>
              </w:tcPr>
              <w:p w14:paraId="5BEAF171">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（五）专项储备</w:t>
                </w:r>
              </w:p>
            </w:tc>
          </w:sdtContent>
        </w:sdt>
        <w:tc>
          <w:tcPr>
            <w:tcW w:w="515" w:type="pct"/>
            <w:vAlign w:val="center"/>
          </w:tcPr>
          <w:p w14:paraId="5F009F3A">
            <w:pPr>
              <w:jc w:val="right"/>
              <w:rPr>
                <w:rFonts w:cs="Times New Roman"/>
                <w:sz w:val="13"/>
                <w:szCs w:val="13"/>
              </w:rPr>
            </w:pPr>
          </w:p>
        </w:tc>
        <w:tc>
          <w:tcPr>
            <w:tcW w:w="430" w:type="pct"/>
            <w:vAlign w:val="center"/>
          </w:tcPr>
          <w:p w14:paraId="57DDB07A">
            <w:pPr>
              <w:jc w:val="right"/>
              <w:rPr>
                <w:rFonts w:cs="Times New Roman"/>
                <w:sz w:val="13"/>
                <w:szCs w:val="13"/>
              </w:rPr>
            </w:pPr>
          </w:p>
        </w:tc>
        <w:tc>
          <w:tcPr>
            <w:tcW w:w="403" w:type="pct"/>
            <w:vAlign w:val="center"/>
          </w:tcPr>
          <w:p w14:paraId="63875A91">
            <w:pPr>
              <w:jc w:val="right"/>
              <w:rPr>
                <w:rFonts w:cs="Times New Roman"/>
                <w:sz w:val="13"/>
                <w:szCs w:val="13"/>
              </w:rPr>
            </w:pPr>
          </w:p>
        </w:tc>
        <w:tc>
          <w:tcPr>
            <w:tcW w:w="472" w:type="pct"/>
            <w:vAlign w:val="center"/>
          </w:tcPr>
          <w:p w14:paraId="6E8A9DF1">
            <w:pPr>
              <w:jc w:val="right"/>
              <w:rPr>
                <w:rFonts w:cs="Times New Roman"/>
                <w:sz w:val="13"/>
                <w:szCs w:val="13"/>
              </w:rPr>
            </w:pPr>
          </w:p>
        </w:tc>
        <w:tc>
          <w:tcPr>
            <w:tcW w:w="429" w:type="pct"/>
            <w:vAlign w:val="center"/>
          </w:tcPr>
          <w:p w14:paraId="553FCF12">
            <w:pPr>
              <w:jc w:val="right"/>
              <w:rPr>
                <w:rFonts w:cs="Times New Roman"/>
                <w:sz w:val="13"/>
                <w:szCs w:val="13"/>
              </w:rPr>
            </w:pPr>
          </w:p>
        </w:tc>
        <w:tc>
          <w:tcPr>
            <w:tcW w:w="418" w:type="pct"/>
            <w:vAlign w:val="center"/>
          </w:tcPr>
          <w:p w14:paraId="71B6F42F">
            <w:pPr>
              <w:jc w:val="right"/>
              <w:rPr>
                <w:rFonts w:cs="Times New Roman"/>
                <w:sz w:val="13"/>
                <w:szCs w:val="13"/>
              </w:rPr>
            </w:pPr>
          </w:p>
        </w:tc>
        <w:tc>
          <w:tcPr>
            <w:tcW w:w="442" w:type="pct"/>
            <w:vAlign w:val="center"/>
          </w:tcPr>
          <w:p w14:paraId="04BA3F5F">
            <w:pPr>
              <w:jc w:val="right"/>
              <w:rPr>
                <w:rFonts w:cs="Times New Roman"/>
                <w:sz w:val="13"/>
                <w:szCs w:val="13"/>
              </w:rPr>
            </w:pPr>
          </w:p>
        </w:tc>
        <w:tc>
          <w:tcPr>
            <w:tcW w:w="432" w:type="pct"/>
            <w:vAlign w:val="center"/>
          </w:tcPr>
          <w:p w14:paraId="0B7BDB51">
            <w:pPr>
              <w:jc w:val="right"/>
              <w:rPr>
                <w:rFonts w:cs="Times New Roman"/>
                <w:sz w:val="13"/>
                <w:szCs w:val="13"/>
              </w:rPr>
            </w:pPr>
          </w:p>
        </w:tc>
        <w:tc>
          <w:tcPr>
            <w:tcW w:w="507" w:type="pct"/>
            <w:vAlign w:val="center"/>
          </w:tcPr>
          <w:p w14:paraId="0A3ABE9F">
            <w:pPr>
              <w:jc w:val="right"/>
              <w:rPr>
                <w:rFonts w:cs="Times New Roman"/>
                <w:sz w:val="13"/>
                <w:szCs w:val="13"/>
              </w:rPr>
            </w:pPr>
          </w:p>
        </w:tc>
      </w:tr>
      <w:tr w14:paraId="6769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4bc69f9c7d34151a4b7a0d89088f0ee"/>
            <w:id w:val="147467403"/>
          </w:sdtPr>
          <w:sdtContent>
            <w:tc>
              <w:tcPr>
                <w:tcW w:w="947" w:type="pct"/>
                <w:vAlign w:val="center"/>
              </w:tcPr>
              <w:p w14:paraId="2BD85D29">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（六）其他</w:t>
                </w:r>
              </w:p>
            </w:tc>
          </w:sdtContent>
        </w:sdt>
        <w:tc>
          <w:tcPr>
            <w:tcW w:w="515" w:type="pct"/>
            <w:vAlign w:val="center"/>
          </w:tcPr>
          <w:p w14:paraId="3A338AA5">
            <w:pPr>
              <w:jc w:val="right"/>
              <w:rPr>
                <w:rFonts w:cs="Times New Roman"/>
                <w:sz w:val="13"/>
                <w:szCs w:val="13"/>
              </w:rPr>
            </w:pPr>
          </w:p>
        </w:tc>
        <w:tc>
          <w:tcPr>
            <w:tcW w:w="430" w:type="pct"/>
            <w:vAlign w:val="center"/>
          </w:tcPr>
          <w:p w14:paraId="648C6959">
            <w:pPr>
              <w:jc w:val="right"/>
              <w:rPr>
                <w:rFonts w:cs="Times New Roman"/>
                <w:sz w:val="13"/>
                <w:szCs w:val="13"/>
              </w:rPr>
            </w:pPr>
          </w:p>
        </w:tc>
        <w:tc>
          <w:tcPr>
            <w:tcW w:w="403" w:type="pct"/>
            <w:vAlign w:val="center"/>
          </w:tcPr>
          <w:p w14:paraId="7A3B4E6C">
            <w:pPr>
              <w:jc w:val="right"/>
              <w:rPr>
                <w:rFonts w:cs="Times New Roman"/>
                <w:sz w:val="13"/>
                <w:szCs w:val="13"/>
              </w:rPr>
            </w:pPr>
          </w:p>
        </w:tc>
        <w:tc>
          <w:tcPr>
            <w:tcW w:w="472" w:type="pct"/>
            <w:vAlign w:val="center"/>
          </w:tcPr>
          <w:p w14:paraId="503AD222">
            <w:pPr>
              <w:jc w:val="right"/>
              <w:rPr>
                <w:rFonts w:cs="Times New Roman"/>
                <w:sz w:val="13"/>
                <w:szCs w:val="13"/>
              </w:rPr>
            </w:pPr>
          </w:p>
        </w:tc>
        <w:tc>
          <w:tcPr>
            <w:tcW w:w="429" w:type="pct"/>
            <w:vAlign w:val="center"/>
          </w:tcPr>
          <w:p w14:paraId="0AF87D2B">
            <w:pPr>
              <w:jc w:val="right"/>
              <w:rPr>
                <w:rFonts w:cs="Times New Roman"/>
                <w:sz w:val="13"/>
                <w:szCs w:val="13"/>
              </w:rPr>
            </w:pPr>
          </w:p>
        </w:tc>
        <w:tc>
          <w:tcPr>
            <w:tcW w:w="418" w:type="pct"/>
            <w:vAlign w:val="center"/>
          </w:tcPr>
          <w:p w14:paraId="62D3C578">
            <w:pPr>
              <w:jc w:val="right"/>
              <w:rPr>
                <w:rFonts w:cs="Times New Roman"/>
                <w:sz w:val="13"/>
                <w:szCs w:val="13"/>
              </w:rPr>
            </w:pPr>
          </w:p>
        </w:tc>
        <w:tc>
          <w:tcPr>
            <w:tcW w:w="442" w:type="pct"/>
            <w:vAlign w:val="center"/>
          </w:tcPr>
          <w:p w14:paraId="18749601">
            <w:pPr>
              <w:jc w:val="right"/>
              <w:rPr>
                <w:rFonts w:cs="Times New Roman"/>
                <w:sz w:val="13"/>
                <w:szCs w:val="13"/>
              </w:rPr>
            </w:pPr>
          </w:p>
        </w:tc>
        <w:tc>
          <w:tcPr>
            <w:tcW w:w="432" w:type="pct"/>
            <w:vAlign w:val="center"/>
          </w:tcPr>
          <w:p w14:paraId="5A7782E8">
            <w:pPr>
              <w:jc w:val="right"/>
              <w:rPr>
                <w:rFonts w:cs="Times New Roman"/>
                <w:sz w:val="13"/>
                <w:szCs w:val="13"/>
              </w:rPr>
            </w:pPr>
          </w:p>
        </w:tc>
        <w:tc>
          <w:tcPr>
            <w:tcW w:w="507" w:type="pct"/>
            <w:vAlign w:val="center"/>
          </w:tcPr>
          <w:p w14:paraId="0F3F211C">
            <w:pPr>
              <w:jc w:val="right"/>
              <w:rPr>
                <w:rFonts w:cs="Times New Roman"/>
                <w:sz w:val="13"/>
                <w:szCs w:val="13"/>
              </w:rPr>
            </w:pPr>
          </w:p>
        </w:tc>
      </w:tr>
      <w:tr w14:paraId="60FD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33ca7ec3c1d4c1b905d0af57ca8a614"/>
            <w:id w:val="147458973"/>
          </w:sdtPr>
          <w:sdtContent>
            <w:tc>
              <w:tcPr>
                <w:tcW w:w="947" w:type="pct"/>
                <w:vAlign w:val="center"/>
              </w:tcPr>
              <w:p w14:paraId="20C098A7">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四、本期期末余额</w:t>
                </w:r>
              </w:p>
            </w:tc>
          </w:sdtContent>
        </w:sdt>
        <w:tc>
          <w:tcPr>
            <w:tcW w:w="515" w:type="pct"/>
            <w:vAlign w:val="center"/>
          </w:tcPr>
          <w:p w14:paraId="4C4ADC03">
            <w:pPr>
              <w:jc w:val="right"/>
              <w:textAlignment w:val="bottom"/>
              <w:rPr>
                <w:rFonts w:cs="Times New Roman"/>
                <w:sz w:val="13"/>
                <w:szCs w:val="13"/>
              </w:rPr>
            </w:pPr>
            <w:r>
              <w:rPr>
                <w:rFonts w:eastAsia="Arial Narrow" w:cs="Times New Roman"/>
                <w:color w:val="000000"/>
                <w:sz w:val="13"/>
                <w:szCs w:val="13"/>
                <w:lang w:bidi="ar"/>
              </w:rPr>
              <w:t>4,391,629,404.00</w:t>
            </w:r>
          </w:p>
        </w:tc>
        <w:tc>
          <w:tcPr>
            <w:tcW w:w="430" w:type="pct"/>
            <w:vAlign w:val="center"/>
          </w:tcPr>
          <w:p w14:paraId="62EEB9AE">
            <w:pPr>
              <w:jc w:val="right"/>
              <w:textAlignment w:val="bottom"/>
              <w:rPr>
                <w:rFonts w:cs="Times New Roman"/>
                <w:sz w:val="13"/>
                <w:szCs w:val="13"/>
              </w:rPr>
            </w:pPr>
            <w:r>
              <w:rPr>
                <w:rFonts w:eastAsia="Arial Narrow" w:cs="Times New Roman"/>
                <w:color w:val="000000"/>
                <w:sz w:val="13"/>
                <w:szCs w:val="13"/>
                <w:lang w:bidi="ar"/>
              </w:rPr>
              <w:t>8,067,766,137.08</w:t>
            </w:r>
          </w:p>
        </w:tc>
        <w:tc>
          <w:tcPr>
            <w:tcW w:w="403" w:type="pct"/>
            <w:vAlign w:val="center"/>
          </w:tcPr>
          <w:p w14:paraId="67D185E0">
            <w:pPr>
              <w:jc w:val="right"/>
              <w:textAlignment w:val="bottom"/>
              <w:rPr>
                <w:rFonts w:cs="Times New Roman"/>
                <w:sz w:val="13"/>
                <w:szCs w:val="13"/>
              </w:rPr>
            </w:pPr>
            <w:r>
              <w:rPr>
                <w:rFonts w:eastAsia="Arial Narrow" w:cs="Times New Roman"/>
                <w:color w:val="000000"/>
                <w:sz w:val="13"/>
                <w:szCs w:val="13"/>
                <w:lang w:bidi="ar"/>
              </w:rPr>
              <w:t>39,938,040.72</w:t>
            </w:r>
          </w:p>
        </w:tc>
        <w:tc>
          <w:tcPr>
            <w:tcW w:w="472" w:type="pct"/>
            <w:vAlign w:val="center"/>
          </w:tcPr>
          <w:p w14:paraId="5F6B9928">
            <w:pPr>
              <w:jc w:val="right"/>
              <w:textAlignment w:val="bottom"/>
              <w:rPr>
                <w:rFonts w:cs="Times New Roman"/>
                <w:sz w:val="13"/>
                <w:szCs w:val="13"/>
              </w:rPr>
            </w:pPr>
            <w:r>
              <w:rPr>
                <w:rFonts w:eastAsia="Arial Narrow" w:cs="Times New Roman"/>
                <w:color w:val="000000"/>
                <w:sz w:val="13"/>
                <w:szCs w:val="13"/>
                <w:lang w:bidi="ar"/>
              </w:rPr>
              <w:t>-319,263,338.48</w:t>
            </w:r>
          </w:p>
        </w:tc>
        <w:tc>
          <w:tcPr>
            <w:tcW w:w="429" w:type="pct"/>
            <w:vAlign w:val="center"/>
          </w:tcPr>
          <w:p w14:paraId="41E2E259">
            <w:pPr>
              <w:jc w:val="right"/>
              <w:textAlignment w:val="bottom"/>
              <w:rPr>
                <w:rFonts w:cs="Times New Roman"/>
                <w:sz w:val="13"/>
                <w:szCs w:val="13"/>
              </w:rPr>
            </w:pPr>
            <w:r>
              <w:rPr>
                <w:rFonts w:eastAsia="Arial Narrow" w:cs="Times New Roman"/>
                <w:color w:val="000000"/>
                <w:sz w:val="13"/>
                <w:szCs w:val="13"/>
                <w:lang w:bidi="ar"/>
              </w:rPr>
              <w:t>369,677,423.82</w:t>
            </w:r>
          </w:p>
        </w:tc>
        <w:tc>
          <w:tcPr>
            <w:tcW w:w="418" w:type="pct"/>
            <w:vAlign w:val="center"/>
          </w:tcPr>
          <w:p w14:paraId="243539F8">
            <w:pPr>
              <w:jc w:val="right"/>
              <w:textAlignment w:val="bottom"/>
              <w:rPr>
                <w:rFonts w:cs="Times New Roman"/>
                <w:sz w:val="13"/>
                <w:szCs w:val="13"/>
              </w:rPr>
            </w:pPr>
            <w:r>
              <w:rPr>
                <w:rFonts w:eastAsia="Arial Narrow" w:cs="Times New Roman"/>
                <w:color w:val="000000"/>
                <w:sz w:val="13"/>
                <w:szCs w:val="13"/>
                <w:lang w:bidi="ar"/>
              </w:rPr>
              <w:t>24,218,486.35</w:t>
            </w:r>
          </w:p>
        </w:tc>
        <w:tc>
          <w:tcPr>
            <w:tcW w:w="442" w:type="pct"/>
            <w:vAlign w:val="center"/>
          </w:tcPr>
          <w:p w14:paraId="524D7617">
            <w:pPr>
              <w:jc w:val="right"/>
              <w:textAlignment w:val="bottom"/>
              <w:rPr>
                <w:rFonts w:cs="Times New Roman"/>
                <w:sz w:val="13"/>
                <w:szCs w:val="13"/>
              </w:rPr>
            </w:pPr>
            <w:r>
              <w:rPr>
                <w:rFonts w:eastAsia="Arial Narrow" w:cs="Times New Roman"/>
                <w:color w:val="000000"/>
                <w:sz w:val="13"/>
                <w:szCs w:val="13"/>
                <w:lang w:bidi="ar"/>
              </w:rPr>
              <w:t>12,494,090,072.05</w:t>
            </w:r>
          </w:p>
        </w:tc>
        <w:tc>
          <w:tcPr>
            <w:tcW w:w="432" w:type="pct"/>
            <w:vAlign w:val="center"/>
          </w:tcPr>
          <w:p w14:paraId="43618C6D">
            <w:pPr>
              <w:jc w:val="right"/>
              <w:textAlignment w:val="bottom"/>
              <w:rPr>
                <w:rFonts w:cs="Times New Roman"/>
                <w:sz w:val="13"/>
                <w:szCs w:val="13"/>
              </w:rPr>
            </w:pPr>
            <w:r>
              <w:rPr>
                <w:rFonts w:eastAsia="Arial Narrow" w:cs="Times New Roman"/>
                <w:color w:val="000000"/>
                <w:sz w:val="13"/>
                <w:szCs w:val="13"/>
                <w:lang w:bidi="ar"/>
              </w:rPr>
              <w:t>-99,377,344.72</w:t>
            </w:r>
          </w:p>
        </w:tc>
        <w:tc>
          <w:tcPr>
            <w:tcW w:w="507" w:type="pct"/>
            <w:vAlign w:val="center"/>
          </w:tcPr>
          <w:p w14:paraId="53CBCE4F">
            <w:pPr>
              <w:jc w:val="right"/>
              <w:textAlignment w:val="bottom"/>
              <w:rPr>
                <w:rFonts w:cs="Times New Roman"/>
                <w:sz w:val="13"/>
                <w:szCs w:val="13"/>
              </w:rPr>
            </w:pPr>
            <w:r>
              <w:rPr>
                <w:rFonts w:eastAsia="Arial Narrow" w:cs="Times New Roman"/>
                <w:color w:val="000000"/>
                <w:sz w:val="13"/>
                <w:szCs w:val="13"/>
                <w:lang w:bidi="ar"/>
              </w:rPr>
              <w:t>12,394,712,727.33</w:t>
            </w:r>
          </w:p>
        </w:tc>
      </w:tr>
    </w:tbl>
    <w:p w14:paraId="3BAE045A"/>
    <w:p w14:paraId="55AE55D5">
      <w:pPr>
        <w:snapToGrid w:val="0"/>
        <w:spacing w:line="240" w:lineRule="atLeast"/>
        <w:ind w:right="-1594" w:rightChars="-759"/>
        <w:rPr>
          <w:color w:val="000000" w:themeColor="text1"/>
          <w14:textFill>
            <w14:solidFill>
              <w14:schemeClr w14:val="tx1"/>
            </w14:solidFill>
          </w14:textFill>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9"/>
        <w:gridCol w:w="1509"/>
        <w:gridCol w:w="1178"/>
        <w:gridCol w:w="1150"/>
        <w:gridCol w:w="1301"/>
        <w:gridCol w:w="1223"/>
        <w:gridCol w:w="1162"/>
        <w:gridCol w:w="1273"/>
        <w:gridCol w:w="1209"/>
        <w:gridCol w:w="1415"/>
      </w:tblGrid>
      <w:tr w14:paraId="5542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69" w:type="dxa"/>
            <w:vMerge w:val="restart"/>
            <w:vAlign w:val="center"/>
          </w:tcPr>
          <w:sdt>
            <w:sdtPr>
              <w:tag w:val="_PLD_20eb9c9dd1e14fb0a0790f87b63a489d"/>
              <w:id w:val="147457784"/>
            </w:sdtPr>
            <w:sdtContent>
              <w:p w14:paraId="5773677E">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w:t>
                </w:r>
              </w:p>
            </w:sdtContent>
          </w:sdt>
        </w:tc>
        <w:tc>
          <w:tcPr>
            <w:tcW w:w="11420" w:type="dxa"/>
            <w:gridSpan w:val="9"/>
            <w:vAlign w:val="center"/>
          </w:tcPr>
          <w:p w14:paraId="544F8524">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sdt>
              <w:sdtPr>
                <w:tag w:val="_PLD_95c0e6e5f75a49daa1b601f67b7dd704"/>
                <w:id w:val="147451524"/>
              </w:sdtPr>
              <w:sdtContent>
                <w:r>
                  <w:rPr>
                    <w:rFonts w:hint="eastAsia"/>
                    <w:color w:val="000000" w:themeColor="text1"/>
                    <w:sz w:val="18"/>
                    <w:szCs w:val="18"/>
                    <w14:textFill>
                      <w14:solidFill>
                        <w14:schemeClr w14:val="tx1"/>
                      </w14:solidFill>
                    </w14:textFill>
                  </w:rPr>
                  <w:t>2024年半年度</w:t>
                </w:r>
              </w:sdtContent>
            </w:sdt>
          </w:p>
        </w:tc>
      </w:tr>
      <w:tr w14:paraId="1B1B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blHeader/>
        </w:trPr>
        <w:tc>
          <w:tcPr>
            <w:tcW w:w="2669" w:type="dxa"/>
            <w:vMerge w:val="continue"/>
            <w:vAlign w:val="center"/>
          </w:tcPr>
          <w:p w14:paraId="18EA48D5">
            <w:pPr>
              <w:snapToGrid w:val="0"/>
              <w:spacing w:line="240" w:lineRule="atLeast"/>
              <w:ind w:right="-1594" w:rightChars="-759"/>
              <w:rPr>
                <w:color w:val="000000" w:themeColor="text1"/>
                <w:sz w:val="18"/>
                <w:szCs w:val="18"/>
                <w14:textFill>
                  <w14:solidFill>
                    <w14:schemeClr w14:val="tx1"/>
                  </w14:solidFill>
                </w14:textFill>
              </w:rPr>
            </w:pPr>
          </w:p>
        </w:tc>
        <w:sdt>
          <w:sdtPr>
            <w:tag w:val="_PLD_3c5d65171933469ea16eac46afc03a54"/>
            <w:id w:val="147456279"/>
          </w:sdtPr>
          <w:sdtContent>
            <w:tc>
              <w:tcPr>
                <w:tcW w:w="8796" w:type="dxa"/>
                <w:gridSpan w:val="7"/>
                <w:vAlign w:val="center"/>
              </w:tcPr>
              <w:p w14:paraId="022A9E67">
                <w:pPr>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归属于母公司所有者权益</w:t>
                </w:r>
              </w:p>
            </w:tc>
          </w:sdtContent>
        </w:sdt>
        <w:sdt>
          <w:sdtPr>
            <w:tag w:val="_PLD_ba7b1c99b1634f48939c500d6c46ce09"/>
            <w:id w:val="147467149"/>
          </w:sdtPr>
          <w:sdtContent>
            <w:tc>
              <w:tcPr>
                <w:tcW w:w="1209" w:type="dxa"/>
                <w:vMerge w:val="restart"/>
                <w:vAlign w:val="center"/>
              </w:tcPr>
              <w:p w14:paraId="48E8C6B3">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少数股东</w:t>
                </w:r>
              </w:p>
              <w:p w14:paraId="2851B88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权益</w:t>
                </w:r>
              </w:p>
            </w:tc>
          </w:sdtContent>
        </w:sdt>
        <w:sdt>
          <w:sdtPr>
            <w:tag w:val="_PLD_fb367567c5f141a5863649df07435b71"/>
            <w:id w:val="147459114"/>
          </w:sdtPr>
          <w:sdtContent>
            <w:tc>
              <w:tcPr>
                <w:tcW w:w="1415" w:type="dxa"/>
                <w:vMerge w:val="restart"/>
                <w:vAlign w:val="center"/>
              </w:tcPr>
              <w:p w14:paraId="07DCAFB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所有者权益</w:t>
                </w:r>
              </w:p>
              <w:p w14:paraId="19EAC73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合计</w:t>
                </w:r>
              </w:p>
            </w:tc>
          </w:sdtContent>
        </w:sdt>
      </w:tr>
      <w:tr w14:paraId="2401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blHeader/>
        </w:trPr>
        <w:tc>
          <w:tcPr>
            <w:tcW w:w="2669" w:type="dxa"/>
            <w:vMerge w:val="continue"/>
            <w:vAlign w:val="center"/>
          </w:tcPr>
          <w:p w14:paraId="58223333">
            <w:pPr>
              <w:snapToGrid w:val="0"/>
              <w:spacing w:line="240" w:lineRule="atLeast"/>
              <w:ind w:right="-1594" w:rightChars="-759"/>
              <w:rPr>
                <w:color w:val="000000" w:themeColor="text1"/>
                <w:sz w:val="18"/>
                <w:szCs w:val="18"/>
                <w14:textFill>
                  <w14:solidFill>
                    <w14:schemeClr w14:val="tx1"/>
                  </w14:solidFill>
                </w14:textFill>
              </w:rPr>
            </w:pPr>
          </w:p>
        </w:tc>
        <w:sdt>
          <w:sdtPr>
            <w:tag w:val="_PLD_36b3a5c009c04b53b0bd25afc2596e7e"/>
            <w:id w:val="147453608"/>
          </w:sdtPr>
          <w:sdtContent>
            <w:tc>
              <w:tcPr>
                <w:tcW w:w="1509" w:type="dxa"/>
                <w:vAlign w:val="center"/>
              </w:tcPr>
              <w:p w14:paraId="4B369887">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实收资本</w:t>
                </w:r>
                <w:r>
                  <w:rPr>
                    <w:color w:val="000000" w:themeColor="text1"/>
                    <w:sz w:val="18"/>
                    <w:szCs w:val="18"/>
                    <w14:textFill>
                      <w14:solidFill>
                        <w14:schemeClr w14:val="tx1"/>
                      </w14:solidFill>
                    </w14:textFill>
                  </w:rPr>
                  <w:t>(或股本)</w:t>
                </w:r>
              </w:p>
            </w:tc>
          </w:sdtContent>
        </w:sdt>
        <w:sdt>
          <w:sdtPr>
            <w:tag w:val="_PLD_f728bf12d1d64c4fa04dfc828a7a0411"/>
            <w:id w:val="147475778"/>
          </w:sdtPr>
          <w:sdtContent>
            <w:tc>
              <w:tcPr>
                <w:tcW w:w="1178" w:type="dxa"/>
                <w:vAlign w:val="center"/>
              </w:tcPr>
              <w:p w14:paraId="34A65097">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资本公积</w:t>
                </w:r>
              </w:p>
            </w:tc>
          </w:sdtContent>
        </w:sdt>
        <w:sdt>
          <w:sdtPr>
            <w:tag w:val="_PLD_8c191e0685ac4367b113504c484a11e9"/>
            <w:id w:val="147461636"/>
          </w:sdtPr>
          <w:sdtContent>
            <w:tc>
              <w:tcPr>
                <w:tcW w:w="1150" w:type="dxa"/>
                <w:vAlign w:val="center"/>
              </w:tcPr>
              <w:p w14:paraId="09C79699">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减：库存股</w:t>
                </w:r>
              </w:p>
            </w:tc>
          </w:sdtContent>
        </w:sdt>
        <w:sdt>
          <w:sdtPr>
            <w:tag w:val="_PLD_68ae3206209542ea8491f40d49bafeb7"/>
            <w:id w:val="147483040"/>
          </w:sdtPr>
          <w:sdtContent>
            <w:tc>
              <w:tcPr>
                <w:tcW w:w="1301" w:type="dxa"/>
                <w:vAlign w:val="center"/>
              </w:tcPr>
              <w:p w14:paraId="5349503C">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其他综合收益</w:t>
                </w:r>
              </w:p>
            </w:tc>
          </w:sdtContent>
        </w:sdt>
        <w:sdt>
          <w:sdtPr>
            <w:tag w:val="_PLD_b1d22d8686164205bfa14ef647cebfcd"/>
            <w:id w:val="147483257"/>
          </w:sdtPr>
          <w:sdtContent>
            <w:tc>
              <w:tcPr>
                <w:tcW w:w="1223" w:type="dxa"/>
                <w:vAlign w:val="center"/>
              </w:tcPr>
              <w:p w14:paraId="348801E0">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盈余公积</w:t>
                </w:r>
              </w:p>
            </w:tc>
          </w:sdtContent>
        </w:sdt>
        <w:sdt>
          <w:sdtPr>
            <w:tag w:val="_PLD_c9bffd2027d24ca1955db036ad79f5ea"/>
            <w:id w:val="147465463"/>
          </w:sdtPr>
          <w:sdtContent>
            <w:tc>
              <w:tcPr>
                <w:tcW w:w="1162" w:type="dxa"/>
                <w:vAlign w:val="center"/>
              </w:tcPr>
              <w:p w14:paraId="2232BDEF">
                <w:pPr>
                  <w:snapToGrid w:val="0"/>
                  <w:spacing w:line="240" w:lineRule="atLeas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未分配利润</w:t>
                </w:r>
              </w:p>
            </w:tc>
          </w:sdtContent>
        </w:sdt>
        <w:tc>
          <w:tcPr>
            <w:tcW w:w="1273" w:type="dxa"/>
            <w:vAlign w:val="center"/>
          </w:tcPr>
          <w:sdt>
            <w:sdtPr>
              <w:tag w:val="_PLD_e6df9793a438430a8df9730b2cdd8a99"/>
              <w:id w:val="147451439"/>
            </w:sdtPr>
            <w:sdtContent>
              <w:p w14:paraId="01592348">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小计</w:t>
                </w:r>
              </w:p>
            </w:sdtContent>
          </w:sdt>
        </w:tc>
        <w:tc>
          <w:tcPr>
            <w:tcW w:w="1209" w:type="dxa"/>
            <w:vMerge w:val="continue"/>
            <w:vAlign w:val="center"/>
          </w:tcPr>
          <w:p w14:paraId="2A2B7232">
            <w:pPr>
              <w:jc w:val="center"/>
              <w:rPr>
                <w:color w:val="000000" w:themeColor="text1"/>
                <w:sz w:val="18"/>
                <w:szCs w:val="18"/>
                <w14:textFill>
                  <w14:solidFill>
                    <w14:schemeClr w14:val="tx1"/>
                  </w14:solidFill>
                </w14:textFill>
              </w:rPr>
            </w:pPr>
          </w:p>
        </w:tc>
        <w:tc>
          <w:tcPr>
            <w:tcW w:w="1415" w:type="dxa"/>
            <w:vMerge w:val="continue"/>
            <w:vAlign w:val="center"/>
          </w:tcPr>
          <w:p w14:paraId="632C7B9A">
            <w:pPr>
              <w:jc w:val="center"/>
              <w:rPr>
                <w:color w:val="000000" w:themeColor="text1"/>
                <w:sz w:val="18"/>
                <w:szCs w:val="18"/>
                <w14:textFill>
                  <w14:solidFill>
                    <w14:schemeClr w14:val="tx1"/>
                  </w14:solidFill>
                </w14:textFill>
              </w:rPr>
            </w:pPr>
          </w:p>
        </w:tc>
      </w:tr>
      <w:tr w14:paraId="2771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e9607e7cfb34d74bf0fce08e0866d34"/>
            <w:id w:val="147478781"/>
          </w:sdtPr>
          <w:sdtContent>
            <w:tc>
              <w:tcPr>
                <w:tcW w:w="2669" w:type="dxa"/>
                <w:vAlign w:val="center"/>
              </w:tcPr>
              <w:p w14:paraId="32787233">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一、上年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末余额</w:t>
                </w:r>
              </w:p>
            </w:tc>
          </w:sdtContent>
        </w:sdt>
        <w:tc>
          <w:tcPr>
            <w:tcW w:w="1509" w:type="dxa"/>
            <w:vAlign w:val="center"/>
          </w:tcPr>
          <w:p w14:paraId="3247F059">
            <w:pPr>
              <w:jc w:val="right"/>
              <w:rPr>
                <w:rFonts w:cs="Times New Roman"/>
                <w:sz w:val="13"/>
                <w:szCs w:val="13"/>
              </w:rPr>
            </w:pPr>
            <w:r>
              <w:rPr>
                <w:rFonts w:cs="Times New Roman"/>
                <w:color w:val="000000"/>
                <w:sz w:val="13"/>
                <w:szCs w:val="13"/>
              </w:rPr>
              <w:t>4,391,629,404.00</w:t>
            </w:r>
          </w:p>
        </w:tc>
        <w:tc>
          <w:tcPr>
            <w:tcW w:w="1178" w:type="dxa"/>
            <w:vAlign w:val="center"/>
          </w:tcPr>
          <w:p w14:paraId="11A272EA">
            <w:pPr>
              <w:jc w:val="right"/>
              <w:rPr>
                <w:rFonts w:cs="Times New Roman"/>
                <w:sz w:val="13"/>
                <w:szCs w:val="13"/>
              </w:rPr>
            </w:pPr>
            <w:r>
              <w:rPr>
                <w:rFonts w:cs="Times New Roman"/>
                <w:color w:val="000000"/>
                <w:sz w:val="13"/>
                <w:szCs w:val="13"/>
              </w:rPr>
              <w:t>8,067,766,137.08</w:t>
            </w:r>
          </w:p>
        </w:tc>
        <w:tc>
          <w:tcPr>
            <w:tcW w:w="1150" w:type="dxa"/>
            <w:vAlign w:val="center"/>
          </w:tcPr>
          <w:p w14:paraId="18DD350A">
            <w:pPr>
              <w:jc w:val="right"/>
              <w:rPr>
                <w:rFonts w:cs="Times New Roman"/>
                <w:sz w:val="13"/>
                <w:szCs w:val="13"/>
              </w:rPr>
            </w:pPr>
          </w:p>
        </w:tc>
        <w:tc>
          <w:tcPr>
            <w:tcW w:w="1301" w:type="dxa"/>
            <w:vAlign w:val="center"/>
          </w:tcPr>
          <w:p w14:paraId="1D95EA63">
            <w:pPr>
              <w:jc w:val="right"/>
              <w:rPr>
                <w:rFonts w:cs="Times New Roman"/>
                <w:sz w:val="13"/>
                <w:szCs w:val="13"/>
              </w:rPr>
            </w:pPr>
            <w:r>
              <w:rPr>
                <w:rFonts w:cs="Times New Roman"/>
                <w:color w:val="000000"/>
                <w:sz w:val="13"/>
                <w:szCs w:val="13"/>
              </w:rPr>
              <w:t>-188,407,871.25</w:t>
            </w:r>
          </w:p>
        </w:tc>
        <w:tc>
          <w:tcPr>
            <w:tcW w:w="1223" w:type="dxa"/>
            <w:vAlign w:val="center"/>
          </w:tcPr>
          <w:p w14:paraId="52E1278E">
            <w:pPr>
              <w:jc w:val="right"/>
              <w:rPr>
                <w:rFonts w:cs="Times New Roman"/>
                <w:sz w:val="13"/>
                <w:szCs w:val="13"/>
              </w:rPr>
            </w:pPr>
            <w:r>
              <w:rPr>
                <w:rFonts w:cs="Times New Roman"/>
                <w:color w:val="000000"/>
                <w:sz w:val="13"/>
                <w:szCs w:val="13"/>
              </w:rPr>
              <w:t>369,657,198.90</w:t>
            </w:r>
          </w:p>
        </w:tc>
        <w:tc>
          <w:tcPr>
            <w:tcW w:w="1162" w:type="dxa"/>
            <w:vAlign w:val="center"/>
          </w:tcPr>
          <w:p w14:paraId="4D94EACA">
            <w:pPr>
              <w:jc w:val="right"/>
              <w:rPr>
                <w:rFonts w:cs="Times New Roman"/>
                <w:sz w:val="13"/>
                <w:szCs w:val="13"/>
              </w:rPr>
            </w:pPr>
            <w:r>
              <w:rPr>
                <w:rFonts w:cs="Times New Roman"/>
                <w:color w:val="000000"/>
                <w:sz w:val="13"/>
                <w:szCs w:val="13"/>
              </w:rPr>
              <w:t>4,463,369,702.05</w:t>
            </w:r>
          </w:p>
        </w:tc>
        <w:tc>
          <w:tcPr>
            <w:tcW w:w="1273" w:type="dxa"/>
            <w:vAlign w:val="center"/>
          </w:tcPr>
          <w:p w14:paraId="70F7ECBC">
            <w:pPr>
              <w:jc w:val="right"/>
              <w:rPr>
                <w:rFonts w:cs="Times New Roman"/>
                <w:sz w:val="13"/>
                <w:szCs w:val="13"/>
              </w:rPr>
            </w:pPr>
            <w:r>
              <w:rPr>
                <w:rFonts w:cs="Times New Roman"/>
                <w:color w:val="000000"/>
                <w:sz w:val="13"/>
                <w:szCs w:val="13"/>
              </w:rPr>
              <w:t>17,104,014,570.78</w:t>
            </w:r>
          </w:p>
        </w:tc>
        <w:tc>
          <w:tcPr>
            <w:tcW w:w="1209" w:type="dxa"/>
            <w:vAlign w:val="center"/>
          </w:tcPr>
          <w:p w14:paraId="5F00E700">
            <w:pPr>
              <w:jc w:val="right"/>
              <w:rPr>
                <w:rFonts w:cs="Times New Roman"/>
                <w:sz w:val="13"/>
                <w:szCs w:val="13"/>
              </w:rPr>
            </w:pPr>
            <w:r>
              <w:rPr>
                <w:rFonts w:cs="Times New Roman"/>
                <w:color w:val="000000"/>
                <w:sz w:val="13"/>
                <w:szCs w:val="13"/>
              </w:rPr>
              <w:t>-65,174,646.01</w:t>
            </w:r>
          </w:p>
        </w:tc>
        <w:tc>
          <w:tcPr>
            <w:tcW w:w="1415" w:type="dxa"/>
            <w:vAlign w:val="center"/>
          </w:tcPr>
          <w:p w14:paraId="186080C0">
            <w:pPr>
              <w:jc w:val="right"/>
              <w:rPr>
                <w:rFonts w:cs="Times New Roman"/>
                <w:sz w:val="13"/>
                <w:szCs w:val="13"/>
              </w:rPr>
            </w:pPr>
            <w:r>
              <w:rPr>
                <w:rFonts w:cs="Times New Roman"/>
                <w:color w:val="000000"/>
                <w:sz w:val="13"/>
                <w:szCs w:val="13"/>
              </w:rPr>
              <w:t>17,038,839,924.77</w:t>
            </w:r>
          </w:p>
        </w:tc>
      </w:tr>
      <w:tr w14:paraId="5DFE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579c38070f04b86951daea3037af89c"/>
            <w:id w:val="147452797"/>
          </w:sdtPr>
          <w:sdtContent>
            <w:tc>
              <w:tcPr>
                <w:tcW w:w="2669" w:type="dxa"/>
                <w:vAlign w:val="center"/>
              </w:tcPr>
              <w:p w14:paraId="098BB2D6">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二、本年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初余额</w:t>
                </w:r>
              </w:p>
            </w:tc>
          </w:sdtContent>
        </w:sdt>
        <w:tc>
          <w:tcPr>
            <w:tcW w:w="1509" w:type="dxa"/>
            <w:vAlign w:val="center"/>
          </w:tcPr>
          <w:p w14:paraId="2A8816DD">
            <w:pPr>
              <w:jc w:val="right"/>
              <w:rPr>
                <w:rFonts w:cs="Times New Roman"/>
                <w:sz w:val="13"/>
                <w:szCs w:val="13"/>
              </w:rPr>
            </w:pPr>
            <w:r>
              <w:rPr>
                <w:rFonts w:cs="Times New Roman"/>
                <w:color w:val="000000"/>
                <w:sz w:val="13"/>
                <w:szCs w:val="13"/>
              </w:rPr>
              <w:t>4,391,629,404.00</w:t>
            </w:r>
          </w:p>
        </w:tc>
        <w:tc>
          <w:tcPr>
            <w:tcW w:w="1178" w:type="dxa"/>
            <w:vAlign w:val="center"/>
          </w:tcPr>
          <w:p w14:paraId="6CAA2DEB">
            <w:pPr>
              <w:jc w:val="right"/>
              <w:rPr>
                <w:rFonts w:cs="Times New Roman"/>
                <w:sz w:val="13"/>
                <w:szCs w:val="13"/>
              </w:rPr>
            </w:pPr>
            <w:r>
              <w:rPr>
                <w:rFonts w:cs="Times New Roman"/>
                <w:color w:val="000000"/>
                <w:sz w:val="13"/>
                <w:szCs w:val="13"/>
              </w:rPr>
              <w:t>8,067,766,137.08</w:t>
            </w:r>
          </w:p>
        </w:tc>
        <w:tc>
          <w:tcPr>
            <w:tcW w:w="1150" w:type="dxa"/>
            <w:vAlign w:val="center"/>
          </w:tcPr>
          <w:p w14:paraId="51463C93">
            <w:pPr>
              <w:jc w:val="right"/>
              <w:rPr>
                <w:rFonts w:cs="Times New Roman"/>
                <w:sz w:val="13"/>
                <w:szCs w:val="13"/>
              </w:rPr>
            </w:pPr>
          </w:p>
        </w:tc>
        <w:tc>
          <w:tcPr>
            <w:tcW w:w="1301" w:type="dxa"/>
            <w:vAlign w:val="center"/>
          </w:tcPr>
          <w:p w14:paraId="0E4A7D5B">
            <w:pPr>
              <w:jc w:val="right"/>
              <w:rPr>
                <w:rFonts w:cs="Times New Roman"/>
                <w:sz w:val="13"/>
                <w:szCs w:val="13"/>
              </w:rPr>
            </w:pPr>
            <w:r>
              <w:rPr>
                <w:rFonts w:cs="Times New Roman"/>
                <w:color w:val="000000"/>
                <w:sz w:val="13"/>
                <w:szCs w:val="13"/>
              </w:rPr>
              <w:t>-188,407,871.25</w:t>
            </w:r>
          </w:p>
        </w:tc>
        <w:tc>
          <w:tcPr>
            <w:tcW w:w="1223" w:type="dxa"/>
            <w:vAlign w:val="center"/>
          </w:tcPr>
          <w:p w14:paraId="0AE6733F">
            <w:pPr>
              <w:jc w:val="right"/>
              <w:rPr>
                <w:rFonts w:cs="Times New Roman"/>
                <w:sz w:val="13"/>
                <w:szCs w:val="13"/>
              </w:rPr>
            </w:pPr>
            <w:r>
              <w:rPr>
                <w:rFonts w:cs="Times New Roman"/>
                <w:color w:val="000000"/>
                <w:sz w:val="13"/>
                <w:szCs w:val="13"/>
              </w:rPr>
              <w:t>369,657,198.90</w:t>
            </w:r>
          </w:p>
        </w:tc>
        <w:tc>
          <w:tcPr>
            <w:tcW w:w="1162" w:type="dxa"/>
            <w:vAlign w:val="center"/>
          </w:tcPr>
          <w:p w14:paraId="57B94865">
            <w:pPr>
              <w:jc w:val="right"/>
              <w:rPr>
                <w:rFonts w:cs="Times New Roman"/>
                <w:sz w:val="13"/>
                <w:szCs w:val="13"/>
              </w:rPr>
            </w:pPr>
            <w:r>
              <w:rPr>
                <w:rFonts w:cs="Times New Roman"/>
                <w:color w:val="000000"/>
                <w:sz w:val="13"/>
                <w:szCs w:val="13"/>
              </w:rPr>
              <w:t>4,463,369,702.05</w:t>
            </w:r>
          </w:p>
        </w:tc>
        <w:tc>
          <w:tcPr>
            <w:tcW w:w="1273" w:type="dxa"/>
            <w:vAlign w:val="center"/>
          </w:tcPr>
          <w:p w14:paraId="61A3E722">
            <w:pPr>
              <w:jc w:val="right"/>
              <w:rPr>
                <w:rFonts w:cs="Times New Roman"/>
                <w:sz w:val="13"/>
                <w:szCs w:val="13"/>
              </w:rPr>
            </w:pPr>
            <w:r>
              <w:rPr>
                <w:rFonts w:cs="Times New Roman"/>
                <w:color w:val="000000"/>
                <w:sz w:val="13"/>
                <w:szCs w:val="13"/>
              </w:rPr>
              <w:t>17,104,014,570.78</w:t>
            </w:r>
          </w:p>
        </w:tc>
        <w:tc>
          <w:tcPr>
            <w:tcW w:w="1209" w:type="dxa"/>
            <w:vAlign w:val="center"/>
          </w:tcPr>
          <w:p w14:paraId="3331C1BB">
            <w:pPr>
              <w:jc w:val="right"/>
              <w:rPr>
                <w:rFonts w:cs="Times New Roman"/>
                <w:sz w:val="13"/>
                <w:szCs w:val="13"/>
              </w:rPr>
            </w:pPr>
            <w:r>
              <w:rPr>
                <w:rFonts w:cs="Times New Roman"/>
                <w:color w:val="000000"/>
                <w:sz w:val="13"/>
                <w:szCs w:val="13"/>
              </w:rPr>
              <w:t>-65,174,646.01</w:t>
            </w:r>
          </w:p>
        </w:tc>
        <w:tc>
          <w:tcPr>
            <w:tcW w:w="1415" w:type="dxa"/>
            <w:vAlign w:val="center"/>
          </w:tcPr>
          <w:p w14:paraId="43CB5007">
            <w:pPr>
              <w:jc w:val="right"/>
              <w:rPr>
                <w:rFonts w:cs="Times New Roman"/>
                <w:sz w:val="13"/>
                <w:szCs w:val="13"/>
              </w:rPr>
            </w:pPr>
            <w:r>
              <w:rPr>
                <w:rFonts w:cs="Times New Roman"/>
                <w:color w:val="000000"/>
                <w:sz w:val="13"/>
                <w:szCs w:val="13"/>
              </w:rPr>
              <w:t>17,038,839,924.77</w:t>
            </w:r>
          </w:p>
        </w:tc>
      </w:tr>
      <w:tr w14:paraId="7964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86aec2424a047ee9af21797aa0ee0d8"/>
            <w:id w:val="147474512"/>
          </w:sdtPr>
          <w:sdtContent>
            <w:tc>
              <w:tcPr>
                <w:tcW w:w="2669" w:type="dxa"/>
                <w:vAlign w:val="center"/>
              </w:tcPr>
              <w:p w14:paraId="0B918C7F">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三、本</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增减变动金额（减少以“－”号填列）</w:t>
                </w:r>
              </w:p>
            </w:tc>
          </w:sdtContent>
        </w:sdt>
        <w:tc>
          <w:tcPr>
            <w:tcW w:w="1509" w:type="dxa"/>
            <w:vAlign w:val="center"/>
          </w:tcPr>
          <w:p w14:paraId="51EECFFE">
            <w:pPr>
              <w:jc w:val="right"/>
              <w:rPr>
                <w:rFonts w:cs="Times New Roman"/>
                <w:sz w:val="13"/>
                <w:szCs w:val="13"/>
              </w:rPr>
            </w:pPr>
          </w:p>
        </w:tc>
        <w:tc>
          <w:tcPr>
            <w:tcW w:w="1178" w:type="dxa"/>
            <w:vAlign w:val="center"/>
          </w:tcPr>
          <w:p w14:paraId="50459DDE">
            <w:pPr>
              <w:jc w:val="right"/>
              <w:rPr>
                <w:rFonts w:cs="Times New Roman"/>
                <w:sz w:val="13"/>
                <w:szCs w:val="13"/>
              </w:rPr>
            </w:pPr>
          </w:p>
        </w:tc>
        <w:tc>
          <w:tcPr>
            <w:tcW w:w="1150" w:type="dxa"/>
            <w:vAlign w:val="center"/>
          </w:tcPr>
          <w:p w14:paraId="6D131E46">
            <w:pPr>
              <w:jc w:val="right"/>
              <w:rPr>
                <w:rFonts w:cs="Times New Roman"/>
                <w:sz w:val="13"/>
                <w:szCs w:val="13"/>
              </w:rPr>
            </w:pPr>
          </w:p>
        </w:tc>
        <w:tc>
          <w:tcPr>
            <w:tcW w:w="1301" w:type="dxa"/>
            <w:vAlign w:val="center"/>
          </w:tcPr>
          <w:p w14:paraId="39BA0521">
            <w:pPr>
              <w:jc w:val="right"/>
              <w:rPr>
                <w:rFonts w:cs="Times New Roman"/>
                <w:sz w:val="13"/>
                <w:szCs w:val="13"/>
              </w:rPr>
            </w:pPr>
            <w:r>
              <w:rPr>
                <w:rFonts w:cs="Times New Roman"/>
                <w:color w:val="000000"/>
                <w:sz w:val="13"/>
                <w:szCs w:val="13"/>
              </w:rPr>
              <w:t>143,252.31</w:t>
            </w:r>
          </w:p>
        </w:tc>
        <w:tc>
          <w:tcPr>
            <w:tcW w:w="1223" w:type="dxa"/>
            <w:vAlign w:val="center"/>
          </w:tcPr>
          <w:p w14:paraId="20938EC4">
            <w:pPr>
              <w:jc w:val="right"/>
              <w:rPr>
                <w:rFonts w:cs="Times New Roman"/>
                <w:sz w:val="13"/>
                <w:szCs w:val="13"/>
              </w:rPr>
            </w:pPr>
          </w:p>
        </w:tc>
        <w:tc>
          <w:tcPr>
            <w:tcW w:w="1162" w:type="dxa"/>
            <w:vAlign w:val="center"/>
          </w:tcPr>
          <w:p w14:paraId="222DA01C">
            <w:pPr>
              <w:jc w:val="right"/>
              <w:rPr>
                <w:rFonts w:cs="Times New Roman"/>
                <w:sz w:val="13"/>
                <w:szCs w:val="13"/>
              </w:rPr>
            </w:pPr>
            <w:r>
              <w:rPr>
                <w:rFonts w:cs="Times New Roman"/>
                <w:color w:val="000000"/>
                <w:sz w:val="13"/>
                <w:szCs w:val="13"/>
              </w:rPr>
              <w:t>-150,577,272.97</w:t>
            </w:r>
          </w:p>
        </w:tc>
        <w:tc>
          <w:tcPr>
            <w:tcW w:w="1273" w:type="dxa"/>
            <w:vAlign w:val="center"/>
          </w:tcPr>
          <w:p w14:paraId="324A215E">
            <w:pPr>
              <w:jc w:val="right"/>
              <w:rPr>
                <w:rFonts w:cs="Times New Roman"/>
                <w:sz w:val="13"/>
                <w:szCs w:val="13"/>
              </w:rPr>
            </w:pPr>
            <w:r>
              <w:rPr>
                <w:rFonts w:cs="Times New Roman"/>
                <w:color w:val="000000"/>
                <w:sz w:val="13"/>
                <w:szCs w:val="13"/>
              </w:rPr>
              <w:t>-150,434,020.66</w:t>
            </w:r>
          </w:p>
        </w:tc>
        <w:tc>
          <w:tcPr>
            <w:tcW w:w="1209" w:type="dxa"/>
            <w:vAlign w:val="center"/>
          </w:tcPr>
          <w:p w14:paraId="7757C12A">
            <w:pPr>
              <w:jc w:val="right"/>
              <w:rPr>
                <w:rFonts w:cs="Times New Roman"/>
                <w:sz w:val="13"/>
                <w:szCs w:val="13"/>
              </w:rPr>
            </w:pPr>
            <w:r>
              <w:rPr>
                <w:rFonts w:cs="Times New Roman"/>
                <w:color w:val="000000"/>
                <w:sz w:val="13"/>
                <w:szCs w:val="13"/>
              </w:rPr>
              <w:t>-31,557,440.82</w:t>
            </w:r>
          </w:p>
        </w:tc>
        <w:tc>
          <w:tcPr>
            <w:tcW w:w="1415" w:type="dxa"/>
            <w:vAlign w:val="center"/>
          </w:tcPr>
          <w:p w14:paraId="2ED326C1">
            <w:pPr>
              <w:jc w:val="right"/>
              <w:rPr>
                <w:rFonts w:cs="Times New Roman"/>
                <w:sz w:val="13"/>
                <w:szCs w:val="13"/>
              </w:rPr>
            </w:pPr>
            <w:r>
              <w:rPr>
                <w:rFonts w:cs="Times New Roman"/>
                <w:color w:val="000000"/>
                <w:sz w:val="13"/>
                <w:szCs w:val="13"/>
              </w:rPr>
              <w:t>-181,991,461.48</w:t>
            </w:r>
          </w:p>
        </w:tc>
      </w:tr>
      <w:tr w14:paraId="7CAD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7bf1a1d144b41e18dbd63758cccc7b5"/>
            <w:id w:val="147455411"/>
          </w:sdtPr>
          <w:sdtContent>
            <w:tc>
              <w:tcPr>
                <w:tcW w:w="2669" w:type="dxa"/>
                <w:vAlign w:val="center"/>
              </w:tcPr>
              <w:p w14:paraId="21B9CDA4">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（一）综合收益总额</w:t>
                </w:r>
              </w:p>
            </w:tc>
          </w:sdtContent>
        </w:sdt>
        <w:tc>
          <w:tcPr>
            <w:tcW w:w="1509" w:type="dxa"/>
            <w:vAlign w:val="center"/>
          </w:tcPr>
          <w:p w14:paraId="1F517FEE">
            <w:pPr>
              <w:jc w:val="right"/>
              <w:rPr>
                <w:rFonts w:cs="Times New Roman"/>
                <w:sz w:val="13"/>
                <w:szCs w:val="13"/>
              </w:rPr>
            </w:pPr>
          </w:p>
        </w:tc>
        <w:tc>
          <w:tcPr>
            <w:tcW w:w="1178" w:type="dxa"/>
            <w:vAlign w:val="center"/>
          </w:tcPr>
          <w:p w14:paraId="4A89C1FD">
            <w:pPr>
              <w:jc w:val="right"/>
              <w:rPr>
                <w:rFonts w:cs="Times New Roman"/>
                <w:sz w:val="13"/>
                <w:szCs w:val="13"/>
              </w:rPr>
            </w:pPr>
          </w:p>
        </w:tc>
        <w:tc>
          <w:tcPr>
            <w:tcW w:w="1150" w:type="dxa"/>
            <w:vAlign w:val="center"/>
          </w:tcPr>
          <w:p w14:paraId="40377ABD">
            <w:pPr>
              <w:jc w:val="right"/>
              <w:rPr>
                <w:rFonts w:cs="Times New Roman"/>
                <w:sz w:val="13"/>
                <w:szCs w:val="13"/>
              </w:rPr>
            </w:pPr>
          </w:p>
        </w:tc>
        <w:tc>
          <w:tcPr>
            <w:tcW w:w="1301" w:type="dxa"/>
            <w:vAlign w:val="center"/>
          </w:tcPr>
          <w:p w14:paraId="4E99B9DF">
            <w:pPr>
              <w:jc w:val="right"/>
              <w:rPr>
                <w:rFonts w:cs="Times New Roman"/>
                <w:sz w:val="13"/>
                <w:szCs w:val="13"/>
              </w:rPr>
            </w:pPr>
            <w:r>
              <w:rPr>
                <w:rFonts w:cs="Times New Roman"/>
                <w:color w:val="000000"/>
                <w:sz w:val="13"/>
                <w:szCs w:val="13"/>
              </w:rPr>
              <w:t>143,252.31</w:t>
            </w:r>
          </w:p>
        </w:tc>
        <w:tc>
          <w:tcPr>
            <w:tcW w:w="1223" w:type="dxa"/>
            <w:vAlign w:val="center"/>
          </w:tcPr>
          <w:p w14:paraId="0D7F63A3">
            <w:pPr>
              <w:jc w:val="right"/>
              <w:rPr>
                <w:rFonts w:cs="Times New Roman"/>
                <w:sz w:val="13"/>
                <w:szCs w:val="13"/>
              </w:rPr>
            </w:pPr>
          </w:p>
        </w:tc>
        <w:tc>
          <w:tcPr>
            <w:tcW w:w="1162" w:type="dxa"/>
            <w:vAlign w:val="center"/>
          </w:tcPr>
          <w:p w14:paraId="74DE0BD6">
            <w:pPr>
              <w:jc w:val="right"/>
              <w:rPr>
                <w:rFonts w:cs="Times New Roman"/>
                <w:sz w:val="13"/>
                <w:szCs w:val="13"/>
              </w:rPr>
            </w:pPr>
            <w:r>
              <w:rPr>
                <w:rFonts w:cs="Times New Roman"/>
                <w:color w:val="000000"/>
                <w:sz w:val="13"/>
                <w:szCs w:val="13"/>
              </w:rPr>
              <w:t>-18,828,390.85</w:t>
            </w:r>
          </w:p>
        </w:tc>
        <w:tc>
          <w:tcPr>
            <w:tcW w:w="1273" w:type="dxa"/>
            <w:vAlign w:val="center"/>
          </w:tcPr>
          <w:p w14:paraId="43A9396B">
            <w:pPr>
              <w:jc w:val="right"/>
              <w:rPr>
                <w:rFonts w:cs="Times New Roman"/>
                <w:sz w:val="13"/>
                <w:szCs w:val="13"/>
              </w:rPr>
            </w:pPr>
            <w:r>
              <w:rPr>
                <w:rFonts w:cs="Times New Roman"/>
                <w:color w:val="000000"/>
                <w:sz w:val="13"/>
                <w:szCs w:val="13"/>
              </w:rPr>
              <w:t>-18,685,138.54</w:t>
            </w:r>
          </w:p>
        </w:tc>
        <w:tc>
          <w:tcPr>
            <w:tcW w:w="1209" w:type="dxa"/>
            <w:vAlign w:val="center"/>
          </w:tcPr>
          <w:p w14:paraId="0308D463">
            <w:pPr>
              <w:jc w:val="right"/>
              <w:rPr>
                <w:rFonts w:cs="Times New Roman"/>
                <w:sz w:val="13"/>
                <w:szCs w:val="13"/>
              </w:rPr>
            </w:pPr>
            <w:r>
              <w:rPr>
                <w:rFonts w:cs="Times New Roman"/>
                <w:color w:val="000000"/>
                <w:sz w:val="13"/>
                <w:szCs w:val="13"/>
              </w:rPr>
              <w:t>-33,557,440.82</w:t>
            </w:r>
          </w:p>
        </w:tc>
        <w:tc>
          <w:tcPr>
            <w:tcW w:w="1415" w:type="dxa"/>
            <w:vAlign w:val="center"/>
          </w:tcPr>
          <w:p w14:paraId="5D96D5B5">
            <w:pPr>
              <w:jc w:val="right"/>
              <w:rPr>
                <w:rFonts w:cs="Times New Roman"/>
                <w:sz w:val="13"/>
                <w:szCs w:val="13"/>
              </w:rPr>
            </w:pPr>
            <w:r>
              <w:rPr>
                <w:rFonts w:cs="Times New Roman"/>
                <w:color w:val="000000"/>
                <w:sz w:val="13"/>
                <w:szCs w:val="13"/>
              </w:rPr>
              <w:t>-52,242,579.36</w:t>
            </w:r>
          </w:p>
        </w:tc>
      </w:tr>
      <w:tr w14:paraId="7B01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55056423dbf4ac187d64bd43c03aca3"/>
            <w:id w:val="147464075"/>
          </w:sdtPr>
          <w:sdtContent>
            <w:tc>
              <w:tcPr>
                <w:tcW w:w="2669" w:type="dxa"/>
                <w:vAlign w:val="center"/>
              </w:tcPr>
              <w:p w14:paraId="6984AADC">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二</w:t>
                </w:r>
                <w:r>
                  <w:rPr>
                    <w:color w:val="000000" w:themeColor="text1"/>
                    <w:sz w:val="18"/>
                    <w:szCs w:val="18"/>
                    <w14:textFill>
                      <w14:solidFill>
                        <w14:schemeClr w14:val="tx1"/>
                      </w14:solidFill>
                    </w14:textFill>
                  </w:rPr>
                  <w:t>）所有者投入和减少资本</w:t>
                </w:r>
              </w:p>
            </w:tc>
          </w:sdtContent>
        </w:sdt>
        <w:tc>
          <w:tcPr>
            <w:tcW w:w="1509" w:type="dxa"/>
            <w:vAlign w:val="center"/>
          </w:tcPr>
          <w:p w14:paraId="248F9D36">
            <w:pPr>
              <w:jc w:val="right"/>
              <w:rPr>
                <w:rFonts w:cs="Times New Roman"/>
                <w:sz w:val="13"/>
                <w:szCs w:val="13"/>
              </w:rPr>
            </w:pPr>
          </w:p>
        </w:tc>
        <w:tc>
          <w:tcPr>
            <w:tcW w:w="1178" w:type="dxa"/>
            <w:vAlign w:val="center"/>
          </w:tcPr>
          <w:p w14:paraId="7481FA7F">
            <w:pPr>
              <w:jc w:val="right"/>
              <w:rPr>
                <w:rFonts w:cs="Times New Roman"/>
                <w:sz w:val="13"/>
                <w:szCs w:val="13"/>
              </w:rPr>
            </w:pPr>
          </w:p>
        </w:tc>
        <w:tc>
          <w:tcPr>
            <w:tcW w:w="1150" w:type="dxa"/>
            <w:vAlign w:val="center"/>
          </w:tcPr>
          <w:p w14:paraId="56CDCCA8">
            <w:pPr>
              <w:jc w:val="right"/>
              <w:rPr>
                <w:rFonts w:cs="Times New Roman"/>
                <w:sz w:val="13"/>
                <w:szCs w:val="13"/>
              </w:rPr>
            </w:pPr>
          </w:p>
        </w:tc>
        <w:tc>
          <w:tcPr>
            <w:tcW w:w="1301" w:type="dxa"/>
            <w:vAlign w:val="center"/>
          </w:tcPr>
          <w:p w14:paraId="031E2482">
            <w:pPr>
              <w:jc w:val="right"/>
              <w:rPr>
                <w:rFonts w:cs="Times New Roman"/>
                <w:sz w:val="13"/>
                <w:szCs w:val="13"/>
              </w:rPr>
            </w:pPr>
          </w:p>
        </w:tc>
        <w:tc>
          <w:tcPr>
            <w:tcW w:w="1223" w:type="dxa"/>
            <w:vAlign w:val="center"/>
          </w:tcPr>
          <w:p w14:paraId="0EB995F7">
            <w:pPr>
              <w:jc w:val="right"/>
              <w:rPr>
                <w:rFonts w:cs="Times New Roman"/>
                <w:sz w:val="13"/>
                <w:szCs w:val="13"/>
              </w:rPr>
            </w:pPr>
          </w:p>
        </w:tc>
        <w:tc>
          <w:tcPr>
            <w:tcW w:w="1162" w:type="dxa"/>
            <w:vAlign w:val="center"/>
          </w:tcPr>
          <w:p w14:paraId="577303E9">
            <w:pPr>
              <w:jc w:val="right"/>
              <w:rPr>
                <w:rFonts w:cs="Times New Roman"/>
                <w:sz w:val="13"/>
                <w:szCs w:val="13"/>
              </w:rPr>
            </w:pPr>
          </w:p>
        </w:tc>
        <w:tc>
          <w:tcPr>
            <w:tcW w:w="1273" w:type="dxa"/>
            <w:vAlign w:val="center"/>
          </w:tcPr>
          <w:p w14:paraId="34550C1E">
            <w:pPr>
              <w:jc w:val="right"/>
              <w:rPr>
                <w:rFonts w:cs="Times New Roman"/>
                <w:sz w:val="13"/>
                <w:szCs w:val="13"/>
              </w:rPr>
            </w:pPr>
          </w:p>
        </w:tc>
        <w:tc>
          <w:tcPr>
            <w:tcW w:w="1209" w:type="dxa"/>
            <w:vAlign w:val="center"/>
          </w:tcPr>
          <w:p w14:paraId="1F653EE1">
            <w:pPr>
              <w:jc w:val="right"/>
              <w:rPr>
                <w:rFonts w:cs="Times New Roman"/>
                <w:sz w:val="13"/>
                <w:szCs w:val="13"/>
              </w:rPr>
            </w:pPr>
            <w:r>
              <w:rPr>
                <w:rFonts w:cs="Times New Roman"/>
                <w:color w:val="000000"/>
                <w:sz w:val="13"/>
                <w:szCs w:val="13"/>
              </w:rPr>
              <w:t>2,000,000.00</w:t>
            </w:r>
          </w:p>
        </w:tc>
        <w:tc>
          <w:tcPr>
            <w:tcW w:w="1415" w:type="dxa"/>
            <w:vAlign w:val="center"/>
          </w:tcPr>
          <w:p w14:paraId="15530DF2">
            <w:pPr>
              <w:jc w:val="right"/>
              <w:rPr>
                <w:rFonts w:cs="Times New Roman"/>
                <w:sz w:val="13"/>
                <w:szCs w:val="13"/>
              </w:rPr>
            </w:pPr>
            <w:r>
              <w:rPr>
                <w:rFonts w:cs="Times New Roman"/>
                <w:color w:val="000000"/>
                <w:sz w:val="13"/>
                <w:szCs w:val="13"/>
              </w:rPr>
              <w:t>2,000,000.00</w:t>
            </w:r>
          </w:p>
        </w:tc>
      </w:tr>
      <w:tr w14:paraId="6C77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84541025868477ca26973c13dd9ff9e"/>
            <w:id w:val="147462991"/>
          </w:sdtPr>
          <w:sdtContent>
            <w:tc>
              <w:tcPr>
                <w:tcW w:w="2669" w:type="dxa"/>
                <w:vAlign w:val="center"/>
              </w:tcPr>
              <w:p w14:paraId="0D9FA1E3">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1．所有者投入的普通股</w:t>
                </w:r>
              </w:p>
            </w:tc>
          </w:sdtContent>
        </w:sdt>
        <w:tc>
          <w:tcPr>
            <w:tcW w:w="1509" w:type="dxa"/>
            <w:vAlign w:val="center"/>
          </w:tcPr>
          <w:p w14:paraId="6CB87860">
            <w:pPr>
              <w:jc w:val="right"/>
              <w:rPr>
                <w:rFonts w:cs="Times New Roman"/>
                <w:sz w:val="13"/>
                <w:szCs w:val="13"/>
              </w:rPr>
            </w:pPr>
          </w:p>
        </w:tc>
        <w:tc>
          <w:tcPr>
            <w:tcW w:w="1178" w:type="dxa"/>
            <w:vAlign w:val="center"/>
          </w:tcPr>
          <w:p w14:paraId="55F5A7F5">
            <w:pPr>
              <w:jc w:val="right"/>
              <w:rPr>
                <w:rFonts w:cs="Times New Roman"/>
                <w:sz w:val="13"/>
                <w:szCs w:val="13"/>
              </w:rPr>
            </w:pPr>
          </w:p>
        </w:tc>
        <w:tc>
          <w:tcPr>
            <w:tcW w:w="1150" w:type="dxa"/>
            <w:vAlign w:val="center"/>
          </w:tcPr>
          <w:p w14:paraId="2D2B8B1F">
            <w:pPr>
              <w:jc w:val="right"/>
              <w:rPr>
                <w:rFonts w:cs="Times New Roman"/>
                <w:sz w:val="13"/>
                <w:szCs w:val="13"/>
              </w:rPr>
            </w:pPr>
          </w:p>
        </w:tc>
        <w:tc>
          <w:tcPr>
            <w:tcW w:w="1301" w:type="dxa"/>
            <w:vAlign w:val="center"/>
          </w:tcPr>
          <w:p w14:paraId="3C5206AD">
            <w:pPr>
              <w:jc w:val="right"/>
              <w:rPr>
                <w:rFonts w:cs="Times New Roman"/>
                <w:sz w:val="13"/>
                <w:szCs w:val="13"/>
              </w:rPr>
            </w:pPr>
          </w:p>
        </w:tc>
        <w:tc>
          <w:tcPr>
            <w:tcW w:w="1223" w:type="dxa"/>
            <w:vAlign w:val="center"/>
          </w:tcPr>
          <w:p w14:paraId="2DD26879">
            <w:pPr>
              <w:jc w:val="right"/>
              <w:rPr>
                <w:rFonts w:cs="Times New Roman"/>
                <w:sz w:val="13"/>
                <w:szCs w:val="13"/>
              </w:rPr>
            </w:pPr>
          </w:p>
        </w:tc>
        <w:tc>
          <w:tcPr>
            <w:tcW w:w="1162" w:type="dxa"/>
            <w:vAlign w:val="center"/>
          </w:tcPr>
          <w:p w14:paraId="3BE115DB">
            <w:pPr>
              <w:jc w:val="right"/>
              <w:rPr>
                <w:rFonts w:cs="Times New Roman"/>
                <w:sz w:val="13"/>
                <w:szCs w:val="13"/>
              </w:rPr>
            </w:pPr>
          </w:p>
        </w:tc>
        <w:tc>
          <w:tcPr>
            <w:tcW w:w="1273" w:type="dxa"/>
            <w:vAlign w:val="center"/>
          </w:tcPr>
          <w:p w14:paraId="13CC138F">
            <w:pPr>
              <w:jc w:val="right"/>
              <w:rPr>
                <w:rFonts w:cs="Times New Roman"/>
                <w:sz w:val="13"/>
                <w:szCs w:val="13"/>
              </w:rPr>
            </w:pPr>
          </w:p>
        </w:tc>
        <w:tc>
          <w:tcPr>
            <w:tcW w:w="1209" w:type="dxa"/>
            <w:vAlign w:val="center"/>
          </w:tcPr>
          <w:p w14:paraId="077402DE">
            <w:pPr>
              <w:jc w:val="right"/>
              <w:rPr>
                <w:rFonts w:cs="Times New Roman"/>
                <w:sz w:val="13"/>
                <w:szCs w:val="13"/>
              </w:rPr>
            </w:pPr>
            <w:r>
              <w:rPr>
                <w:rFonts w:cs="Times New Roman"/>
                <w:color w:val="000000"/>
                <w:sz w:val="13"/>
                <w:szCs w:val="13"/>
              </w:rPr>
              <w:t>2,000,000.00</w:t>
            </w:r>
          </w:p>
        </w:tc>
        <w:tc>
          <w:tcPr>
            <w:tcW w:w="1415" w:type="dxa"/>
            <w:vAlign w:val="center"/>
          </w:tcPr>
          <w:p w14:paraId="1801B07D">
            <w:pPr>
              <w:jc w:val="right"/>
              <w:rPr>
                <w:rFonts w:cs="Times New Roman"/>
                <w:sz w:val="13"/>
                <w:szCs w:val="13"/>
              </w:rPr>
            </w:pPr>
            <w:r>
              <w:rPr>
                <w:rFonts w:cs="Times New Roman"/>
                <w:color w:val="000000"/>
                <w:sz w:val="13"/>
                <w:szCs w:val="13"/>
              </w:rPr>
              <w:t>2,000,000.00</w:t>
            </w:r>
          </w:p>
        </w:tc>
      </w:tr>
      <w:tr w14:paraId="2A5E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7e75a2d1ed049d9bbdb0ef093ac9478"/>
            <w:id w:val="147480485"/>
          </w:sdtPr>
          <w:sdtContent>
            <w:tc>
              <w:tcPr>
                <w:tcW w:w="2669" w:type="dxa"/>
                <w:vAlign w:val="center"/>
              </w:tcPr>
              <w:p w14:paraId="201FA0E6">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三</w:t>
                </w:r>
                <w:r>
                  <w:rPr>
                    <w:color w:val="000000" w:themeColor="text1"/>
                    <w:sz w:val="18"/>
                    <w:szCs w:val="18"/>
                    <w14:textFill>
                      <w14:solidFill>
                        <w14:schemeClr w14:val="tx1"/>
                      </w14:solidFill>
                    </w14:textFill>
                  </w:rPr>
                  <w:t>）利润分配</w:t>
                </w:r>
              </w:p>
            </w:tc>
          </w:sdtContent>
        </w:sdt>
        <w:tc>
          <w:tcPr>
            <w:tcW w:w="1509" w:type="dxa"/>
            <w:vAlign w:val="center"/>
          </w:tcPr>
          <w:p w14:paraId="5033B255">
            <w:pPr>
              <w:jc w:val="right"/>
              <w:rPr>
                <w:rFonts w:cs="Times New Roman"/>
                <w:sz w:val="13"/>
                <w:szCs w:val="13"/>
              </w:rPr>
            </w:pPr>
          </w:p>
        </w:tc>
        <w:tc>
          <w:tcPr>
            <w:tcW w:w="1178" w:type="dxa"/>
            <w:vAlign w:val="center"/>
          </w:tcPr>
          <w:p w14:paraId="5BA080F8">
            <w:pPr>
              <w:jc w:val="right"/>
              <w:rPr>
                <w:rFonts w:cs="Times New Roman"/>
                <w:sz w:val="13"/>
                <w:szCs w:val="13"/>
              </w:rPr>
            </w:pPr>
          </w:p>
        </w:tc>
        <w:tc>
          <w:tcPr>
            <w:tcW w:w="1150" w:type="dxa"/>
            <w:vAlign w:val="center"/>
          </w:tcPr>
          <w:p w14:paraId="6A858D9B">
            <w:pPr>
              <w:jc w:val="right"/>
              <w:rPr>
                <w:rFonts w:cs="Times New Roman"/>
                <w:sz w:val="13"/>
                <w:szCs w:val="13"/>
              </w:rPr>
            </w:pPr>
          </w:p>
        </w:tc>
        <w:tc>
          <w:tcPr>
            <w:tcW w:w="1301" w:type="dxa"/>
            <w:vAlign w:val="center"/>
          </w:tcPr>
          <w:p w14:paraId="63184D56">
            <w:pPr>
              <w:jc w:val="right"/>
              <w:rPr>
                <w:rFonts w:cs="Times New Roman"/>
                <w:sz w:val="13"/>
                <w:szCs w:val="13"/>
              </w:rPr>
            </w:pPr>
          </w:p>
        </w:tc>
        <w:tc>
          <w:tcPr>
            <w:tcW w:w="1223" w:type="dxa"/>
            <w:vAlign w:val="center"/>
          </w:tcPr>
          <w:p w14:paraId="0696DFC9">
            <w:pPr>
              <w:jc w:val="right"/>
              <w:rPr>
                <w:rFonts w:cs="Times New Roman"/>
                <w:sz w:val="13"/>
                <w:szCs w:val="13"/>
              </w:rPr>
            </w:pPr>
          </w:p>
        </w:tc>
        <w:tc>
          <w:tcPr>
            <w:tcW w:w="1162" w:type="dxa"/>
            <w:vAlign w:val="center"/>
          </w:tcPr>
          <w:p w14:paraId="0C88D155">
            <w:pPr>
              <w:jc w:val="right"/>
              <w:rPr>
                <w:rFonts w:cs="Times New Roman"/>
                <w:sz w:val="13"/>
                <w:szCs w:val="13"/>
              </w:rPr>
            </w:pPr>
            <w:r>
              <w:rPr>
                <w:rFonts w:cs="Times New Roman"/>
                <w:color w:val="000000"/>
                <w:sz w:val="13"/>
                <w:szCs w:val="13"/>
              </w:rPr>
              <w:t>-131,748,882.12</w:t>
            </w:r>
          </w:p>
        </w:tc>
        <w:tc>
          <w:tcPr>
            <w:tcW w:w="1273" w:type="dxa"/>
            <w:vAlign w:val="center"/>
          </w:tcPr>
          <w:p w14:paraId="509DBA3E">
            <w:pPr>
              <w:jc w:val="right"/>
              <w:rPr>
                <w:rFonts w:cs="Times New Roman"/>
                <w:sz w:val="13"/>
                <w:szCs w:val="13"/>
              </w:rPr>
            </w:pPr>
            <w:r>
              <w:rPr>
                <w:rFonts w:cs="Times New Roman"/>
                <w:color w:val="000000"/>
                <w:sz w:val="13"/>
                <w:szCs w:val="13"/>
              </w:rPr>
              <w:t>-131,748,882.12</w:t>
            </w:r>
          </w:p>
        </w:tc>
        <w:tc>
          <w:tcPr>
            <w:tcW w:w="1209" w:type="dxa"/>
            <w:vAlign w:val="center"/>
          </w:tcPr>
          <w:p w14:paraId="695217F6">
            <w:pPr>
              <w:jc w:val="right"/>
              <w:rPr>
                <w:rFonts w:cs="Times New Roman"/>
                <w:sz w:val="13"/>
                <w:szCs w:val="13"/>
              </w:rPr>
            </w:pPr>
          </w:p>
        </w:tc>
        <w:tc>
          <w:tcPr>
            <w:tcW w:w="1415" w:type="dxa"/>
            <w:vAlign w:val="center"/>
          </w:tcPr>
          <w:p w14:paraId="07F95368">
            <w:pPr>
              <w:jc w:val="right"/>
              <w:rPr>
                <w:rFonts w:cs="Times New Roman"/>
                <w:sz w:val="13"/>
                <w:szCs w:val="13"/>
              </w:rPr>
            </w:pPr>
            <w:r>
              <w:rPr>
                <w:rFonts w:cs="Times New Roman"/>
                <w:color w:val="000000"/>
                <w:sz w:val="13"/>
                <w:szCs w:val="13"/>
              </w:rPr>
              <w:t>-131,748,882.12</w:t>
            </w:r>
          </w:p>
        </w:tc>
      </w:tr>
      <w:tr w14:paraId="4FD0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5531db3e1d84f3897cb962fdc73ab3d"/>
            <w:id w:val="147452702"/>
          </w:sdtPr>
          <w:sdtContent>
            <w:tc>
              <w:tcPr>
                <w:tcW w:w="2669" w:type="dxa"/>
                <w:vAlign w:val="center"/>
              </w:tcPr>
              <w:p w14:paraId="1AFD56CE">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3．对所有者（或股东）的分配</w:t>
                </w:r>
              </w:p>
            </w:tc>
          </w:sdtContent>
        </w:sdt>
        <w:tc>
          <w:tcPr>
            <w:tcW w:w="1509" w:type="dxa"/>
            <w:vAlign w:val="center"/>
          </w:tcPr>
          <w:p w14:paraId="03FB026A">
            <w:pPr>
              <w:jc w:val="right"/>
              <w:rPr>
                <w:rFonts w:cs="Times New Roman"/>
                <w:sz w:val="13"/>
                <w:szCs w:val="13"/>
              </w:rPr>
            </w:pPr>
          </w:p>
        </w:tc>
        <w:tc>
          <w:tcPr>
            <w:tcW w:w="1178" w:type="dxa"/>
            <w:vAlign w:val="center"/>
          </w:tcPr>
          <w:p w14:paraId="6FE6C9E0">
            <w:pPr>
              <w:jc w:val="right"/>
              <w:rPr>
                <w:rFonts w:cs="Times New Roman"/>
                <w:sz w:val="13"/>
                <w:szCs w:val="13"/>
              </w:rPr>
            </w:pPr>
          </w:p>
        </w:tc>
        <w:tc>
          <w:tcPr>
            <w:tcW w:w="1150" w:type="dxa"/>
            <w:vAlign w:val="center"/>
          </w:tcPr>
          <w:p w14:paraId="1E25C4E0">
            <w:pPr>
              <w:jc w:val="right"/>
              <w:rPr>
                <w:rFonts w:cs="Times New Roman"/>
                <w:sz w:val="13"/>
                <w:szCs w:val="13"/>
              </w:rPr>
            </w:pPr>
          </w:p>
        </w:tc>
        <w:tc>
          <w:tcPr>
            <w:tcW w:w="1301" w:type="dxa"/>
            <w:vAlign w:val="center"/>
          </w:tcPr>
          <w:p w14:paraId="602704D8">
            <w:pPr>
              <w:jc w:val="right"/>
              <w:rPr>
                <w:rFonts w:cs="Times New Roman"/>
                <w:sz w:val="13"/>
                <w:szCs w:val="13"/>
              </w:rPr>
            </w:pPr>
          </w:p>
        </w:tc>
        <w:tc>
          <w:tcPr>
            <w:tcW w:w="1223" w:type="dxa"/>
            <w:vAlign w:val="center"/>
          </w:tcPr>
          <w:p w14:paraId="59F1849F">
            <w:pPr>
              <w:jc w:val="right"/>
              <w:rPr>
                <w:rFonts w:cs="Times New Roman"/>
                <w:sz w:val="13"/>
                <w:szCs w:val="13"/>
              </w:rPr>
            </w:pPr>
          </w:p>
        </w:tc>
        <w:tc>
          <w:tcPr>
            <w:tcW w:w="1162" w:type="dxa"/>
            <w:vAlign w:val="center"/>
          </w:tcPr>
          <w:p w14:paraId="7DBE1394">
            <w:pPr>
              <w:jc w:val="right"/>
              <w:rPr>
                <w:rFonts w:cs="Times New Roman"/>
                <w:sz w:val="13"/>
                <w:szCs w:val="13"/>
              </w:rPr>
            </w:pPr>
            <w:r>
              <w:rPr>
                <w:rFonts w:cs="Times New Roman"/>
                <w:color w:val="000000"/>
                <w:sz w:val="13"/>
                <w:szCs w:val="13"/>
              </w:rPr>
              <w:t>-131,748,882.12</w:t>
            </w:r>
          </w:p>
        </w:tc>
        <w:tc>
          <w:tcPr>
            <w:tcW w:w="1273" w:type="dxa"/>
            <w:vAlign w:val="center"/>
          </w:tcPr>
          <w:p w14:paraId="5E0F6349">
            <w:pPr>
              <w:jc w:val="right"/>
              <w:rPr>
                <w:rFonts w:cs="Times New Roman"/>
                <w:sz w:val="13"/>
                <w:szCs w:val="13"/>
              </w:rPr>
            </w:pPr>
            <w:r>
              <w:rPr>
                <w:rFonts w:cs="Times New Roman"/>
                <w:color w:val="000000"/>
                <w:sz w:val="13"/>
                <w:szCs w:val="13"/>
              </w:rPr>
              <w:t>-131,748,882.12</w:t>
            </w:r>
          </w:p>
        </w:tc>
        <w:tc>
          <w:tcPr>
            <w:tcW w:w="1209" w:type="dxa"/>
            <w:vAlign w:val="center"/>
          </w:tcPr>
          <w:p w14:paraId="5FBA8D90">
            <w:pPr>
              <w:jc w:val="right"/>
              <w:rPr>
                <w:rFonts w:cs="Times New Roman"/>
                <w:sz w:val="13"/>
                <w:szCs w:val="13"/>
              </w:rPr>
            </w:pPr>
          </w:p>
        </w:tc>
        <w:tc>
          <w:tcPr>
            <w:tcW w:w="1415" w:type="dxa"/>
            <w:vAlign w:val="center"/>
          </w:tcPr>
          <w:p w14:paraId="1AD855AE">
            <w:pPr>
              <w:jc w:val="right"/>
              <w:rPr>
                <w:rFonts w:cs="Times New Roman"/>
                <w:sz w:val="13"/>
                <w:szCs w:val="13"/>
              </w:rPr>
            </w:pPr>
            <w:r>
              <w:rPr>
                <w:rFonts w:cs="Times New Roman"/>
                <w:color w:val="000000"/>
                <w:sz w:val="13"/>
                <w:szCs w:val="13"/>
              </w:rPr>
              <w:t>-131,748,882.12</w:t>
            </w:r>
          </w:p>
        </w:tc>
      </w:tr>
      <w:tr w14:paraId="5116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0c9652bd3724ad8b729d3650a0840d4"/>
            <w:id w:val="147470669"/>
          </w:sdtPr>
          <w:sdtContent>
            <w:tc>
              <w:tcPr>
                <w:tcW w:w="2669" w:type="dxa"/>
                <w:vAlign w:val="center"/>
              </w:tcPr>
              <w:p w14:paraId="305E85F7">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四</w:t>
                </w:r>
                <w:r>
                  <w:rPr>
                    <w:color w:val="000000" w:themeColor="text1"/>
                    <w:sz w:val="18"/>
                    <w:szCs w:val="18"/>
                    <w14:textFill>
                      <w14:solidFill>
                        <w14:schemeClr w14:val="tx1"/>
                      </w14:solidFill>
                    </w14:textFill>
                  </w:rPr>
                  <w:t>）所有者权益内部结转</w:t>
                </w:r>
              </w:p>
            </w:tc>
          </w:sdtContent>
        </w:sdt>
        <w:tc>
          <w:tcPr>
            <w:tcW w:w="1509" w:type="dxa"/>
            <w:vAlign w:val="center"/>
          </w:tcPr>
          <w:p w14:paraId="3C17F4CA">
            <w:pPr>
              <w:jc w:val="right"/>
              <w:rPr>
                <w:rFonts w:cs="Times New Roman"/>
                <w:sz w:val="13"/>
                <w:szCs w:val="13"/>
              </w:rPr>
            </w:pPr>
          </w:p>
        </w:tc>
        <w:tc>
          <w:tcPr>
            <w:tcW w:w="1178" w:type="dxa"/>
            <w:vAlign w:val="center"/>
          </w:tcPr>
          <w:p w14:paraId="7CDAA167">
            <w:pPr>
              <w:jc w:val="right"/>
              <w:rPr>
                <w:rFonts w:cs="Times New Roman"/>
                <w:sz w:val="13"/>
                <w:szCs w:val="13"/>
              </w:rPr>
            </w:pPr>
          </w:p>
        </w:tc>
        <w:tc>
          <w:tcPr>
            <w:tcW w:w="1150" w:type="dxa"/>
            <w:vAlign w:val="center"/>
          </w:tcPr>
          <w:p w14:paraId="2F38268F">
            <w:pPr>
              <w:jc w:val="right"/>
              <w:rPr>
                <w:rFonts w:cs="Times New Roman"/>
                <w:sz w:val="13"/>
                <w:szCs w:val="13"/>
              </w:rPr>
            </w:pPr>
          </w:p>
        </w:tc>
        <w:tc>
          <w:tcPr>
            <w:tcW w:w="1301" w:type="dxa"/>
            <w:vAlign w:val="center"/>
          </w:tcPr>
          <w:p w14:paraId="2FD271E8">
            <w:pPr>
              <w:jc w:val="right"/>
              <w:rPr>
                <w:rFonts w:cs="Times New Roman"/>
                <w:sz w:val="13"/>
                <w:szCs w:val="13"/>
              </w:rPr>
            </w:pPr>
          </w:p>
        </w:tc>
        <w:tc>
          <w:tcPr>
            <w:tcW w:w="1223" w:type="dxa"/>
            <w:vAlign w:val="center"/>
          </w:tcPr>
          <w:p w14:paraId="6B477F89">
            <w:pPr>
              <w:jc w:val="right"/>
              <w:rPr>
                <w:rFonts w:cs="Times New Roman"/>
                <w:sz w:val="13"/>
                <w:szCs w:val="13"/>
              </w:rPr>
            </w:pPr>
          </w:p>
        </w:tc>
        <w:tc>
          <w:tcPr>
            <w:tcW w:w="1162" w:type="dxa"/>
            <w:vAlign w:val="center"/>
          </w:tcPr>
          <w:p w14:paraId="089A42E7">
            <w:pPr>
              <w:jc w:val="right"/>
              <w:rPr>
                <w:rFonts w:cs="Times New Roman"/>
                <w:sz w:val="13"/>
                <w:szCs w:val="13"/>
              </w:rPr>
            </w:pPr>
          </w:p>
        </w:tc>
        <w:tc>
          <w:tcPr>
            <w:tcW w:w="1273" w:type="dxa"/>
            <w:vAlign w:val="center"/>
          </w:tcPr>
          <w:p w14:paraId="064B66B1">
            <w:pPr>
              <w:jc w:val="right"/>
              <w:rPr>
                <w:rFonts w:cs="Times New Roman"/>
                <w:sz w:val="13"/>
                <w:szCs w:val="13"/>
              </w:rPr>
            </w:pPr>
          </w:p>
        </w:tc>
        <w:tc>
          <w:tcPr>
            <w:tcW w:w="1209" w:type="dxa"/>
            <w:vAlign w:val="center"/>
          </w:tcPr>
          <w:p w14:paraId="09ED4689">
            <w:pPr>
              <w:jc w:val="right"/>
              <w:rPr>
                <w:rFonts w:cs="Times New Roman"/>
                <w:sz w:val="13"/>
                <w:szCs w:val="13"/>
              </w:rPr>
            </w:pPr>
          </w:p>
        </w:tc>
        <w:tc>
          <w:tcPr>
            <w:tcW w:w="1415" w:type="dxa"/>
            <w:vAlign w:val="center"/>
          </w:tcPr>
          <w:p w14:paraId="0423C5C9">
            <w:pPr>
              <w:jc w:val="right"/>
              <w:rPr>
                <w:rFonts w:cs="Times New Roman"/>
                <w:sz w:val="13"/>
                <w:szCs w:val="13"/>
              </w:rPr>
            </w:pPr>
          </w:p>
        </w:tc>
      </w:tr>
      <w:tr w14:paraId="528A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c2ffccd1b8247f8b48874b508665dc1"/>
            <w:id w:val="147452462"/>
          </w:sdtPr>
          <w:sdtContent>
            <w:tc>
              <w:tcPr>
                <w:tcW w:w="2669" w:type="dxa"/>
                <w:vAlign w:val="center"/>
              </w:tcPr>
              <w:p w14:paraId="707B4CF9">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（五）专项储备</w:t>
                </w:r>
              </w:p>
            </w:tc>
          </w:sdtContent>
        </w:sdt>
        <w:tc>
          <w:tcPr>
            <w:tcW w:w="1509" w:type="dxa"/>
            <w:vAlign w:val="center"/>
          </w:tcPr>
          <w:p w14:paraId="34BDD3EA">
            <w:pPr>
              <w:jc w:val="right"/>
              <w:rPr>
                <w:rFonts w:cs="Times New Roman"/>
                <w:sz w:val="13"/>
                <w:szCs w:val="13"/>
              </w:rPr>
            </w:pPr>
          </w:p>
        </w:tc>
        <w:tc>
          <w:tcPr>
            <w:tcW w:w="1178" w:type="dxa"/>
            <w:vAlign w:val="center"/>
          </w:tcPr>
          <w:p w14:paraId="129E8B9A">
            <w:pPr>
              <w:jc w:val="right"/>
              <w:rPr>
                <w:rFonts w:cs="Times New Roman"/>
                <w:sz w:val="13"/>
                <w:szCs w:val="13"/>
              </w:rPr>
            </w:pPr>
          </w:p>
        </w:tc>
        <w:tc>
          <w:tcPr>
            <w:tcW w:w="1150" w:type="dxa"/>
            <w:vAlign w:val="center"/>
          </w:tcPr>
          <w:p w14:paraId="6362088C">
            <w:pPr>
              <w:jc w:val="right"/>
              <w:rPr>
                <w:rFonts w:cs="Times New Roman"/>
                <w:sz w:val="13"/>
                <w:szCs w:val="13"/>
              </w:rPr>
            </w:pPr>
          </w:p>
        </w:tc>
        <w:tc>
          <w:tcPr>
            <w:tcW w:w="1301" w:type="dxa"/>
            <w:vAlign w:val="center"/>
          </w:tcPr>
          <w:p w14:paraId="18805D0B">
            <w:pPr>
              <w:jc w:val="right"/>
              <w:rPr>
                <w:rFonts w:cs="Times New Roman"/>
                <w:sz w:val="13"/>
                <w:szCs w:val="13"/>
              </w:rPr>
            </w:pPr>
          </w:p>
        </w:tc>
        <w:tc>
          <w:tcPr>
            <w:tcW w:w="1223" w:type="dxa"/>
            <w:vAlign w:val="center"/>
          </w:tcPr>
          <w:p w14:paraId="2304F9A1">
            <w:pPr>
              <w:jc w:val="right"/>
              <w:rPr>
                <w:rFonts w:cs="Times New Roman"/>
                <w:sz w:val="13"/>
                <w:szCs w:val="13"/>
              </w:rPr>
            </w:pPr>
          </w:p>
        </w:tc>
        <w:tc>
          <w:tcPr>
            <w:tcW w:w="1162" w:type="dxa"/>
            <w:vAlign w:val="center"/>
          </w:tcPr>
          <w:p w14:paraId="75E912F4">
            <w:pPr>
              <w:jc w:val="right"/>
              <w:rPr>
                <w:rFonts w:cs="Times New Roman"/>
                <w:sz w:val="13"/>
                <w:szCs w:val="13"/>
              </w:rPr>
            </w:pPr>
          </w:p>
        </w:tc>
        <w:tc>
          <w:tcPr>
            <w:tcW w:w="1273" w:type="dxa"/>
            <w:vAlign w:val="center"/>
          </w:tcPr>
          <w:p w14:paraId="0764C513">
            <w:pPr>
              <w:jc w:val="right"/>
              <w:rPr>
                <w:rFonts w:cs="Times New Roman"/>
                <w:sz w:val="13"/>
                <w:szCs w:val="13"/>
              </w:rPr>
            </w:pPr>
          </w:p>
        </w:tc>
        <w:tc>
          <w:tcPr>
            <w:tcW w:w="1209" w:type="dxa"/>
            <w:vAlign w:val="center"/>
          </w:tcPr>
          <w:p w14:paraId="17ACB9DB">
            <w:pPr>
              <w:jc w:val="right"/>
              <w:rPr>
                <w:rFonts w:cs="Times New Roman"/>
                <w:sz w:val="13"/>
                <w:szCs w:val="13"/>
              </w:rPr>
            </w:pPr>
          </w:p>
        </w:tc>
        <w:tc>
          <w:tcPr>
            <w:tcW w:w="1415" w:type="dxa"/>
            <w:vAlign w:val="center"/>
          </w:tcPr>
          <w:p w14:paraId="3292A9E1">
            <w:pPr>
              <w:jc w:val="right"/>
              <w:rPr>
                <w:rFonts w:cs="Times New Roman"/>
                <w:sz w:val="13"/>
                <w:szCs w:val="13"/>
              </w:rPr>
            </w:pPr>
          </w:p>
        </w:tc>
      </w:tr>
      <w:tr w14:paraId="30AC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49e92980f334c9cae023bb1dba136fc"/>
            <w:id w:val="147475283"/>
          </w:sdtPr>
          <w:sdtContent>
            <w:tc>
              <w:tcPr>
                <w:tcW w:w="2669" w:type="dxa"/>
                <w:vAlign w:val="center"/>
              </w:tcPr>
              <w:p w14:paraId="301FE7E2">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（六）其他</w:t>
                </w:r>
              </w:p>
            </w:tc>
          </w:sdtContent>
        </w:sdt>
        <w:tc>
          <w:tcPr>
            <w:tcW w:w="1509" w:type="dxa"/>
            <w:vAlign w:val="center"/>
          </w:tcPr>
          <w:p w14:paraId="7E20991A">
            <w:pPr>
              <w:jc w:val="right"/>
              <w:rPr>
                <w:rFonts w:cs="Times New Roman"/>
                <w:sz w:val="13"/>
                <w:szCs w:val="13"/>
              </w:rPr>
            </w:pPr>
          </w:p>
        </w:tc>
        <w:tc>
          <w:tcPr>
            <w:tcW w:w="1178" w:type="dxa"/>
            <w:vAlign w:val="center"/>
          </w:tcPr>
          <w:p w14:paraId="1500B3C2">
            <w:pPr>
              <w:jc w:val="right"/>
              <w:rPr>
                <w:rFonts w:cs="Times New Roman"/>
                <w:sz w:val="13"/>
                <w:szCs w:val="13"/>
              </w:rPr>
            </w:pPr>
          </w:p>
        </w:tc>
        <w:tc>
          <w:tcPr>
            <w:tcW w:w="1150" w:type="dxa"/>
            <w:vAlign w:val="center"/>
          </w:tcPr>
          <w:p w14:paraId="4EC59988">
            <w:pPr>
              <w:jc w:val="right"/>
              <w:rPr>
                <w:rFonts w:cs="Times New Roman"/>
                <w:sz w:val="13"/>
                <w:szCs w:val="13"/>
              </w:rPr>
            </w:pPr>
          </w:p>
        </w:tc>
        <w:tc>
          <w:tcPr>
            <w:tcW w:w="1301" w:type="dxa"/>
            <w:vAlign w:val="center"/>
          </w:tcPr>
          <w:p w14:paraId="7D011923">
            <w:pPr>
              <w:jc w:val="right"/>
              <w:rPr>
                <w:rFonts w:cs="Times New Roman"/>
                <w:sz w:val="13"/>
                <w:szCs w:val="13"/>
              </w:rPr>
            </w:pPr>
          </w:p>
        </w:tc>
        <w:tc>
          <w:tcPr>
            <w:tcW w:w="1223" w:type="dxa"/>
            <w:vAlign w:val="center"/>
          </w:tcPr>
          <w:p w14:paraId="1B307825">
            <w:pPr>
              <w:jc w:val="right"/>
              <w:rPr>
                <w:rFonts w:cs="Times New Roman"/>
                <w:sz w:val="13"/>
                <w:szCs w:val="13"/>
              </w:rPr>
            </w:pPr>
          </w:p>
        </w:tc>
        <w:tc>
          <w:tcPr>
            <w:tcW w:w="1162" w:type="dxa"/>
            <w:vAlign w:val="center"/>
          </w:tcPr>
          <w:p w14:paraId="16735EE8">
            <w:pPr>
              <w:jc w:val="right"/>
              <w:rPr>
                <w:rFonts w:cs="Times New Roman"/>
                <w:sz w:val="13"/>
                <w:szCs w:val="13"/>
              </w:rPr>
            </w:pPr>
          </w:p>
        </w:tc>
        <w:tc>
          <w:tcPr>
            <w:tcW w:w="1273" w:type="dxa"/>
            <w:vAlign w:val="center"/>
          </w:tcPr>
          <w:p w14:paraId="6E802E84">
            <w:pPr>
              <w:jc w:val="right"/>
              <w:rPr>
                <w:rFonts w:cs="Times New Roman"/>
                <w:sz w:val="13"/>
                <w:szCs w:val="13"/>
              </w:rPr>
            </w:pPr>
          </w:p>
        </w:tc>
        <w:tc>
          <w:tcPr>
            <w:tcW w:w="1209" w:type="dxa"/>
            <w:vAlign w:val="center"/>
          </w:tcPr>
          <w:p w14:paraId="75BE38E6">
            <w:pPr>
              <w:jc w:val="right"/>
              <w:rPr>
                <w:rFonts w:cs="Times New Roman"/>
                <w:sz w:val="13"/>
                <w:szCs w:val="13"/>
              </w:rPr>
            </w:pPr>
          </w:p>
        </w:tc>
        <w:tc>
          <w:tcPr>
            <w:tcW w:w="1415" w:type="dxa"/>
            <w:vAlign w:val="center"/>
          </w:tcPr>
          <w:p w14:paraId="4B9B3795">
            <w:pPr>
              <w:jc w:val="right"/>
              <w:rPr>
                <w:rFonts w:cs="Times New Roman"/>
                <w:sz w:val="13"/>
                <w:szCs w:val="13"/>
              </w:rPr>
            </w:pPr>
          </w:p>
        </w:tc>
      </w:tr>
      <w:tr w14:paraId="13C4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9c8435b637745858c6ad855ad7bbea0"/>
            <w:id w:val="147463582"/>
          </w:sdtPr>
          <w:sdtContent>
            <w:tc>
              <w:tcPr>
                <w:tcW w:w="2669" w:type="dxa"/>
                <w:vAlign w:val="center"/>
              </w:tcPr>
              <w:p w14:paraId="6B6CBB9D">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四、本期期末余额</w:t>
                </w:r>
              </w:p>
            </w:tc>
          </w:sdtContent>
        </w:sdt>
        <w:tc>
          <w:tcPr>
            <w:tcW w:w="1509" w:type="dxa"/>
            <w:vAlign w:val="center"/>
          </w:tcPr>
          <w:p w14:paraId="27B03F21">
            <w:pPr>
              <w:jc w:val="right"/>
              <w:rPr>
                <w:rFonts w:cs="Times New Roman"/>
                <w:sz w:val="13"/>
                <w:szCs w:val="13"/>
              </w:rPr>
            </w:pPr>
            <w:r>
              <w:rPr>
                <w:rFonts w:cs="Times New Roman"/>
                <w:color w:val="000000"/>
                <w:sz w:val="13"/>
                <w:szCs w:val="13"/>
              </w:rPr>
              <w:t>4,391,629,404.00</w:t>
            </w:r>
          </w:p>
        </w:tc>
        <w:tc>
          <w:tcPr>
            <w:tcW w:w="1178" w:type="dxa"/>
            <w:vAlign w:val="center"/>
          </w:tcPr>
          <w:p w14:paraId="44518127">
            <w:pPr>
              <w:jc w:val="right"/>
              <w:rPr>
                <w:rFonts w:cs="Times New Roman"/>
                <w:sz w:val="13"/>
                <w:szCs w:val="13"/>
              </w:rPr>
            </w:pPr>
            <w:r>
              <w:rPr>
                <w:rFonts w:cs="Times New Roman"/>
                <w:color w:val="000000"/>
                <w:sz w:val="13"/>
                <w:szCs w:val="13"/>
              </w:rPr>
              <w:t>8,067,766,137.08</w:t>
            </w:r>
          </w:p>
        </w:tc>
        <w:tc>
          <w:tcPr>
            <w:tcW w:w="1150" w:type="dxa"/>
            <w:vAlign w:val="center"/>
          </w:tcPr>
          <w:p w14:paraId="5ED97693">
            <w:pPr>
              <w:jc w:val="right"/>
              <w:rPr>
                <w:rFonts w:cs="Times New Roman"/>
                <w:sz w:val="13"/>
                <w:szCs w:val="13"/>
              </w:rPr>
            </w:pPr>
          </w:p>
        </w:tc>
        <w:tc>
          <w:tcPr>
            <w:tcW w:w="1301" w:type="dxa"/>
            <w:vAlign w:val="center"/>
          </w:tcPr>
          <w:p w14:paraId="5BEAA05A">
            <w:pPr>
              <w:jc w:val="right"/>
              <w:rPr>
                <w:rFonts w:cs="Times New Roman"/>
                <w:sz w:val="13"/>
                <w:szCs w:val="13"/>
              </w:rPr>
            </w:pPr>
            <w:r>
              <w:rPr>
                <w:rFonts w:cs="Times New Roman"/>
                <w:color w:val="000000"/>
                <w:sz w:val="13"/>
                <w:szCs w:val="13"/>
              </w:rPr>
              <w:t>-188,264,618.94</w:t>
            </w:r>
          </w:p>
        </w:tc>
        <w:tc>
          <w:tcPr>
            <w:tcW w:w="1223" w:type="dxa"/>
            <w:vAlign w:val="center"/>
          </w:tcPr>
          <w:p w14:paraId="40BC98F1">
            <w:pPr>
              <w:jc w:val="right"/>
              <w:rPr>
                <w:rFonts w:cs="Times New Roman"/>
                <w:sz w:val="13"/>
                <w:szCs w:val="13"/>
              </w:rPr>
            </w:pPr>
            <w:r>
              <w:rPr>
                <w:rFonts w:cs="Times New Roman"/>
                <w:color w:val="000000"/>
                <w:sz w:val="13"/>
                <w:szCs w:val="13"/>
              </w:rPr>
              <w:t>369,657,198.90</w:t>
            </w:r>
          </w:p>
        </w:tc>
        <w:tc>
          <w:tcPr>
            <w:tcW w:w="1162" w:type="dxa"/>
            <w:vAlign w:val="center"/>
          </w:tcPr>
          <w:p w14:paraId="37BA7CEE">
            <w:pPr>
              <w:jc w:val="right"/>
              <w:rPr>
                <w:rFonts w:cs="Times New Roman"/>
                <w:sz w:val="13"/>
                <w:szCs w:val="13"/>
              </w:rPr>
            </w:pPr>
            <w:r>
              <w:rPr>
                <w:rFonts w:cs="Times New Roman"/>
                <w:color w:val="000000"/>
                <w:sz w:val="13"/>
                <w:szCs w:val="13"/>
              </w:rPr>
              <w:t>4,312,792,429.08</w:t>
            </w:r>
          </w:p>
        </w:tc>
        <w:tc>
          <w:tcPr>
            <w:tcW w:w="1273" w:type="dxa"/>
            <w:vAlign w:val="center"/>
          </w:tcPr>
          <w:p w14:paraId="43067794">
            <w:pPr>
              <w:jc w:val="right"/>
              <w:rPr>
                <w:rFonts w:cs="Times New Roman"/>
                <w:sz w:val="13"/>
                <w:szCs w:val="13"/>
              </w:rPr>
            </w:pPr>
            <w:r>
              <w:rPr>
                <w:rFonts w:cs="Times New Roman"/>
                <w:color w:val="000000"/>
                <w:sz w:val="13"/>
                <w:szCs w:val="13"/>
              </w:rPr>
              <w:t>16,953,580,550.12</w:t>
            </w:r>
          </w:p>
        </w:tc>
        <w:tc>
          <w:tcPr>
            <w:tcW w:w="1209" w:type="dxa"/>
            <w:vAlign w:val="center"/>
          </w:tcPr>
          <w:p w14:paraId="18E29106">
            <w:pPr>
              <w:jc w:val="right"/>
              <w:rPr>
                <w:rFonts w:cs="Times New Roman"/>
                <w:sz w:val="13"/>
                <w:szCs w:val="13"/>
              </w:rPr>
            </w:pPr>
            <w:r>
              <w:rPr>
                <w:rFonts w:cs="Times New Roman"/>
                <w:color w:val="000000"/>
                <w:sz w:val="13"/>
                <w:szCs w:val="13"/>
              </w:rPr>
              <w:t>-96,732,086.83</w:t>
            </w:r>
          </w:p>
        </w:tc>
        <w:tc>
          <w:tcPr>
            <w:tcW w:w="1415" w:type="dxa"/>
            <w:vAlign w:val="center"/>
          </w:tcPr>
          <w:p w14:paraId="5E20CD02">
            <w:pPr>
              <w:jc w:val="right"/>
              <w:rPr>
                <w:rFonts w:cs="Times New Roman"/>
                <w:sz w:val="13"/>
                <w:szCs w:val="13"/>
              </w:rPr>
            </w:pPr>
            <w:r>
              <w:rPr>
                <w:rFonts w:cs="Times New Roman"/>
                <w:color w:val="000000"/>
                <w:sz w:val="13"/>
                <w:szCs w:val="13"/>
              </w:rPr>
              <w:t>16,856,848,463.29</w:t>
            </w:r>
          </w:p>
        </w:tc>
      </w:tr>
    </w:tbl>
    <w:p w14:paraId="4F69A67D"/>
    <w:p w14:paraId="569669AC">
      <w:pPr>
        <w:snapToGrid w:val="0"/>
        <w:spacing w:line="240" w:lineRule="atLeast"/>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076a4a0998a840bab20f0ed83e5bab3d"/>
          <w:id w:val="147460699"/>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5b21002df9e248fa81a6770579ce76cd"/>
          <w:id w:val="147464919"/>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6a446d6543174dc48c72d440eefb0b71"/>
          <w:id w:val="147476635"/>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3AB1397E">
      <w:pPr>
        <w:rPr>
          <w:color w:val="000000" w:themeColor="text1"/>
          <w14:textFill>
            <w14:solidFill>
              <w14:schemeClr w14:val="tx1"/>
            </w14:solidFill>
          </w14:textFill>
        </w:rPr>
      </w:pPr>
    </w:p>
    <w:p w14:paraId="5587228D">
      <w:pPr>
        <w:rPr>
          <w:color w:val="000000" w:themeColor="text1"/>
          <w14:textFill>
            <w14:solidFill>
              <w14:schemeClr w14:val="tx1"/>
            </w14:solidFill>
          </w14:textFill>
        </w:rPr>
      </w:pPr>
    </w:p>
    <w:p w14:paraId="52BBBD07">
      <w:pPr>
        <w:rPr>
          <w:color w:val="000000" w:themeColor="text1"/>
          <w14:textFill>
            <w14:solidFill>
              <w14:schemeClr w14:val="tx1"/>
            </w14:solidFill>
          </w14:textFill>
        </w:rPr>
      </w:pPr>
    </w:p>
    <w:p w14:paraId="6BDEDB5D">
      <w:pPr>
        <w:pStyle w:val="57"/>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母公司</w:t>
      </w:r>
      <w:r>
        <w:rPr>
          <w:rFonts w:hint="eastAsia" w:ascii="宋体" w:hAnsi="宋体"/>
          <w:color w:val="000000" w:themeColor="text1"/>
          <w14:textFill>
            <w14:solidFill>
              <w14:schemeClr w14:val="tx1"/>
            </w14:solidFill>
          </w14:textFill>
        </w:rPr>
        <w:t>所有者权益变动表</w:t>
      </w:r>
    </w:p>
    <w:p w14:paraId="437E9918">
      <w:pPr>
        <w:tabs>
          <w:tab w:val="left" w:pos="10080"/>
        </w:tabs>
        <w:snapToGrid w:val="0"/>
        <w:spacing w:line="240" w:lineRule="atLeast"/>
        <w:ind w:right="25" w:rightChars="12"/>
        <w:jc w:val="center"/>
        <w:rPr>
          <w:b/>
          <w:bCs w:val="0"/>
          <w:color w:val="000000" w:themeColor="text1"/>
          <w14:textFill>
            <w14:solidFill>
              <w14:schemeClr w14:val="tx1"/>
            </w14:solidFill>
          </w14:textFill>
        </w:rPr>
      </w:pPr>
      <w:r>
        <w:rPr>
          <w:color w:val="000000" w:themeColor="text1"/>
          <w14:textFill>
            <w14:solidFill>
              <w14:schemeClr w14:val="tx1"/>
            </w14:solidFill>
          </w14:textFill>
        </w:rPr>
        <w:t>2025年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14:paraId="09C3F759">
      <w:pPr>
        <w:snapToGrid w:val="0"/>
        <w:spacing w:line="240" w:lineRule="atLeast"/>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股东权益调节表"/>
          <w:tag w:val="_GBC_048773409e614c6bb753000b028316a5"/>
          <w:id w:val="14748255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股东权益调节表"/>
          <w:tag w:val="_GBC_5214b7a188334da286fc3038d017d072"/>
          <w:id w:val="1474741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14"/>
        <w:gridCol w:w="1639"/>
        <w:gridCol w:w="1606"/>
        <w:gridCol w:w="1631"/>
        <w:gridCol w:w="1594"/>
        <w:gridCol w:w="1594"/>
        <w:gridCol w:w="1583"/>
        <w:gridCol w:w="1620"/>
      </w:tblGrid>
      <w:tr w14:paraId="3AF60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blHeader/>
        </w:trPr>
        <w:sdt>
          <w:sdtPr>
            <w:tag w:val="_PLD_e16babcb874e4410be91226aac3d24db"/>
            <w:id w:val="147483122"/>
          </w:sdtPr>
          <w:sdtContent>
            <w:tc>
              <w:tcPr>
                <w:tcW w:w="999" w:type="pct"/>
                <w:vMerge w:val="restart"/>
                <w:vAlign w:val="center"/>
              </w:tcPr>
              <w:p w14:paraId="2ABE7F84">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w:t>
                </w:r>
              </w:p>
            </w:tc>
          </w:sdtContent>
        </w:sdt>
        <w:tc>
          <w:tcPr>
            <w:tcW w:w="4000" w:type="pct"/>
            <w:gridSpan w:val="7"/>
            <w:vAlign w:val="center"/>
          </w:tcPr>
          <w:p w14:paraId="7BE5A11F">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sdt>
              <w:sdtPr>
                <w:tag w:val="_PLD_f6e21c3ce66d4e148eea3bf743a653b8"/>
                <w:id w:val="147452700"/>
              </w:sdtPr>
              <w:sdtContent>
                <w:r>
                  <w:rPr>
                    <w:rFonts w:hint="eastAsia"/>
                    <w:color w:val="000000" w:themeColor="text1"/>
                    <w:sz w:val="18"/>
                    <w14:textFill>
                      <w14:solidFill>
                        <w14:schemeClr w14:val="tx1"/>
                      </w14:solidFill>
                    </w14:textFill>
                  </w:rPr>
                  <w:t>2025年半年度</w:t>
                </w:r>
              </w:sdtContent>
            </w:sdt>
          </w:p>
        </w:tc>
      </w:tr>
      <w:tr w14:paraId="7C620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blHeader/>
        </w:trPr>
        <w:tc>
          <w:tcPr>
            <w:tcW w:w="999" w:type="pct"/>
            <w:vMerge w:val="continue"/>
            <w:vAlign w:val="center"/>
          </w:tcPr>
          <w:p w14:paraId="47C16435">
            <w:pPr>
              <w:adjustRightInd w:val="0"/>
              <w:snapToGrid w:val="0"/>
              <w:rPr>
                <w:color w:val="000000" w:themeColor="text1"/>
                <w:sz w:val="18"/>
                <w:szCs w:val="18"/>
                <w14:textFill>
                  <w14:solidFill>
                    <w14:schemeClr w14:val="tx1"/>
                  </w14:solidFill>
                </w14:textFill>
              </w:rPr>
            </w:pPr>
          </w:p>
        </w:tc>
        <w:sdt>
          <w:sdtPr>
            <w:tag w:val="_PLD_0b6e9703ed65458cb162afd47e6cc9f5"/>
            <w:id w:val="147465349"/>
          </w:sdtPr>
          <w:sdtContent>
            <w:tc>
              <w:tcPr>
                <w:tcW w:w="582" w:type="pct"/>
                <w:vMerge w:val="restart"/>
                <w:tcBorders>
                  <w:right w:val="single" w:color="auto" w:sz="4" w:space="0"/>
                </w:tcBorders>
                <w:vAlign w:val="center"/>
              </w:tcPr>
              <w:p w14:paraId="0036C9E8">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实收资本</w:t>
                </w:r>
                <w:r>
                  <w:rPr>
                    <w:color w:val="000000" w:themeColor="text1"/>
                    <w:sz w:val="18"/>
                    <w:szCs w:val="18"/>
                    <w14:textFill>
                      <w14:solidFill>
                        <w14:schemeClr w14:val="tx1"/>
                      </w14:solidFill>
                    </w14:textFill>
                  </w:rPr>
                  <w:t xml:space="preserve"> (或股本)</w:t>
                </w:r>
              </w:p>
            </w:tc>
          </w:sdtContent>
        </w:sdt>
        <w:sdt>
          <w:sdtPr>
            <w:tag w:val="_PLD_670488de432c4150880353e82f6ebb21"/>
            <w:id w:val="147456099"/>
          </w:sdtPr>
          <w:sdtContent>
            <w:tc>
              <w:tcPr>
                <w:tcW w:w="570" w:type="pct"/>
                <w:vMerge w:val="restart"/>
                <w:vAlign w:val="center"/>
              </w:tcPr>
              <w:p w14:paraId="5449EF17">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资本公积</w:t>
                </w:r>
              </w:p>
            </w:tc>
          </w:sdtContent>
        </w:sdt>
        <w:sdt>
          <w:sdtPr>
            <w:tag w:val="_PLD_c1c25c4e521b4e8aba5ccfef16a558c5"/>
            <w:id w:val="147478541"/>
          </w:sdtPr>
          <w:sdtContent>
            <w:tc>
              <w:tcPr>
                <w:tcW w:w="579" w:type="pct"/>
                <w:vMerge w:val="restart"/>
                <w:vAlign w:val="center"/>
              </w:tcPr>
              <w:p w14:paraId="4F941C62">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减：库存股</w:t>
                </w:r>
              </w:p>
            </w:tc>
          </w:sdtContent>
        </w:sdt>
        <w:sdt>
          <w:sdtPr>
            <w:tag w:val="_PLD_4ef83c170ca54a08ac6fcebc6a487dcd"/>
            <w:id w:val="147463317"/>
          </w:sdtPr>
          <w:sdtContent>
            <w:tc>
              <w:tcPr>
                <w:tcW w:w="566" w:type="pct"/>
                <w:vMerge w:val="restart"/>
                <w:vAlign w:val="center"/>
              </w:tcPr>
              <w:p w14:paraId="652EEE6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其他综合收益</w:t>
                </w:r>
              </w:p>
            </w:tc>
          </w:sdtContent>
        </w:sdt>
        <w:sdt>
          <w:sdtPr>
            <w:tag w:val="_PLD_dbef0e1514f54b8ab8b43e975d3451b6"/>
            <w:id w:val="147457143"/>
          </w:sdtPr>
          <w:sdtContent>
            <w:tc>
              <w:tcPr>
                <w:tcW w:w="566" w:type="pct"/>
                <w:vMerge w:val="restart"/>
                <w:vAlign w:val="center"/>
              </w:tcPr>
              <w:p w14:paraId="33F13158">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盈余公积</w:t>
                </w:r>
              </w:p>
            </w:tc>
          </w:sdtContent>
        </w:sdt>
        <w:sdt>
          <w:sdtPr>
            <w:tag w:val="_PLD_63b6c2969ec64e7abb1802f027c1069a"/>
            <w:id w:val="147465263"/>
          </w:sdtPr>
          <w:sdtContent>
            <w:tc>
              <w:tcPr>
                <w:tcW w:w="562" w:type="pct"/>
                <w:vMerge w:val="restart"/>
                <w:vAlign w:val="center"/>
              </w:tcPr>
              <w:p w14:paraId="6BDBCBCB">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未分配利润</w:t>
                </w:r>
              </w:p>
            </w:tc>
          </w:sdtContent>
        </w:sdt>
        <w:sdt>
          <w:sdtPr>
            <w:tag w:val="_PLD_cdd38492b3a84e28b52c6700432babfd"/>
            <w:id w:val="147462017"/>
          </w:sdtPr>
          <w:sdtContent>
            <w:tc>
              <w:tcPr>
                <w:tcW w:w="574" w:type="pct"/>
                <w:vMerge w:val="restart"/>
                <w:vAlign w:val="center"/>
              </w:tcPr>
              <w:p w14:paraId="3107F2EC">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所有者权益合计</w:t>
                </w:r>
              </w:p>
            </w:tc>
          </w:sdtContent>
        </w:sdt>
      </w:tr>
      <w:tr w14:paraId="09A25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b5131b53bda244fcbd76916797d6b666"/>
            <w:id w:val="147455085"/>
          </w:sdtPr>
          <w:sdtContent>
            <w:tc>
              <w:tcPr>
                <w:tcW w:w="999" w:type="pct"/>
                <w:vAlign w:val="center"/>
              </w:tcPr>
              <w:p w14:paraId="79533204">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一、上年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末余额</w:t>
                </w:r>
              </w:p>
            </w:tc>
          </w:sdtContent>
        </w:sdt>
        <w:tc>
          <w:tcPr>
            <w:tcW w:w="582" w:type="pct"/>
            <w:tcBorders>
              <w:right w:val="single" w:color="auto" w:sz="4" w:space="0"/>
            </w:tcBorders>
            <w:vAlign w:val="center"/>
          </w:tcPr>
          <w:p w14:paraId="0C0F41CC">
            <w:pPr>
              <w:jc w:val="right"/>
              <w:textAlignment w:val="bottom"/>
              <w:rPr>
                <w:rFonts w:cs="Times New Roman"/>
                <w:sz w:val="18"/>
                <w:szCs w:val="18"/>
              </w:rPr>
            </w:pPr>
            <w:r>
              <w:rPr>
                <w:rFonts w:eastAsia="Arial Narrow" w:cs="Times New Roman"/>
                <w:color w:val="000000"/>
                <w:sz w:val="18"/>
                <w:szCs w:val="18"/>
                <w:lang w:bidi="ar"/>
              </w:rPr>
              <w:t>4,391,629,404.00</w:t>
            </w:r>
          </w:p>
        </w:tc>
        <w:tc>
          <w:tcPr>
            <w:tcW w:w="570" w:type="pct"/>
            <w:tcBorders>
              <w:left w:val="single" w:color="auto" w:sz="4" w:space="0"/>
            </w:tcBorders>
            <w:vAlign w:val="center"/>
          </w:tcPr>
          <w:p w14:paraId="37E01BB2">
            <w:pPr>
              <w:jc w:val="right"/>
              <w:textAlignment w:val="bottom"/>
              <w:rPr>
                <w:rFonts w:cs="Times New Roman"/>
                <w:sz w:val="18"/>
                <w:szCs w:val="18"/>
              </w:rPr>
            </w:pPr>
            <w:r>
              <w:rPr>
                <w:rFonts w:eastAsia="Arial Narrow" w:cs="Times New Roman"/>
                <w:color w:val="000000"/>
                <w:sz w:val="18"/>
                <w:szCs w:val="18"/>
                <w:lang w:bidi="ar"/>
              </w:rPr>
              <w:t>7,852,925,237.95</w:t>
            </w:r>
          </w:p>
        </w:tc>
        <w:tc>
          <w:tcPr>
            <w:tcW w:w="579" w:type="pct"/>
            <w:vAlign w:val="center"/>
          </w:tcPr>
          <w:p w14:paraId="61825C6A">
            <w:pPr>
              <w:jc w:val="right"/>
              <w:rPr>
                <w:rFonts w:cs="Times New Roman"/>
                <w:sz w:val="18"/>
                <w:szCs w:val="18"/>
              </w:rPr>
            </w:pPr>
          </w:p>
        </w:tc>
        <w:tc>
          <w:tcPr>
            <w:tcW w:w="566" w:type="pct"/>
            <w:vAlign w:val="center"/>
          </w:tcPr>
          <w:p w14:paraId="0EA7DAD9">
            <w:pPr>
              <w:jc w:val="right"/>
              <w:textAlignment w:val="bottom"/>
              <w:rPr>
                <w:rFonts w:cs="Times New Roman"/>
                <w:sz w:val="18"/>
                <w:szCs w:val="18"/>
              </w:rPr>
            </w:pPr>
            <w:r>
              <w:rPr>
                <w:rFonts w:eastAsia="Arial Narrow" w:cs="Times New Roman"/>
                <w:color w:val="000000"/>
                <w:sz w:val="18"/>
                <w:szCs w:val="18"/>
                <w:lang w:bidi="ar"/>
              </w:rPr>
              <w:t>-225,999,968.83</w:t>
            </w:r>
          </w:p>
        </w:tc>
        <w:tc>
          <w:tcPr>
            <w:tcW w:w="566" w:type="pct"/>
            <w:vAlign w:val="center"/>
          </w:tcPr>
          <w:p w14:paraId="6DC0BE0E">
            <w:pPr>
              <w:jc w:val="right"/>
              <w:textAlignment w:val="bottom"/>
              <w:rPr>
                <w:rFonts w:cs="Times New Roman"/>
                <w:sz w:val="18"/>
                <w:szCs w:val="18"/>
              </w:rPr>
            </w:pPr>
            <w:r>
              <w:rPr>
                <w:rFonts w:eastAsia="Arial Narrow" w:cs="Times New Roman"/>
                <w:color w:val="000000"/>
                <w:sz w:val="18"/>
                <w:szCs w:val="18"/>
                <w:lang w:bidi="ar"/>
              </w:rPr>
              <w:t>369,677,423.82</w:t>
            </w:r>
          </w:p>
        </w:tc>
        <w:tc>
          <w:tcPr>
            <w:tcW w:w="562" w:type="pct"/>
            <w:vAlign w:val="center"/>
          </w:tcPr>
          <w:p w14:paraId="07AA1FED">
            <w:pPr>
              <w:jc w:val="right"/>
              <w:textAlignment w:val="bottom"/>
              <w:rPr>
                <w:rFonts w:cs="Times New Roman"/>
                <w:sz w:val="18"/>
                <w:szCs w:val="18"/>
              </w:rPr>
            </w:pPr>
            <w:r>
              <w:rPr>
                <w:rFonts w:eastAsia="Arial Narrow" w:cs="Times New Roman"/>
                <w:color w:val="000000"/>
                <w:sz w:val="18"/>
                <w:szCs w:val="18"/>
                <w:lang w:bidi="ar"/>
              </w:rPr>
              <w:t>36,192,464.08</w:t>
            </w:r>
          </w:p>
        </w:tc>
        <w:tc>
          <w:tcPr>
            <w:tcW w:w="574" w:type="pct"/>
            <w:vAlign w:val="center"/>
          </w:tcPr>
          <w:p w14:paraId="60A10792">
            <w:pPr>
              <w:jc w:val="right"/>
              <w:textAlignment w:val="bottom"/>
              <w:rPr>
                <w:rFonts w:cs="Times New Roman"/>
                <w:sz w:val="18"/>
                <w:szCs w:val="18"/>
              </w:rPr>
            </w:pPr>
            <w:r>
              <w:rPr>
                <w:rFonts w:eastAsia="Arial Narrow" w:cs="Times New Roman"/>
                <w:color w:val="000000"/>
                <w:sz w:val="18"/>
                <w:szCs w:val="18"/>
                <w:lang w:bidi="ar"/>
              </w:rPr>
              <w:t>12,424,424,561.02</w:t>
            </w:r>
          </w:p>
        </w:tc>
      </w:tr>
      <w:tr w14:paraId="3EF40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345919472b384d0eb13471ef5f2f5e92"/>
            <w:id w:val="147467790"/>
          </w:sdtPr>
          <w:sdtContent>
            <w:tc>
              <w:tcPr>
                <w:tcW w:w="999" w:type="pct"/>
                <w:vAlign w:val="center"/>
              </w:tcPr>
              <w:p w14:paraId="657DECBE">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二、本年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初余额</w:t>
                </w:r>
              </w:p>
            </w:tc>
          </w:sdtContent>
        </w:sdt>
        <w:tc>
          <w:tcPr>
            <w:tcW w:w="582" w:type="pct"/>
            <w:tcBorders>
              <w:right w:val="single" w:color="auto" w:sz="4" w:space="0"/>
            </w:tcBorders>
            <w:vAlign w:val="center"/>
          </w:tcPr>
          <w:p w14:paraId="643DD4A1">
            <w:pPr>
              <w:jc w:val="right"/>
              <w:textAlignment w:val="bottom"/>
              <w:rPr>
                <w:rFonts w:cs="Times New Roman"/>
                <w:sz w:val="18"/>
                <w:szCs w:val="18"/>
              </w:rPr>
            </w:pPr>
            <w:r>
              <w:rPr>
                <w:rFonts w:eastAsia="Arial Narrow" w:cs="Times New Roman"/>
                <w:color w:val="000000"/>
                <w:sz w:val="18"/>
                <w:szCs w:val="18"/>
                <w:lang w:bidi="ar"/>
              </w:rPr>
              <w:t>4,391,629,404.00</w:t>
            </w:r>
          </w:p>
        </w:tc>
        <w:tc>
          <w:tcPr>
            <w:tcW w:w="570" w:type="pct"/>
            <w:tcBorders>
              <w:left w:val="single" w:color="auto" w:sz="4" w:space="0"/>
            </w:tcBorders>
            <w:vAlign w:val="center"/>
          </w:tcPr>
          <w:p w14:paraId="51009ABA">
            <w:pPr>
              <w:jc w:val="right"/>
              <w:textAlignment w:val="bottom"/>
              <w:rPr>
                <w:rFonts w:cs="Times New Roman"/>
                <w:sz w:val="18"/>
                <w:szCs w:val="18"/>
              </w:rPr>
            </w:pPr>
            <w:r>
              <w:rPr>
                <w:rFonts w:eastAsia="Arial Narrow" w:cs="Times New Roman"/>
                <w:color w:val="000000"/>
                <w:sz w:val="18"/>
                <w:szCs w:val="18"/>
                <w:lang w:bidi="ar"/>
              </w:rPr>
              <w:t>7,852,925,237.95</w:t>
            </w:r>
          </w:p>
        </w:tc>
        <w:tc>
          <w:tcPr>
            <w:tcW w:w="579" w:type="pct"/>
            <w:vAlign w:val="center"/>
          </w:tcPr>
          <w:p w14:paraId="311BD683">
            <w:pPr>
              <w:jc w:val="right"/>
              <w:rPr>
                <w:rFonts w:cs="Times New Roman"/>
                <w:sz w:val="18"/>
                <w:szCs w:val="18"/>
              </w:rPr>
            </w:pPr>
          </w:p>
        </w:tc>
        <w:tc>
          <w:tcPr>
            <w:tcW w:w="566" w:type="pct"/>
            <w:vAlign w:val="center"/>
          </w:tcPr>
          <w:p w14:paraId="13B5259E">
            <w:pPr>
              <w:jc w:val="right"/>
              <w:textAlignment w:val="bottom"/>
              <w:rPr>
                <w:rFonts w:cs="Times New Roman"/>
                <w:sz w:val="18"/>
                <w:szCs w:val="18"/>
              </w:rPr>
            </w:pPr>
            <w:r>
              <w:rPr>
                <w:rFonts w:eastAsia="Arial Narrow" w:cs="Times New Roman"/>
                <w:color w:val="000000"/>
                <w:sz w:val="18"/>
                <w:szCs w:val="18"/>
                <w:lang w:bidi="ar"/>
              </w:rPr>
              <w:t>-225,999,968.83</w:t>
            </w:r>
          </w:p>
        </w:tc>
        <w:tc>
          <w:tcPr>
            <w:tcW w:w="566" w:type="pct"/>
            <w:vAlign w:val="center"/>
          </w:tcPr>
          <w:p w14:paraId="717CFB5B">
            <w:pPr>
              <w:jc w:val="right"/>
              <w:textAlignment w:val="bottom"/>
              <w:rPr>
                <w:rFonts w:cs="Times New Roman"/>
                <w:sz w:val="18"/>
                <w:szCs w:val="18"/>
              </w:rPr>
            </w:pPr>
            <w:r>
              <w:rPr>
                <w:rFonts w:eastAsia="Arial Narrow" w:cs="Times New Roman"/>
                <w:color w:val="000000"/>
                <w:sz w:val="18"/>
                <w:szCs w:val="18"/>
                <w:lang w:bidi="ar"/>
              </w:rPr>
              <w:t>369,677,423.82</w:t>
            </w:r>
          </w:p>
        </w:tc>
        <w:tc>
          <w:tcPr>
            <w:tcW w:w="562" w:type="pct"/>
            <w:vAlign w:val="center"/>
          </w:tcPr>
          <w:p w14:paraId="089BA7B0">
            <w:pPr>
              <w:jc w:val="right"/>
              <w:textAlignment w:val="bottom"/>
              <w:rPr>
                <w:rFonts w:cs="Times New Roman"/>
                <w:sz w:val="18"/>
                <w:szCs w:val="18"/>
              </w:rPr>
            </w:pPr>
            <w:r>
              <w:rPr>
                <w:rFonts w:eastAsia="Arial Narrow" w:cs="Times New Roman"/>
                <w:color w:val="000000"/>
                <w:sz w:val="18"/>
                <w:szCs w:val="18"/>
                <w:lang w:bidi="ar"/>
              </w:rPr>
              <w:t>36,192,464.08</w:t>
            </w:r>
          </w:p>
        </w:tc>
        <w:tc>
          <w:tcPr>
            <w:tcW w:w="574" w:type="pct"/>
            <w:vAlign w:val="center"/>
          </w:tcPr>
          <w:p w14:paraId="2B6F5EEC">
            <w:pPr>
              <w:jc w:val="right"/>
              <w:textAlignment w:val="bottom"/>
              <w:rPr>
                <w:rFonts w:cs="Times New Roman"/>
                <w:sz w:val="18"/>
                <w:szCs w:val="18"/>
              </w:rPr>
            </w:pPr>
            <w:r>
              <w:rPr>
                <w:rFonts w:eastAsia="Arial Narrow" w:cs="Times New Roman"/>
                <w:color w:val="000000"/>
                <w:sz w:val="18"/>
                <w:szCs w:val="18"/>
                <w:lang w:bidi="ar"/>
              </w:rPr>
              <w:t>12,424,424,561.02</w:t>
            </w:r>
          </w:p>
        </w:tc>
      </w:tr>
      <w:tr w14:paraId="37CC3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4eea4cc259884a6ab5f2fe018aec3d4e"/>
            <w:id w:val="147480784"/>
          </w:sdtPr>
          <w:sdtContent>
            <w:tc>
              <w:tcPr>
                <w:tcW w:w="999" w:type="pct"/>
                <w:vAlign w:val="center"/>
              </w:tcPr>
              <w:p w14:paraId="33AC6EC6">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三、本</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增减变动金额（减少以“－”号填列）</w:t>
                </w:r>
              </w:p>
            </w:tc>
          </w:sdtContent>
        </w:sdt>
        <w:tc>
          <w:tcPr>
            <w:tcW w:w="582" w:type="pct"/>
            <w:tcBorders>
              <w:right w:val="single" w:color="auto" w:sz="4" w:space="0"/>
            </w:tcBorders>
            <w:vAlign w:val="center"/>
          </w:tcPr>
          <w:p w14:paraId="41B88108">
            <w:pPr>
              <w:jc w:val="right"/>
              <w:rPr>
                <w:rFonts w:cs="Times New Roman"/>
                <w:sz w:val="18"/>
                <w:szCs w:val="18"/>
              </w:rPr>
            </w:pPr>
          </w:p>
        </w:tc>
        <w:tc>
          <w:tcPr>
            <w:tcW w:w="570" w:type="pct"/>
            <w:vAlign w:val="center"/>
          </w:tcPr>
          <w:p w14:paraId="416A312C">
            <w:pPr>
              <w:jc w:val="right"/>
              <w:rPr>
                <w:rFonts w:cs="Times New Roman"/>
                <w:sz w:val="18"/>
                <w:szCs w:val="18"/>
              </w:rPr>
            </w:pPr>
          </w:p>
        </w:tc>
        <w:tc>
          <w:tcPr>
            <w:tcW w:w="579" w:type="pct"/>
            <w:vAlign w:val="center"/>
          </w:tcPr>
          <w:p w14:paraId="79460C15">
            <w:pPr>
              <w:jc w:val="right"/>
              <w:textAlignment w:val="bottom"/>
              <w:rPr>
                <w:rFonts w:cs="Times New Roman"/>
                <w:sz w:val="18"/>
                <w:szCs w:val="18"/>
              </w:rPr>
            </w:pPr>
            <w:r>
              <w:rPr>
                <w:rFonts w:eastAsia="Arial Narrow" w:cs="Times New Roman"/>
                <w:color w:val="000000"/>
                <w:sz w:val="18"/>
                <w:szCs w:val="18"/>
                <w:lang w:bidi="ar"/>
              </w:rPr>
              <w:t>39,938,040.72</w:t>
            </w:r>
          </w:p>
        </w:tc>
        <w:tc>
          <w:tcPr>
            <w:tcW w:w="566" w:type="pct"/>
            <w:vAlign w:val="center"/>
          </w:tcPr>
          <w:p w14:paraId="653E8174">
            <w:pPr>
              <w:jc w:val="right"/>
              <w:rPr>
                <w:rFonts w:cs="Times New Roman"/>
                <w:sz w:val="18"/>
                <w:szCs w:val="18"/>
              </w:rPr>
            </w:pPr>
          </w:p>
        </w:tc>
        <w:tc>
          <w:tcPr>
            <w:tcW w:w="566" w:type="pct"/>
            <w:vAlign w:val="center"/>
          </w:tcPr>
          <w:p w14:paraId="775B3D88">
            <w:pPr>
              <w:jc w:val="right"/>
              <w:rPr>
                <w:rFonts w:cs="Times New Roman"/>
                <w:sz w:val="18"/>
                <w:szCs w:val="18"/>
              </w:rPr>
            </w:pPr>
          </w:p>
        </w:tc>
        <w:tc>
          <w:tcPr>
            <w:tcW w:w="562" w:type="pct"/>
            <w:vAlign w:val="center"/>
          </w:tcPr>
          <w:p w14:paraId="288639B3">
            <w:pPr>
              <w:jc w:val="right"/>
              <w:textAlignment w:val="bottom"/>
              <w:rPr>
                <w:rFonts w:cs="Times New Roman"/>
                <w:sz w:val="18"/>
                <w:szCs w:val="18"/>
              </w:rPr>
            </w:pPr>
            <w:r>
              <w:rPr>
                <w:rFonts w:eastAsia="Arial Narrow" w:cs="Times New Roman"/>
                <w:color w:val="000000"/>
                <w:sz w:val="18"/>
                <w:szCs w:val="18"/>
                <w:lang w:bidi="ar"/>
              </w:rPr>
              <w:t>73,375,867.76</w:t>
            </w:r>
          </w:p>
        </w:tc>
        <w:tc>
          <w:tcPr>
            <w:tcW w:w="574" w:type="pct"/>
            <w:vAlign w:val="center"/>
          </w:tcPr>
          <w:p w14:paraId="5DE0C94F">
            <w:pPr>
              <w:jc w:val="right"/>
              <w:textAlignment w:val="bottom"/>
              <w:rPr>
                <w:rFonts w:cs="Times New Roman"/>
                <w:sz w:val="18"/>
                <w:szCs w:val="18"/>
              </w:rPr>
            </w:pPr>
            <w:r>
              <w:rPr>
                <w:rFonts w:eastAsia="Arial Narrow" w:cs="Times New Roman"/>
                <w:color w:val="000000"/>
                <w:sz w:val="18"/>
                <w:szCs w:val="18"/>
                <w:lang w:bidi="ar"/>
              </w:rPr>
              <w:t>33,437,827.04</w:t>
            </w:r>
          </w:p>
        </w:tc>
      </w:tr>
      <w:tr w14:paraId="7EBCA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c2eb317db9474ea9b9513a40ba81d9f7"/>
            <w:id w:val="147453741"/>
          </w:sdtPr>
          <w:sdtContent>
            <w:tc>
              <w:tcPr>
                <w:tcW w:w="999" w:type="pct"/>
                <w:vAlign w:val="center"/>
              </w:tcPr>
              <w:p w14:paraId="36175058">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（一）综合收益总额</w:t>
                </w:r>
              </w:p>
            </w:tc>
          </w:sdtContent>
        </w:sdt>
        <w:tc>
          <w:tcPr>
            <w:tcW w:w="582" w:type="pct"/>
            <w:tcBorders>
              <w:right w:val="single" w:color="auto" w:sz="4" w:space="0"/>
            </w:tcBorders>
            <w:vAlign w:val="center"/>
          </w:tcPr>
          <w:p w14:paraId="4B6D05A5">
            <w:pPr>
              <w:jc w:val="right"/>
              <w:rPr>
                <w:rFonts w:cs="Times New Roman"/>
                <w:sz w:val="18"/>
                <w:szCs w:val="18"/>
              </w:rPr>
            </w:pPr>
          </w:p>
        </w:tc>
        <w:tc>
          <w:tcPr>
            <w:tcW w:w="570" w:type="pct"/>
            <w:vAlign w:val="center"/>
          </w:tcPr>
          <w:p w14:paraId="45A1E92D">
            <w:pPr>
              <w:jc w:val="right"/>
              <w:rPr>
                <w:rFonts w:cs="Times New Roman"/>
                <w:sz w:val="18"/>
                <w:szCs w:val="18"/>
              </w:rPr>
            </w:pPr>
          </w:p>
        </w:tc>
        <w:tc>
          <w:tcPr>
            <w:tcW w:w="579" w:type="pct"/>
            <w:vAlign w:val="center"/>
          </w:tcPr>
          <w:p w14:paraId="3A7A522E">
            <w:pPr>
              <w:jc w:val="right"/>
              <w:rPr>
                <w:rFonts w:cs="Times New Roman"/>
                <w:sz w:val="18"/>
                <w:szCs w:val="18"/>
              </w:rPr>
            </w:pPr>
          </w:p>
        </w:tc>
        <w:tc>
          <w:tcPr>
            <w:tcW w:w="566" w:type="pct"/>
            <w:vAlign w:val="center"/>
          </w:tcPr>
          <w:p w14:paraId="6CDA1333">
            <w:pPr>
              <w:jc w:val="right"/>
              <w:rPr>
                <w:rFonts w:cs="Times New Roman"/>
                <w:sz w:val="18"/>
                <w:szCs w:val="18"/>
              </w:rPr>
            </w:pPr>
          </w:p>
        </w:tc>
        <w:tc>
          <w:tcPr>
            <w:tcW w:w="566" w:type="pct"/>
            <w:vAlign w:val="center"/>
          </w:tcPr>
          <w:p w14:paraId="2AEC0F14">
            <w:pPr>
              <w:jc w:val="right"/>
              <w:rPr>
                <w:rFonts w:cs="Times New Roman"/>
                <w:sz w:val="18"/>
                <w:szCs w:val="18"/>
              </w:rPr>
            </w:pPr>
          </w:p>
        </w:tc>
        <w:tc>
          <w:tcPr>
            <w:tcW w:w="562" w:type="pct"/>
            <w:vAlign w:val="center"/>
          </w:tcPr>
          <w:p w14:paraId="322B648C">
            <w:pPr>
              <w:jc w:val="right"/>
              <w:textAlignment w:val="bottom"/>
              <w:rPr>
                <w:rFonts w:cs="Times New Roman"/>
                <w:sz w:val="18"/>
                <w:szCs w:val="18"/>
              </w:rPr>
            </w:pPr>
            <w:r>
              <w:rPr>
                <w:rFonts w:eastAsia="Arial Narrow" w:cs="Times New Roman"/>
                <w:color w:val="000000"/>
                <w:sz w:val="18"/>
                <w:szCs w:val="18"/>
                <w:lang w:bidi="ar"/>
              </w:rPr>
              <w:t>73,375,867.76</w:t>
            </w:r>
          </w:p>
        </w:tc>
        <w:tc>
          <w:tcPr>
            <w:tcW w:w="574" w:type="pct"/>
            <w:vAlign w:val="center"/>
          </w:tcPr>
          <w:p w14:paraId="06CCCCA0">
            <w:pPr>
              <w:jc w:val="right"/>
              <w:textAlignment w:val="bottom"/>
              <w:rPr>
                <w:rFonts w:cs="Times New Roman"/>
                <w:sz w:val="18"/>
                <w:szCs w:val="18"/>
              </w:rPr>
            </w:pPr>
            <w:r>
              <w:rPr>
                <w:rFonts w:eastAsia="Arial Narrow" w:cs="Times New Roman"/>
                <w:color w:val="000000"/>
                <w:sz w:val="18"/>
                <w:szCs w:val="18"/>
                <w:lang w:bidi="ar"/>
              </w:rPr>
              <w:t>73,375,867.76</w:t>
            </w:r>
          </w:p>
        </w:tc>
      </w:tr>
      <w:tr w14:paraId="15268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2c2c42255e12419d81111ac5d28c5859"/>
            <w:id w:val="147478394"/>
          </w:sdtPr>
          <w:sdtContent>
            <w:tc>
              <w:tcPr>
                <w:tcW w:w="999" w:type="pct"/>
                <w:vAlign w:val="center"/>
              </w:tcPr>
              <w:p w14:paraId="79E7FC5C">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二</w:t>
                </w:r>
                <w:r>
                  <w:rPr>
                    <w:color w:val="000000" w:themeColor="text1"/>
                    <w:sz w:val="18"/>
                    <w:szCs w:val="18"/>
                    <w14:textFill>
                      <w14:solidFill>
                        <w14:schemeClr w14:val="tx1"/>
                      </w14:solidFill>
                    </w14:textFill>
                  </w:rPr>
                  <w:t>）所有者投入和减少资本</w:t>
                </w:r>
              </w:p>
            </w:tc>
          </w:sdtContent>
        </w:sdt>
        <w:tc>
          <w:tcPr>
            <w:tcW w:w="582" w:type="pct"/>
            <w:tcBorders>
              <w:right w:val="single" w:color="auto" w:sz="4" w:space="0"/>
            </w:tcBorders>
            <w:vAlign w:val="center"/>
          </w:tcPr>
          <w:p w14:paraId="1BEAB08E">
            <w:pPr>
              <w:jc w:val="right"/>
              <w:rPr>
                <w:rFonts w:cs="Times New Roman"/>
                <w:sz w:val="18"/>
                <w:szCs w:val="18"/>
              </w:rPr>
            </w:pPr>
          </w:p>
        </w:tc>
        <w:tc>
          <w:tcPr>
            <w:tcW w:w="570" w:type="pct"/>
            <w:vAlign w:val="center"/>
          </w:tcPr>
          <w:p w14:paraId="63892C0D">
            <w:pPr>
              <w:jc w:val="right"/>
              <w:rPr>
                <w:rFonts w:cs="Times New Roman"/>
                <w:sz w:val="18"/>
                <w:szCs w:val="18"/>
              </w:rPr>
            </w:pPr>
          </w:p>
        </w:tc>
        <w:tc>
          <w:tcPr>
            <w:tcW w:w="579" w:type="pct"/>
            <w:vAlign w:val="center"/>
          </w:tcPr>
          <w:p w14:paraId="2407B59B">
            <w:pPr>
              <w:jc w:val="right"/>
              <w:textAlignment w:val="bottom"/>
              <w:rPr>
                <w:rFonts w:cs="Times New Roman"/>
                <w:sz w:val="18"/>
                <w:szCs w:val="18"/>
              </w:rPr>
            </w:pPr>
            <w:r>
              <w:rPr>
                <w:rFonts w:eastAsia="Arial Narrow" w:cs="Times New Roman"/>
                <w:color w:val="000000"/>
                <w:sz w:val="18"/>
                <w:szCs w:val="18"/>
                <w:lang w:bidi="ar"/>
              </w:rPr>
              <w:t>39,938,040.72</w:t>
            </w:r>
          </w:p>
        </w:tc>
        <w:tc>
          <w:tcPr>
            <w:tcW w:w="566" w:type="pct"/>
            <w:vAlign w:val="center"/>
          </w:tcPr>
          <w:p w14:paraId="356EC568">
            <w:pPr>
              <w:jc w:val="right"/>
              <w:rPr>
                <w:rFonts w:cs="Times New Roman"/>
                <w:sz w:val="18"/>
                <w:szCs w:val="18"/>
              </w:rPr>
            </w:pPr>
          </w:p>
        </w:tc>
        <w:tc>
          <w:tcPr>
            <w:tcW w:w="566" w:type="pct"/>
            <w:vAlign w:val="center"/>
          </w:tcPr>
          <w:p w14:paraId="1623881D">
            <w:pPr>
              <w:jc w:val="right"/>
              <w:rPr>
                <w:rFonts w:cs="Times New Roman"/>
                <w:sz w:val="18"/>
                <w:szCs w:val="18"/>
              </w:rPr>
            </w:pPr>
          </w:p>
        </w:tc>
        <w:tc>
          <w:tcPr>
            <w:tcW w:w="562" w:type="pct"/>
            <w:vAlign w:val="center"/>
          </w:tcPr>
          <w:p w14:paraId="560AFD85">
            <w:pPr>
              <w:jc w:val="right"/>
              <w:rPr>
                <w:rFonts w:cs="Times New Roman"/>
                <w:sz w:val="18"/>
                <w:szCs w:val="18"/>
              </w:rPr>
            </w:pPr>
          </w:p>
        </w:tc>
        <w:tc>
          <w:tcPr>
            <w:tcW w:w="574" w:type="pct"/>
            <w:vAlign w:val="center"/>
          </w:tcPr>
          <w:p w14:paraId="18B35914">
            <w:pPr>
              <w:jc w:val="right"/>
              <w:textAlignment w:val="bottom"/>
              <w:rPr>
                <w:rFonts w:cs="Times New Roman"/>
                <w:sz w:val="18"/>
                <w:szCs w:val="18"/>
              </w:rPr>
            </w:pPr>
            <w:r>
              <w:rPr>
                <w:rFonts w:eastAsia="Arial Narrow" w:cs="Times New Roman"/>
                <w:color w:val="000000"/>
                <w:sz w:val="18"/>
                <w:szCs w:val="18"/>
                <w:lang w:bidi="ar"/>
              </w:rPr>
              <w:t>-39,938,040.72</w:t>
            </w:r>
          </w:p>
        </w:tc>
      </w:tr>
      <w:tr w14:paraId="4438A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4815225e85794febad32622528b72229"/>
            <w:id w:val="147457938"/>
          </w:sdtPr>
          <w:sdtContent>
            <w:tc>
              <w:tcPr>
                <w:tcW w:w="999" w:type="pct"/>
                <w:vAlign w:val="center"/>
              </w:tcPr>
              <w:p w14:paraId="1B07A9A8">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r>
                  <w:rPr>
                    <w:color w:val="000000" w:themeColor="text1"/>
                    <w:sz w:val="18"/>
                    <w:szCs w:val="18"/>
                    <w14:textFill>
                      <w14:solidFill>
                        <w14:schemeClr w14:val="tx1"/>
                      </w14:solidFill>
                    </w14:textFill>
                  </w:rPr>
                  <w:t>．其他</w:t>
                </w:r>
              </w:p>
            </w:tc>
          </w:sdtContent>
        </w:sdt>
        <w:tc>
          <w:tcPr>
            <w:tcW w:w="582" w:type="pct"/>
            <w:tcBorders>
              <w:right w:val="single" w:color="auto" w:sz="4" w:space="0"/>
            </w:tcBorders>
            <w:vAlign w:val="center"/>
          </w:tcPr>
          <w:p w14:paraId="58FACB0A">
            <w:pPr>
              <w:jc w:val="right"/>
              <w:rPr>
                <w:rFonts w:cs="Times New Roman"/>
                <w:sz w:val="18"/>
                <w:szCs w:val="18"/>
              </w:rPr>
            </w:pPr>
          </w:p>
        </w:tc>
        <w:tc>
          <w:tcPr>
            <w:tcW w:w="570" w:type="pct"/>
            <w:vAlign w:val="center"/>
          </w:tcPr>
          <w:p w14:paraId="6997921B">
            <w:pPr>
              <w:jc w:val="right"/>
              <w:rPr>
                <w:rFonts w:cs="Times New Roman"/>
                <w:sz w:val="18"/>
                <w:szCs w:val="18"/>
              </w:rPr>
            </w:pPr>
          </w:p>
        </w:tc>
        <w:tc>
          <w:tcPr>
            <w:tcW w:w="579" w:type="pct"/>
            <w:vAlign w:val="center"/>
          </w:tcPr>
          <w:p w14:paraId="044B5C0E">
            <w:pPr>
              <w:jc w:val="right"/>
              <w:textAlignment w:val="bottom"/>
              <w:rPr>
                <w:rFonts w:cs="Times New Roman"/>
                <w:sz w:val="18"/>
                <w:szCs w:val="18"/>
              </w:rPr>
            </w:pPr>
            <w:r>
              <w:rPr>
                <w:rFonts w:eastAsia="Arial Narrow" w:cs="Times New Roman"/>
                <w:color w:val="000000"/>
                <w:sz w:val="18"/>
                <w:szCs w:val="18"/>
                <w:lang w:bidi="ar"/>
              </w:rPr>
              <w:t>39,938,040.72</w:t>
            </w:r>
          </w:p>
        </w:tc>
        <w:tc>
          <w:tcPr>
            <w:tcW w:w="566" w:type="pct"/>
            <w:vAlign w:val="center"/>
          </w:tcPr>
          <w:p w14:paraId="26E761DF">
            <w:pPr>
              <w:jc w:val="right"/>
              <w:rPr>
                <w:rFonts w:cs="Times New Roman"/>
                <w:sz w:val="18"/>
                <w:szCs w:val="18"/>
              </w:rPr>
            </w:pPr>
          </w:p>
        </w:tc>
        <w:tc>
          <w:tcPr>
            <w:tcW w:w="566" w:type="pct"/>
            <w:vAlign w:val="center"/>
          </w:tcPr>
          <w:p w14:paraId="7E5DF0C0">
            <w:pPr>
              <w:jc w:val="right"/>
              <w:rPr>
                <w:rFonts w:cs="Times New Roman"/>
                <w:sz w:val="18"/>
                <w:szCs w:val="18"/>
              </w:rPr>
            </w:pPr>
          </w:p>
        </w:tc>
        <w:tc>
          <w:tcPr>
            <w:tcW w:w="562" w:type="pct"/>
            <w:vAlign w:val="center"/>
          </w:tcPr>
          <w:p w14:paraId="2A580535">
            <w:pPr>
              <w:jc w:val="right"/>
              <w:rPr>
                <w:rFonts w:cs="Times New Roman"/>
                <w:sz w:val="18"/>
                <w:szCs w:val="18"/>
              </w:rPr>
            </w:pPr>
          </w:p>
        </w:tc>
        <w:tc>
          <w:tcPr>
            <w:tcW w:w="574" w:type="pct"/>
            <w:vAlign w:val="center"/>
          </w:tcPr>
          <w:p w14:paraId="54F170B8">
            <w:pPr>
              <w:jc w:val="right"/>
              <w:textAlignment w:val="bottom"/>
              <w:rPr>
                <w:rFonts w:cs="Times New Roman"/>
                <w:sz w:val="18"/>
                <w:szCs w:val="18"/>
              </w:rPr>
            </w:pPr>
            <w:r>
              <w:rPr>
                <w:rFonts w:eastAsia="Arial Narrow" w:cs="Times New Roman"/>
                <w:color w:val="000000"/>
                <w:sz w:val="18"/>
                <w:szCs w:val="18"/>
                <w:lang w:bidi="ar"/>
              </w:rPr>
              <w:t>-39,938,040.72</w:t>
            </w:r>
          </w:p>
        </w:tc>
      </w:tr>
      <w:tr w14:paraId="3300F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1277678c10f343d5a55853e3552c21df"/>
            <w:id w:val="147471066"/>
          </w:sdtPr>
          <w:sdtContent>
            <w:tc>
              <w:tcPr>
                <w:tcW w:w="999" w:type="pct"/>
                <w:vAlign w:val="center"/>
              </w:tcPr>
              <w:p w14:paraId="1E4BB7AE">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三</w:t>
                </w:r>
                <w:r>
                  <w:rPr>
                    <w:color w:val="000000" w:themeColor="text1"/>
                    <w:sz w:val="18"/>
                    <w:szCs w:val="18"/>
                    <w14:textFill>
                      <w14:solidFill>
                        <w14:schemeClr w14:val="tx1"/>
                      </w14:solidFill>
                    </w14:textFill>
                  </w:rPr>
                  <w:t>）利润分配</w:t>
                </w:r>
              </w:p>
            </w:tc>
          </w:sdtContent>
        </w:sdt>
        <w:tc>
          <w:tcPr>
            <w:tcW w:w="582" w:type="pct"/>
            <w:tcBorders>
              <w:right w:val="single" w:color="auto" w:sz="4" w:space="0"/>
            </w:tcBorders>
            <w:vAlign w:val="center"/>
          </w:tcPr>
          <w:p w14:paraId="1183F4A2">
            <w:pPr>
              <w:jc w:val="right"/>
              <w:rPr>
                <w:rFonts w:cs="Times New Roman"/>
                <w:sz w:val="18"/>
                <w:szCs w:val="18"/>
              </w:rPr>
            </w:pPr>
          </w:p>
        </w:tc>
        <w:tc>
          <w:tcPr>
            <w:tcW w:w="570" w:type="pct"/>
            <w:vAlign w:val="center"/>
          </w:tcPr>
          <w:p w14:paraId="4E1481BA">
            <w:pPr>
              <w:jc w:val="right"/>
              <w:rPr>
                <w:rFonts w:cs="Times New Roman"/>
                <w:sz w:val="18"/>
                <w:szCs w:val="18"/>
              </w:rPr>
            </w:pPr>
          </w:p>
        </w:tc>
        <w:tc>
          <w:tcPr>
            <w:tcW w:w="579" w:type="pct"/>
            <w:vAlign w:val="center"/>
          </w:tcPr>
          <w:p w14:paraId="58741963">
            <w:pPr>
              <w:jc w:val="right"/>
              <w:rPr>
                <w:rFonts w:cs="Times New Roman"/>
                <w:sz w:val="18"/>
                <w:szCs w:val="18"/>
              </w:rPr>
            </w:pPr>
          </w:p>
        </w:tc>
        <w:tc>
          <w:tcPr>
            <w:tcW w:w="566" w:type="pct"/>
            <w:vAlign w:val="center"/>
          </w:tcPr>
          <w:p w14:paraId="5710DFFE">
            <w:pPr>
              <w:jc w:val="right"/>
              <w:rPr>
                <w:rFonts w:cs="Times New Roman"/>
                <w:sz w:val="18"/>
                <w:szCs w:val="18"/>
              </w:rPr>
            </w:pPr>
          </w:p>
        </w:tc>
        <w:tc>
          <w:tcPr>
            <w:tcW w:w="566" w:type="pct"/>
            <w:vAlign w:val="center"/>
          </w:tcPr>
          <w:p w14:paraId="55378F39">
            <w:pPr>
              <w:jc w:val="right"/>
              <w:rPr>
                <w:rFonts w:cs="Times New Roman"/>
                <w:sz w:val="18"/>
                <w:szCs w:val="18"/>
              </w:rPr>
            </w:pPr>
          </w:p>
        </w:tc>
        <w:tc>
          <w:tcPr>
            <w:tcW w:w="562" w:type="pct"/>
            <w:vAlign w:val="center"/>
          </w:tcPr>
          <w:p w14:paraId="1F00D537">
            <w:pPr>
              <w:jc w:val="right"/>
              <w:rPr>
                <w:rFonts w:cs="Times New Roman"/>
                <w:sz w:val="18"/>
                <w:szCs w:val="18"/>
              </w:rPr>
            </w:pPr>
          </w:p>
        </w:tc>
        <w:tc>
          <w:tcPr>
            <w:tcW w:w="574" w:type="pct"/>
            <w:vAlign w:val="center"/>
          </w:tcPr>
          <w:p w14:paraId="124B9D31">
            <w:pPr>
              <w:jc w:val="right"/>
              <w:rPr>
                <w:rFonts w:cs="Times New Roman"/>
                <w:sz w:val="18"/>
                <w:szCs w:val="18"/>
              </w:rPr>
            </w:pPr>
          </w:p>
        </w:tc>
      </w:tr>
      <w:tr w14:paraId="1DD59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377c539e51b74e8689b49d91a30d6a9f"/>
            <w:id w:val="147461727"/>
          </w:sdtPr>
          <w:sdtContent>
            <w:tc>
              <w:tcPr>
                <w:tcW w:w="999" w:type="pct"/>
                <w:vAlign w:val="center"/>
              </w:tcPr>
              <w:p w14:paraId="03677028">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四</w:t>
                </w:r>
                <w:r>
                  <w:rPr>
                    <w:color w:val="000000" w:themeColor="text1"/>
                    <w:sz w:val="18"/>
                    <w:szCs w:val="18"/>
                    <w14:textFill>
                      <w14:solidFill>
                        <w14:schemeClr w14:val="tx1"/>
                      </w14:solidFill>
                    </w14:textFill>
                  </w:rPr>
                  <w:t>）所有者权益内部结转</w:t>
                </w:r>
              </w:p>
            </w:tc>
          </w:sdtContent>
        </w:sdt>
        <w:tc>
          <w:tcPr>
            <w:tcW w:w="582" w:type="pct"/>
            <w:tcBorders>
              <w:right w:val="single" w:color="auto" w:sz="4" w:space="0"/>
            </w:tcBorders>
            <w:vAlign w:val="center"/>
          </w:tcPr>
          <w:p w14:paraId="3843C9B8">
            <w:pPr>
              <w:jc w:val="right"/>
              <w:rPr>
                <w:rFonts w:cs="Times New Roman"/>
                <w:sz w:val="18"/>
                <w:szCs w:val="18"/>
              </w:rPr>
            </w:pPr>
          </w:p>
        </w:tc>
        <w:tc>
          <w:tcPr>
            <w:tcW w:w="570" w:type="pct"/>
            <w:vAlign w:val="center"/>
          </w:tcPr>
          <w:p w14:paraId="090C8C7B">
            <w:pPr>
              <w:jc w:val="right"/>
              <w:rPr>
                <w:rFonts w:cs="Times New Roman"/>
                <w:sz w:val="18"/>
                <w:szCs w:val="18"/>
              </w:rPr>
            </w:pPr>
          </w:p>
        </w:tc>
        <w:tc>
          <w:tcPr>
            <w:tcW w:w="579" w:type="pct"/>
            <w:vAlign w:val="center"/>
          </w:tcPr>
          <w:p w14:paraId="549C9688">
            <w:pPr>
              <w:jc w:val="right"/>
              <w:rPr>
                <w:rFonts w:cs="Times New Roman"/>
                <w:sz w:val="18"/>
                <w:szCs w:val="18"/>
              </w:rPr>
            </w:pPr>
          </w:p>
        </w:tc>
        <w:tc>
          <w:tcPr>
            <w:tcW w:w="566" w:type="pct"/>
            <w:vAlign w:val="center"/>
          </w:tcPr>
          <w:p w14:paraId="5D56E141">
            <w:pPr>
              <w:jc w:val="right"/>
              <w:rPr>
                <w:rFonts w:cs="Times New Roman"/>
                <w:sz w:val="18"/>
                <w:szCs w:val="18"/>
              </w:rPr>
            </w:pPr>
          </w:p>
        </w:tc>
        <w:tc>
          <w:tcPr>
            <w:tcW w:w="566" w:type="pct"/>
            <w:vAlign w:val="center"/>
          </w:tcPr>
          <w:p w14:paraId="23A64033">
            <w:pPr>
              <w:jc w:val="right"/>
              <w:rPr>
                <w:rFonts w:cs="Times New Roman"/>
                <w:sz w:val="18"/>
                <w:szCs w:val="18"/>
              </w:rPr>
            </w:pPr>
          </w:p>
        </w:tc>
        <w:tc>
          <w:tcPr>
            <w:tcW w:w="562" w:type="pct"/>
            <w:vAlign w:val="center"/>
          </w:tcPr>
          <w:p w14:paraId="72EEAD87">
            <w:pPr>
              <w:jc w:val="right"/>
              <w:rPr>
                <w:rFonts w:cs="Times New Roman"/>
                <w:sz w:val="18"/>
                <w:szCs w:val="18"/>
              </w:rPr>
            </w:pPr>
          </w:p>
        </w:tc>
        <w:tc>
          <w:tcPr>
            <w:tcW w:w="574" w:type="pct"/>
            <w:vAlign w:val="center"/>
          </w:tcPr>
          <w:p w14:paraId="21470D1A">
            <w:pPr>
              <w:jc w:val="right"/>
              <w:rPr>
                <w:rFonts w:cs="Times New Roman"/>
                <w:sz w:val="18"/>
                <w:szCs w:val="18"/>
              </w:rPr>
            </w:pPr>
          </w:p>
        </w:tc>
      </w:tr>
      <w:tr w14:paraId="7CDE6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2ae06251c01740e284196240776af550"/>
            <w:id w:val="147455576"/>
          </w:sdtPr>
          <w:sdtContent>
            <w:tc>
              <w:tcPr>
                <w:tcW w:w="999" w:type="pct"/>
                <w:vAlign w:val="center"/>
              </w:tcPr>
              <w:p w14:paraId="3BD30E66">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（五）专项储备</w:t>
                </w:r>
              </w:p>
            </w:tc>
          </w:sdtContent>
        </w:sdt>
        <w:tc>
          <w:tcPr>
            <w:tcW w:w="582" w:type="pct"/>
            <w:tcBorders>
              <w:right w:val="single" w:color="auto" w:sz="4" w:space="0"/>
            </w:tcBorders>
            <w:vAlign w:val="center"/>
          </w:tcPr>
          <w:p w14:paraId="25667F8B">
            <w:pPr>
              <w:jc w:val="right"/>
              <w:rPr>
                <w:rFonts w:cs="Times New Roman"/>
                <w:sz w:val="18"/>
                <w:szCs w:val="18"/>
              </w:rPr>
            </w:pPr>
          </w:p>
        </w:tc>
        <w:tc>
          <w:tcPr>
            <w:tcW w:w="570" w:type="pct"/>
            <w:vAlign w:val="center"/>
          </w:tcPr>
          <w:p w14:paraId="45976A88">
            <w:pPr>
              <w:jc w:val="right"/>
              <w:rPr>
                <w:rFonts w:cs="Times New Roman"/>
                <w:sz w:val="18"/>
                <w:szCs w:val="18"/>
              </w:rPr>
            </w:pPr>
          </w:p>
        </w:tc>
        <w:tc>
          <w:tcPr>
            <w:tcW w:w="579" w:type="pct"/>
            <w:vAlign w:val="center"/>
          </w:tcPr>
          <w:p w14:paraId="7380AA13">
            <w:pPr>
              <w:jc w:val="right"/>
              <w:rPr>
                <w:rFonts w:cs="Times New Roman"/>
                <w:sz w:val="18"/>
                <w:szCs w:val="18"/>
              </w:rPr>
            </w:pPr>
          </w:p>
        </w:tc>
        <w:tc>
          <w:tcPr>
            <w:tcW w:w="566" w:type="pct"/>
            <w:vAlign w:val="center"/>
          </w:tcPr>
          <w:p w14:paraId="2A2B668F">
            <w:pPr>
              <w:jc w:val="right"/>
              <w:rPr>
                <w:rFonts w:cs="Times New Roman"/>
                <w:sz w:val="18"/>
                <w:szCs w:val="18"/>
              </w:rPr>
            </w:pPr>
          </w:p>
        </w:tc>
        <w:tc>
          <w:tcPr>
            <w:tcW w:w="566" w:type="pct"/>
            <w:vAlign w:val="center"/>
          </w:tcPr>
          <w:p w14:paraId="2E156F40">
            <w:pPr>
              <w:jc w:val="right"/>
              <w:rPr>
                <w:rFonts w:cs="Times New Roman"/>
                <w:sz w:val="18"/>
                <w:szCs w:val="18"/>
              </w:rPr>
            </w:pPr>
          </w:p>
        </w:tc>
        <w:tc>
          <w:tcPr>
            <w:tcW w:w="562" w:type="pct"/>
            <w:vAlign w:val="center"/>
          </w:tcPr>
          <w:p w14:paraId="2FD81802">
            <w:pPr>
              <w:jc w:val="right"/>
              <w:rPr>
                <w:rFonts w:cs="Times New Roman"/>
                <w:sz w:val="18"/>
                <w:szCs w:val="18"/>
              </w:rPr>
            </w:pPr>
          </w:p>
        </w:tc>
        <w:tc>
          <w:tcPr>
            <w:tcW w:w="574" w:type="pct"/>
            <w:vAlign w:val="center"/>
          </w:tcPr>
          <w:p w14:paraId="74F8AC61">
            <w:pPr>
              <w:jc w:val="right"/>
              <w:rPr>
                <w:rFonts w:cs="Times New Roman"/>
                <w:sz w:val="18"/>
                <w:szCs w:val="18"/>
              </w:rPr>
            </w:pPr>
          </w:p>
        </w:tc>
      </w:tr>
      <w:tr w14:paraId="7456F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224fa1ebe84a4d40b88b89a97997e311"/>
            <w:id w:val="147464879"/>
          </w:sdtPr>
          <w:sdtContent>
            <w:tc>
              <w:tcPr>
                <w:tcW w:w="999" w:type="pct"/>
                <w:vAlign w:val="center"/>
              </w:tcPr>
              <w:p w14:paraId="0B6FDB45">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（六）其他</w:t>
                </w:r>
              </w:p>
            </w:tc>
          </w:sdtContent>
        </w:sdt>
        <w:tc>
          <w:tcPr>
            <w:tcW w:w="582" w:type="pct"/>
            <w:tcBorders>
              <w:right w:val="single" w:color="auto" w:sz="4" w:space="0"/>
            </w:tcBorders>
            <w:vAlign w:val="center"/>
          </w:tcPr>
          <w:p w14:paraId="16A0A0B7">
            <w:pPr>
              <w:jc w:val="right"/>
              <w:rPr>
                <w:rFonts w:cs="Times New Roman"/>
                <w:sz w:val="18"/>
                <w:szCs w:val="18"/>
              </w:rPr>
            </w:pPr>
          </w:p>
        </w:tc>
        <w:tc>
          <w:tcPr>
            <w:tcW w:w="570" w:type="pct"/>
            <w:vAlign w:val="center"/>
          </w:tcPr>
          <w:p w14:paraId="5634D491">
            <w:pPr>
              <w:jc w:val="right"/>
              <w:rPr>
                <w:rFonts w:cs="Times New Roman"/>
                <w:sz w:val="18"/>
                <w:szCs w:val="18"/>
              </w:rPr>
            </w:pPr>
          </w:p>
        </w:tc>
        <w:tc>
          <w:tcPr>
            <w:tcW w:w="579" w:type="pct"/>
            <w:vAlign w:val="center"/>
          </w:tcPr>
          <w:p w14:paraId="3616FD63">
            <w:pPr>
              <w:jc w:val="right"/>
              <w:rPr>
                <w:rFonts w:cs="Times New Roman"/>
                <w:sz w:val="18"/>
                <w:szCs w:val="18"/>
              </w:rPr>
            </w:pPr>
          </w:p>
        </w:tc>
        <w:tc>
          <w:tcPr>
            <w:tcW w:w="566" w:type="pct"/>
            <w:vAlign w:val="center"/>
          </w:tcPr>
          <w:p w14:paraId="6FDFDCB4">
            <w:pPr>
              <w:jc w:val="right"/>
              <w:rPr>
                <w:rFonts w:cs="Times New Roman"/>
                <w:sz w:val="18"/>
                <w:szCs w:val="18"/>
              </w:rPr>
            </w:pPr>
          </w:p>
        </w:tc>
        <w:tc>
          <w:tcPr>
            <w:tcW w:w="566" w:type="pct"/>
            <w:vAlign w:val="center"/>
          </w:tcPr>
          <w:p w14:paraId="46E84726">
            <w:pPr>
              <w:jc w:val="right"/>
              <w:rPr>
                <w:rFonts w:cs="Times New Roman"/>
                <w:sz w:val="18"/>
                <w:szCs w:val="18"/>
              </w:rPr>
            </w:pPr>
          </w:p>
        </w:tc>
        <w:tc>
          <w:tcPr>
            <w:tcW w:w="562" w:type="pct"/>
            <w:vAlign w:val="center"/>
          </w:tcPr>
          <w:p w14:paraId="12FA2650">
            <w:pPr>
              <w:jc w:val="right"/>
              <w:rPr>
                <w:rFonts w:cs="Times New Roman"/>
                <w:sz w:val="18"/>
                <w:szCs w:val="18"/>
              </w:rPr>
            </w:pPr>
          </w:p>
        </w:tc>
        <w:tc>
          <w:tcPr>
            <w:tcW w:w="574" w:type="pct"/>
            <w:vAlign w:val="center"/>
          </w:tcPr>
          <w:p w14:paraId="22CDF70D">
            <w:pPr>
              <w:jc w:val="right"/>
              <w:rPr>
                <w:rFonts w:cs="Times New Roman"/>
                <w:sz w:val="18"/>
                <w:szCs w:val="18"/>
              </w:rPr>
            </w:pPr>
          </w:p>
        </w:tc>
      </w:tr>
      <w:tr w14:paraId="182C2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tag w:val="_PLD_fe962ef732004aec94edafee7e0bef94"/>
            <w:id w:val="147452405"/>
          </w:sdtPr>
          <w:sdtContent>
            <w:tc>
              <w:tcPr>
                <w:tcW w:w="999" w:type="pct"/>
                <w:vAlign w:val="center"/>
              </w:tcPr>
              <w:p w14:paraId="1C1D40B8">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四、本期期末余额</w:t>
                </w:r>
              </w:p>
            </w:tc>
          </w:sdtContent>
        </w:sdt>
        <w:tc>
          <w:tcPr>
            <w:tcW w:w="582" w:type="pct"/>
            <w:tcBorders>
              <w:right w:val="single" w:color="auto" w:sz="4" w:space="0"/>
            </w:tcBorders>
            <w:vAlign w:val="center"/>
          </w:tcPr>
          <w:p w14:paraId="760ACC6C">
            <w:pPr>
              <w:jc w:val="right"/>
              <w:textAlignment w:val="bottom"/>
              <w:rPr>
                <w:rFonts w:cs="Times New Roman"/>
                <w:sz w:val="18"/>
                <w:szCs w:val="18"/>
              </w:rPr>
            </w:pPr>
            <w:r>
              <w:rPr>
                <w:rFonts w:eastAsia="Arial Narrow" w:cs="Times New Roman"/>
                <w:color w:val="000000"/>
                <w:sz w:val="18"/>
                <w:szCs w:val="18"/>
                <w:lang w:bidi="ar"/>
              </w:rPr>
              <w:t>4,391,629,404.00</w:t>
            </w:r>
          </w:p>
        </w:tc>
        <w:tc>
          <w:tcPr>
            <w:tcW w:w="570" w:type="pct"/>
            <w:vAlign w:val="center"/>
          </w:tcPr>
          <w:p w14:paraId="63A33FE7">
            <w:pPr>
              <w:jc w:val="right"/>
              <w:textAlignment w:val="bottom"/>
              <w:rPr>
                <w:rFonts w:cs="Times New Roman"/>
                <w:sz w:val="18"/>
                <w:szCs w:val="18"/>
              </w:rPr>
            </w:pPr>
            <w:r>
              <w:rPr>
                <w:rFonts w:eastAsia="Arial Narrow" w:cs="Times New Roman"/>
                <w:color w:val="000000"/>
                <w:sz w:val="18"/>
                <w:szCs w:val="18"/>
                <w:lang w:bidi="ar"/>
              </w:rPr>
              <w:t>7,852,925,237.95</w:t>
            </w:r>
          </w:p>
        </w:tc>
        <w:tc>
          <w:tcPr>
            <w:tcW w:w="579" w:type="pct"/>
            <w:vAlign w:val="center"/>
          </w:tcPr>
          <w:p w14:paraId="7BA902F9">
            <w:pPr>
              <w:jc w:val="right"/>
              <w:textAlignment w:val="bottom"/>
              <w:rPr>
                <w:rFonts w:cs="Times New Roman"/>
                <w:sz w:val="18"/>
                <w:szCs w:val="18"/>
              </w:rPr>
            </w:pPr>
            <w:r>
              <w:rPr>
                <w:rFonts w:eastAsia="Arial Narrow" w:cs="Times New Roman"/>
                <w:color w:val="000000"/>
                <w:sz w:val="18"/>
                <w:szCs w:val="18"/>
                <w:lang w:bidi="ar"/>
              </w:rPr>
              <w:t>39,938,040.72</w:t>
            </w:r>
          </w:p>
        </w:tc>
        <w:tc>
          <w:tcPr>
            <w:tcW w:w="566" w:type="pct"/>
            <w:vAlign w:val="center"/>
          </w:tcPr>
          <w:p w14:paraId="10ED615A">
            <w:pPr>
              <w:jc w:val="right"/>
              <w:textAlignment w:val="bottom"/>
              <w:rPr>
                <w:rFonts w:cs="Times New Roman"/>
                <w:sz w:val="18"/>
                <w:szCs w:val="18"/>
              </w:rPr>
            </w:pPr>
            <w:r>
              <w:rPr>
                <w:rFonts w:eastAsia="Arial Narrow" w:cs="Times New Roman"/>
                <w:color w:val="000000"/>
                <w:sz w:val="18"/>
                <w:szCs w:val="18"/>
                <w:lang w:bidi="ar"/>
              </w:rPr>
              <w:t>-225,999,968.83</w:t>
            </w:r>
          </w:p>
        </w:tc>
        <w:tc>
          <w:tcPr>
            <w:tcW w:w="566" w:type="pct"/>
            <w:vAlign w:val="center"/>
          </w:tcPr>
          <w:p w14:paraId="21BD67A3">
            <w:pPr>
              <w:jc w:val="right"/>
              <w:textAlignment w:val="bottom"/>
              <w:rPr>
                <w:rFonts w:cs="Times New Roman"/>
                <w:sz w:val="18"/>
                <w:szCs w:val="18"/>
              </w:rPr>
            </w:pPr>
            <w:r>
              <w:rPr>
                <w:rFonts w:eastAsia="Arial Narrow" w:cs="Times New Roman"/>
                <w:color w:val="000000"/>
                <w:sz w:val="18"/>
                <w:szCs w:val="18"/>
                <w:lang w:bidi="ar"/>
              </w:rPr>
              <w:t>369,677,423.82</w:t>
            </w:r>
          </w:p>
        </w:tc>
        <w:tc>
          <w:tcPr>
            <w:tcW w:w="562" w:type="pct"/>
            <w:vAlign w:val="center"/>
          </w:tcPr>
          <w:p w14:paraId="4CF0A9C6">
            <w:pPr>
              <w:jc w:val="right"/>
              <w:textAlignment w:val="bottom"/>
              <w:rPr>
                <w:rFonts w:cs="Times New Roman"/>
                <w:sz w:val="18"/>
                <w:szCs w:val="18"/>
              </w:rPr>
            </w:pPr>
            <w:r>
              <w:rPr>
                <w:rFonts w:eastAsia="Arial Narrow" w:cs="Times New Roman"/>
                <w:color w:val="000000"/>
                <w:sz w:val="18"/>
                <w:szCs w:val="18"/>
                <w:lang w:bidi="ar"/>
              </w:rPr>
              <w:t>109,568,331.84</w:t>
            </w:r>
          </w:p>
        </w:tc>
        <w:tc>
          <w:tcPr>
            <w:tcW w:w="574" w:type="pct"/>
            <w:vAlign w:val="center"/>
          </w:tcPr>
          <w:p w14:paraId="686E0798">
            <w:pPr>
              <w:jc w:val="right"/>
              <w:textAlignment w:val="bottom"/>
              <w:rPr>
                <w:rFonts w:cs="Times New Roman"/>
                <w:sz w:val="18"/>
                <w:szCs w:val="18"/>
              </w:rPr>
            </w:pPr>
            <w:r>
              <w:rPr>
                <w:rFonts w:eastAsia="Arial Narrow" w:cs="Times New Roman"/>
                <w:color w:val="000000"/>
                <w:sz w:val="18"/>
                <w:szCs w:val="18"/>
                <w:lang w:bidi="ar"/>
              </w:rPr>
              <w:t>12,457,862,388.06</w:t>
            </w:r>
          </w:p>
        </w:tc>
      </w:tr>
    </w:tbl>
    <w:p w14:paraId="3BDEAA14"/>
    <w:p w14:paraId="6C84050C">
      <w:pPr>
        <w:rPr>
          <w:color w:val="000000" w:themeColor="text1"/>
          <w14:textFill>
            <w14:solidFill>
              <w14:schemeClr w14:val="tx1"/>
            </w14:solidFill>
          </w14:textFill>
        </w:rPr>
      </w:pPr>
    </w:p>
    <w:tbl>
      <w:tblPr>
        <w:tblStyle w:val="37"/>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783"/>
        <w:gridCol w:w="1648"/>
        <w:gridCol w:w="1612"/>
        <w:gridCol w:w="1637"/>
        <w:gridCol w:w="1601"/>
        <w:gridCol w:w="1601"/>
        <w:gridCol w:w="1589"/>
        <w:gridCol w:w="1615"/>
      </w:tblGrid>
      <w:tr w14:paraId="58A95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988" w:type="pct"/>
            <w:vMerge w:val="restart"/>
            <w:vAlign w:val="center"/>
          </w:tcPr>
          <w:sdt>
            <w:sdtPr>
              <w:tag w:val="_PLD_312727f4b56147c2b646c0fb68a4b58b"/>
              <w:id w:val="147463181"/>
            </w:sdtPr>
            <w:sdtContent>
              <w:p w14:paraId="35B2C6F3">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项目</w:t>
                </w:r>
              </w:p>
            </w:sdtContent>
          </w:sdt>
        </w:tc>
        <w:tc>
          <w:tcPr>
            <w:tcW w:w="4011" w:type="pct"/>
            <w:gridSpan w:val="7"/>
            <w:vAlign w:val="center"/>
          </w:tcPr>
          <w:p w14:paraId="5F0305B8">
            <w:pPr>
              <w:adjustRightInd w:val="0"/>
              <w:snapToGrid w:val="0"/>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 xml:space="preserve"> </w:t>
            </w:r>
            <w:sdt>
              <w:sdtPr>
                <w:tag w:val="_PLD_35246b22171846ac8ef46c5dfa1d1663"/>
                <w:id w:val="147468188"/>
              </w:sdtPr>
              <w:sdtContent>
                <w:r>
                  <w:rPr>
                    <w:rFonts w:hint="eastAsia"/>
                    <w:color w:val="000000" w:themeColor="text1"/>
                    <w:sz w:val="18"/>
                    <w14:textFill>
                      <w14:solidFill>
                        <w14:schemeClr w14:val="tx1"/>
                      </w14:solidFill>
                    </w14:textFill>
                  </w:rPr>
                  <w:t>2024年半年度</w:t>
                </w:r>
              </w:sdtContent>
            </w:sdt>
          </w:p>
        </w:tc>
      </w:tr>
      <w:tr w14:paraId="368E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rPr>
        <w:tc>
          <w:tcPr>
            <w:tcW w:w="988" w:type="pct"/>
            <w:vMerge w:val="continue"/>
            <w:vAlign w:val="center"/>
          </w:tcPr>
          <w:p w14:paraId="026A9976">
            <w:pPr>
              <w:adjustRightInd w:val="0"/>
              <w:snapToGrid w:val="0"/>
              <w:rPr>
                <w:color w:val="000000" w:themeColor="text1"/>
                <w:sz w:val="18"/>
                <w:szCs w:val="18"/>
                <w14:textFill>
                  <w14:solidFill>
                    <w14:schemeClr w14:val="tx1"/>
                  </w14:solidFill>
                </w14:textFill>
              </w:rPr>
            </w:pPr>
          </w:p>
        </w:tc>
        <w:sdt>
          <w:sdtPr>
            <w:tag w:val="_PLD_5da9900c5a9e46a085487ea972f44796"/>
            <w:id w:val="147452609"/>
          </w:sdtPr>
          <w:sdtContent>
            <w:tc>
              <w:tcPr>
                <w:tcW w:w="585" w:type="pct"/>
                <w:vMerge w:val="restart"/>
                <w:tcBorders>
                  <w:right w:val="single" w:color="auto" w:sz="4" w:space="0"/>
                </w:tcBorders>
                <w:vAlign w:val="center"/>
              </w:tcPr>
              <w:p w14:paraId="2B6C7717">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实收资本</w:t>
                </w:r>
                <w:r>
                  <w:rPr>
                    <w:color w:val="000000" w:themeColor="text1"/>
                    <w:sz w:val="18"/>
                    <w:szCs w:val="18"/>
                    <w14:textFill>
                      <w14:solidFill>
                        <w14:schemeClr w14:val="tx1"/>
                      </w14:solidFill>
                    </w14:textFill>
                  </w:rPr>
                  <w:t xml:space="preserve"> (或股本)</w:t>
                </w:r>
              </w:p>
            </w:tc>
          </w:sdtContent>
        </w:sdt>
        <w:sdt>
          <w:sdtPr>
            <w:tag w:val="_PLD_b31d07f97db344b1b180738b22a76467"/>
            <w:id w:val="147477995"/>
          </w:sdtPr>
          <w:sdtContent>
            <w:tc>
              <w:tcPr>
                <w:tcW w:w="572" w:type="pct"/>
                <w:vMerge w:val="restart"/>
                <w:vAlign w:val="center"/>
              </w:tcPr>
              <w:p w14:paraId="7F196ADD">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资本公积</w:t>
                </w:r>
              </w:p>
            </w:tc>
          </w:sdtContent>
        </w:sdt>
        <w:sdt>
          <w:sdtPr>
            <w:tag w:val="_PLD_244676dcaf4245bd9119f474a4e885f9"/>
            <w:id w:val="147453039"/>
          </w:sdtPr>
          <w:sdtContent>
            <w:tc>
              <w:tcPr>
                <w:tcW w:w="581" w:type="pct"/>
                <w:vMerge w:val="restart"/>
                <w:vAlign w:val="center"/>
              </w:tcPr>
              <w:p w14:paraId="212F88EB">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减：库存股</w:t>
                </w:r>
              </w:p>
            </w:tc>
          </w:sdtContent>
        </w:sdt>
        <w:sdt>
          <w:sdtPr>
            <w:tag w:val="_PLD_01eab1b775574165b2820a19e72d2ad0"/>
            <w:id w:val="147461990"/>
          </w:sdtPr>
          <w:sdtContent>
            <w:tc>
              <w:tcPr>
                <w:tcW w:w="568" w:type="pct"/>
                <w:vMerge w:val="restart"/>
                <w:vAlign w:val="center"/>
              </w:tcPr>
              <w:p w14:paraId="3F6144A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其他综合收益</w:t>
                </w:r>
              </w:p>
            </w:tc>
          </w:sdtContent>
        </w:sdt>
        <w:sdt>
          <w:sdtPr>
            <w:tag w:val="_PLD_9578f3812cf04a34965a5bdc9ee82115"/>
            <w:id w:val="147451721"/>
          </w:sdtPr>
          <w:sdtContent>
            <w:tc>
              <w:tcPr>
                <w:tcW w:w="568" w:type="pct"/>
                <w:vMerge w:val="restart"/>
                <w:vAlign w:val="center"/>
              </w:tcPr>
              <w:p w14:paraId="0CD58C05">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盈余公积</w:t>
                </w:r>
              </w:p>
            </w:tc>
          </w:sdtContent>
        </w:sdt>
        <w:sdt>
          <w:sdtPr>
            <w:tag w:val="_PLD_5d835cd98ccc4304aec553a0b6a56628"/>
            <w:id w:val="147468378"/>
          </w:sdtPr>
          <w:sdtContent>
            <w:tc>
              <w:tcPr>
                <w:tcW w:w="564" w:type="pct"/>
                <w:vMerge w:val="restart"/>
                <w:vAlign w:val="center"/>
              </w:tcPr>
              <w:p w14:paraId="7D902F70">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未分配利润</w:t>
                </w:r>
              </w:p>
            </w:tc>
          </w:sdtContent>
        </w:sdt>
        <w:sdt>
          <w:sdtPr>
            <w:tag w:val="_PLD_1cbb8af374a54430ad1f29ed83c69cd0"/>
            <w:id w:val="147473181"/>
          </w:sdtPr>
          <w:sdtContent>
            <w:tc>
              <w:tcPr>
                <w:tcW w:w="570" w:type="pct"/>
                <w:vMerge w:val="restart"/>
                <w:vAlign w:val="center"/>
              </w:tcPr>
              <w:p w14:paraId="692A7FBA">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所有者权益合计</w:t>
                </w:r>
              </w:p>
            </w:tc>
          </w:sdtContent>
        </w:sdt>
      </w:tr>
      <w:tr w14:paraId="54E62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b00b327c7ecc4ad1bfafd8f9c1a6ce86"/>
            <w:id w:val="147481479"/>
          </w:sdtPr>
          <w:sdtContent>
            <w:tc>
              <w:tcPr>
                <w:tcW w:w="988" w:type="pct"/>
                <w:vAlign w:val="center"/>
              </w:tcPr>
              <w:p w14:paraId="78D4CD46">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一、上年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末余额</w:t>
                </w:r>
              </w:p>
            </w:tc>
          </w:sdtContent>
        </w:sdt>
        <w:tc>
          <w:tcPr>
            <w:tcW w:w="585" w:type="pct"/>
            <w:tcBorders>
              <w:right w:val="single" w:color="auto" w:sz="4" w:space="0"/>
            </w:tcBorders>
            <w:vAlign w:val="center"/>
          </w:tcPr>
          <w:p w14:paraId="7D0B98D9">
            <w:pPr>
              <w:jc w:val="right"/>
              <w:textAlignment w:val="bottom"/>
              <w:rPr>
                <w:rFonts w:cs="Times New Roman"/>
                <w:sz w:val="18"/>
                <w:szCs w:val="18"/>
              </w:rPr>
            </w:pPr>
            <w:r>
              <w:rPr>
                <w:rFonts w:eastAsia="Arial Narrow" w:cs="Times New Roman"/>
                <w:color w:val="000000"/>
                <w:sz w:val="18"/>
                <w:szCs w:val="18"/>
                <w:lang w:bidi="ar"/>
              </w:rPr>
              <w:t>4,391,629,404.00</w:t>
            </w:r>
          </w:p>
        </w:tc>
        <w:tc>
          <w:tcPr>
            <w:tcW w:w="572" w:type="pct"/>
            <w:tcBorders>
              <w:left w:val="single" w:color="auto" w:sz="4" w:space="0"/>
            </w:tcBorders>
            <w:vAlign w:val="center"/>
          </w:tcPr>
          <w:p w14:paraId="220C9549">
            <w:pPr>
              <w:jc w:val="right"/>
              <w:textAlignment w:val="bottom"/>
              <w:rPr>
                <w:rFonts w:cs="Times New Roman"/>
                <w:sz w:val="18"/>
                <w:szCs w:val="18"/>
              </w:rPr>
            </w:pPr>
            <w:r>
              <w:rPr>
                <w:rFonts w:eastAsia="Arial Narrow" w:cs="Times New Roman"/>
                <w:color w:val="000000"/>
                <w:sz w:val="18"/>
                <w:szCs w:val="18"/>
                <w:lang w:bidi="ar"/>
              </w:rPr>
              <w:t>7,846,040,146.62</w:t>
            </w:r>
          </w:p>
        </w:tc>
        <w:tc>
          <w:tcPr>
            <w:tcW w:w="581" w:type="pct"/>
            <w:vAlign w:val="center"/>
          </w:tcPr>
          <w:p w14:paraId="508EC4CC">
            <w:pPr>
              <w:jc w:val="right"/>
              <w:rPr>
                <w:rFonts w:cs="Times New Roman"/>
                <w:sz w:val="18"/>
                <w:szCs w:val="18"/>
              </w:rPr>
            </w:pPr>
          </w:p>
        </w:tc>
        <w:tc>
          <w:tcPr>
            <w:tcW w:w="568" w:type="pct"/>
            <w:vAlign w:val="center"/>
          </w:tcPr>
          <w:p w14:paraId="2F275996">
            <w:pPr>
              <w:jc w:val="right"/>
              <w:textAlignment w:val="bottom"/>
              <w:rPr>
                <w:rFonts w:cs="Times New Roman"/>
                <w:sz w:val="18"/>
                <w:szCs w:val="18"/>
              </w:rPr>
            </w:pPr>
            <w:r>
              <w:rPr>
                <w:rFonts w:eastAsia="Arial Narrow" w:cs="Times New Roman"/>
                <w:color w:val="000000"/>
                <w:sz w:val="18"/>
                <w:szCs w:val="18"/>
                <w:lang w:bidi="ar"/>
              </w:rPr>
              <w:t>-114,414,601.46</w:t>
            </w:r>
          </w:p>
        </w:tc>
        <w:tc>
          <w:tcPr>
            <w:tcW w:w="568" w:type="pct"/>
            <w:vAlign w:val="center"/>
          </w:tcPr>
          <w:p w14:paraId="29B355DB">
            <w:pPr>
              <w:jc w:val="right"/>
              <w:textAlignment w:val="bottom"/>
              <w:rPr>
                <w:rFonts w:cs="Times New Roman"/>
                <w:sz w:val="18"/>
                <w:szCs w:val="18"/>
              </w:rPr>
            </w:pPr>
            <w:r>
              <w:rPr>
                <w:rFonts w:eastAsia="Arial Narrow" w:cs="Times New Roman"/>
                <w:color w:val="000000"/>
                <w:sz w:val="18"/>
                <w:szCs w:val="18"/>
                <w:lang w:bidi="ar"/>
              </w:rPr>
              <w:t>369,657,198.90</w:t>
            </w:r>
          </w:p>
        </w:tc>
        <w:tc>
          <w:tcPr>
            <w:tcW w:w="564" w:type="pct"/>
            <w:vAlign w:val="center"/>
          </w:tcPr>
          <w:p w14:paraId="6B443B9E">
            <w:pPr>
              <w:jc w:val="right"/>
              <w:textAlignment w:val="bottom"/>
              <w:rPr>
                <w:rFonts w:cs="Times New Roman"/>
                <w:sz w:val="18"/>
                <w:szCs w:val="18"/>
              </w:rPr>
            </w:pPr>
            <w:r>
              <w:rPr>
                <w:rFonts w:eastAsia="Arial Narrow" w:cs="Times New Roman"/>
                <w:color w:val="000000"/>
                <w:sz w:val="18"/>
                <w:szCs w:val="18"/>
                <w:lang w:bidi="ar"/>
              </w:rPr>
              <w:t>167,759,321.90</w:t>
            </w:r>
          </w:p>
        </w:tc>
        <w:tc>
          <w:tcPr>
            <w:tcW w:w="570" w:type="pct"/>
            <w:vAlign w:val="center"/>
          </w:tcPr>
          <w:p w14:paraId="74B0ECAA">
            <w:pPr>
              <w:jc w:val="right"/>
              <w:textAlignment w:val="bottom"/>
              <w:rPr>
                <w:rFonts w:cs="Times New Roman"/>
                <w:sz w:val="18"/>
                <w:szCs w:val="18"/>
              </w:rPr>
            </w:pPr>
            <w:r>
              <w:rPr>
                <w:rFonts w:eastAsia="Arial Narrow" w:cs="Times New Roman"/>
                <w:color w:val="000000"/>
                <w:sz w:val="18"/>
                <w:szCs w:val="18"/>
                <w:lang w:bidi="ar"/>
              </w:rPr>
              <w:t>12,660,671,469.96</w:t>
            </w:r>
          </w:p>
        </w:tc>
      </w:tr>
      <w:tr w14:paraId="7EDEF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8593e1735c664981bacefcb1a0cab245"/>
            <w:id w:val="147457336"/>
          </w:sdtPr>
          <w:sdtContent>
            <w:tc>
              <w:tcPr>
                <w:tcW w:w="988" w:type="pct"/>
                <w:vAlign w:val="center"/>
              </w:tcPr>
              <w:p w14:paraId="604A1B32">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二、本年</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初余额</w:t>
                </w:r>
              </w:p>
            </w:tc>
          </w:sdtContent>
        </w:sdt>
        <w:tc>
          <w:tcPr>
            <w:tcW w:w="585" w:type="pct"/>
            <w:tcBorders>
              <w:right w:val="single" w:color="auto" w:sz="4" w:space="0"/>
            </w:tcBorders>
            <w:vAlign w:val="center"/>
          </w:tcPr>
          <w:p w14:paraId="3C5A5429">
            <w:pPr>
              <w:jc w:val="right"/>
              <w:textAlignment w:val="bottom"/>
              <w:rPr>
                <w:rFonts w:cs="Times New Roman"/>
                <w:sz w:val="18"/>
                <w:szCs w:val="18"/>
              </w:rPr>
            </w:pPr>
            <w:r>
              <w:rPr>
                <w:rFonts w:eastAsia="Arial Narrow" w:cs="Times New Roman"/>
                <w:color w:val="000000"/>
                <w:sz w:val="18"/>
                <w:szCs w:val="18"/>
                <w:lang w:bidi="ar"/>
              </w:rPr>
              <w:t>4,391,629,404.00</w:t>
            </w:r>
          </w:p>
        </w:tc>
        <w:tc>
          <w:tcPr>
            <w:tcW w:w="572" w:type="pct"/>
            <w:tcBorders>
              <w:left w:val="single" w:color="auto" w:sz="4" w:space="0"/>
            </w:tcBorders>
            <w:vAlign w:val="center"/>
          </w:tcPr>
          <w:p w14:paraId="5EE0570F">
            <w:pPr>
              <w:jc w:val="right"/>
              <w:textAlignment w:val="bottom"/>
              <w:rPr>
                <w:rFonts w:cs="Times New Roman"/>
                <w:sz w:val="18"/>
                <w:szCs w:val="18"/>
              </w:rPr>
            </w:pPr>
            <w:r>
              <w:rPr>
                <w:rFonts w:eastAsia="Arial Narrow" w:cs="Times New Roman"/>
                <w:color w:val="000000"/>
                <w:sz w:val="18"/>
                <w:szCs w:val="18"/>
                <w:lang w:bidi="ar"/>
              </w:rPr>
              <w:t>7,846,040,146.62</w:t>
            </w:r>
          </w:p>
        </w:tc>
        <w:tc>
          <w:tcPr>
            <w:tcW w:w="581" w:type="pct"/>
            <w:vAlign w:val="center"/>
          </w:tcPr>
          <w:p w14:paraId="3EA001F5">
            <w:pPr>
              <w:jc w:val="right"/>
              <w:rPr>
                <w:rFonts w:cs="Times New Roman"/>
                <w:sz w:val="18"/>
                <w:szCs w:val="18"/>
              </w:rPr>
            </w:pPr>
          </w:p>
        </w:tc>
        <w:tc>
          <w:tcPr>
            <w:tcW w:w="568" w:type="pct"/>
            <w:vAlign w:val="center"/>
          </w:tcPr>
          <w:p w14:paraId="5FFC6F85">
            <w:pPr>
              <w:jc w:val="right"/>
              <w:textAlignment w:val="bottom"/>
              <w:rPr>
                <w:rFonts w:cs="Times New Roman"/>
                <w:sz w:val="18"/>
                <w:szCs w:val="18"/>
              </w:rPr>
            </w:pPr>
            <w:r>
              <w:rPr>
                <w:rFonts w:eastAsia="Arial Narrow" w:cs="Times New Roman"/>
                <w:color w:val="000000"/>
                <w:sz w:val="18"/>
                <w:szCs w:val="18"/>
                <w:lang w:bidi="ar"/>
              </w:rPr>
              <w:t>-114,414,601.46</w:t>
            </w:r>
          </w:p>
        </w:tc>
        <w:tc>
          <w:tcPr>
            <w:tcW w:w="568" w:type="pct"/>
            <w:vAlign w:val="center"/>
          </w:tcPr>
          <w:p w14:paraId="4343063F">
            <w:pPr>
              <w:jc w:val="right"/>
              <w:textAlignment w:val="bottom"/>
              <w:rPr>
                <w:rFonts w:cs="Times New Roman"/>
                <w:sz w:val="18"/>
                <w:szCs w:val="18"/>
              </w:rPr>
            </w:pPr>
            <w:r>
              <w:rPr>
                <w:rFonts w:eastAsia="Arial Narrow" w:cs="Times New Roman"/>
                <w:color w:val="000000"/>
                <w:sz w:val="18"/>
                <w:szCs w:val="18"/>
                <w:lang w:bidi="ar"/>
              </w:rPr>
              <w:t>369,657,198.90</w:t>
            </w:r>
          </w:p>
        </w:tc>
        <w:tc>
          <w:tcPr>
            <w:tcW w:w="564" w:type="pct"/>
            <w:vAlign w:val="center"/>
          </w:tcPr>
          <w:p w14:paraId="45AEFDBF">
            <w:pPr>
              <w:jc w:val="right"/>
              <w:textAlignment w:val="bottom"/>
              <w:rPr>
                <w:rFonts w:cs="Times New Roman"/>
                <w:sz w:val="18"/>
                <w:szCs w:val="18"/>
              </w:rPr>
            </w:pPr>
            <w:r>
              <w:rPr>
                <w:rFonts w:eastAsia="Arial Narrow" w:cs="Times New Roman"/>
                <w:color w:val="000000"/>
                <w:sz w:val="18"/>
                <w:szCs w:val="18"/>
                <w:lang w:bidi="ar"/>
              </w:rPr>
              <w:t>167,759,321.90</w:t>
            </w:r>
          </w:p>
        </w:tc>
        <w:tc>
          <w:tcPr>
            <w:tcW w:w="570" w:type="pct"/>
            <w:vAlign w:val="center"/>
          </w:tcPr>
          <w:p w14:paraId="1498E730">
            <w:pPr>
              <w:jc w:val="right"/>
              <w:textAlignment w:val="bottom"/>
              <w:rPr>
                <w:rFonts w:cs="Times New Roman"/>
                <w:sz w:val="18"/>
                <w:szCs w:val="18"/>
              </w:rPr>
            </w:pPr>
            <w:r>
              <w:rPr>
                <w:rFonts w:eastAsia="Arial Narrow" w:cs="Times New Roman"/>
                <w:color w:val="000000"/>
                <w:sz w:val="18"/>
                <w:szCs w:val="18"/>
                <w:lang w:bidi="ar"/>
              </w:rPr>
              <w:t>12,660,671,469.96</w:t>
            </w:r>
          </w:p>
        </w:tc>
      </w:tr>
      <w:tr w14:paraId="4E47A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9ce2d31f4fd34371930cec7fd79a4318"/>
            <w:id w:val="147478314"/>
          </w:sdtPr>
          <w:sdtContent>
            <w:tc>
              <w:tcPr>
                <w:tcW w:w="988" w:type="pct"/>
                <w:vAlign w:val="center"/>
              </w:tcPr>
              <w:p w14:paraId="77E5C45C">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三、本</w:t>
                </w:r>
                <w:r>
                  <w:rPr>
                    <w:rFonts w:hint="eastAsia"/>
                    <w:color w:val="000000" w:themeColor="text1"/>
                    <w:sz w:val="18"/>
                    <w:szCs w:val="18"/>
                    <w14:textFill>
                      <w14:solidFill>
                        <w14:schemeClr w14:val="tx1"/>
                      </w14:solidFill>
                    </w14:textFill>
                  </w:rPr>
                  <w:t>期</w:t>
                </w:r>
                <w:r>
                  <w:rPr>
                    <w:color w:val="000000" w:themeColor="text1"/>
                    <w:sz w:val="18"/>
                    <w:szCs w:val="18"/>
                    <w14:textFill>
                      <w14:solidFill>
                        <w14:schemeClr w14:val="tx1"/>
                      </w14:solidFill>
                    </w14:textFill>
                  </w:rPr>
                  <w:t>增减变动金额（减少以“－”号填列）</w:t>
                </w:r>
              </w:p>
            </w:tc>
          </w:sdtContent>
        </w:sdt>
        <w:tc>
          <w:tcPr>
            <w:tcW w:w="585" w:type="pct"/>
            <w:tcBorders>
              <w:right w:val="single" w:color="auto" w:sz="4" w:space="0"/>
            </w:tcBorders>
            <w:vAlign w:val="center"/>
          </w:tcPr>
          <w:p w14:paraId="0075C02E">
            <w:pPr>
              <w:jc w:val="right"/>
              <w:rPr>
                <w:rFonts w:cs="Times New Roman"/>
                <w:sz w:val="18"/>
                <w:szCs w:val="18"/>
              </w:rPr>
            </w:pPr>
          </w:p>
        </w:tc>
        <w:tc>
          <w:tcPr>
            <w:tcW w:w="572" w:type="pct"/>
            <w:vAlign w:val="center"/>
          </w:tcPr>
          <w:p w14:paraId="5BCE0822">
            <w:pPr>
              <w:jc w:val="right"/>
              <w:rPr>
                <w:rFonts w:cs="Times New Roman"/>
                <w:sz w:val="18"/>
                <w:szCs w:val="18"/>
              </w:rPr>
            </w:pPr>
          </w:p>
        </w:tc>
        <w:tc>
          <w:tcPr>
            <w:tcW w:w="581" w:type="pct"/>
            <w:vAlign w:val="center"/>
          </w:tcPr>
          <w:p w14:paraId="33AC67BF">
            <w:pPr>
              <w:jc w:val="right"/>
              <w:rPr>
                <w:rFonts w:cs="Times New Roman"/>
                <w:sz w:val="18"/>
                <w:szCs w:val="18"/>
              </w:rPr>
            </w:pPr>
          </w:p>
        </w:tc>
        <w:tc>
          <w:tcPr>
            <w:tcW w:w="568" w:type="pct"/>
            <w:vAlign w:val="center"/>
          </w:tcPr>
          <w:p w14:paraId="1AD19F2B">
            <w:pPr>
              <w:jc w:val="right"/>
              <w:rPr>
                <w:rFonts w:cs="Times New Roman"/>
                <w:sz w:val="18"/>
                <w:szCs w:val="18"/>
              </w:rPr>
            </w:pPr>
          </w:p>
        </w:tc>
        <w:tc>
          <w:tcPr>
            <w:tcW w:w="568" w:type="pct"/>
            <w:vAlign w:val="center"/>
          </w:tcPr>
          <w:p w14:paraId="4C3350A6">
            <w:pPr>
              <w:jc w:val="right"/>
              <w:rPr>
                <w:rFonts w:cs="Times New Roman"/>
                <w:sz w:val="18"/>
                <w:szCs w:val="18"/>
              </w:rPr>
            </w:pPr>
          </w:p>
        </w:tc>
        <w:tc>
          <w:tcPr>
            <w:tcW w:w="564" w:type="pct"/>
            <w:vAlign w:val="center"/>
          </w:tcPr>
          <w:p w14:paraId="7693C4BE">
            <w:pPr>
              <w:jc w:val="right"/>
              <w:textAlignment w:val="bottom"/>
              <w:rPr>
                <w:rFonts w:cs="Times New Roman"/>
                <w:sz w:val="18"/>
                <w:szCs w:val="18"/>
              </w:rPr>
            </w:pPr>
            <w:r>
              <w:rPr>
                <w:rFonts w:eastAsia="Arial Narrow" w:cs="Times New Roman"/>
                <w:color w:val="000000"/>
                <w:sz w:val="18"/>
                <w:szCs w:val="18"/>
                <w:lang w:bidi="ar"/>
              </w:rPr>
              <w:t>-167,292,870.60</w:t>
            </w:r>
          </w:p>
        </w:tc>
        <w:tc>
          <w:tcPr>
            <w:tcW w:w="570" w:type="pct"/>
            <w:vAlign w:val="center"/>
          </w:tcPr>
          <w:p w14:paraId="0F8FB14B">
            <w:pPr>
              <w:jc w:val="right"/>
              <w:textAlignment w:val="bottom"/>
              <w:rPr>
                <w:rFonts w:cs="Times New Roman"/>
                <w:sz w:val="18"/>
                <w:szCs w:val="18"/>
              </w:rPr>
            </w:pPr>
            <w:r>
              <w:rPr>
                <w:rFonts w:eastAsia="Arial Narrow" w:cs="Times New Roman"/>
                <w:color w:val="000000"/>
                <w:sz w:val="18"/>
                <w:szCs w:val="18"/>
                <w:lang w:bidi="ar"/>
              </w:rPr>
              <w:t>-167,292,870.60</w:t>
            </w:r>
          </w:p>
        </w:tc>
      </w:tr>
      <w:tr w14:paraId="0625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8e61c9577cd8495fb0815773685b00bb"/>
            <w:id w:val="147471568"/>
          </w:sdtPr>
          <w:sdtContent>
            <w:tc>
              <w:tcPr>
                <w:tcW w:w="988" w:type="pct"/>
                <w:vAlign w:val="center"/>
              </w:tcPr>
              <w:p w14:paraId="173271BA">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（一）综合收益总额</w:t>
                </w:r>
              </w:p>
            </w:tc>
          </w:sdtContent>
        </w:sdt>
        <w:tc>
          <w:tcPr>
            <w:tcW w:w="585" w:type="pct"/>
            <w:tcBorders>
              <w:right w:val="single" w:color="auto" w:sz="4" w:space="0"/>
            </w:tcBorders>
            <w:vAlign w:val="center"/>
          </w:tcPr>
          <w:p w14:paraId="158B8646">
            <w:pPr>
              <w:jc w:val="right"/>
              <w:rPr>
                <w:rFonts w:cs="Times New Roman"/>
                <w:sz w:val="18"/>
                <w:szCs w:val="18"/>
              </w:rPr>
            </w:pPr>
          </w:p>
        </w:tc>
        <w:tc>
          <w:tcPr>
            <w:tcW w:w="572" w:type="pct"/>
            <w:vAlign w:val="center"/>
          </w:tcPr>
          <w:p w14:paraId="3DC8B4C3">
            <w:pPr>
              <w:jc w:val="right"/>
              <w:rPr>
                <w:rFonts w:cs="Times New Roman"/>
                <w:sz w:val="18"/>
                <w:szCs w:val="18"/>
              </w:rPr>
            </w:pPr>
          </w:p>
        </w:tc>
        <w:tc>
          <w:tcPr>
            <w:tcW w:w="581" w:type="pct"/>
            <w:vAlign w:val="center"/>
          </w:tcPr>
          <w:p w14:paraId="3CE61858">
            <w:pPr>
              <w:jc w:val="right"/>
              <w:rPr>
                <w:rFonts w:cs="Times New Roman"/>
                <w:sz w:val="18"/>
                <w:szCs w:val="18"/>
              </w:rPr>
            </w:pPr>
          </w:p>
        </w:tc>
        <w:tc>
          <w:tcPr>
            <w:tcW w:w="568" w:type="pct"/>
            <w:vAlign w:val="center"/>
          </w:tcPr>
          <w:p w14:paraId="3F7D32FB">
            <w:pPr>
              <w:jc w:val="right"/>
              <w:rPr>
                <w:rFonts w:cs="Times New Roman"/>
                <w:sz w:val="18"/>
                <w:szCs w:val="18"/>
              </w:rPr>
            </w:pPr>
          </w:p>
        </w:tc>
        <w:tc>
          <w:tcPr>
            <w:tcW w:w="568" w:type="pct"/>
            <w:vAlign w:val="center"/>
          </w:tcPr>
          <w:p w14:paraId="2B5D7565">
            <w:pPr>
              <w:jc w:val="right"/>
              <w:rPr>
                <w:rFonts w:cs="Times New Roman"/>
                <w:sz w:val="18"/>
                <w:szCs w:val="18"/>
              </w:rPr>
            </w:pPr>
          </w:p>
        </w:tc>
        <w:tc>
          <w:tcPr>
            <w:tcW w:w="564" w:type="pct"/>
            <w:vAlign w:val="center"/>
          </w:tcPr>
          <w:p w14:paraId="55221B7D">
            <w:pPr>
              <w:jc w:val="right"/>
              <w:textAlignment w:val="bottom"/>
              <w:rPr>
                <w:rFonts w:cs="Times New Roman"/>
                <w:sz w:val="18"/>
                <w:szCs w:val="18"/>
              </w:rPr>
            </w:pPr>
            <w:r>
              <w:rPr>
                <w:rFonts w:eastAsia="Arial Narrow" w:cs="Times New Roman"/>
                <w:color w:val="000000"/>
                <w:sz w:val="18"/>
                <w:szCs w:val="18"/>
                <w:lang w:bidi="ar"/>
              </w:rPr>
              <w:t>-35,543,988.48</w:t>
            </w:r>
          </w:p>
        </w:tc>
        <w:tc>
          <w:tcPr>
            <w:tcW w:w="570" w:type="pct"/>
            <w:vAlign w:val="center"/>
          </w:tcPr>
          <w:p w14:paraId="7270D1A2">
            <w:pPr>
              <w:jc w:val="right"/>
              <w:textAlignment w:val="bottom"/>
              <w:rPr>
                <w:rFonts w:cs="Times New Roman"/>
                <w:sz w:val="18"/>
                <w:szCs w:val="18"/>
              </w:rPr>
            </w:pPr>
            <w:r>
              <w:rPr>
                <w:rFonts w:eastAsia="Arial Narrow" w:cs="Times New Roman"/>
                <w:color w:val="000000"/>
                <w:sz w:val="18"/>
                <w:szCs w:val="18"/>
                <w:lang w:bidi="ar"/>
              </w:rPr>
              <w:t>-35,543,988.48</w:t>
            </w:r>
          </w:p>
        </w:tc>
      </w:tr>
      <w:tr w14:paraId="2C78D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e11fbdac72bf4f84a5635701204e5724"/>
            <w:id w:val="147470269"/>
          </w:sdtPr>
          <w:sdtContent>
            <w:tc>
              <w:tcPr>
                <w:tcW w:w="988" w:type="pct"/>
                <w:vAlign w:val="center"/>
              </w:tcPr>
              <w:p w14:paraId="1E95B6FE">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二</w:t>
                </w:r>
                <w:r>
                  <w:rPr>
                    <w:color w:val="000000" w:themeColor="text1"/>
                    <w:sz w:val="18"/>
                    <w:szCs w:val="18"/>
                    <w14:textFill>
                      <w14:solidFill>
                        <w14:schemeClr w14:val="tx1"/>
                      </w14:solidFill>
                    </w14:textFill>
                  </w:rPr>
                  <w:t>）所有者投入和减少资本</w:t>
                </w:r>
              </w:p>
            </w:tc>
          </w:sdtContent>
        </w:sdt>
        <w:tc>
          <w:tcPr>
            <w:tcW w:w="585" w:type="pct"/>
            <w:tcBorders>
              <w:right w:val="single" w:color="auto" w:sz="4" w:space="0"/>
            </w:tcBorders>
            <w:vAlign w:val="center"/>
          </w:tcPr>
          <w:p w14:paraId="3F727191">
            <w:pPr>
              <w:jc w:val="right"/>
              <w:rPr>
                <w:rFonts w:cs="Times New Roman"/>
                <w:sz w:val="18"/>
                <w:szCs w:val="18"/>
              </w:rPr>
            </w:pPr>
          </w:p>
        </w:tc>
        <w:tc>
          <w:tcPr>
            <w:tcW w:w="572" w:type="pct"/>
            <w:vAlign w:val="center"/>
          </w:tcPr>
          <w:p w14:paraId="380505CD">
            <w:pPr>
              <w:jc w:val="right"/>
              <w:rPr>
                <w:rFonts w:cs="Times New Roman"/>
                <w:sz w:val="18"/>
                <w:szCs w:val="18"/>
              </w:rPr>
            </w:pPr>
          </w:p>
        </w:tc>
        <w:tc>
          <w:tcPr>
            <w:tcW w:w="581" w:type="pct"/>
            <w:vAlign w:val="center"/>
          </w:tcPr>
          <w:p w14:paraId="2BF0A8EA">
            <w:pPr>
              <w:jc w:val="right"/>
              <w:rPr>
                <w:rFonts w:cs="Times New Roman"/>
                <w:sz w:val="18"/>
                <w:szCs w:val="18"/>
              </w:rPr>
            </w:pPr>
          </w:p>
        </w:tc>
        <w:tc>
          <w:tcPr>
            <w:tcW w:w="568" w:type="pct"/>
            <w:vAlign w:val="center"/>
          </w:tcPr>
          <w:p w14:paraId="68643FBB">
            <w:pPr>
              <w:jc w:val="right"/>
              <w:rPr>
                <w:rFonts w:cs="Times New Roman"/>
                <w:sz w:val="18"/>
                <w:szCs w:val="18"/>
              </w:rPr>
            </w:pPr>
          </w:p>
        </w:tc>
        <w:tc>
          <w:tcPr>
            <w:tcW w:w="568" w:type="pct"/>
            <w:vAlign w:val="center"/>
          </w:tcPr>
          <w:p w14:paraId="56FE8756">
            <w:pPr>
              <w:jc w:val="right"/>
              <w:rPr>
                <w:rFonts w:cs="Times New Roman"/>
                <w:sz w:val="18"/>
                <w:szCs w:val="18"/>
              </w:rPr>
            </w:pPr>
          </w:p>
        </w:tc>
        <w:tc>
          <w:tcPr>
            <w:tcW w:w="564" w:type="pct"/>
            <w:vAlign w:val="center"/>
          </w:tcPr>
          <w:p w14:paraId="7502A527">
            <w:pPr>
              <w:jc w:val="right"/>
              <w:rPr>
                <w:rFonts w:cs="Times New Roman"/>
                <w:sz w:val="18"/>
                <w:szCs w:val="18"/>
              </w:rPr>
            </w:pPr>
          </w:p>
        </w:tc>
        <w:tc>
          <w:tcPr>
            <w:tcW w:w="570" w:type="pct"/>
            <w:vAlign w:val="center"/>
          </w:tcPr>
          <w:p w14:paraId="63AE0A3F">
            <w:pPr>
              <w:jc w:val="right"/>
              <w:rPr>
                <w:rFonts w:cs="Times New Roman"/>
                <w:sz w:val="18"/>
                <w:szCs w:val="18"/>
              </w:rPr>
            </w:pPr>
          </w:p>
        </w:tc>
      </w:tr>
      <w:tr w14:paraId="32896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9773183e97be44a1a360188937e7fe10"/>
            <w:id w:val="147474540"/>
          </w:sdtPr>
          <w:sdtContent>
            <w:tc>
              <w:tcPr>
                <w:tcW w:w="988" w:type="pct"/>
                <w:vAlign w:val="center"/>
              </w:tcPr>
              <w:p w14:paraId="42207413">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三</w:t>
                </w:r>
                <w:r>
                  <w:rPr>
                    <w:color w:val="000000" w:themeColor="text1"/>
                    <w:sz w:val="18"/>
                    <w:szCs w:val="18"/>
                    <w14:textFill>
                      <w14:solidFill>
                        <w14:schemeClr w14:val="tx1"/>
                      </w14:solidFill>
                    </w14:textFill>
                  </w:rPr>
                  <w:t>）利润分配</w:t>
                </w:r>
              </w:p>
            </w:tc>
          </w:sdtContent>
        </w:sdt>
        <w:tc>
          <w:tcPr>
            <w:tcW w:w="585" w:type="pct"/>
            <w:tcBorders>
              <w:right w:val="single" w:color="auto" w:sz="4" w:space="0"/>
            </w:tcBorders>
            <w:vAlign w:val="center"/>
          </w:tcPr>
          <w:p w14:paraId="1E23DD98">
            <w:pPr>
              <w:jc w:val="right"/>
              <w:rPr>
                <w:rFonts w:cs="Times New Roman"/>
                <w:sz w:val="18"/>
                <w:szCs w:val="18"/>
              </w:rPr>
            </w:pPr>
          </w:p>
        </w:tc>
        <w:tc>
          <w:tcPr>
            <w:tcW w:w="572" w:type="pct"/>
            <w:vAlign w:val="center"/>
          </w:tcPr>
          <w:p w14:paraId="00AD80DF">
            <w:pPr>
              <w:jc w:val="right"/>
              <w:rPr>
                <w:rFonts w:cs="Times New Roman"/>
                <w:sz w:val="18"/>
                <w:szCs w:val="18"/>
              </w:rPr>
            </w:pPr>
          </w:p>
        </w:tc>
        <w:tc>
          <w:tcPr>
            <w:tcW w:w="581" w:type="pct"/>
            <w:vAlign w:val="center"/>
          </w:tcPr>
          <w:p w14:paraId="65514B80">
            <w:pPr>
              <w:jc w:val="right"/>
              <w:rPr>
                <w:rFonts w:cs="Times New Roman"/>
                <w:sz w:val="18"/>
                <w:szCs w:val="18"/>
              </w:rPr>
            </w:pPr>
          </w:p>
        </w:tc>
        <w:tc>
          <w:tcPr>
            <w:tcW w:w="568" w:type="pct"/>
            <w:vAlign w:val="center"/>
          </w:tcPr>
          <w:p w14:paraId="14654520">
            <w:pPr>
              <w:jc w:val="right"/>
              <w:rPr>
                <w:rFonts w:cs="Times New Roman"/>
                <w:sz w:val="18"/>
                <w:szCs w:val="18"/>
              </w:rPr>
            </w:pPr>
          </w:p>
        </w:tc>
        <w:tc>
          <w:tcPr>
            <w:tcW w:w="568" w:type="pct"/>
            <w:vAlign w:val="center"/>
          </w:tcPr>
          <w:p w14:paraId="18669F2B">
            <w:pPr>
              <w:jc w:val="right"/>
              <w:rPr>
                <w:rFonts w:cs="Times New Roman"/>
                <w:sz w:val="18"/>
                <w:szCs w:val="18"/>
              </w:rPr>
            </w:pPr>
          </w:p>
        </w:tc>
        <w:tc>
          <w:tcPr>
            <w:tcW w:w="564" w:type="pct"/>
            <w:vAlign w:val="center"/>
          </w:tcPr>
          <w:p w14:paraId="44E2F37C">
            <w:pPr>
              <w:jc w:val="right"/>
              <w:textAlignment w:val="bottom"/>
              <w:rPr>
                <w:rFonts w:cs="Times New Roman"/>
                <w:sz w:val="18"/>
                <w:szCs w:val="18"/>
              </w:rPr>
            </w:pPr>
            <w:r>
              <w:rPr>
                <w:rFonts w:eastAsia="Arial Narrow" w:cs="Times New Roman"/>
                <w:color w:val="000000"/>
                <w:sz w:val="18"/>
                <w:szCs w:val="18"/>
                <w:lang w:bidi="ar"/>
              </w:rPr>
              <w:t>-131,748,882.12</w:t>
            </w:r>
          </w:p>
        </w:tc>
        <w:tc>
          <w:tcPr>
            <w:tcW w:w="570" w:type="pct"/>
            <w:vAlign w:val="center"/>
          </w:tcPr>
          <w:p w14:paraId="523BF2BF">
            <w:pPr>
              <w:jc w:val="right"/>
              <w:textAlignment w:val="bottom"/>
              <w:rPr>
                <w:rFonts w:cs="Times New Roman"/>
                <w:sz w:val="18"/>
                <w:szCs w:val="18"/>
              </w:rPr>
            </w:pPr>
            <w:r>
              <w:rPr>
                <w:rFonts w:eastAsia="Arial Narrow" w:cs="Times New Roman"/>
                <w:color w:val="000000"/>
                <w:sz w:val="18"/>
                <w:szCs w:val="18"/>
                <w:lang w:bidi="ar"/>
              </w:rPr>
              <w:t>-131,748,882.12</w:t>
            </w:r>
          </w:p>
        </w:tc>
      </w:tr>
      <w:tr w14:paraId="4CFCE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49d633deae854098a44173514bb3a7b3"/>
            <w:id w:val="147473100"/>
          </w:sdtPr>
          <w:sdtContent>
            <w:tc>
              <w:tcPr>
                <w:tcW w:w="988" w:type="pct"/>
                <w:vAlign w:val="center"/>
              </w:tcPr>
              <w:p w14:paraId="2D7BF657">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1．提取盈余公积</w:t>
                </w:r>
              </w:p>
            </w:tc>
          </w:sdtContent>
        </w:sdt>
        <w:tc>
          <w:tcPr>
            <w:tcW w:w="585" w:type="pct"/>
            <w:tcBorders>
              <w:right w:val="single" w:color="auto" w:sz="4" w:space="0"/>
            </w:tcBorders>
            <w:vAlign w:val="center"/>
          </w:tcPr>
          <w:p w14:paraId="17244156">
            <w:pPr>
              <w:jc w:val="right"/>
              <w:rPr>
                <w:rFonts w:cs="Times New Roman"/>
                <w:sz w:val="18"/>
                <w:szCs w:val="18"/>
              </w:rPr>
            </w:pPr>
          </w:p>
        </w:tc>
        <w:tc>
          <w:tcPr>
            <w:tcW w:w="572" w:type="pct"/>
            <w:vAlign w:val="center"/>
          </w:tcPr>
          <w:p w14:paraId="147A5137">
            <w:pPr>
              <w:jc w:val="right"/>
              <w:rPr>
                <w:rFonts w:cs="Times New Roman"/>
                <w:sz w:val="18"/>
                <w:szCs w:val="18"/>
              </w:rPr>
            </w:pPr>
          </w:p>
        </w:tc>
        <w:tc>
          <w:tcPr>
            <w:tcW w:w="581" w:type="pct"/>
            <w:vAlign w:val="center"/>
          </w:tcPr>
          <w:p w14:paraId="0B38264F">
            <w:pPr>
              <w:jc w:val="right"/>
              <w:rPr>
                <w:rFonts w:cs="Times New Roman"/>
                <w:sz w:val="18"/>
                <w:szCs w:val="18"/>
              </w:rPr>
            </w:pPr>
          </w:p>
        </w:tc>
        <w:tc>
          <w:tcPr>
            <w:tcW w:w="568" w:type="pct"/>
            <w:vAlign w:val="center"/>
          </w:tcPr>
          <w:p w14:paraId="0D458537">
            <w:pPr>
              <w:jc w:val="right"/>
              <w:rPr>
                <w:rFonts w:cs="Times New Roman"/>
                <w:sz w:val="18"/>
                <w:szCs w:val="18"/>
              </w:rPr>
            </w:pPr>
          </w:p>
        </w:tc>
        <w:tc>
          <w:tcPr>
            <w:tcW w:w="568" w:type="pct"/>
            <w:vAlign w:val="center"/>
          </w:tcPr>
          <w:p w14:paraId="71C0F58E">
            <w:pPr>
              <w:jc w:val="right"/>
              <w:rPr>
                <w:rFonts w:cs="Times New Roman"/>
                <w:sz w:val="18"/>
                <w:szCs w:val="18"/>
              </w:rPr>
            </w:pPr>
          </w:p>
        </w:tc>
        <w:tc>
          <w:tcPr>
            <w:tcW w:w="564" w:type="pct"/>
            <w:vAlign w:val="center"/>
          </w:tcPr>
          <w:p w14:paraId="19AF8C3F">
            <w:pPr>
              <w:jc w:val="right"/>
              <w:rPr>
                <w:rFonts w:cs="Times New Roman"/>
                <w:sz w:val="18"/>
                <w:szCs w:val="18"/>
              </w:rPr>
            </w:pPr>
          </w:p>
        </w:tc>
        <w:tc>
          <w:tcPr>
            <w:tcW w:w="570" w:type="pct"/>
            <w:vAlign w:val="center"/>
          </w:tcPr>
          <w:p w14:paraId="7E6BAC84">
            <w:pPr>
              <w:jc w:val="right"/>
              <w:rPr>
                <w:rFonts w:cs="Times New Roman"/>
                <w:sz w:val="18"/>
                <w:szCs w:val="18"/>
              </w:rPr>
            </w:pPr>
          </w:p>
        </w:tc>
      </w:tr>
      <w:tr w14:paraId="2E8F8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97bd41fffab4497fb1be0b345aef17bd"/>
            <w:id w:val="147454962"/>
          </w:sdtPr>
          <w:sdtContent>
            <w:tc>
              <w:tcPr>
                <w:tcW w:w="988" w:type="pct"/>
                <w:vAlign w:val="center"/>
              </w:tcPr>
              <w:p w14:paraId="619E1361">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r>
                  <w:rPr>
                    <w:color w:val="000000" w:themeColor="text1"/>
                    <w:sz w:val="18"/>
                    <w:szCs w:val="18"/>
                    <w14:textFill>
                      <w14:solidFill>
                        <w14:schemeClr w14:val="tx1"/>
                      </w14:solidFill>
                    </w14:textFill>
                  </w:rPr>
                  <w:t>．对所有者（或股东）的分配</w:t>
                </w:r>
              </w:p>
            </w:tc>
          </w:sdtContent>
        </w:sdt>
        <w:tc>
          <w:tcPr>
            <w:tcW w:w="585" w:type="pct"/>
            <w:tcBorders>
              <w:right w:val="single" w:color="auto" w:sz="4" w:space="0"/>
            </w:tcBorders>
            <w:vAlign w:val="center"/>
          </w:tcPr>
          <w:p w14:paraId="1B901614">
            <w:pPr>
              <w:jc w:val="right"/>
              <w:rPr>
                <w:rFonts w:cs="Times New Roman"/>
                <w:sz w:val="18"/>
                <w:szCs w:val="18"/>
              </w:rPr>
            </w:pPr>
          </w:p>
        </w:tc>
        <w:tc>
          <w:tcPr>
            <w:tcW w:w="572" w:type="pct"/>
            <w:vAlign w:val="center"/>
          </w:tcPr>
          <w:p w14:paraId="0B7985A5">
            <w:pPr>
              <w:jc w:val="right"/>
              <w:rPr>
                <w:rFonts w:cs="Times New Roman"/>
                <w:sz w:val="18"/>
                <w:szCs w:val="18"/>
              </w:rPr>
            </w:pPr>
          </w:p>
        </w:tc>
        <w:tc>
          <w:tcPr>
            <w:tcW w:w="581" w:type="pct"/>
            <w:vAlign w:val="center"/>
          </w:tcPr>
          <w:p w14:paraId="38DEB46B">
            <w:pPr>
              <w:jc w:val="right"/>
              <w:rPr>
                <w:rFonts w:cs="Times New Roman"/>
                <w:sz w:val="18"/>
                <w:szCs w:val="18"/>
              </w:rPr>
            </w:pPr>
          </w:p>
        </w:tc>
        <w:tc>
          <w:tcPr>
            <w:tcW w:w="568" w:type="pct"/>
            <w:vAlign w:val="center"/>
          </w:tcPr>
          <w:p w14:paraId="3DB97B11">
            <w:pPr>
              <w:jc w:val="right"/>
              <w:rPr>
                <w:rFonts w:cs="Times New Roman"/>
                <w:sz w:val="18"/>
                <w:szCs w:val="18"/>
              </w:rPr>
            </w:pPr>
          </w:p>
        </w:tc>
        <w:tc>
          <w:tcPr>
            <w:tcW w:w="568" w:type="pct"/>
            <w:vAlign w:val="center"/>
          </w:tcPr>
          <w:p w14:paraId="396DABCE">
            <w:pPr>
              <w:jc w:val="right"/>
              <w:rPr>
                <w:rFonts w:cs="Times New Roman"/>
                <w:sz w:val="18"/>
                <w:szCs w:val="18"/>
              </w:rPr>
            </w:pPr>
          </w:p>
        </w:tc>
        <w:tc>
          <w:tcPr>
            <w:tcW w:w="564" w:type="pct"/>
            <w:vAlign w:val="center"/>
          </w:tcPr>
          <w:p w14:paraId="74BCED17">
            <w:pPr>
              <w:jc w:val="right"/>
              <w:textAlignment w:val="bottom"/>
              <w:rPr>
                <w:rFonts w:cs="Times New Roman"/>
                <w:sz w:val="18"/>
                <w:szCs w:val="18"/>
              </w:rPr>
            </w:pPr>
            <w:r>
              <w:rPr>
                <w:rFonts w:eastAsia="Arial Narrow" w:cs="Times New Roman"/>
                <w:color w:val="000000"/>
                <w:sz w:val="18"/>
                <w:szCs w:val="18"/>
                <w:lang w:bidi="ar"/>
              </w:rPr>
              <w:t>-131,748,882.12</w:t>
            </w:r>
          </w:p>
        </w:tc>
        <w:tc>
          <w:tcPr>
            <w:tcW w:w="570" w:type="pct"/>
            <w:vAlign w:val="center"/>
          </w:tcPr>
          <w:p w14:paraId="4542CE1C">
            <w:pPr>
              <w:jc w:val="right"/>
              <w:textAlignment w:val="bottom"/>
              <w:rPr>
                <w:rFonts w:cs="Times New Roman"/>
                <w:sz w:val="18"/>
                <w:szCs w:val="18"/>
              </w:rPr>
            </w:pPr>
            <w:r>
              <w:rPr>
                <w:rFonts w:eastAsia="Arial Narrow" w:cs="Times New Roman"/>
                <w:color w:val="000000"/>
                <w:sz w:val="18"/>
                <w:szCs w:val="18"/>
                <w:lang w:bidi="ar"/>
              </w:rPr>
              <w:t>-131,748,882.12</w:t>
            </w:r>
          </w:p>
        </w:tc>
      </w:tr>
      <w:tr w14:paraId="7E94B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a5c6789730e84b389ee95f39091419a8"/>
            <w:id w:val="147459841"/>
          </w:sdtPr>
          <w:sdtContent>
            <w:tc>
              <w:tcPr>
                <w:tcW w:w="988" w:type="pct"/>
                <w:vAlign w:val="center"/>
              </w:tcPr>
              <w:p w14:paraId="2C470CD5">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color w:val="000000" w:themeColor="text1"/>
                    <w:sz w:val="18"/>
                    <w:szCs w:val="18"/>
                    <w14:textFill>
                      <w14:solidFill>
                        <w14:schemeClr w14:val="tx1"/>
                      </w14:solidFill>
                    </w14:textFill>
                  </w:rPr>
                  <w:t>．其他</w:t>
                </w:r>
              </w:p>
            </w:tc>
          </w:sdtContent>
        </w:sdt>
        <w:tc>
          <w:tcPr>
            <w:tcW w:w="585" w:type="pct"/>
            <w:tcBorders>
              <w:right w:val="single" w:color="auto" w:sz="4" w:space="0"/>
            </w:tcBorders>
            <w:vAlign w:val="center"/>
          </w:tcPr>
          <w:p w14:paraId="4DEDA7A2">
            <w:pPr>
              <w:jc w:val="right"/>
              <w:rPr>
                <w:rFonts w:cs="Times New Roman"/>
                <w:sz w:val="18"/>
                <w:szCs w:val="18"/>
              </w:rPr>
            </w:pPr>
          </w:p>
        </w:tc>
        <w:tc>
          <w:tcPr>
            <w:tcW w:w="572" w:type="pct"/>
            <w:vAlign w:val="center"/>
          </w:tcPr>
          <w:p w14:paraId="75533DCE">
            <w:pPr>
              <w:jc w:val="right"/>
              <w:rPr>
                <w:rFonts w:cs="Times New Roman"/>
                <w:sz w:val="18"/>
                <w:szCs w:val="18"/>
              </w:rPr>
            </w:pPr>
          </w:p>
        </w:tc>
        <w:tc>
          <w:tcPr>
            <w:tcW w:w="581" w:type="pct"/>
            <w:vAlign w:val="center"/>
          </w:tcPr>
          <w:p w14:paraId="47F768E6">
            <w:pPr>
              <w:jc w:val="right"/>
              <w:rPr>
                <w:rFonts w:cs="Times New Roman"/>
                <w:sz w:val="18"/>
                <w:szCs w:val="18"/>
              </w:rPr>
            </w:pPr>
          </w:p>
        </w:tc>
        <w:tc>
          <w:tcPr>
            <w:tcW w:w="568" w:type="pct"/>
            <w:vAlign w:val="center"/>
          </w:tcPr>
          <w:p w14:paraId="0CFC9F74">
            <w:pPr>
              <w:jc w:val="right"/>
              <w:rPr>
                <w:rFonts w:cs="Times New Roman"/>
                <w:sz w:val="18"/>
                <w:szCs w:val="18"/>
              </w:rPr>
            </w:pPr>
          </w:p>
        </w:tc>
        <w:tc>
          <w:tcPr>
            <w:tcW w:w="568" w:type="pct"/>
            <w:vAlign w:val="center"/>
          </w:tcPr>
          <w:p w14:paraId="4FE9BCF1">
            <w:pPr>
              <w:jc w:val="right"/>
              <w:rPr>
                <w:rFonts w:cs="Times New Roman"/>
                <w:sz w:val="18"/>
                <w:szCs w:val="18"/>
              </w:rPr>
            </w:pPr>
          </w:p>
        </w:tc>
        <w:tc>
          <w:tcPr>
            <w:tcW w:w="564" w:type="pct"/>
            <w:vAlign w:val="center"/>
          </w:tcPr>
          <w:p w14:paraId="7839B384">
            <w:pPr>
              <w:jc w:val="right"/>
              <w:rPr>
                <w:rFonts w:cs="Times New Roman"/>
                <w:sz w:val="18"/>
                <w:szCs w:val="18"/>
              </w:rPr>
            </w:pPr>
          </w:p>
        </w:tc>
        <w:tc>
          <w:tcPr>
            <w:tcW w:w="570" w:type="pct"/>
            <w:vAlign w:val="center"/>
          </w:tcPr>
          <w:p w14:paraId="19038EE8">
            <w:pPr>
              <w:jc w:val="right"/>
              <w:rPr>
                <w:rFonts w:cs="Times New Roman"/>
                <w:sz w:val="18"/>
                <w:szCs w:val="18"/>
              </w:rPr>
            </w:pPr>
          </w:p>
        </w:tc>
      </w:tr>
      <w:tr w14:paraId="3EDA6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9c529a92f12642ed93c3ac5d7c5ef52b"/>
            <w:id w:val="147469414"/>
          </w:sdtPr>
          <w:sdtContent>
            <w:tc>
              <w:tcPr>
                <w:tcW w:w="988" w:type="pct"/>
                <w:vAlign w:val="center"/>
              </w:tcPr>
              <w:p w14:paraId="795088AC">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r>
                  <w:rPr>
                    <w:rFonts w:hint="eastAsia"/>
                    <w:color w:val="000000" w:themeColor="text1"/>
                    <w:sz w:val="18"/>
                    <w:szCs w:val="18"/>
                    <w14:textFill>
                      <w14:solidFill>
                        <w14:schemeClr w14:val="tx1"/>
                      </w14:solidFill>
                    </w14:textFill>
                  </w:rPr>
                  <w:t>四</w:t>
                </w:r>
                <w:r>
                  <w:rPr>
                    <w:color w:val="000000" w:themeColor="text1"/>
                    <w:sz w:val="18"/>
                    <w:szCs w:val="18"/>
                    <w14:textFill>
                      <w14:solidFill>
                        <w14:schemeClr w14:val="tx1"/>
                      </w14:solidFill>
                    </w14:textFill>
                  </w:rPr>
                  <w:t>）所有者权益内部结转</w:t>
                </w:r>
              </w:p>
            </w:tc>
          </w:sdtContent>
        </w:sdt>
        <w:tc>
          <w:tcPr>
            <w:tcW w:w="585" w:type="pct"/>
            <w:tcBorders>
              <w:right w:val="single" w:color="auto" w:sz="4" w:space="0"/>
            </w:tcBorders>
            <w:vAlign w:val="center"/>
          </w:tcPr>
          <w:p w14:paraId="5F9F964B">
            <w:pPr>
              <w:jc w:val="right"/>
              <w:rPr>
                <w:rFonts w:cs="Times New Roman"/>
                <w:sz w:val="18"/>
                <w:szCs w:val="18"/>
              </w:rPr>
            </w:pPr>
          </w:p>
        </w:tc>
        <w:tc>
          <w:tcPr>
            <w:tcW w:w="572" w:type="pct"/>
            <w:vAlign w:val="center"/>
          </w:tcPr>
          <w:p w14:paraId="20D35DBB">
            <w:pPr>
              <w:jc w:val="right"/>
              <w:rPr>
                <w:rFonts w:cs="Times New Roman"/>
                <w:sz w:val="18"/>
                <w:szCs w:val="18"/>
              </w:rPr>
            </w:pPr>
          </w:p>
        </w:tc>
        <w:tc>
          <w:tcPr>
            <w:tcW w:w="581" w:type="pct"/>
            <w:vAlign w:val="center"/>
          </w:tcPr>
          <w:p w14:paraId="097BEFA8">
            <w:pPr>
              <w:jc w:val="right"/>
              <w:rPr>
                <w:rFonts w:cs="Times New Roman"/>
                <w:sz w:val="18"/>
                <w:szCs w:val="18"/>
              </w:rPr>
            </w:pPr>
          </w:p>
        </w:tc>
        <w:tc>
          <w:tcPr>
            <w:tcW w:w="568" w:type="pct"/>
            <w:vAlign w:val="center"/>
          </w:tcPr>
          <w:p w14:paraId="46DE7DEA">
            <w:pPr>
              <w:jc w:val="right"/>
              <w:rPr>
                <w:rFonts w:cs="Times New Roman"/>
                <w:sz w:val="18"/>
                <w:szCs w:val="18"/>
              </w:rPr>
            </w:pPr>
          </w:p>
        </w:tc>
        <w:tc>
          <w:tcPr>
            <w:tcW w:w="568" w:type="pct"/>
            <w:vAlign w:val="center"/>
          </w:tcPr>
          <w:p w14:paraId="4A8C3261">
            <w:pPr>
              <w:jc w:val="right"/>
              <w:rPr>
                <w:rFonts w:cs="Times New Roman"/>
                <w:sz w:val="18"/>
                <w:szCs w:val="18"/>
              </w:rPr>
            </w:pPr>
          </w:p>
        </w:tc>
        <w:tc>
          <w:tcPr>
            <w:tcW w:w="564" w:type="pct"/>
            <w:vAlign w:val="center"/>
          </w:tcPr>
          <w:p w14:paraId="360D3764">
            <w:pPr>
              <w:jc w:val="right"/>
              <w:rPr>
                <w:rFonts w:cs="Times New Roman"/>
                <w:sz w:val="18"/>
                <w:szCs w:val="18"/>
              </w:rPr>
            </w:pPr>
          </w:p>
        </w:tc>
        <w:tc>
          <w:tcPr>
            <w:tcW w:w="570" w:type="pct"/>
            <w:vAlign w:val="center"/>
          </w:tcPr>
          <w:p w14:paraId="7E3B656E">
            <w:pPr>
              <w:jc w:val="right"/>
              <w:rPr>
                <w:rFonts w:cs="Times New Roman"/>
                <w:sz w:val="18"/>
                <w:szCs w:val="18"/>
              </w:rPr>
            </w:pPr>
          </w:p>
        </w:tc>
      </w:tr>
      <w:tr w14:paraId="5F027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2a0b15de13474fe285b68b48e29b688f"/>
            <w:id w:val="147462735"/>
          </w:sdtPr>
          <w:sdtContent>
            <w:tc>
              <w:tcPr>
                <w:tcW w:w="988" w:type="pct"/>
                <w:vAlign w:val="center"/>
              </w:tcPr>
              <w:p w14:paraId="1353A790">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（五）专项储备</w:t>
                </w:r>
              </w:p>
            </w:tc>
          </w:sdtContent>
        </w:sdt>
        <w:tc>
          <w:tcPr>
            <w:tcW w:w="585" w:type="pct"/>
            <w:tcBorders>
              <w:right w:val="single" w:color="auto" w:sz="4" w:space="0"/>
            </w:tcBorders>
            <w:vAlign w:val="center"/>
          </w:tcPr>
          <w:p w14:paraId="4B18C3C4">
            <w:pPr>
              <w:jc w:val="right"/>
              <w:rPr>
                <w:rFonts w:cs="Times New Roman"/>
                <w:sz w:val="18"/>
                <w:szCs w:val="18"/>
              </w:rPr>
            </w:pPr>
          </w:p>
        </w:tc>
        <w:tc>
          <w:tcPr>
            <w:tcW w:w="572" w:type="pct"/>
            <w:vAlign w:val="center"/>
          </w:tcPr>
          <w:p w14:paraId="7BF145DB">
            <w:pPr>
              <w:jc w:val="right"/>
              <w:rPr>
                <w:rFonts w:cs="Times New Roman"/>
                <w:sz w:val="18"/>
                <w:szCs w:val="18"/>
              </w:rPr>
            </w:pPr>
          </w:p>
        </w:tc>
        <w:tc>
          <w:tcPr>
            <w:tcW w:w="581" w:type="pct"/>
            <w:vAlign w:val="center"/>
          </w:tcPr>
          <w:p w14:paraId="1DD57D96">
            <w:pPr>
              <w:jc w:val="right"/>
              <w:rPr>
                <w:rFonts w:cs="Times New Roman"/>
                <w:sz w:val="18"/>
                <w:szCs w:val="18"/>
              </w:rPr>
            </w:pPr>
          </w:p>
        </w:tc>
        <w:tc>
          <w:tcPr>
            <w:tcW w:w="568" w:type="pct"/>
            <w:vAlign w:val="center"/>
          </w:tcPr>
          <w:p w14:paraId="574FE7F4">
            <w:pPr>
              <w:jc w:val="right"/>
              <w:rPr>
                <w:rFonts w:cs="Times New Roman"/>
                <w:sz w:val="18"/>
                <w:szCs w:val="18"/>
              </w:rPr>
            </w:pPr>
          </w:p>
        </w:tc>
        <w:tc>
          <w:tcPr>
            <w:tcW w:w="568" w:type="pct"/>
            <w:vAlign w:val="center"/>
          </w:tcPr>
          <w:p w14:paraId="6AC267E5">
            <w:pPr>
              <w:jc w:val="right"/>
              <w:rPr>
                <w:rFonts w:cs="Times New Roman"/>
                <w:sz w:val="18"/>
                <w:szCs w:val="18"/>
              </w:rPr>
            </w:pPr>
          </w:p>
        </w:tc>
        <w:tc>
          <w:tcPr>
            <w:tcW w:w="564" w:type="pct"/>
            <w:vAlign w:val="center"/>
          </w:tcPr>
          <w:p w14:paraId="7A005070">
            <w:pPr>
              <w:jc w:val="right"/>
              <w:rPr>
                <w:rFonts w:cs="Times New Roman"/>
                <w:sz w:val="18"/>
                <w:szCs w:val="18"/>
              </w:rPr>
            </w:pPr>
          </w:p>
        </w:tc>
        <w:tc>
          <w:tcPr>
            <w:tcW w:w="570" w:type="pct"/>
            <w:vAlign w:val="center"/>
          </w:tcPr>
          <w:p w14:paraId="0D51A356">
            <w:pPr>
              <w:jc w:val="right"/>
              <w:rPr>
                <w:rFonts w:cs="Times New Roman"/>
                <w:sz w:val="18"/>
                <w:szCs w:val="18"/>
              </w:rPr>
            </w:pPr>
          </w:p>
        </w:tc>
      </w:tr>
      <w:tr w14:paraId="5025F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adc6cb0ad3a14129b7edac5f396c8fd5"/>
            <w:id w:val="147476695"/>
          </w:sdtPr>
          <w:sdtContent>
            <w:tc>
              <w:tcPr>
                <w:tcW w:w="988" w:type="pct"/>
                <w:vAlign w:val="center"/>
              </w:tcPr>
              <w:p w14:paraId="239463B0">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（六）其他</w:t>
                </w:r>
              </w:p>
            </w:tc>
          </w:sdtContent>
        </w:sdt>
        <w:tc>
          <w:tcPr>
            <w:tcW w:w="585" w:type="pct"/>
            <w:tcBorders>
              <w:right w:val="single" w:color="auto" w:sz="4" w:space="0"/>
            </w:tcBorders>
            <w:vAlign w:val="center"/>
          </w:tcPr>
          <w:p w14:paraId="71A94A0E">
            <w:pPr>
              <w:jc w:val="right"/>
              <w:rPr>
                <w:rFonts w:cs="Times New Roman"/>
                <w:sz w:val="18"/>
                <w:szCs w:val="18"/>
              </w:rPr>
            </w:pPr>
          </w:p>
        </w:tc>
        <w:tc>
          <w:tcPr>
            <w:tcW w:w="572" w:type="pct"/>
            <w:vAlign w:val="center"/>
          </w:tcPr>
          <w:p w14:paraId="1F327F9C">
            <w:pPr>
              <w:jc w:val="right"/>
              <w:rPr>
                <w:rFonts w:cs="Times New Roman"/>
                <w:sz w:val="18"/>
                <w:szCs w:val="18"/>
              </w:rPr>
            </w:pPr>
          </w:p>
        </w:tc>
        <w:tc>
          <w:tcPr>
            <w:tcW w:w="581" w:type="pct"/>
            <w:vAlign w:val="center"/>
          </w:tcPr>
          <w:p w14:paraId="02E7D582">
            <w:pPr>
              <w:jc w:val="right"/>
              <w:rPr>
                <w:rFonts w:cs="Times New Roman"/>
                <w:sz w:val="18"/>
                <w:szCs w:val="18"/>
              </w:rPr>
            </w:pPr>
          </w:p>
        </w:tc>
        <w:tc>
          <w:tcPr>
            <w:tcW w:w="568" w:type="pct"/>
            <w:vAlign w:val="center"/>
          </w:tcPr>
          <w:p w14:paraId="26DAC7B3">
            <w:pPr>
              <w:jc w:val="right"/>
              <w:rPr>
                <w:rFonts w:cs="Times New Roman"/>
                <w:sz w:val="18"/>
                <w:szCs w:val="18"/>
              </w:rPr>
            </w:pPr>
          </w:p>
        </w:tc>
        <w:tc>
          <w:tcPr>
            <w:tcW w:w="568" w:type="pct"/>
            <w:vAlign w:val="center"/>
          </w:tcPr>
          <w:p w14:paraId="744E341C">
            <w:pPr>
              <w:jc w:val="right"/>
              <w:rPr>
                <w:rFonts w:cs="Times New Roman"/>
                <w:sz w:val="18"/>
                <w:szCs w:val="18"/>
              </w:rPr>
            </w:pPr>
          </w:p>
        </w:tc>
        <w:tc>
          <w:tcPr>
            <w:tcW w:w="564" w:type="pct"/>
            <w:vAlign w:val="center"/>
          </w:tcPr>
          <w:p w14:paraId="5B37C78D">
            <w:pPr>
              <w:jc w:val="right"/>
              <w:rPr>
                <w:rFonts w:cs="Times New Roman"/>
                <w:sz w:val="18"/>
                <w:szCs w:val="18"/>
              </w:rPr>
            </w:pPr>
          </w:p>
        </w:tc>
        <w:tc>
          <w:tcPr>
            <w:tcW w:w="570" w:type="pct"/>
            <w:vAlign w:val="center"/>
          </w:tcPr>
          <w:p w14:paraId="239E1839">
            <w:pPr>
              <w:jc w:val="right"/>
              <w:rPr>
                <w:rFonts w:cs="Times New Roman"/>
                <w:sz w:val="18"/>
                <w:szCs w:val="18"/>
              </w:rPr>
            </w:pPr>
          </w:p>
        </w:tc>
      </w:tr>
      <w:tr w14:paraId="62259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tag w:val="_PLD_0009c8b4e5ca4d7083f8b2619f6a4584"/>
            <w:id w:val="147453125"/>
          </w:sdtPr>
          <w:sdtContent>
            <w:tc>
              <w:tcPr>
                <w:tcW w:w="988" w:type="pct"/>
                <w:vAlign w:val="center"/>
              </w:tcPr>
              <w:p w14:paraId="10314C11">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四、本期期末余额</w:t>
                </w:r>
              </w:p>
            </w:tc>
          </w:sdtContent>
        </w:sdt>
        <w:tc>
          <w:tcPr>
            <w:tcW w:w="585" w:type="pct"/>
            <w:tcBorders>
              <w:right w:val="single" w:color="auto" w:sz="4" w:space="0"/>
            </w:tcBorders>
            <w:vAlign w:val="center"/>
          </w:tcPr>
          <w:p w14:paraId="0AC42BF0">
            <w:pPr>
              <w:jc w:val="right"/>
              <w:textAlignment w:val="bottom"/>
              <w:rPr>
                <w:rFonts w:cs="Times New Roman"/>
                <w:sz w:val="18"/>
                <w:szCs w:val="18"/>
              </w:rPr>
            </w:pPr>
            <w:r>
              <w:rPr>
                <w:rFonts w:eastAsia="Arial Narrow" w:cs="Times New Roman"/>
                <w:color w:val="000000"/>
                <w:sz w:val="18"/>
                <w:szCs w:val="18"/>
                <w:lang w:bidi="ar"/>
              </w:rPr>
              <w:t>4,391,629,404.00</w:t>
            </w:r>
          </w:p>
        </w:tc>
        <w:tc>
          <w:tcPr>
            <w:tcW w:w="572" w:type="pct"/>
            <w:vAlign w:val="center"/>
          </w:tcPr>
          <w:p w14:paraId="0F8CC31D">
            <w:pPr>
              <w:jc w:val="right"/>
              <w:textAlignment w:val="bottom"/>
              <w:rPr>
                <w:rFonts w:cs="Times New Roman"/>
                <w:sz w:val="18"/>
                <w:szCs w:val="18"/>
              </w:rPr>
            </w:pPr>
            <w:r>
              <w:rPr>
                <w:rFonts w:eastAsia="Arial Narrow" w:cs="Times New Roman"/>
                <w:color w:val="000000"/>
                <w:sz w:val="18"/>
                <w:szCs w:val="18"/>
                <w:lang w:bidi="ar"/>
              </w:rPr>
              <w:t>7,846,040,146.62</w:t>
            </w:r>
          </w:p>
        </w:tc>
        <w:tc>
          <w:tcPr>
            <w:tcW w:w="581" w:type="pct"/>
            <w:vAlign w:val="center"/>
          </w:tcPr>
          <w:p w14:paraId="6CE612E8">
            <w:pPr>
              <w:jc w:val="right"/>
              <w:rPr>
                <w:rFonts w:cs="Times New Roman"/>
                <w:sz w:val="18"/>
                <w:szCs w:val="18"/>
              </w:rPr>
            </w:pPr>
          </w:p>
        </w:tc>
        <w:tc>
          <w:tcPr>
            <w:tcW w:w="568" w:type="pct"/>
            <w:vAlign w:val="center"/>
          </w:tcPr>
          <w:p w14:paraId="5B3A90BC">
            <w:pPr>
              <w:jc w:val="right"/>
              <w:textAlignment w:val="bottom"/>
              <w:rPr>
                <w:rFonts w:cs="Times New Roman"/>
                <w:sz w:val="18"/>
                <w:szCs w:val="18"/>
              </w:rPr>
            </w:pPr>
            <w:r>
              <w:rPr>
                <w:rFonts w:eastAsia="Arial Narrow" w:cs="Times New Roman"/>
                <w:color w:val="000000"/>
                <w:sz w:val="18"/>
                <w:szCs w:val="18"/>
                <w:lang w:bidi="ar"/>
              </w:rPr>
              <w:t>-114,414,601.46</w:t>
            </w:r>
          </w:p>
        </w:tc>
        <w:tc>
          <w:tcPr>
            <w:tcW w:w="568" w:type="pct"/>
            <w:vAlign w:val="center"/>
          </w:tcPr>
          <w:p w14:paraId="6FECF8F1">
            <w:pPr>
              <w:jc w:val="right"/>
              <w:textAlignment w:val="bottom"/>
              <w:rPr>
                <w:rFonts w:cs="Times New Roman"/>
                <w:sz w:val="18"/>
                <w:szCs w:val="18"/>
              </w:rPr>
            </w:pPr>
            <w:r>
              <w:rPr>
                <w:rFonts w:eastAsia="Arial Narrow" w:cs="Times New Roman"/>
                <w:color w:val="000000"/>
                <w:sz w:val="18"/>
                <w:szCs w:val="18"/>
                <w:lang w:bidi="ar"/>
              </w:rPr>
              <w:t>369,657,198.90</w:t>
            </w:r>
          </w:p>
        </w:tc>
        <w:tc>
          <w:tcPr>
            <w:tcW w:w="564" w:type="pct"/>
            <w:vAlign w:val="center"/>
          </w:tcPr>
          <w:p w14:paraId="13D02528">
            <w:pPr>
              <w:jc w:val="right"/>
              <w:textAlignment w:val="bottom"/>
              <w:rPr>
                <w:rFonts w:cs="Times New Roman"/>
                <w:sz w:val="18"/>
                <w:szCs w:val="18"/>
              </w:rPr>
            </w:pPr>
            <w:r>
              <w:rPr>
                <w:rFonts w:eastAsia="Arial Narrow" w:cs="Times New Roman"/>
                <w:color w:val="000000"/>
                <w:sz w:val="18"/>
                <w:szCs w:val="18"/>
                <w:lang w:bidi="ar"/>
              </w:rPr>
              <w:t>466,451.30</w:t>
            </w:r>
          </w:p>
        </w:tc>
        <w:tc>
          <w:tcPr>
            <w:tcW w:w="570" w:type="pct"/>
            <w:vAlign w:val="center"/>
          </w:tcPr>
          <w:p w14:paraId="73525EC9">
            <w:pPr>
              <w:jc w:val="right"/>
              <w:textAlignment w:val="bottom"/>
              <w:rPr>
                <w:rFonts w:cs="Times New Roman"/>
                <w:sz w:val="18"/>
                <w:szCs w:val="18"/>
              </w:rPr>
            </w:pPr>
            <w:r>
              <w:rPr>
                <w:rFonts w:eastAsia="Arial Narrow" w:cs="Times New Roman"/>
                <w:color w:val="000000"/>
                <w:sz w:val="18"/>
                <w:szCs w:val="18"/>
                <w:lang w:bidi="ar"/>
              </w:rPr>
              <w:t>12,493,378,599.36</w:t>
            </w:r>
          </w:p>
        </w:tc>
      </w:tr>
    </w:tbl>
    <w:p w14:paraId="3C788E62"/>
    <w:p w14:paraId="7B5C6978">
      <w:pPr>
        <w:snapToGrid w:val="0"/>
        <w:spacing w:line="240" w:lineRule="atLeast"/>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6042a2c12168484781348969a4da3e4c"/>
          <w:id w:val="147452285"/>
          <w:placeholder>
            <w:docPart w:val="GBC22222222222222222222222222222"/>
          </w:placeholder>
          <w: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3008dab61aca43f0a6d82ef192943e79"/>
          <w:id w:val="147473566"/>
          <w:placeholder>
            <w:docPart w:val="GBC22222222222222222222222222222"/>
          </w:placeholder>
          <w: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刘改平</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e6c21b270080402ca8dbdc0cab514bde"/>
          <w:id w:val="147465969"/>
          <w:placeholder>
            <w:docPart w:val="GBC22222222222222222222222222222"/>
          </w:placeholder>
          <w: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冯晓</w:t>
          </w:r>
        </w:sdtContent>
      </w:sdt>
    </w:p>
    <w:p w14:paraId="61F8FE1A">
      <w:pPr>
        <w:rPr>
          <w:color w:val="000000" w:themeColor="text1"/>
          <w14:textFill>
            <w14:solidFill>
              <w14:schemeClr w14:val="tx1"/>
            </w14:solidFill>
          </w14:textFill>
        </w:rPr>
      </w:pPr>
    </w:p>
    <w:bookmarkEnd w:id="156"/>
    <w:p w14:paraId="0D14B33F">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bookmarkStart w:id="157" w:name="_Hlk10212138"/>
      <w:bookmarkEnd w:id="157"/>
    </w:p>
    <w:p w14:paraId="36A064A0">
      <w:pPr>
        <w:pStyle w:val="56"/>
        <w:numPr>
          <w:ilvl w:val="0"/>
          <w:numId w:val="43"/>
        </w:numPr>
        <w:ind w:left="420" w:hanging="420"/>
        <w:rPr>
          <w:rFonts w:ascii="宋体" w:hAnsi="宋体"/>
          <w:color w:val="000000" w:themeColor="text1"/>
          <w14:textFill>
            <w14:solidFill>
              <w14:schemeClr w14:val="tx1"/>
            </w14:solidFill>
          </w14:textFill>
        </w:rPr>
      </w:pPr>
      <w:bookmarkStart w:id="158" w:name="_Hlk168993498"/>
      <w:bookmarkStart w:id="159" w:name="_Hlk168646044"/>
      <w:r>
        <w:rPr>
          <w:rFonts w:hint="eastAsia" w:ascii="宋体" w:hAnsi="宋体"/>
          <w:color w:val="000000" w:themeColor="text1"/>
          <w14:textFill>
            <w14:solidFill>
              <w14:schemeClr w14:val="tx1"/>
            </w14:solidFill>
          </w14:textFill>
        </w:rPr>
        <w:t>公司基本情况</w:t>
      </w:r>
    </w:p>
    <w:p w14:paraId="1B64AB2F">
      <w:pPr>
        <w:pStyle w:val="57"/>
        <w:numPr>
          <w:ilvl w:val="0"/>
          <w:numId w:val="44"/>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公司概况</w:t>
      </w:r>
    </w:p>
    <w:sdt>
      <w:sdtPr>
        <w:rPr>
          <w:rFonts w:hint="eastAsia"/>
          <w:color w:val="000000" w:themeColor="text1"/>
          <w14:textFill>
            <w14:solidFill>
              <w14:schemeClr w14:val="tx1"/>
            </w14:solidFill>
          </w14:textFill>
        </w:rPr>
        <w:alias w:val="是否适用：公司概况[双击切换]"/>
        <w:tag w:val="_GBC_0cae3ba4a5394806810c0303cd783dd4"/>
        <w:id w:val="147470793"/>
        <w:placeholder>
          <w:docPart w:val="GBC22222222222222222222222222222"/>
        </w:placeholder>
      </w:sdtPr>
      <w:sdtEndPr>
        <w:rPr>
          <w:rFonts w:hint="eastAsia"/>
          <w:color w:val="000000" w:themeColor="text1"/>
          <w14:textFill>
            <w14:solidFill>
              <w14:schemeClr w14:val="tx1"/>
            </w14:solidFill>
          </w14:textFill>
        </w:rPr>
      </w:sdtEndPr>
      <w:sdtContent>
        <w:p w14:paraId="0360F06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公司概况"/>
        <w:tag w:val="_GBC_ae08459ad5fd43f3a92abaa61cf00bfd"/>
        <w:id w:val="147473144"/>
        <w:placeholder>
          <w:docPart w:val="GBC22222222222222222222222222222"/>
        </w:placeholder>
      </w:sdtPr>
      <w:sdtEndPr>
        <w:rPr>
          <w:color w:val="000000" w:themeColor="text1"/>
          <w14:textFill>
            <w14:solidFill>
              <w14:schemeClr w14:val="tx1"/>
            </w14:solidFill>
          </w14:textFill>
        </w:rPr>
      </w:sdtEndPr>
      <w:sdtContent>
        <w:p w14:paraId="6FDC6724">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（1）公司注册地、组织形式和总部地址 </w:t>
          </w:r>
        </w:p>
        <w:p w14:paraId="78F465B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际华集团股份有限公司（以下简称“公司”或“本公司”）系经国务院国资委国资改革[2009]444 号批准，由新兴际华集团有限公司（以下简称“新兴际华”）联合新兴发展集团有限公司（以下简称“新兴发展”），于2009年6月26日将军需轻工业务的载体际华轻工集团有限公司（以下简称“际华轻工”）整体改制变更设立的股份有限公司。 </w:t>
          </w:r>
        </w:p>
        <w:p w14:paraId="2BC7CA4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2010年6月30日经中国证券监督管理委员会证监许可[2010]884号文件核准，本公司向社会公开发行人民币普通股(A股)115,700万股，发行价格为3.50元/股，本次发行募集资金总额404,950.00 万元，扣除发行费用13,572.00万元后实际募集资金净额为人民币391,378.00万元。中瑞岳华会计师事务所有限公司于2010年8月9日对本次发行的资金到位情况进行了审验，并出具中瑞岳华验字[2010]第204号验资报告。本公司股票于2010年8月16日在上海证券交易所上市交易，公开发行后股本总额385,700万股，股票代码为：601718。 </w:t>
          </w:r>
        </w:p>
        <w:p w14:paraId="2A00BF3C">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经2016年11月09日中国证券监督管理委员会证监许可[2016]2854号文《关于核准际华集团股份有限公司非公开发行股票的批复》核准，本公司非公开发行人民币普通股534,629,404股（每股面值为人民币1.00元），发行价格为人民币8.19元/股，募集资金总额为人民币4,378,614,818.76 元。扣除发行费用（含税）人民币65,699,777.90元，实际募集资金净额人民币4,312,915,040.86 元。立信会计师事务所（特殊普通合伙）于2017年4月18日对本次非公开发行的资金到位情况进行审验，并出具信会师报字[2017]第ZB10691号验资报告。 </w:t>
          </w:r>
        </w:p>
        <w:p w14:paraId="1DBE6AD7">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截至2025年6月30日，本公司累计发行股本总数4,391,629,404.00股。公司注册资本为4,391,629,404.00 元，现持有统一社会信用代码为91110000710934270X的营业执照。公司注册地：北京市大兴区广茂大街44号院2号楼。法定代表人：夏前军。本公司的母公司为新兴际华集团有限公司，实际控制人为国务院国资委。 </w:t>
          </w:r>
        </w:p>
        <w:p w14:paraId="1D733197">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（2）公司业务性质和主要经营活动 </w:t>
          </w:r>
        </w:p>
        <w:p w14:paraId="6666AA10">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本公司所属行业为服装及其他纤维制品制造类。 </w:t>
          </w:r>
        </w:p>
        <w:p w14:paraId="128742B0">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本公司经营范围为：对所属企业资产及资本的经营管理；服装鞋帽、轻纺印染、制革装具、橡胶制品的生产和销售；医药、化工、资源开发的投资与管理；实业项目的投资与管理；商贸、物流项目的投资与管理；进出口业务；技术开发、技术服务、管理咨询。主要生产职业装、职业鞋靴、防护装具、纺织印染、皮革皮鞋产品。 </w:t>
          </w:r>
        </w:p>
        <w:p w14:paraId="0FBFE97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（3）财务报表的批准报出 </w:t>
          </w:r>
        </w:p>
        <w:p w14:paraId="4AB94787">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本财务报表业经公司董事会于2025年8月22日批准报出。</w:t>
          </w:r>
        </w:p>
      </w:sdtContent>
    </w:sdt>
    <w:p w14:paraId="0E738DB0">
      <w:pPr>
        <w:rPr>
          <w:rFonts w:cs="Times New Roman"/>
          <w:color w:val="000000" w:themeColor="text1"/>
          <w:kern w:val="2"/>
          <w14:textFill>
            <w14:solidFill>
              <w14:schemeClr w14:val="tx1"/>
            </w14:solidFill>
          </w14:textFill>
        </w:rPr>
      </w:pPr>
    </w:p>
    <w:bookmarkEnd w:id="158"/>
    <w:bookmarkEnd w:id="159"/>
    <w:p w14:paraId="608E5528">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财务报表的编制基础</w:t>
      </w:r>
    </w:p>
    <w:p w14:paraId="65EDBC82">
      <w:pPr>
        <w:pStyle w:val="57"/>
        <w:numPr>
          <w:ilvl w:val="0"/>
          <w:numId w:val="4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编制基础</w:t>
      </w:r>
    </w:p>
    <w:sdt>
      <w:sdtPr>
        <w:rPr>
          <w:rFonts w:hint="eastAsia"/>
          <w:color w:val="000000" w:themeColor="text1"/>
          <w14:textFill>
            <w14:solidFill>
              <w14:schemeClr w14:val="tx1"/>
            </w14:solidFill>
          </w14:textFill>
        </w:rPr>
        <w:alias w:val="财务报表的编制基础"/>
        <w:tag w:val="_GBC_1dc2375ed7ab49628f5badf2d5006405"/>
        <w:id w:val="147452557"/>
        <w:placeholder>
          <w:docPart w:val="GBC22222222222222222222222222222"/>
        </w:placeholder>
      </w:sdtPr>
      <w:sdtEndPr>
        <w:rPr>
          <w:rFonts w:hint="eastAsia"/>
          <w:color w:val="000000" w:themeColor="text1"/>
          <w14:textFill>
            <w14:solidFill>
              <w14:schemeClr w14:val="tx1"/>
            </w14:solidFill>
          </w14:textFill>
        </w:rPr>
      </w:sdtEndPr>
      <w:sdtContent>
        <w:p w14:paraId="6E855BFE">
          <w:pPr>
            <w:rPr>
              <w:color w:val="000000" w:themeColor="text1"/>
              <w14:textFill>
                <w14:solidFill>
                  <w14:schemeClr w14:val="tx1"/>
                </w14:solidFill>
              </w14:textFill>
            </w:rPr>
          </w:pPr>
          <w:r>
            <w:rPr>
              <w:color w:val="000000" w:themeColor="text1"/>
              <w14:textFill>
                <w14:solidFill>
                  <w14:schemeClr w14:val="tx1"/>
                </w14:solidFill>
              </w14:textFill>
            </w:rPr>
            <w:t>本公司财务报表以持续经营为编制基础。</w:t>
          </w:r>
        </w:p>
      </w:sdtContent>
    </w:sdt>
    <w:p w14:paraId="248090CA">
      <w:pPr>
        <w:rPr>
          <w:color w:val="000000" w:themeColor="text1"/>
          <w14:textFill>
            <w14:solidFill>
              <w14:schemeClr w14:val="tx1"/>
            </w14:solidFill>
          </w14:textFill>
        </w:rPr>
      </w:pPr>
    </w:p>
    <w:p w14:paraId="09AEA728">
      <w:pPr>
        <w:pStyle w:val="57"/>
        <w:numPr>
          <w:ilvl w:val="0"/>
          <w:numId w:val="45"/>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持续经营</w:t>
      </w:r>
    </w:p>
    <w:sdt>
      <w:sdtPr>
        <w:rPr>
          <w:color w:val="000000" w:themeColor="text1"/>
          <w14:textFill>
            <w14:solidFill>
              <w14:schemeClr w14:val="tx1"/>
            </w14:solidFill>
          </w14:textFill>
        </w:rPr>
        <w:alias w:val="是否适用：持续经营[双击切换]"/>
        <w:tag w:val="_GBC_7a7bd82392314f508ef1adfe80947192"/>
        <w:id w:val="147477226"/>
        <w:placeholder>
          <w:docPart w:val="GBC22222222222222222222222222222"/>
        </w:placeholder>
      </w:sdtPr>
      <w:sdtEndPr>
        <w:rPr>
          <w:color w:val="000000" w:themeColor="text1"/>
          <w14:textFill>
            <w14:solidFill>
              <w14:schemeClr w14:val="tx1"/>
            </w14:solidFill>
          </w14:textFill>
        </w:rPr>
      </w:sdtEndPr>
      <w:sdtContent>
        <w:p w14:paraId="1781569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持续经营"/>
        <w:tag w:val="_GBC_dc876c24006b428987a041949eb554f3"/>
        <w:id w:val="147455554"/>
        <w:placeholder>
          <w:docPart w:val="GBC22222222222222222222222222222"/>
        </w:placeholder>
      </w:sdtPr>
      <w:sdtEndPr>
        <w:rPr>
          <w:color w:val="000000" w:themeColor="text1"/>
          <w14:textFill>
            <w14:solidFill>
              <w14:schemeClr w14:val="tx1"/>
            </w14:solidFill>
          </w14:textFill>
        </w:rPr>
      </w:sdtEndPr>
      <w:sdtContent>
        <w:p w14:paraId="6075D7AD">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本公司对报告期末起12个月的持续经营能力进行了评价，未发现对持续经营能力产生重大怀疑的事项或情况。因此，本财务报表系在持续经营假设的基础上编制。</w:t>
          </w:r>
        </w:p>
      </w:sdtContent>
    </w:sdt>
    <w:p w14:paraId="23F28E38">
      <w:pPr>
        <w:rPr>
          <w:color w:val="000000" w:themeColor="text1"/>
          <w14:textFill>
            <w14:solidFill>
              <w14:schemeClr w14:val="tx1"/>
            </w14:solidFill>
          </w14:textFill>
        </w:rPr>
      </w:pPr>
    </w:p>
    <w:p w14:paraId="5401CD3F">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重要会计政策及会计估计</w:t>
      </w:r>
    </w:p>
    <w:p w14:paraId="405EFFB0">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具体会计政策和会计估计提示：</w:t>
      </w:r>
    </w:p>
    <w:sdt>
      <w:sdtPr>
        <w:rPr>
          <w:color w:val="000000" w:themeColor="text1"/>
          <w14:textFill>
            <w14:solidFill>
              <w14:schemeClr w14:val="tx1"/>
            </w14:solidFill>
          </w14:textFill>
        </w:rPr>
        <w:alias w:val="是否适用：具体会计政策和会计估计提示[双击切换]"/>
        <w:tag w:val="_GBC_77c62823e3884e1fbfb236cea1f9f425"/>
        <w:id w:val="147461504"/>
        <w:placeholder>
          <w:docPart w:val="GBC22222222222222222222222222222"/>
        </w:placeholder>
      </w:sdtPr>
      <w:sdtEndPr>
        <w:rPr>
          <w:color w:val="000000" w:themeColor="text1"/>
          <w14:textFill>
            <w14:solidFill>
              <w14:schemeClr w14:val="tx1"/>
            </w14:solidFill>
          </w14:textFill>
        </w:rPr>
      </w:sdtEndPr>
      <w:sdtContent>
        <w:p w14:paraId="29ED291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具体会计政策和会计估计提示"/>
        <w:tag w:val="_GBC_caddaeaf0d1a454ab0bede37f0db7782"/>
        <w:id w:val="147474504"/>
        <w:placeholder>
          <w:docPart w:val="GBC22222222222222222222222222222"/>
        </w:placeholder>
      </w:sdtPr>
      <w:sdtEndPr>
        <w:rPr>
          <w:color w:val="000000" w:themeColor="text1"/>
          <w14:textFill>
            <w14:solidFill>
              <w14:schemeClr w14:val="tx1"/>
            </w14:solidFill>
          </w14:textFill>
        </w:rPr>
      </w:sdtEndPr>
      <w:sdtContent>
        <w:p w14:paraId="4401A9D2">
          <w:pPr>
            <w:rPr>
              <w:color w:val="000000" w:themeColor="text1"/>
              <w14:textFill>
                <w14:solidFill>
                  <w14:schemeClr w14:val="tx1"/>
                </w14:solidFill>
              </w14:textFill>
            </w:rPr>
          </w:pPr>
          <w:r>
            <w:rPr>
              <w:rFonts w:hint="eastAsia"/>
              <w:color w:val="000000" w:themeColor="text1"/>
              <w14:textFill>
                <w14:solidFill>
                  <w14:schemeClr w14:val="tx1"/>
                </w14:solidFill>
              </w14:textFill>
            </w:rPr>
            <w:t>以下披露内容已涵盖了本公司根据实际生产经营特点制定的具体会计政策和会计估计。详见本附注“五、11、金融工具”、“五、13、应收账款”、“五、15、其他应收款”、“五、21、固定资产”、“五、26、无形资产”、“五、34、收入”。</w:t>
          </w:r>
        </w:p>
      </w:sdtContent>
    </w:sdt>
    <w:p w14:paraId="57421885">
      <w:pPr>
        <w:rPr>
          <w:color w:val="000000" w:themeColor="text1"/>
          <w14:textFill>
            <w14:solidFill>
              <w14:schemeClr w14:val="tx1"/>
            </w14:solidFill>
          </w14:textFill>
        </w:rPr>
      </w:pPr>
    </w:p>
    <w:p w14:paraId="656DFDF0">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遵循企业会计准则的声明</w:t>
      </w:r>
    </w:p>
    <w:sdt>
      <w:sdtPr>
        <w:rPr>
          <w:rFonts w:hint="eastAsia"/>
          <w:color w:val="000000" w:themeColor="text1"/>
          <w14:textFill>
            <w14:solidFill>
              <w14:schemeClr w14:val="tx1"/>
            </w14:solidFill>
          </w14:textFill>
        </w:rPr>
        <w:alias w:val="会计准则和会计制度"/>
        <w:tag w:val="_GBC_a350b889163a4ef3bb500c021e6a6b47"/>
        <w:id w:val="147469285"/>
        <w:placeholder>
          <w:docPart w:val="GBC22222222222222222222222222222"/>
        </w:placeholder>
      </w:sdtPr>
      <w:sdtEndPr>
        <w:rPr>
          <w:rFonts w:hint="eastAsia"/>
          <w:color w:val="000000" w:themeColor="text1"/>
          <w14:textFill>
            <w14:solidFill>
              <w14:schemeClr w14:val="tx1"/>
            </w14:solidFill>
          </w14:textFill>
        </w:rPr>
      </w:sdtEndPr>
      <w:sdtContent>
        <w:p w14:paraId="72BA2F3A">
          <w:pPr>
            <w:rPr>
              <w:color w:val="000000" w:themeColor="text1"/>
              <w14:textFill>
                <w14:solidFill>
                  <w14:schemeClr w14:val="tx1"/>
                </w14:solidFill>
              </w14:textFill>
            </w:rPr>
          </w:pPr>
          <w:r>
            <w:rPr>
              <w:color w:val="000000" w:themeColor="text1"/>
              <w14:textFill>
                <w14:solidFill>
                  <w14:schemeClr w14:val="tx1"/>
                </w14:solidFill>
              </w14:textFill>
            </w:rPr>
            <w:t>本公司所编制的财务报表符合企业会计准则的要求，真实、完整地反映了公司的财务状况、经营成果、股东权益变动和现金流量等有关信息。</w:t>
          </w:r>
        </w:p>
      </w:sdtContent>
    </w:sdt>
    <w:p w14:paraId="16550A3A">
      <w:pPr>
        <w:rPr>
          <w:color w:val="000000" w:themeColor="text1"/>
          <w14:textFill>
            <w14:solidFill>
              <w14:schemeClr w14:val="tx1"/>
            </w14:solidFill>
          </w14:textFill>
        </w:rPr>
      </w:pPr>
    </w:p>
    <w:p w14:paraId="53DF7CF3">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会计期间</w:t>
      </w:r>
    </w:p>
    <w:sdt>
      <w:sdtPr>
        <w:rPr>
          <w:rFonts w:hint="eastAsia"/>
          <w:color w:val="000000" w:themeColor="text1"/>
          <w14:textFill>
            <w14:solidFill>
              <w14:schemeClr w14:val="tx1"/>
            </w14:solidFill>
          </w14:textFill>
        </w:rPr>
        <w:alias w:val="会计年度"/>
        <w:tag w:val="_GBC_fc896fba50b143f8a06984831f5d5600"/>
        <w:id w:val="147466611"/>
        <w:placeholder>
          <w:docPart w:val="GBC22222222222222222222222222222"/>
        </w:placeholder>
      </w:sdtPr>
      <w:sdtEndPr>
        <w:rPr>
          <w:rFonts w:hint="eastAsia"/>
          <w:color w:val="000000" w:themeColor="text1"/>
          <w14:textFill>
            <w14:solidFill>
              <w14:schemeClr w14:val="tx1"/>
            </w14:solidFill>
          </w14:textFill>
        </w:rPr>
      </w:sdtEndPr>
      <w:sdtContent>
        <w:p w14:paraId="5DD905D4">
          <w:pPr>
            <w:rPr>
              <w:color w:val="000000" w:themeColor="text1"/>
              <w14:textFill>
                <w14:solidFill>
                  <w14:schemeClr w14:val="tx1"/>
                </w14:solidFill>
              </w14:textFill>
            </w:rPr>
          </w:pPr>
          <w:r>
            <w:rPr>
              <w:color w:val="000000" w:themeColor="text1"/>
              <w14:textFill>
                <w14:solidFill>
                  <w14:schemeClr w14:val="tx1"/>
                </w14:solidFill>
              </w14:textFill>
            </w:rPr>
            <w:t>本公司会计年度自公历1月1日起至12月31日止。</w:t>
          </w:r>
        </w:p>
      </w:sdtContent>
    </w:sdt>
    <w:p w14:paraId="467C087F">
      <w:pPr>
        <w:rPr>
          <w:color w:val="000000" w:themeColor="text1"/>
          <w14:textFill>
            <w14:solidFill>
              <w14:schemeClr w14:val="tx1"/>
            </w14:solidFill>
          </w14:textFill>
        </w:rPr>
      </w:pPr>
    </w:p>
    <w:p w14:paraId="71D7D6AF">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营业周期</w:t>
      </w:r>
    </w:p>
    <w:sdt>
      <w:sdtPr>
        <w:rPr>
          <w:color w:val="000000" w:themeColor="text1"/>
          <w14:textFill>
            <w14:solidFill>
              <w14:schemeClr w14:val="tx1"/>
            </w14:solidFill>
          </w14:textFill>
        </w:rPr>
        <w:alias w:val="是否适用：营业周期[双击切换]"/>
        <w:tag w:val="_GBC_1668f7f497234cf886206b57711c4c87"/>
        <w:id w:val="147480698"/>
        <w:placeholder>
          <w:docPart w:val="GBC22222222222222222222222222222"/>
        </w:placeholder>
      </w:sdtPr>
      <w:sdtEndPr>
        <w:rPr>
          <w:color w:val="000000" w:themeColor="text1"/>
          <w14:textFill>
            <w14:solidFill>
              <w14:schemeClr w14:val="tx1"/>
            </w14:solidFill>
          </w14:textFill>
        </w:rPr>
      </w:sdtEndPr>
      <w:sdtContent>
        <w:p w14:paraId="4559B21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营业周期"/>
        <w:tag w:val="_GBC_e145e43187d9463889884f48e9e0b234"/>
        <w:id w:val="147463393"/>
        <w:placeholder>
          <w:docPart w:val="GBC22222222222222222222222222222"/>
        </w:placeholder>
      </w:sdtPr>
      <w:sdtEndPr>
        <w:rPr>
          <w:color w:val="000000" w:themeColor="text1"/>
          <w14:textFill>
            <w14:solidFill>
              <w14:schemeClr w14:val="tx1"/>
            </w14:solidFill>
          </w14:textFill>
        </w:rPr>
      </w:sdtEndPr>
      <w:sdtContent>
        <w:p w14:paraId="19A6523D">
          <w:pPr>
            <w:rPr>
              <w:color w:val="000000" w:themeColor="text1"/>
              <w14:textFill>
                <w14:solidFill>
                  <w14:schemeClr w14:val="tx1"/>
                </w14:solidFill>
              </w14:textFill>
            </w:rPr>
          </w:pPr>
          <w:r>
            <w:rPr>
              <w:rFonts w:hint="eastAsia"/>
              <w:color w:val="000000" w:themeColor="text1"/>
              <w14:textFill>
                <w14:solidFill>
                  <w14:schemeClr w14:val="tx1"/>
                </w14:solidFill>
              </w14:textFill>
            </w:rPr>
            <w:t>以12个月作为一个营业周期，并以其作为资产和负债的流动性划分标准。</w:t>
          </w:r>
        </w:p>
      </w:sdtContent>
    </w:sdt>
    <w:p w14:paraId="449C4A4C">
      <w:pPr>
        <w:rPr>
          <w:color w:val="000000" w:themeColor="text1"/>
          <w14:textFill>
            <w14:solidFill>
              <w14:schemeClr w14:val="tx1"/>
            </w14:solidFill>
          </w14:textFill>
        </w:rPr>
      </w:pPr>
    </w:p>
    <w:p w14:paraId="315557F8">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记账本位币</w:t>
      </w:r>
    </w:p>
    <w:sdt>
      <w:sdtPr>
        <w:rPr>
          <w:rFonts w:hint="eastAsia"/>
          <w:color w:val="000000" w:themeColor="text1"/>
          <w14:textFill>
            <w14:solidFill>
              <w14:schemeClr w14:val="tx1"/>
            </w14:solidFill>
          </w14:textFill>
        </w:rPr>
        <w:alias w:val="记账本位币"/>
        <w:tag w:val="_GBC_3749a2357eba44e8b968cb41cda75ff1"/>
        <w:id w:val="147458436"/>
        <w:placeholder>
          <w:docPart w:val="GBC22222222222222222222222222222"/>
        </w:placeholder>
      </w:sdtPr>
      <w:sdtEndPr>
        <w:rPr>
          <w:rFonts w:hint="eastAsia"/>
          <w:color w:val="000000" w:themeColor="text1"/>
          <w14:textFill>
            <w14:solidFill>
              <w14:schemeClr w14:val="tx1"/>
            </w14:solidFill>
          </w14:textFill>
        </w:rPr>
      </w:sdtEndPr>
      <w:sdtContent>
        <w:p w14:paraId="2728B5A3">
          <w:pPr>
            <w:rPr>
              <w:color w:val="000000" w:themeColor="text1"/>
              <w14:textFill>
                <w14:solidFill>
                  <w14:schemeClr w14:val="tx1"/>
                </w14:solidFill>
              </w14:textFill>
            </w:rPr>
          </w:pPr>
          <w:r>
            <w:rPr>
              <w:color w:val="000000" w:themeColor="text1"/>
              <w14:textFill>
                <w14:solidFill>
                  <w14:schemeClr w14:val="tx1"/>
                </w14:solidFill>
              </w14:textFill>
            </w:rPr>
            <w:t>本公司的记账本位币为人民币。</w:t>
          </w:r>
        </w:p>
      </w:sdtContent>
    </w:sdt>
    <w:p w14:paraId="45BAAE6E">
      <w:pPr>
        <w:rPr>
          <w:rFonts w:cs="Times New Roman"/>
          <w:color w:val="000000" w:themeColor="text1"/>
          <w:kern w:val="2"/>
          <w14:textFill>
            <w14:solidFill>
              <w14:schemeClr w14:val="tx1"/>
            </w14:solidFill>
          </w14:textFill>
        </w:rPr>
      </w:pPr>
    </w:p>
    <w:p w14:paraId="779EFDF1">
      <w:pPr>
        <w:pStyle w:val="57"/>
        <w:numPr>
          <w:ilvl w:val="0"/>
          <w:numId w:val="46"/>
        </w:numPr>
        <w:rPr>
          <w:rFonts w:ascii="宋体" w:hAnsi="宋体"/>
          <w:color w:val="000000" w:themeColor="text1"/>
          <w14:textFill>
            <w14:solidFill>
              <w14:schemeClr w14:val="tx1"/>
            </w14:solidFill>
          </w14:textFill>
        </w:rPr>
      </w:pPr>
      <w:bookmarkStart w:id="160" w:name="_Hlk169007161"/>
      <w:bookmarkStart w:id="161" w:name="_Hlk167809539"/>
      <w:r>
        <w:rPr>
          <w:rFonts w:ascii="宋体" w:hAnsi="宋体"/>
          <w:color w:val="000000" w:themeColor="text1"/>
          <w14:textFill>
            <w14:solidFill>
              <w14:schemeClr w14:val="tx1"/>
            </w14:solidFill>
          </w14:textFill>
        </w:rPr>
        <w:t>重要性标准确定方法和选择依据</w:t>
      </w:r>
    </w:p>
    <w:sdt>
      <w:sdtPr>
        <w:rPr>
          <w:color w:val="000000" w:themeColor="text1"/>
          <w14:textFill>
            <w14:solidFill>
              <w14:schemeClr w14:val="tx1"/>
            </w14:solidFill>
          </w14:textFill>
        </w:rPr>
        <w:alias w:val="是否适用：重要性标准确定方法和选择依据[双击切换]"/>
        <w:tag w:val="_GBC_1f44a82433fd445aac6090cd207979fd"/>
        <w:id w:val="147475235"/>
        <w:placeholder>
          <w:docPart w:val="GBC22222222222222222222222222222"/>
        </w:placeholder>
      </w:sdtPr>
      <w:sdtEndPr>
        <w:rPr>
          <w:color w:val="000000" w:themeColor="text1"/>
          <w14:textFill>
            <w14:solidFill>
              <w14:schemeClr w14:val="tx1"/>
            </w14:solidFill>
          </w14:textFill>
        </w:rPr>
      </w:sdtEndPr>
      <w:sdtContent>
        <w:p w14:paraId="522DFC7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5000"/>
      </w:tblGrid>
      <w:tr w14:paraId="19C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d2a16b36b194561ae6c2ac9de9d21f1"/>
            <w:id w:val="147482752"/>
          </w:sdtPr>
          <w:sdtContent>
            <w:tc>
              <w:tcPr>
                <w:tcW w:w="3823" w:type="dxa"/>
              </w:tcPr>
              <w:p w14:paraId="196655E0">
                <w:pPr>
                  <w:widowControl w:val="0"/>
                  <w:jc w:val="center"/>
                </w:pPr>
                <w:r>
                  <w:rPr>
                    <w:rFonts w:hint="eastAsia"/>
                  </w:rPr>
                  <w:t>项目</w:t>
                </w:r>
              </w:p>
            </w:tc>
          </w:sdtContent>
        </w:sdt>
        <w:sdt>
          <w:sdtPr>
            <w:tag w:val="_PLD_eb4e754207e74cc59df0dce32451d27d"/>
            <w:id w:val="147472208"/>
          </w:sdtPr>
          <w:sdtContent>
            <w:tc>
              <w:tcPr>
                <w:tcW w:w="5000" w:type="dxa"/>
              </w:tcPr>
              <w:p w14:paraId="0DAFBD39">
                <w:pPr>
                  <w:widowControl w:val="0"/>
                  <w:jc w:val="center"/>
                </w:pPr>
                <w:r>
                  <w:t>重要性标准</w:t>
                </w:r>
              </w:p>
            </w:tc>
          </w:sdtContent>
        </w:sdt>
      </w:tr>
      <w:tr w14:paraId="7FB1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vAlign w:val="center"/>
          </w:tcPr>
          <w:p w14:paraId="291D21A4">
            <w:pPr>
              <w:widowControl w:val="0"/>
              <w:jc w:val="both"/>
            </w:pPr>
            <w:r>
              <w:rPr>
                <w:rFonts w:cs="Times New Roman"/>
                <w:color w:val="000000"/>
              </w:rPr>
              <w:t>重要的单项计提坏账准备的应收款项</w:t>
            </w:r>
          </w:p>
        </w:tc>
        <w:tc>
          <w:tcPr>
            <w:tcW w:w="5000" w:type="dxa"/>
            <w:vAlign w:val="center"/>
          </w:tcPr>
          <w:p w14:paraId="167F2953">
            <w:pPr>
              <w:widowControl w:val="0"/>
              <w:jc w:val="both"/>
            </w:pPr>
            <w:r>
              <w:rPr>
                <w:bCs w:val="0"/>
              </w:rPr>
              <w:t>单笔金额500</w:t>
            </w:r>
            <w:r>
              <w:rPr>
                <w:rFonts w:cs="Times New Roman"/>
                <w:bCs w:val="0"/>
              </w:rPr>
              <w:t>万以上（包含</w:t>
            </w:r>
            <w:r>
              <w:rPr>
                <w:bCs w:val="0"/>
              </w:rPr>
              <w:t>500</w:t>
            </w:r>
            <w:r>
              <w:rPr>
                <w:rFonts w:cs="Times New Roman"/>
                <w:bCs w:val="0"/>
              </w:rPr>
              <w:t>万）</w:t>
            </w:r>
          </w:p>
        </w:tc>
      </w:tr>
      <w:tr w14:paraId="758D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vAlign w:val="center"/>
          </w:tcPr>
          <w:p w14:paraId="0F58C5AE">
            <w:pPr>
              <w:widowControl w:val="0"/>
              <w:jc w:val="both"/>
            </w:pPr>
            <w:r>
              <w:rPr>
                <w:rFonts w:hint="eastAsia" w:cs="Times New Roman"/>
                <w:color w:val="000000"/>
              </w:rPr>
              <w:t>重要的</w:t>
            </w:r>
            <w:r>
              <w:rPr>
                <w:rFonts w:cs="Times New Roman"/>
                <w:color w:val="000000"/>
              </w:rPr>
              <w:t>应收款项坏账准备收回或转回</w:t>
            </w:r>
          </w:p>
        </w:tc>
        <w:tc>
          <w:tcPr>
            <w:tcW w:w="5000" w:type="dxa"/>
            <w:vAlign w:val="center"/>
          </w:tcPr>
          <w:p w14:paraId="7BE459F7">
            <w:pPr>
              <w:widowControl w:val="0"/>
              <w:jc w:val="both"/>
            </w:pPr>
            <w:r>
              <w:rPr>
                <w:bCs w:val="0"/>
              </w:rPr>
              <w:t>单笔金额500</w:t>
            </w:r>
            <w:r>
              <w:rPr>
                <w:rFonts w:cs="Times New Roman"/>
                <w:bCs w:val="0"/>
              </w:rPr>
              <w:t>万以上（包含</w:t>
            </w:r>
            <w:r>
              <w:rPr>
                <w:bCs w:val="0"/>
              </w:rPr>
              <w:t>500</w:t>
            </w:r>
            <w:r>
              <w:rPr>
                <w:rFonts w:cs="Times New Roman"/>
                <w:bCs w:val="0"/>
              </w:rPr>
              <w:t>万）</w:t>
            </w:r>
          </w:p>
        </w:tc>
      </w:tr>
      <w:tr w14:paraId="1655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vAlign w:val="center"/>
          </w:tcPr>
          <w:p w14:paraId="14B56A7B">
            <w:pPr>
              <w:widowControl w:val="0"/>
              <w:jc w:val="both"/>
            </w:pPr>
            <w:r>
              <w:rPr>
                <w:rFonts w:cs="Times New Roman"/>
                <w:color w:val="000000"/>
              </w:rPr>
              <w:t>重要的</w:t>
            </w:r>
            <w:r>
              <w:rPr>
                <w:rFonts w:hint="eastAsia" w:cs="Times New Roman"/>
                <w:color w:val="000000"/>
              </w:rPr>
              <w:t>核销</w:t>
            </w:r>
            <w:r>
              <w:rPr>
                <w:rFonts w:cs="Times New Roman"/>
                <w:color w:val="000000"/>
              </w:rPr>
              <w:t>应收款项</w:t>
            </w:r>
          </w:p>
        </w:tc>
        <w:tc>
          <w:tcPr>
            <w:tcW w:w="5000" w:type="dxa"/>
            <w:vAlign w:val="center"/>
          </w:tcPr>
          <w:p w14:paraId="55D72885">
            <w:pPr>
              <w:widowControl w:val="0"/>
              <w:jc w:val="both"/>
            </w:pPr>
            <w:r>
              <w:rPr>
                <w:bCs w:val="0"/>
              </w:rPr>
              <w:t>单笔金额500</w:t>
            </w:r>
            <w:r>
              <w:rPr>
                <w:rFonts w:cs="Times New Roman"/>
                <w:bCs w:val="0"/>
              </w:rPr>
              <w:t>万以上（包含</w:t>
            </w:r>
            <w:r>
              <w:rPr>
                <w:bCs w:val="0"/>
              </w:rPr>
              <w:t>500</w:t>
            </w:r>
            <w:r>
              <w:rPr>
                <w:rFonts w:cs="Times New Roman"/>
                <w:bCs w:val="0"/>
              </w:rPr>
              <w:t>万）</w:t>
            </w:r>
          </w:p>
        </w:tc>
      </w:tr>
      <w:tr w14:paraId="1C27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vAlign w:val="center"/>
          </w:tcPr>
          <w:p w14:paraId="1FF7866C">
            <w:pPr>
              <w:widowControl w:val="0"/>
              <w:jc w:val="both"/>
            </w:pPr>
            <w:r>
              <w:rPr>
                <w:rFonts w:cs="Times New Roman"/>
                <w:color w:val="000000"/>
              </w:rPr>
              <w:t>重要的在建工程</w:t>
            </w:r>
            <w:r>
              <w:rPr>
                <w:rFonts w:hint="eastAsia" w:cs="Times New Roman"/>
                <w:color w:val="000000"/>
              </w:rPr>
              <w:t>项目</w:t>
            </w:r>
          </w:p>
        </w:tc>
        <w:tc>
          <w:tcPr>
            <w:tcW w:w="5000" w:type="dxa"/>
            <w:vAlign w:val="center"/>
          </w:tcPr>
          <w:p w14:paraId="23CB75DB">
            <w:pPr>
              <w:widowControl w:val="0"/>
              <w:jc w:val="both"/>
            </w:pPr>
            <w:r>
              <w:rPr>
                <w:bCs w:val="0"/>
              </w:rPr>
              <w:t>单项期末金额3000</w:t>
            </w:r>
            <w:r>
              <w:rPr>
                <w:rFonts w:cs="Times New Roman"/>
                <w:bCs w:val="0"/>
              </w:rPr>
              <w:t>万元以上（包含</w:t>
            </w:r>
            <w:r>
              <w:rPr>
                <w:bCs w:val="0"/>
              </w:rPr>
              <w:t>3000</w:t>
            </w:r>
            <w:r>
              <w:rPr>
                <w:rFonts w:cs="Times New Roman"/>
                <w:bCs w:val="0"/>
              </w:rPr>
              <w:t>万元）</w:t>
            </w:r>
          </w:p>
        </w:tc>
      </w:tr>
      <w:tr w14:paraId="241D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vAlign w:val="center"/>
          </w:tcPr>
          <w:p w14:paraId="4036232B">
            <w:pPr>
              <w:widowControl w:val="0"/>
              <w:jc w:val="both"/>
            </w:pPr>
            <w:r>
              <w:rPr>
                <w:rFonts w:cs="Times New Roman"/>
                <w:color w:val="000000"/>
              </w:rPr>
              <w:t>重要的非全资子公司</w:t>
            </w:r>
          </w:p>
        </w:tc>
        <w:tc>
          <w:tcPr>
            <w:tcW w:w="5000" w:type="dxa"/>
            <w:vAlign w:val="center"/>
          </w:tcPr>
          <w:p w14:paraId="4C6082F1">
            <w:pPr>
              <w:widowControl w:val="0"/>
              <w:jc w:val="both"/>
            </w:pPr>
            <w:r>
              <w:rPr>
                <w:bCs w:val="0"/>
              </w:rPr>
              <w:t>占合并报表总资产0.5%</w:t>
            </w:r>
            <w:r>
              <w:rPr>
                <w:rFonts w:cs="Times New Roman"/>
                <w:bCs w:val="0"/>
              </w:rPr>
              <w:t>，且收入金额</w:t>
            </w:r>
            <w:r>
              <w:rPr>
                <w:bCs w:val="0"/>
              </w:rPr>
              <w:t>1</w:t>
            </w:r>
            <w:r>
              <w:rPr>
                <w:rFonts w:cs="Times New Roman"/>
                <w:bCs w:val="0"/>
              </w:rPr>
              <w:t>亿元以上</w:t>
            </w:r>
          </w:p>
        </w:tc>
      </w:tr>
      <w:tr w14:paraId="1D69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vAlign w:val="center"/>
          </w:tcPr>
          <w:p w14:paraId="515CD3FD">
            <w:pPr>
              <w:widowControl w:val="0"/>
              <w:jc w:val="both"/>
            </w:pPr>
            <w:r>
              <w:rPr>
                <w:rFonts w:cs="Times New Roman"/>
                <w:color w:val="000000"/>
              </w:rPr>
              <w:t>重要的联营合营企业</w:t>
            </w:r>
          </w:p>
        </w:tc>
        <w:tc>
          <w:tcPr>
            <w:tcW w:w="5000" w:type="dxa"/>
            <w:vAlign w:val="center"/>
          </w:tcPr>
          <w:p w14:paraId="183BB57A">
            <w:pPr>
              <w:widowControl w:val="0"/>
              <w:jc w:val="both"/>
            </w:pPr>
            <w:r>
              <w:rPr>
                <w:bCs w:val="0"/>
              </w:rPr>
              <w:t>联营合营企业资产规模5000</w:t>
            </w:r>
            <w:r>
              <w:rPr>
                <w:rFonts w:cs="Times New Roman"/>
                <w:bCs w:val="0"/>
              </w:rPr>
              <w:t>万元以上，且收入规模</w:t>
            </w:r>
            <w:r>
              <w:rPr>
                <w:bCs w:val="0"/>
              </w:rPr>
              <w:t>5000</w:t>
            </w:r>
            <w:r>
              <w:rPr>
                <w:rFonts w:cs="Times New Roman"/>
                <w:bCs w:val="0"/>
              </w:rPr>
              <w:t>万元以上</w:t>
            </w:r>
          </w:p>
        </w:tc>
      </w:tr>
    </w:tbl>
    <w:p w14:paraId="64DA208E">
      <w:pPr>
        <w:rPr>
          <w:color w:val="000000" w:themeColor="text1"/>
          <w14:textFill>
            <w14:solidFill>
              <w14:schemeClr w14:val="tx1"/>
            </w14:solidFill>
          </w14:textFill>
        </w:rPr>
      </w:pPr>
    </w:p>
    <w:bookmarkEnd w:id="160"/>
    <w:bookmarkEnd w:id="161"/>
    <w:p w14:paraId="51C4DDB2">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同一控制下和非同一控制下企业合并的会计处理方法</w:t>
      </w:r>
    </w:p>
    <w:sdt>
      <w:sdtPr>
        <w:rPr>
          <w:rFonts w:hint="eastAsia"/>
          <w:color w:val="000000" w:themeColor="text1"/>
          <w14:textFill>
            <w14:solidFill>
              <w14:schemeClr w14:val="tx1"/>
            </w14:solidFill>
          </w14:textFill>
        </w:rPr>
        <w:alias w:val="是否适用：同一控制下和非同一控制下企业合并的会计处理方法[双击切换]"/>
        <w:tag w:val="_GBC_15953b39483a4ce1a5c96869e4a0ae9c"/>
        <w:id w:val="147451258"/>
        <w:placeholder>
          <w:docPart w:val="GBC22222222222222222222222222222"/>
        </w:placeholder>
      </w:sdtPr>
      <w:sdtEndPr>
        <w:rPr>
          <w:rFonts w:hint="eastAsia"/>
          <w:color w:val="000000" w:themeColor="text1"/>
          <w14:textFill>
            <w14:solidFill>
              <w14:schemeClr w14:val="tx1"/>
            </w14:solidFill>
          </w14:textFill>
        </w:rPr>
      </w:sdtEndPr>
      <w:sdtContent>
        <w:p w14:paraId="084F329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同一控制下和非同一控制下企业合并的会计处理方法"/>
        <w:tag w:val="_GBC_ef4b9a8d4ac34f45a0f61a23267bcbb8"/>
        <w:id w:val="147475775"/>
        <w:placeholder>
          <w:docPart w:val="GBC22222222222222222222222222222"/>
        </w:placeholder>
      </w:sdtPr>
      <w:sdtEndPr>
        <w:rPr>
          <w:rFonts w:hint="eastAsia"/>
          <w:color w:val="000000" w:themeColor="text1"/>
          <w14:textFill>
            <w14:solidFill>
              <w14:schemeClr w14:val="tx1"/>
            </w14:solidFill>
          </w14:textFill>
        </w:rPr>
      </w:sdtEndPr>
      <w:sdtContent>
        <w:p w14:paraId="2BA65162">
          <w:pPr>
            <w:rPr>
              <w:color w:val="000000" w:themeColor="text1"/>
              <w14:textFill>
                <w14:solidFill>
                  <w14:schemeClr w14:val="tx1"/>
                </w14:solidFill>
              </w14:textFill>
            </w:rPr>
          </w:pPr>
          <w:r>
            <w:rPr>
              <w:rFonts w:hint="eastAsia"/>
              <w:color w:val="000000" w:themeColor="text1"/>
              <w14:textFill>
                <w14:solidFill>
                  <w14:schemeClr w14:val="tx1"/>
                </w14:solidFill>
              </w14:textFill>
            </w:rPr>
            <w:t>（1）同一控制下企业合并的会计处理方法</w:t>
          </w:r>
        </w:p>
        <w:p w14:paraId="42CF74EC">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在企业合并中取得的资产和负债，按照合并日被合并方在最终控制方合并财务报表中的账面价值计量。公司按照被合并方所有者权益在最终控制方合并财务报表中的账面价值份额与支付的合并对价账面价值或发行股份面值总额的差额，调整资本公积；资本公积不足冲减的，调整留存收益。</w:t>
          </w:r>
        </w:p>
        <w:p w14:paraId="23073F99">
          <w:pPr>
            <w:rPr>
              <w:color w:val="000000" w:themeColor="text1"/>
              <w14:textFill>
                <w14:solidFill>
                  <w14:schemeClr w14:val="tx1"/>
                </w14:solidFill>
              </w14:textFill>
            </w:rPr>
          </w:pPr>
          <w:r>
            <w:rPr>
              <w:rFonts w:hint="eastAsia"/>
              <w:color w:val="000000" w:themeColor="text1"/>
              <w14:textFill>
                <w14:solidFill>
                  <w14:schemeClr w14:val="tx1"/>
                </w14:solidFill>
              </w14:textFill>
            </w:rPr>
            <w:t>（2）非同一控制下企业合并的会计处理方法</w:t>
          </w:r>
        </w:p>
        <w:p w14:paraId="7F93A509">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在购买日对合并成本大于合并中取得的被购买方可辨认净资产公允价值份额的差额，确认为商誉；如果合并成本小于合并中取得的被购买方可辨认净资产公允价值份额，首先对取得的被购买方各项可辨认资产、负债及或有负债的公允价值以及合并成本的计量进行复核，经复核后合并成本仍小于合并中取得的被购买方可辨认净资产公允价值份额的，其差额计入当期损益。</w:t>
          </w:r>
        </w:p>
      </w:sdtContent>
    </w:sdt>
    <w:p w14:paraId="2A29AC01">
      <w:pPr>
        <w:rPr>
          <w:color w:val="000000" w:themeColor="text1"/>
          <w14:textFill>
            <w14:solidFill>
              <w14:schemeClr w14:val="tx1"/>
            </w14:solidFill>
          </w14:textFill>
        </w:rPr>
      </w:pPr>
    </w:p>
    <w:p w14:paraId="7684C4D1">
      <w:pPr>
        <w:pStyle w:val="57"/>
        <w:numPr>
          <w:ilvl w:val="0"/>
          <w:numId w:val="46"/>
        </w:numPr>
        <w:rPr>
          <w:rFonts w:ascii="宋体" w:hAnsi="宋体"/>
          <w:color w:val="000000" w:themeColor="text1"/>
          <w14:textFill>
            <w14:solidFill>
              <w14:schemeClr w14:val="tx1"/>
            </w14:solidFill>
          </w14:textFill>
        </w:rPr>
      </w:pPr>
      <w:bookmarkStart w:id="162" w:name="_Hlk169007307"/>
      <w:r>
        <w:rPr>
          <w:rFonts w:ascii="宋体" w:hAnsi="宋体"/>
          <w:color w:val="000000" w:themeColor="text1"/>
          <w14:textFill>
            <w14:solidFill>
              <w14:schemeClr w14:val="tx1"/>
            </w14:solidFill>
          </w14:textFill>
        </w:rPr>
        <w:t>控制的判断标准和合并财务报表的编制方法</w:t>
      </w:r>
    </w:p>
    <w:sdt>
      <w:sdtPr>
        <w:rPr>
          <w:rFonts w:hint="eastAsia"/>
          <w:color w:val="000000" w:themeColor="text1"/>
          <w14:textFill>
            <w14:solidFill>
              <w14:schemeClr w14:val="tx1"/>
            </w14:solidFill>
          </w14:textFill>
        </w:rPr>
        <w:alias w:val="是否适用：合并财务报表的编制方法[双击切换]"/>
        <w:tag w:val="_GBC_dad2e053cc8c4461a681b3e4926c48a6"/>
        <w:id w:val="147466482"/>
        <w:placeholder>
          <w:docPart w:val="GBC22222222222222222222222222222"/>
        </w:placeholder>
      </w:sdtPr>
      <w:sdtEndPr>
        <w:rPr>
          <w:rFonts w:hint="eastAsia"/>
          <w:color w:val="000000" w:themeColor="text1"/>
          <w14:textFill>
            <w14:solidFill>
              <w14:schemeClr w14:val="tx1"/>
            </w14:solidFill>
          </w14:textFill>
        </w:rPr>
      </w:sdtEndPr>
      <w:sdtContent>
        <w:p w14:paraId="5D2045E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企业合并及合并财务报表的说明"/>
        <w:tag w:val="_GBC_5201beca0c0944939b4a0d8d100d6fcf"/>
        <w:id w:val="147470176"/>
        <w:placeholder>
          <w:docPart w:val="GBC22222222222222222222222222222"/>
        </w:placeholder>
      </w:sdtPr>
      <w:sdtEndPr>
        <w:rPr>
          <w:rFonts w:hint="eastAsia"/>
          <w:color w:val="000000" w:themeColor="text1"/>
          <w14:textFill>
            <w14:solidFill>
              <w14:schemeClr w14:val="tx1"/>
            </w14:solidFill>
          </w14:textFill>
        </w:rPr>
      </w:sdtEndPr>
      <w:sdtContent>
        <w:p w14:paraId="7EE6E90E">
          <w:pPr>
            <w:rPr>
              <w:color w:val="000000" w:themeColor="text1"/>
              <w14:textFill>
                <w14:solidFill>
                  <w14:schemeClr w14:val="tx1"/>
                </w14:solidFill>
              </w14:textFill>
            </w:rPr>
          </w:pPr>
          <w:r>
            <w:rPr>
              <w:rFonts w:hint="eastAsia"/>
              <w:color w:val="000000" w:themeColor="text1"/>
              <w14:textFill>
                <w14:solidFill>
                  <w14:schemeClr w14:val="tx1"/>
                </w14:solidFill>
              </w14:textFill>
            </w:rPr>
            <w:t>(1)控制的判断标准</w:t>
          </w:r>
        </w:p>
        <w:p w14:paraId="13FB3DC8">
          <w:pPr>
            <w:rPr>
              <w:color w:val="000000" w:themeColor="text1"/>
              <w14:textFill>
                <w14:solidFill>
                  <w14:schemeClr w14:val="tx1"/>
                </w14:solidFill>
              </w14:textFill>
            </w:rPr>
          </w:pPr>
          <w:r>
            <w:rPr>
              <w:rFonts w:hint="eastAsia"/>
              <w:color w:val="000000" w:themeColor="text1"/>
              <w14:textFill>
                <w14:solidFill>
                  <w14:schemeClr w14:val="tx1"/>
                </w14:solidFill>
              </w14:textFill>
            </w:rPr>
            <w:t>拥有对被投资方的权力，通过参与被投资方的相关活动而享有可变回报，并且有能力运用对被投资方的权力影响其可变回报金额的，认定为控制。</w:t>
          </w:r>
        </w:p>
        <w:p w14:paraId="66B8440E">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公司在综合考虑所有相关事实和情况的基础上对是否控制被投资方进行判断。一旦相关事实和情况的变化导致对控制定义所涉及的相关要素发生变化的，本公司会进行重新评估。</w:t>
          </w:r>
        </w:p>
        <w:p w14:paraId="36918DE4">
          <w:pPr>
            <w:rPr>
              <w:color w:val="000000" w:themeColor="text1"/>
              <w14:textFill>
                <w14:solidFill>
                  <w14:schemeClr w14:val="tx1"/>
                </w14:solidFill>
              </w14:textFill>
            </w:rPr>
          </w:pPr>
          <w:r>
            <w:rPr>
              <w:rFonts w:hint="eastAsia"/>
              <w:color w:val="000000" w:themeColor="text1"/>
              <w14:textFill>
                <w14:solidFill>
                  <w14:schemeClr w14:val="tx1"/>
                </w14:solidFill>
              </w14:textFill>
            </w:rPr>
            <w:t>相关事实和情况主要包括：</w:t>
          </w:r>
        </w:p>
        <w:p w14:paraId="1EFC1436">
          <w:pPr>
            <w:rPr>
              <w:color w:val="000000" w:themeColor="text1"/>
              <w14:textFill>
                <w14:solidFill>
                  <w14:schemeClr w14:val="tx1"/>
                </w14:solidFill>
              </w14:textFill>
            </w:rPr>
          </w:pPr>
          <w:r>
            <w:rPr>
              <w:rFonts w:hint="eastAsia"/>
              <w:color w:val="000000" w:themeColor="text1"/>
              <w14:textFill>
                <w14:solidFill>
                  <w14:schemeClr w14:val="tx1"/>
                </w14:solidFill>
              </w14:textFill>
            </w:rPr>
            <w:t>①被投资方的设立目的。</w:t>
          </w:r>
        </w:p>
        <w:p w14:paraId="43D6D0D7">
          <w:pPr>
            <w:rPr>
              <w:color w:val="000000" w:themeColor="text1"/>
              <w14:textFill>
                <w14:solidFill>
                  <w14:schemeClr w14:val="tx1"/>
                </w14:solidFill>
              </w14:textFill>
            </w:rPr>
          </w:pPr>
          <w:r>
            <w:rPr>
              <w:rFonts w:hint="eastAsia"/>
              <w:color w:val="000000" w:themeColor="text1"/>
              <w14:textFill>
                <w14:solidFill>
                  <w14:schemeClr w14:val="tx1"/>
                </w14:solidFill>
              </w14:textFill>
            </w:rPr>
            <w:t>②被投资方的相关活动以及如何对相关活动作出决策。</w:t>
          </w:r>
        </w:p>
        <w:p w14:paraId="4E2C1281">
          <w:pPr>
            <w:rPr>
              <w:color w:val="000000" w:themeColor="text1"/>
              <w14:textFill>
                <w14:solidFill>
                  <w14:schemeClr w14:val="tx1"/>
                </w14:solidFill>
              </w14:textFill>
            </w:rPr>
          </w:pPr>
          <w:r>
            <w:rPr>
              <w:rFonts w:hint="eastAsia"/>
              <w:color w:val="000000" w:themeColor="text1"/>
              <w14:textFill>
                <w14:solidFill>
                  <w14:schemeClr w14:val="tx1"/>
                </w14:solidFill>
              </w14:textFill>
            </w:rPr>
            <w:t>③投资方享有的权利是否使其目前有能力主导被投资方的相关活动。</w:t>
          </w:r>
        </w:p>
        <w:p w14:paraId="6ECE6F52">
          <w:pPr>
            <w:rPr>
              <w:color w:val="000000" w:themeColor="text1"/>
              <w14:textFill>
                <w14:solidFill>
                  <w14:schemeClr w14:val="tx1"/>
                </w14:solidFill>
              </w14:textFill>
            </w:rPr>
          </w:pPr>
          <w:r>
            <w:rPr>
              <w:rFonts w:hint="eastAsia"/>
              <w:color w:val="000000" w:themeColor="text1"/>
              <w14:textFill>
                <w14:solidFill>
                  <w14:schemeClr w14:val="tx1"/>
                </w14:solidFill>
              </w14:textFill>
            </w:rPr>
            <w:t>④投资方是否通过参与被投资方的相关活动而享有可变回报。</w:t>
          </w:r>
        </w:p>
        <w:p w14:paraId="487D3B15">
          <w:pPr>
            <w:rPr>
              <w:color w:val="000000" w:themeColor="text1"/>
              <w14:textFill>
                <w14:solidFill>
                  <w14:schemeClr w14:val="tx1"/>
                </w14:solidFill>
              </w14:textFill>
            </w:rPr>
          </w:pPr>
          <w:r>
            <w:rPr>
              <w:rFonts w:hint="eastAsia"/>
              <w:color w:val="000000" w:themeColor="text1"/>
              <w14:textFill>
                <w14:solidFill>
                  <w14:schemeClr w14:val="tx1"/>
                </w14:solidFill>
              </w14:textFill>
            </w:rPr>
            <w:t>⑤投资方是否有能力运用对被投资方的权力影响其回报金额。</w:t>
          </w:r>
        </w:p>
        <w:p w14:paraId="7C8C387D">
          <w:pPr>
            <w:rPr>
              <w:color w:val="000000" w:themeColor="text1"/>
              <w14:textFill>
                <w14:solidFill>
                  <w14:schemeClr w14:val="tx1"/>
                </w14:solidFill>
              </w14:textFill>
            </w:rPr>
          </w:pPr>
          <w:r>
            <w:rPr>
              <w:rFonts w:hint="eastAsia"/>
              <w:color w:val="000000" w:themeColor="text1"/>
              <w14:textFill>
                <w14:solidFill>
                  <w14:schemeClr w14:val="tx1"/>
                </w14:solidFill>
              </w14:textFill>
            </w:rPr>
            <w:t>⑥投资方与其他方的关系。</w:t>
          </w:r>
        </w:p>
        <w:p w14:paraId="717B0B39">
          <w:pPr>
            <w:rPr>
              <w:color w:val="000000" w:themeColor="text1"/>
              <w14:textFill>
                <w14:solidFill>
                  <w14:schemeClr w14:val="tx1"/>
                </w14:solidFill>
              </w14:textFill>
            </w:rPr>
          </w:pPr>
          <w:r>
            <w:rPr>
              <w:rFonts w:hint="eastAsia"/>
              <w:color w:val="000000" w:themeColor="text1"/>
              <w14:textFill>
                <w14:solidFill>
                  <w14:schemeClr w14:val="tx1"/>
                </w14:solidFill>
              </w14:textFill>
            </w:rPr>
            <w:t>（2）合并财务报表的编制方法</w:t>
          </w:r>
        </w:p>
        <w:p w14:paraId="2D0D461D">
          <w:pPr>
            <w:rPr>
              <w:color w:val="000000" w:themeColor="text1"/>
              <w14:textFill>
                <w14:solidFill>
                  <w14:schemeClr w14:val="tx1"/>
                </w14:solidFill>
              </w14:textFill>
            </w:rPr>
          </w:pPr>
          <w:r>
            <w:rPr>
              <w:rFonts w:hint="eastAsia"/>
              <w:color w:val="000000" w:themeColor="text1"/>
              <w14:textFill>
                <w14:solidFill>
                  <w14:schemeClr w14:val="tx1"/>
                </w14:solidFill>
              </w14:textFill>
            </w:rPr>
            <w:t>母公司将其控制的所有子公司纳入合并财务报表的合并范围。合并财务报表以母公司及其子公司的财务报表为基础，根据其他有关资料，由母公司按照《企业会计准则第33号——合并财务报表》编制。</w:t>
          </w:r>
        </w:p>
      </w:sdtContent>
    </w:sdt>
    <w:bookmarkEnd w:id="162"/>
    <w:p w14:paraId="2EEEE24E">
      <w:pPr>
        <w:rPr>
          <w:color w:val="000000" w:themeColor="text1"/>
          <w14:textFill>
            <w14:solidFill>
              <w14:schemeClr w14:val="tx1"/>
            </w14:solidFill>
          </w14:textFill>
        </w:rPr>
      </w:pPr>
    </w:p>
    <w:p w14:paraId="31527B8D">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合营安排分类及共同经营会计处理方法</w:t>
      </w:r>
    </w:p>
    <w:sdt>
      <w:sdtPr>
        <w:rPr>
          <w:rFonts w:hint="eastAsia"/>
          <w:color w:val="000000" w:themeColor="text1"/>
          <w14:textFill>
            <w14:solidFill>
              <w14:schemeClr w14:val="tx1"/>
            </w14:solidFill>
          </w14:textFill>
        </w:rPr>
        <w:alias w:val="是否适用：合营安排分类及共同经营会计处理方法[双击切换]"/>
        <w:tag w:val="_GBC_f94c8519453541fe9de852d3064d61d5"/>
        <w:id w:val="147468246"/>
        <w:placeholder>
          <w:docPart w:val="GBC22222222222222222222222222222"/>
        </w:placeholder>
      </w:sdtPr>
      <w:sdtEndPr>
        <w:rPr>
          <w:rFonts w:hint="eastAsia"/>
          <w:color w:val="000000" w:themeColor="text1"/>
          <w14:textFill>
            <w14:solidFill>
              <w14:schemeClr w14:val="tx1"/>
            </w14:solidFill>
          </w14:textFill>
        </w:rPr>
      </w:sdtEndPr>
      <w:sdtContent>
        <w:p w14:paraId="15F7DAE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营安排分类及共同经营会计处理方法"/>
        <w:tag w:val="_GBC_cf67ede4230c4056b34792c6a0db55e2"/>
        <w:id w:val="147456582"/>
        <w:placeholder>
          <w:docPart w:val="GBC22222222222222222222222222222"/>
        </w:placeholder>
      </w:sdtPr>
      <w:sdtEndPr>
        <w:rPr>
          <w:color w:val="000000" w:themeColor="text1"/>
          <w14:textFill>
            <w14:solidFill>
              <w14:schemeClr w14:val="tx1"/>
            </w14:solidFill>
          </w14:textFill>
        </w:rPr>
      </w:sdtEndPr>
      <w:sdtContent>
        <w:p w14:paraId="6F8A90B8">
          <w:pPr>
            <w:rPr>
              <w:color w:val="000000" w:themeColor="text1"/>
              <w14:textFill>
                <w14:solidFill>
                  <w14:schemeClr w14:val="tx1"/>
                </w14:solidFill>
              </w14:textFill>
            </w:rPr>
          </w:pPr>
          <w:r>
            <w:rPr>
              <w:rFonts w:hint="eastAsia"/>
              <w:color w:val="000000" w:themeColor="text1"/>
              <w14:textFill>
                <w14:solidFill>
                  <w14:schemeClr w14:val="tx1"/>
                </w14:solidFill>
              </w14:textFill>
            </w:rPr>
            <w:t>（1）合营安排分为共同经营和合营企业。</w:t>
          </w:r>
        </w:p>
        <w:p w14:paraId="6EFCCCA9">
          <w:pPr>
            <w:rPr>
              <w:color w:val="000000" w:themeColor="text1"/>
              <w14:textFill>
                <w14:solidFill>
                  <w14:schemeClr w14:val="tx1"/>
                </w14:solidFill>
              </w14:textFill>
            </w:rPr>
          </w:pPr>
          <w:r>
            <w:rPr>
              <w:rFonts w:hint="eastAsia"/>
              <w:color w:val="000000" w:themeColor="text1"/>
              <w14:textFill>
                <w14:solidFill>
                  <w14:schemeClr w14:val="tx1"/>
                </w14:solidFill>
              </w14:textFill>
            </w:rPr>
            <w:t>（2）当公司为共同经营的合营方时，确认与共同经营中利益份额相关的下列项目：</w:t>
          </w:r>
        </w:p>
        <w:p w14:paraId="5E5C15F2">
          <w:pPr>
            <w:rPr>
              <w:color w:val="000000" w:themeColor="text1"/>
              <w14:textFill>
                <w14:solidFill>
                  <w14:schemeClr w14:val="tx1"/>
                </w14:solidFill>
              </w14:textFill>
            </w:rPr>
          </w:pPr>
          <w:r>
            <w:rPr>
              <w:rFonts w:hint="eastAsia"/>
              <w:color w:val="000000" w:themeColor="text1"/>
              <w14:textFill>
                <w14:solidFill>
                  <w14:schemeClr w14:val="tx1"/>
                </w14:solidFill>
              </w14:textFill>
            </w:rPr>
            <w:t>1）确认单独所持有的资产，以及按其份额确认共同持有的资产；</w:t>
          </w:r>
        </w:p>
        <w:p w14:paraId="13EB3541">
          <w:pPr>
            <w:rPr>
              <w:color w:val="000000" w:themeColor="text1"/>
              <w14:textFill>
                <w14:solidFill>
                  <w14:schemeClr w14:val="tx1"/>
                </w14:solidFill>
              </w14:textFill>
            </w:rPr>
          </w:pPr>
          <w:r>
            <w:rPr>
              <w:rFonts w:hint="eastAsia"/>
              <w:color w:val="000000" w:themeColor="text1"/>
              <w14:textFill>
                <w14:solidFill>
                  <w14:schemeClr w14:val="tx1"/>
                </w14:solidFill>
              </w14:textFill>
            </w:rPr>
            <w:t>2）确认单独所承担的负债，以及按其份额确认共同承担的负债；</w:t>
          </w:r>
        </w:p>
        <w:p w14:paraId="57DF0A4E">
          <w:pPr>
            <w:rPr>
              <w:color w:val="000000" w:themeColor="text1"/>
              <w14:textFill>
                <w14:solidFill>
                  <w14:schemeClr w14:val="tx1"/>
                </w14:solidFill>
              </w14:textFill>
            </w:rPr>
          </w:pPr>
          <w:r>
            <w:rPr>
              <w:rFonts w:hint="eastAsia"/>
              <w:color w:val="000000" w:themeColor="text1"/>
              <w14:textFill>
                <w14:solidFill>
                  <w14:schemeClr w14:val="tx1"/>
                </w14:solidFill>
              </w14:textFill>
            </w:rPr>
            <w:t>3）确认出售公司享有的共同经营产出份额所产生的收入；</w:t>
          </w:r>
        </w:p>
        <w:p w14:paraId="13162ABC">
          <w:pPr>
            <w:rPr>
              <w:color w:val="000000" w:themeColor="text1"/>
              <w14:textFill>
                <w14:solidFill>
                  <w14:schemeClr w14:val="tx1"/>
                </w14:solidFill>
              </w14:textFill>
            </w:rPr>
          </w:pPr>
          <w:r>
            <w:rPr>
              <w:rFonts w:hint="eastAsia"/>
              <w:color w:val="000000" w:themeColor="text1"/>
              <w14:textFill>
                <w14:solidFill>
                  <w14:schemeClr w14:val="tx1"/>
                </w14:solidFill>
              </w14:textFill>
            </w:rPr>
            <w:t>4）按公司持有份额确认共同经营因出售资产所产生的收入；</w:t>
          </w:r>
        </w:p>
        <w:p w14:paraId="0F3FEF51">
          <w:pPr>
            <w:rPr>
              <w:b/>
              <w:bCs w:val="0"/>
              <w:color w:val="000000" w:themeColor="text1"/>
              <w14:textFill>
                <w14:solidFill>
                  <w14:schemeClr w14:val="tx1"/>
                </w14:solidFill>
              </w14:textFill>
            </w:rPr>
          </w:pPr>
          <w:r>
            <w:rPr>
              <w:rFonts w:hint="eastAsia"/>
              <w:color w:val="000000" w:themeColor="text1"/>
              <w14:textFill>
                <w14:solidFill>
                  <w14:schemeClr w14:val="tx1"/>
                </w14:solidFill>
              </w14:textFill>
            </w:rPr>
            <w:t>5）确认单独所发生的费用，以及按公司持有份额确认共同经营发生的费用。</w:t>
          </w:r>
        </w:p>
      </w:sdtContent>
    </w:sdt>
    <w:p w14:paraId="50762848">
      <w:pPr>
        <w:rPr>
          <w:color w:val="000000" w:themeColor="text1"/>
          <w14:textFill>
            <w14:solidFill>
              <w14:schemeClr w14:val="tx1"/>
            </w14:solidFill>
          </w14:textFill>
        </w:rPr>
      </w:pPr>
    </w:p>
    <w:p w14:paraId="30F13F34">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现金及现金等价物的确定标准</w:t>
      </w:r>
    </w:p>
    <w:sdt>
      <w:sdtPr>
        <w:rPr>
          <w:rFonts w:hint="eastAsia"/>
          <w:color w:val="000000" w:themeColor="text1"/>
          <w14:textFill>
            <w14:solidFill>
              <w14:schemeClr w14:val="tx1"/>
            </w14:solidFill>
          </w14:textFill>
        </w:rPr>
        <w:alias w:val="现金及现金等价物的确定标准"/>
        <w:tag w:val="_GBC_54f6bc3e44e840bc85cb3872600823b5"/>
        <w:id w:val="147464777"/>
        <w:placeholder>
          <w:docPart w:val="GBC22222222222222222222222222222"/>
        </w:placeholder>
      </w:sdtPr>
      <w:sdtEndPr>
        <w:rPr>
          <w:rFonts w:hint="eastAsia"/>
          <w:color w:val="000000" w:themeColor="text1"/>
          <w14:textFill>
            <w14:solidFill>
              <w14:schemeClr w14:val="tx1"/>
            </w14:solidFill>
          </w14:textFill>
        </w:rPr>
      </w:sdtEndPr>
      <w:sdtContent>
        <w:p w14:paraId="025683A0">
          <w:pPr>
            <w:rPr>
              <w:color w:val="000000" w:themeColor="text1"/>
              <w14:textFill>
                <w14:solidFill>
                  <w14:schemeClr w14:val="tx1"/>
                </w14:solidFill>
              </w14:textFill>
            </w:rPr>
          </w:pPr>
          <w:r>
            <w:rPr>
              <w:color w:val="000000" w:themeColor="text1"/>
              <w14:textFill>
                <w14:solidFill>
                  <w14:schemeClr w14:val="tx1"/>
                </w14:solidFill>
              </w14:textFill>
            </w:rPr>
            <w:t>现金等价物是指企业持有的期限短（一般指从购买日起三个月内到期）、流动性强、易于转换为已知金额现金、价值变动风险很小的投资。</w:t>
          </w:r>
        </w:p>
      </w:sdtContent>
    </w:sdt>
    <w:p w14:paraId="0CE12713">
      <w:pPr>
        <w:rPr>
          <w:color w:val="000000" w:themeColor="text1"/>
          <w14:textFill>
            <w14:solidFill>
              <w14:schemeClr w14:val="tx1"/>
            </w14:solidFill>
          </w14:textFill>
        </w:rPr>
      </w:pPr>
    </w:p>
    <w:p w14:paraId="49AC591C">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外币业务和外币报表折算</w:t>
      </w:r>
    </w:p>
    <w:sdt>
      <w:sdtPr>
        <w:rPr>
          <w:rFonts w:hint="eastAsia"/>
          <w:color w:val="000000" w:themeColor="text1"/>
          <w14:textFill>
            <w14:solidFill>
              <w14:schemeClr w14:val="tx1"/>
            </w14:solidFill>
          </w14:textFill>
        </w:rPr>
        <w:alias w:val="是否适用：外币业务和外币报表折算[双击切换]"/>
        <w:tag w:val="_GBC_cd1fc5c05f5e49ed9ea2fffe41d0d113"/>
        <w:id w:val="147479512"/>
        <w:placeholder>
          <w:docPart w:val="GBC22222222222222222222222222222"/>
        </w:placeholder>
      </w:sdtPr>
      <w:sdtEndPr>
        <w:rPr>
          <w:rFonts w:hint="eastAsia"/>
          <w:color w:val="000000" w:themeColor="text1"/>
          <w14:textFill>
            <w14:solidFill>
              <w14:schemeClr w14:val="tx1"/>
            </w14:solidFill>
          </w14:textFill>
        </w:rPr>
      </w:sdtEndPr>
      <w:sdtContent>
        <w:p w14:paraId="29B94F9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外币业务核算方法"/>
        <w:tag w:val="_GBC_1703fe5fc56b42a8972c0906a4ac6d6b"/>
        <w:id w:val="147456949"/>
        <w:placeholder>
          <w:docPart w:val="GBC22222222222222222222222222222"/>
        </w:placeholder>
      </w:sdtPr>
      <w:sdtEndPr>
        <w:rPr>
          <w:rFonts w:hint="eastAsia"/>
          <w:color w:val="000000" w:themeColor="text1"/>
          <w14:textFill>
            <w14:solidFill>
              <w14:schemeClr w14:val="tx1"/>
            </w14:solidFill>
          </w14:textFill>
        </w:rPr>
      </w:sdtEndPr>
      <w:sdtContent>
        <w:p w14:paraId="32423DDD">
          <w:pPr>
            <w:rPr>
              <w:color w:val="000000" w:themeColor="text1"/>
              <w14:textFill>
                <w14:solidFill>
                  <w14:schemeClr w14:val="tx1"/>
                </w14:solidFill>
              </w14:textFill>
            </w:rPr>
          </w:pPr>
          <w:r>
            <w:rPr>
              <w:rFonts w:hint="eastAsia"/>
              <w:color w:val="000000" w:themeColor="text1"/>
              <w14:textFill>
                <w14:solidFill>
                  <w14:schemeClr w14:val="tx1"/>
                </w14:solidFill>
              </w14:textFill>
            </w:rPr>
            <w:t>（1）外币业务折算</w:t>
          </w:r>
        </w:p>
        <w:p w14:paraId="32A148C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外币交易在初始确认时，采用交易发生日的即期汇率折算为人民币金额。</w:t>
          </w:r>
        </w:p>
        <w:p w14:paraId="06A38C7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表日，外币货币性项目采用资产负债表日即期汇率折算，因汇率不同而产生的汇兑差额，除与购建符合资本化条件资产有关的外币专门借款本金及利息的汇兑差额外，计入当期损益；以历史成本计量的外币非货币性项目仍采用交易发生日的即期汇率折算，不改变其人民币金额；以公允价值计量的外币非货币性项目，采用公允价值确定日的即期汇率折算，差额计入当期损益或其他综合收益。</w:t>
          </w:r>
        </w:p>
        <w:p w14:paraId="18BD635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（2）外币财务报表折算</w:t>
          </w:r>
        </w:p>
        <w:p w14:paraId="58CE609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表中的资产和负债项目，采用资产负债表日的即期汇率折算；所有者权益项目除“未分配利润”项目外，其他项目采用交易发生日的即期汇率折算；利润表中的收入和费用项目，采用交易发生日的即期汇率折算。按照上述折算产生的外币财务报表折算差额，计入其他综合收益。</w:t>
          </w:r>
        </w:p>
      </w:sdtContent>
    </w:sdt>
    <w:p w14:paraId="33866144">
      <w:pPr>
        <w:jc w:val="both"/>
        <w:rPr>
          <w:color w:val="000000" w:themeColor="text1"/>
          <w14:textFill>
            <w14:solidFill>
              <w14:schemeClr w14:val="tx1"/>
            </w14:solidFill>
          </w14:textFill>
        </w:rPr>
      </w:pPr>
    </w:p>
    <w:p w14:paraId="5F7B820C">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金融工具</w:t>
      </w:r>
    </w:p>
    <w:sdt>
      <w:sdtPr>
        <w:rPr>
          <w:rFonts w:hint="eastAsia"/>
          <w:color w:val="000000" w:themeColor="text1"/>
          <w14:textFill>
            <w14:solidFill>
              <w14:schemeClr w14:val="tx1"/>
            </w14:solidFill>
          </w14:textFill>
        </w:rPr>
        <w:alias w:val="是否适用：金融工具_重要会计政策和估计[双击切换]"/>
        <w:tag w:val="_GBC_285bdf73a629411f9c5d05731712b876"/>
        <w:id w:val="147483287"/>
        <w:placeholder>
          <w:docPart w:val="GBC22222222222222222222222222222"/>
        </w:placeholder>
      </w:sdtPr>
      <w:sdtEndPr>
        <w:rPr>
          <w:rFonts w:hint="eastAsia"/>
          <w:color w:val="000000" w:themeColor="text1"/>
          <w14:textFill>
            <w14:solidFill>
              <w14:schemeClr w14:val="tx1"/>
            </w14:solidFill>
          </w14:textFill>
        </w:rPr>
      </w:sdtEndPr>
      <w:sdtContent>
        <w:p w14:paraId="40764C7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金融资产和金融负债的核算方法"/>
        <w:tag w:val="_GBC_b358067bbe2a49bf880c383a5db50d8a"/>
        <w:id w:val="147474006"/>
        <w:placeholder>
          <w:docPart w:val="GBC22222222222222222222222222222"/>
        </w:placeholder>
      </w:sdtPr>
      <w:sdtEndPr>
        <w:rPr>
          <w:rFonts w:hint="eastAsia"/>
          <w:color w:val="000000" w:themeColor="text1"/>
          <w14:textFill>
            <w14:solidFill>
              <w14:schemeClr w14:val="tx1"/>
            </w14:solidFill>
          </w14:textFill>
        </w:rPr>
      </w:sdtEndPr>
      <w:sdtContent>
        <w:p w14:paraId="258AD42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1.金融资产和金融负债的分类</w:t>
          </w:r>
        </w:p>
        <w:p w14:paraId="7259952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金融资产在初始确认时划分为以下三类：（1）以摊余成本计量的金融资产；（2）以公允价值计量且其变动计入其他综合收益的金融资产；（3）以公允价值计量且其变动计入当期损益的金融资产。</w:t>
          </w:r>
        </w:p>
        <w:p w14:paraId="0A5E29E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金融负债在初始确认时划分为以下四类：（1）以公允价值计量且其变动计入当期损益的金融负债；（2）金融资产转移不符合终止确认条件或继续涉入被转移金融资产所形成的金融负债；③不属于上述（1）或（2）的财务担保合同，以及不属于上述（1）并以低于市场利率贷款的贷款承诺；（4）以摊余成本计量的金融负债。</w:t>
          </w:r>
        </w:p>
        <w:p w14:paraId="5937982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2.金融资产和金融负债的确认依据、计量方法和终止确认条件</w:t>
          </w:r>
        </w:p>
        <w:p w14:paraId="181D20F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（1）金融资产和金融负债的确认依据和初始计量方法</w:t>
          </w:r>
        </w:p>
        <w:p w14:paraId="16008AE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成为金融工具合同的一方时，确认一项金融资产或金融负债。初始确认金融资产或金融负债时，按照公允价值计量；对于以公允价值计量且其变动计入当期损益的金融资产和金融负债，相关交易费用直接计入当期损益；对于其他类别的金融资产或金融负债，相关交易费用计入初始确认金额。但是，公司初始确认的应收账款未包含重大融资成分或公司不考虑未超过一年的合同中的融资成分的，按照《企业会计准则第14号——收入》所定义的交易价格进行初始计量。</w:t>
          </w:r>
        </w:p>
        <w:p w14:paraId="405642C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（2）金融资产的后续计量方法</w:t>
          </w:r>
        </w:p>
        <w:p w14:paraId="160B86F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 以摊余成本计量的金融资产</w:t>
          </w:r>
        </w:p>
        <w:p w14:paraId="7EA22E6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采用实际利率法，按照摊余成本进行后续计量。以摊余成本计量且不属于任何套期关系的一部分的金融资产所产生的利得或损失，在终止确认、重分类、按照实际利率法摊销或确认减值时，计入当期损益。</w:t>
          </w:r>
        </w:p>
        <w:p w14:paraId="4339188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 以公允价值计量且其变动计入其他综合收益的债务工具投资</w:t>
          </w:r>
        </w:p>
        <w:p w14:paraId="3799E99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用公允价值进行后续计量。采用实际利率法计算的利息、减值损失或利得及汇兑损益计入当期损益，其他利得或损失计入其他综合收益。终止确认时，将之前计入其他综合收益的累计利得或损失从其他综合收益中转出，计入当期损益。</w:t>
          </w:r>
        </w:p>
        <w:p w14:paraId="32577FB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 以公允价值计量且其变动计入其他综合收益的权益工具投资</w:t>
          </w:r>
        </w:p>
        <w:p w14:paraId="146D4DF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用公允价值进行后续计量。获得的股利（属于投资成本收回部分的除外）计入当期损益，其他利得或损失计入其他综合收益。终止确认时，将之前计入其他综合收益的累计利得或损失从其他综合收益中转出，计入留存收益。</w:t>
          </w:r>
        </w:p>
        <w:p w14:paraId="5CFACD4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 以公允价值计量且其变动计入当期损益的金融资产</w:t>
          </w:r>
        </w:p>
        <w:p w14:paraId="0CAFE24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采用公允价值进行后续计量，产生的利得或损失（包括利息和股利收入）计入当期损益，除非该金融资产属于套期关系的一部分。</w:t>
          </w:r>
        </w:p>
        <w:p w14:paraId="17C645E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（3）金融负债的后续计量方法</w:t>
          </w:r>
        </w:p>
        <w:p w14:paraId="76C6AE2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 以公允价值计量且其变动计入当期损益的金融负债</w:t>
          </w:r>
        </w:p>
        <w:p w14:paraId="7CA35FC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此类金融负债包括交易性金融负债（含属于金融负债的衍生工具）和指定为以公允价值计量且其变动计入当期损益的金融负债。对于此类金融负债以公允价值进行后续计量。因公司自身信用风险变动引起的指定为以公允价值计量且其变动计入当期损益的金融负债的公允价值变动金额计入其他综合收益，除非该处理会造成或扩大损益中的会计错配。此类金融负债产生的其他利得或损失（包括利息费用、除因公司自身信用风险变动引起的公允价值变动）计入当期损益，除非该金融负债属于套期关系的一部分。终止确认时，将之前计入其他综合收益的累计利得或损失从其他综合收益中转出，计入留存收益。</w:t>
          </w:r>
        </w:p>
        <w:p w14:paraId="5AD6BB7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 金融资产转移不符合终止确认条件或继续涉入被转移金融资产所形成的金融负债</w:t>
          </w:r>
        </w:p>
        <w:p w14:paraId="7A97415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按照《企业会计准则第23号——金融资产转移》相关规定进行计量。</w:t>
          </w:r>
        </w:p>
        <w:p w14:paraId="5AFDC1F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 不属于上述1)或2)的财务担保合同，以及不属于上述1)并以低于市场利率贷款的贷款承诺 </w:t>
          </w:r>
        </w:p>
        <w:p w14:paraId="4CBD7E3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在初始确认后按照下列两项金额之中的较高者进行后续计量：① 按照金融工具的减值规定确定的损失准备金额；② 初始确认金额扣除按照《企业会计准则第14号——收入》相关规定所确定的累计摊销额后的余额。</w:t>
          </w:r>
        </w:p>
        <w:p w14:paraId="5037BA1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 以摊余成本计量的金融负债</w:t>
          </w:r>
        </w:p>
        <w:p w14:paraId="5D423BE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采用实际利率法以摊余成本计量。以摊余成本计量且不属于任何套期关系的一部分的金融负债所产生的利得或损失，在终止确认、按照实际利率法摊销时计入当期损益。</w:t>
          </w:r>
        </w:p>
        <w:p w14:paraId="7ABC0D8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（4）金融资产和金融负债的终止确认</w:t>
          </w:r>
        </w:p>
        <w:p w14:paraId="094F646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1)当满足下列条件之一时，终止确认金融资产：</w:t>
          </w:r>
        </w:p>
        <w:p w14:paraId="16D872E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①收取金融资产现金流量的合同权利已终止；</w:t>
          </w:r>
        </w:p>
        <w:p w14:paraId="37E2006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②金融资产已转移，且该转移满足《企业会计准则第23号——金融资产转移》关于金融资产终止确认的规定。</w:t>
          </w:r>
        </w:p>
        <w:p w14:paraId="2BC8D89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2)当金融负债（或其一部分）的现时义务已经解除时，相应终止确认该金融负债（或该部分金融负债）。</w:t>
          </w:r>
        </w:p>
        <w:p w14:paraId="4E11791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3.金融资产转移的确认依据和计量方法</w:t>
          </w:r>
        </w:p>
        <w:p w14:paraId="6EC3C6C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转移了金融资产所有权上几乎所有的风险和报酬的，终止确认该金融资产，并将转移中产生或保留的权利和义务单独确认为资产或负债；保留了金融资产所有权上几乎所有的风险和报酬的，继续确认所转移的金融资产。公司既没有转移也没有保留金融资产所有权上几乎所有的风险和报酬的，分别下列情况处理：（1）未保留对该金融资产控制的，终止确认该金融资产，并将转移中产生或保留的权利和义务单独确认为资产或负债；（2）保留了对该金融资产控制的，按照继续涉入所转移金融资产的程度确认有关金融资产，并相应确认有关负债。</w:t>
          </w:r>
        </w:p>
        <w:p w14:paraId="28C4C01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整体转移满足终止确认条件的，将下列两项金额的差额计入当期损益：（1）所转移金融资产在终止确认日的账面价值；（2）因转移金融资产而收到的对价，与原直接计入其他综合收益的公允价值变动累计额中对应终止确认部分的金额（涉及转移的金融资产为以公允价值计量且其变动计入其他综合收益的债务工具投资）之和。转移了金融资产的一部分，且该被转移部分整体满足终止确认条件的，将转移前金融资产整体的账面价值，在终止确认部分和继续确认部分之间，按照转移日各自的相对公允价值进行分摊，并将下列两项金额的差额计入当期损益：（1）终止确认部分的账面价值；（2）终止确认部分的对价，与原直接计入其他综合收益的公允价值变动累计额中对应终止确认部分的金额（涉及转移的金融资产为以公允价值计量且其变动计入其他综合收益的债务工具投资）之和。</w:t>
          </w:r>
        </w:p>
        <w:p w14:paraId="0316F3C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4.金融资产和金融负债的公允价值确定方法</w:t>
          </w:r>
        </w:p>
        <w:p w14:paraId="431552B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公司采用在当前情况下适用并且有足够可利用数据和其他信息支持的估值技术确定相关金融资产和金融负债的公允价值。公司将估值技术使用的输入值分以下层级，并依次使用：</w:t>
          </w:r>
        </w:p>
        <w:p w14:paraId="30E4C12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（1）第一层次输入值是在计量日能够取得的相同资产或负债在活跃市场上未经调整的报价； </w:t>
          </w:r>
        </w:p>
        <w:p w14:paraId="36B5D22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第二层次输入值是除第一层次输入值外相关资产或负债直接或间接可观察的输入值，包括：活跃市场中类似资产或负债的报价；非活跃市场中相同或类似资产或负债的报价；除报价以外的其他可观察输入值，如在正常报价间隔期间可观察的利率和收益率曲线等；市场验证的输入值等；</w:t>
          </w:r>
        </w:p>
        <w:p w14:paraId="17B2A96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（3）第三层次输入值是相关资产或负债的不可观察输入值，包括不能直接观察或无法由可观察市场数据验证的利率、股票波动率、企业合并中承担的弃置义务的未来现金流量、使用自身数据作出的财务预测等。 </w:t>
          </w:r>
        </w:p>
        <w:p w14:paraId="1044FA3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5.金融工具减值 </w:t>
          </w:r>
        </w:p>
        <w:p w14:paraId="64CF3F4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以预期信用损失为基础，对以摊余成本计量的金融资产、以公允价值计量且其变动计入其他综合收益的债务工具投资、合同资产、租赁应收款、分类为以公允价值计量且其变动计入当期损益的金融负债以外的贷款承诺、不属于以公允价值计量且其变动计入当期损益的金融负债或不属于金融资产转移不符合终止确认条件或继续涉入被转移金融资产所形成的金融负债的财务担保合同进行减值处理并确认损失准备。</w:t>
          </w:r>
        </w:p>
        <w:p w14:paraId="1AFE6D3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预期信用损失，是指以发生违约的风险为权重的金融工具信用损失的加权平均值。信用损失，是指公司按照原实际利率折现的、根据合同应收的所有合同现金流量与预期收取的所有现金流量之间的差额，即全部现金短缺的现值。其中，对于公司购买或源生的已发生信用减值的金融资产，按照该金融资产经信用调整的实际利率折现。</w:t>
          </w:r>
        </w:p>
        <w:p w14:paraId="3B31C3A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对于购买或源生的已发生信用减值的金融资产，公司在资产负债表日仅将自初始确认后整个存续期内预期信用损失的累计变动确认为损失准备。</w:t>
          </w:r>
        </w:p>
        <w:p w14:paraId="68ECAB7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对于租赁应收款、由《企业会计准则第14号——收入》规范的交易形成的应收款项及合同资产，公司运用简化计量方法，按照相当于整个存续期内的预期信用损失金额计量损失准备。</w:t>
          </w:r>
        </w:p>
        <w:p w14:paraId="201FBB3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除上述计量方法以外的金融资产，公司在每个资产负债表日评估其信用风险自初始确认后是否已经显著增加。如果信用风险自初始确认后已显著增加，公司按照整个存续期内预期信用损失的金额计量损失准备；如果信用风险自初始确认后未显著增加，公司按照该金融工具未来12个月内预期信用损失的金额计量损失准备。</w:t>
          </w:r>
        </w:p>
        <w:p w14:paraId="1409DF3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公司利用可获得的合理且有依据的信息，包括前瞻性信息，通过比较金融工具在资产负债表日发生违约的风险与在初始确认日发生违约的风险，以确定金融工具的信用风险自初始确认后是否已显著增加。</w:t>
          </w:r>
        </w:p>
        <w:p w14:paraId="453A6FB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于资产负债表日，若公司判断金融工具只具有较低的信用风险，则假定该金融工具的信用风险自初始确认后并未显著增加。</w:t>
          </w:r>
        </w:p>
        <w:p w14:paraId="1F06423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公司以单项金融工具或金融工具组合为基础评估预期信用风险和计量预期信用损失。当以金融工具组合为基础时，公司以共同风险特征为依据，将金融工具划分为不同组合。</w:t>
          </w:r>
        </w:p>
        <w:p w14:paraId="6FD1283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在每个资产负债表日重新计量预期信用损失，由此形成的损失准备的增加或转回金额，作为减值损失或利得计入当期损益。对于以摊余成本计量的金融资产，损失准备抵减该金融资产在资产负债表中列示的账面价值；对于以公允价值计量且其变动计入其他综合收益的债权投资，公司在其他综合收益中确认其损失准备，不抵减该金融资产的账面价值。</w:t>
          </w:r>
        </w:p>
        <w:p w14:paraId="2E0161D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6.金融资产和金融负债的抵销 </w:t>
          </w:r>
        </w:p>
        <w:p w14:paraId="7D8C89B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和金融负债在资产负债表内分别列示，不相互抵销。但同时满足下列条件的，公司以相互抵销后的净额在资产负债表内列示：（1）公司具有抵销已确认金额的法定权利，且该种法定权利是当前可执行的；（2）公司计划以净额结算，或同时变现该金融资产和清偿该金融负债。</w:t>
          </w:r>
        </w:p>
        <w:p w14:paraId="447FB20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不满足终止确认条件的金融资产转移，公司不对已转移的金融资产和相关负债进行抵销。</w:t>
          </w:r>
        </w:p>
      </w:sdtContent>
    </w:sdt>
    <w:p w14:paraId="4CBAE681">
      <w:pPr>
        <w:rPr>
          <w:color w:val="000000" w:themeColor="text1"/>
          <w14:textFill>
            <w14:solidFill>
              <w14:schemeClr w14:val="tx1"/>
            </w14:solidFill>
          </w14:textFill>
        </w:rPr>
      </w:pPr>
    </w:p>
    <w:p w14:paraId="0A2A2FC2">
      <w:pPr>
        <w:pStyle w:val="57"/>
        <w:numPr>
          <w:ilvl w:val="0"/>
          <w:numId w:val="46"/>
        </w:numPr>
        <w:rPr>
          <w:rFonts w:ascii="宋体" w:hAnsi="宋体"/>
          <w:color w:val="000000" w:themeColor="text1"/>
          <w14:textFill>
            <w14:solidFill>
              <w14:schemeClr w14:val="tx1"/>
            </w14:solidFill>
          </w14:textFill>
        </w:rPr>
      </w:pPr>
      <w:bookmarkStart w:id="163" w:name="_Hlk533667757"/>
      <w:bookmarkStart w:id="164" w:name="_Hlk167809825"/>
      <w:r>
        <w:rPr>
          <w:rFonts w:ascii="宋体" w:hAnsi="宋体"/>
          <w:color w:val="000000" w:themeColor="text1"/>
          <w14:textFill>
            <w14:solidFill>
              <w14:schemeClr w14:val="tx1"/>
            </w14:solidFill>
          </w14:textFill>
        </w:rPr>
        <w:t>应收票据</w:t>
      </w:r>
    </w:p>
    <w:sdt>
      <w:sdtPr>
        <w:rPr>
          <w:color w:val="000000" w:themeColor="text1"/>
          <w14:textFill>
            <w14:solidFill>
              <w14:schemeClr w14:val="tx1"/>
            </w14:solidFill>
          </w14:textFill>
        </w:rPr>
        <w:alias w:val="是否适用：应收票据_重要会计政策和估计[双击切换]"/>
        <w:tag w:val="_GBC_aefda35d1a7148f0844e33d721703cda"/>
        <w:id w:val="147471992"/>
        <w:placeholder>
          <w:docPart w:val="GBC22222222222222222222222222222"/>
        </w:placeholder>
      </w:sdtPr>
      <w:sdtEndPr>
        <w:rPr>
          <w:color w:val="000000" w:themeColor="text1"/>
          <w14:textFill>
            <w14:solidFill>
              <w14:schemeClr w14:val="tx1"/>
            </w14:solidFill>
          </w14:textFill>
        </w:rPr>
      </w:sdtEndPr>
      <w:sdtContent>
        <w:p w14:paraId="228165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63"/>
    <w:p w14:paraId="2A93644C">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应收票据按照信用风险特征组合计提坏账准备的组合类别及确定依据[双击切换]"/>
        <w:tag w:val="_GBC_6949617b516947f48c32672b1d486a5b"/>
        <w:id w:val="147471941"/>
        <w:placeholder>
          <w:docPart w:val="GBC22222222222222222222222222222"/>
        </w:placeholder>
      </w:sdtPr>
      <w:sdtEndPr>
        <w:rPr>
          <w:color w:val="000000" w:themeColor="text1"/>
          <w14:textFill>
            <w14:solidFill>
              <w14:schemeClr w14:val="tx1"/>
            </w14:solidFill>
          </w14:textFill>
        </w:rPr>
      </w:sdtEndPr>
      <w:sdtContent>
        <w:p w14:paraId="1EE6E06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票据按照信用风险特征组合计提坏账准备的组合类别及确定依据"/>
        <w:tag w:val="_GBC_1062e1c58d3c4ef4bca492c1e513cad2"/>
        <w:id w:val="147466065"/>
        <w:placeholder>
          <w:docPart w:val="GBC22222222222222222222222222222"/>
        </w:placeholder>
      </w:sdtPr>
      <w:sdtEndPr>
        <w:rPr>
          <w:color w:val="000000" w:themeColor="text1"/>
          <w14:textFill>
            <w14:solidFill>
              <w14:schemeClr w14:val="tx1"/>
            </w14:solidFill>
          </w14:textFill>
        </w:rPr>
      </w:sdtEndPr>
      <w:sdtContent>
        <w:p w14:paraId="1BE82C30">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60A967BD">
      <w:pPr>
        <w:rPr>
          <w:rFonts w:cs="Times New Roman"/>
          <w:b/>
          <w:bCs w:val="0"/>
          <w:color w:val="000000" w:themeColor="text1"/>
          <w:kern w:val="2"/>
          <w:szCs w:val="28"/>
          <w14:textFill>
            <w14:solidFill>
              <w14:schemeClr w14:val="tx1"/>
            </w14:solidFill>
          </w14:textFill>
        </w:rPr>
      </w:pPr>
    </w:p>
    <w:p w14:paraId="71FBBE8A">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应收票据基于账龄确认信用风险特征组合的账龄计算方法[双击切换]"/>
        <w:tag w:val="_GBC_65e77abc757c44a39f32a7fae1f5da22"/>
        <w:id w:val="147460010"/>
        <w:placeholder>
          <w:docPart w:val="GBC22222222222222222222222222222"/>
        </w:placeholder>
      </w:sdtPr>
      <w:sdtEndPr>
        <w:rPr>
          <w:color w:val="000000" w:themeColor="text1"/>
          <w14:textFill>
            <w14:solidFill>
              <w14:schemeClr w14:val="tx1"/>
            </w14:solidFill>
          </w14:textFill>
        </w:rPr>
      </w:sdtEndPr>
      <w:sdtContent>
        <w:p w14:paraId="5C0F479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票据基于账龄确认信用风险特征组合的账龄计算方法"/>
        <w:tag w:val="_GBC_394187d2c39247acae82ce34a8553271"/>
        <w:id w:val="147461558"/>
        <w:placeholder>
          <w:docPart w:val="GBC22222222222222222222222222222"/>
        </w:placeholder>
      </w:sdtPr>
      <w:sdtEndPr>
        <w:rPr>
          <w:color w:val="000000" w:themeColor="text1"/>
          <w14:textFill>
            <w14:solidFill>
              <w14:schemeClr w14:val="tx1"/>
            </w14:solidFill>
          </w14:textFill>
        </w:rPr>
      </w:sdtEndPr>
      <w:sdtContent>
        <w:p w14:paraId="1AC3DF38">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4DBC34B7">
      <w:pPr>
        <w:rPr>
          <w:rFonts w:cs="Times New Roman"/>
          <w:b/>
          <w:bCs w:val="0"/>
          <w:color w:val="000000" w:themeColor="text1"/>
          <w:kern w:val="2"/>
          <w:szCs w:val="28"/>
          <w14:textFill>
            <w14:solidFill>
              <w14:schemeClr w14:val="tx1"/>
            </w14:solidFill>
          </w14:textFill>
        </w:rPr>
      </w:pPr>
    </w:p>
    <w:p w14:paraId="2CF9DA11">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按照单项计提坏账准备的单项计提判断标准</w:t>
      </w:r>
    </w:p>
    <w:sdt>
      <w:sdtPr>
        <w:rPr>
          <w:color w:val="000000" w:themeColor="text1"/>
          <w14:textFill>
            <w14:solidFill>
              <w14:schemeClr w14:val="tx1"/>
            </w14:solidFill>
          </w14:textFill>
        </w:rPr>
        <w:alias w:val="是否适用：应收票据按照单项计提坏账准备的单项计提判断标准[双击切换]"/>
        <w:tag w:val="_GBC_1bf4baad09e74a3fb93e3d4c5a63530e"/>
        <w:id w:val="147458457"/>
        <w:placeholder>
          <w:docPart w:val="GBC22222222222222222222222222222"/>
        </w:placeholder>
      </w:sdtPr>
      <w:sdtEndPr>
        <w:rPr>
          <w:color w:val="000000" w:themeColor="text1"/>
          <w14:textFill>
            <w14:solidFill>
              <w14:schemeClr w14:val="tx1"/>
            </w14:solidFill>
          </w14:textFill>
        </w:rPr>
      </w:sdtEndPr>
      <w:sdtContent>
        <w:p w14:paraId="0686EF8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票据按照单项计提坏账准备的单项计提判断标准"/>
        <w:tag w:val="_GBC_bda178db73f64a379756cf6dbe566e83"/>
        <w:id w:val="147460588"/>
        <w:placeholder>
          <w:docPart w:val="GBC22222222222222222222222222222"/>
        </w:placeholder>
      </w:sdtPr>
      <w:sdtEndPr>
        <w:rPr>
          <w:color w:val="000000" w:themeColor="text1"/>
          <w14:textFill>
            <w14:solidFill>
              <w14:schemeClr w14:val="tx1"/>
            </w14:solidFill>
          </w14:textFill>
        </w:rPr>
      </w:sdtEndPr>
      <w:sdtContent>
        <w:p w14:paraId="36B57C10">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2A3D6E74">
      <w:pPr>
        <w:rPr>
          <w:color w:val="000000" w:themeColor="text1"/>
          <w14:textFill>
            <w14:solidFill>
              <w14:schemeClr w14:val="tx1"/>
            </w14:solidFill>
          </w14:textFill>
        </w:rPr>
      </w:pPr>
    </w:p>
    <w:p w14:paraId="20DAC062">
      <w:pPr>
        <w:pStyle w:val="57"/>
        <w:numPr>
          <w:ilvl w:val="0"/>
          <w:numId w:val="46"/>
        </w:numPr>
        <w:rPr>
          <w:rFonts w:ascii="宋体" w:hAnsi="宋体"/>
          <w:color w:val="000000" w:themeColor="text1"/>
          <w14:textFill>
            <w14:solidFill>
              <w14:schemeClr w14:val="tx1"/>
            </w14:solidFill>
          </w14:textFill>
        </w:rPr>
      </w:pPr>
      <w:bookmarkStart w:id="165" w:name="_Hlk533667783"/>
      <w:bookmarkStart w:id="166" w:name="_Hlk152690378"/>
      <w:r>
        <w:rPr>
          <w:rFonts w:ascii="宋体" w:hAnsi="宋体"/>
          <w:color w:val="000000" w:themeColor="text1"/>
          <w14:textFill>
            <w14:solidFill>
              <w14:schemeClr w14:val="tx1"/>
            </w14:solidFill>
          </w14:textFill>
        </w:rPr>
        <w:t>应收账款</w:t>
      </w:r>
    </w:p>
    <w:sdt>
      <w:sdtPr>
        <w:rPr>
          <w:rFonts w:hint="eastAsia"/>
          <w:color w:val="000000" w:themeColor="text1"/>
          <w14:textFill>
            <w14:solidFill>
              <w14:schemeClr w14:val="tx1"/>
            </w14:solidFill>
          </w14:textFill>
        </w:rPr>
        <w:alias w:val="是否适用：应收账款_重要会计政策和估计[双击切换]"/>
        <w:tag w:val="_GBC_9bb0ad4fd90e4860a048c5c1b42cdc17"/>
        <w:id w:val="147466955"/>
        <w:placeholder>
          <w:docPart w:val="GBC22222222222222222222222222222"/>
        </w:placeholder>
      </w:sdtPr>
      <w:sdtEndPr>
        <w:rPr>
          <w:rFonts w:hint="eastAsia"/>
          <w:color w:val="000000" w:themeColor="text1"/>
          <w14:textFill>
            <w14:solidFill>
              <w14:schemeClr w14:val="tx1"/>
            </w14:solidFill>
          </w14:textFill>
        </w:rPr>
      </w:sdtEndPr>
      <w:sdtContent>
        <w:p w14:paraId="4D81AEE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65"/>
    <w:bookmarkEnd w:id="166"/>
    <w:p w14:paraId="0F9F3FE9">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应收账款按照信用风险特征组合计提坏账准备的组合类别及确定依据[双击切换]"/>
        <w:tag w:val="_GBC_e449a3926afc4ff1a9407716d384d444"/>
        <w:id w:val="147452214"/>
        <w:placeholder>
          <w:docPart w:val="GBC22222222222222222222222222222"/>
        </w:placeholder>
      </w:sdtPr>
      <w:sdtEndPr>
        <w:rPr>
          <w:color w:val="000000" w:themeColor="text1"/>
          <w14:textFill>
            <w14:solidFill>
              <w14:schemeClr w14:val="tx1"/>
            </w14:solidFill>
          </w14:textFill>
        </w:rPr>
      </w:sdtEndPr>
      <w:sdtContent>
        <w:p w14:paraId="2E42429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账款按照信用风险特征组合计提坏账准备的组合类别及确定依据"/>
        <w:tag w:val="_GBC_16b22a4b7b8c483dac42f07fc6ac4bc2"/>
        <w:id w:val="147470130"/>
        <w:placeholder>
          <w:docPart w:val="GBC22222222222222222222222222222"/>
        </w:placeholder>
      </w:sdtPr>
      <w:sdtEndPr>
        <w:rPr>
          <w:color w:val="000000" w:themeColor="text1"/>
          <w14:textFill>
            <w14:solidFill>
              <w14:schemeClr w14:val="tx1"/>
            </w14:solidFill>
          </w14:textFill>
        </w:rPr>
      </w:sdtEndPr>
      <w:sdtContent>
        <w:p w14:paraId="1BDC2B55">
          <w:pPr>
            <w:rPr>
              <w:color w:val="000000" w:themeColor="text1"/>
              <w14:textFill>
                <w14:solidFill>
                  <w14:schemeClr w14:val="tx1"/>
                </w14:solidFill>
              </w14:textFill>
            </w:rPr>
          </w:pPr>
          <w:r>
            <w:rPr>
              <w:rFonts w:hint="eastAsia"/>
              <w:color w:val="000000" w:themeColor="text1"/>
              <w14:textFill>
                <w14:solidFill>
                  <w14:schemeClr w14:val="tx1"/>
                </w14:solidFill>
              </w14:textFill>
            </w:rPr>
            <w:t>当在单项工具层面无法以合理成本评估预期信用损失的充分证据时，本公司参考历史信用损失经验，结合当前状况以及对未来经济状况的判断，依据信用风险特征将应收账款划分为若干组合，在组合基础上计算预期信用损失。确定组合的依据如下：</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268"/>
            <w:gridCol w:w="4008"/>
          </w:tblGrid>
          <w:tr w14:paraId="0F3E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1AE2CE1">
                <w:pPr>
                  <w:widowControl w:val="0"/>
                  <w:jc w:val="center"/>
                  <w:rPr>
                    <w:color w:val="000000" w:themeColor="text1"/>
                    <w14:textFill>
                      <w14:solidFill>
                        <w14:schemeClr w14:val="tx1"/>
                      </w14:solidFill>
                    </w14:textFill>
                  </w:rPr>
                </w:pPr>
                <w:r>
                  <w:rPr>
                    <w:rFonts w:cs="Times New Roman"/>
                    <w:color w:val="000000"/>
                  </w:rPr>
                  <w:t>组合名称</w:t>
                </w:r>
              </w:p>
            </w:tc>
            <w:tc>
              <w:tcPr>
                <w:tcW w:w="2268" w:type="dxa"/>
                <w:vAlign w:val="center"/>
              </w:tcPr>
              <w:p w14:paraId="6ACF291B">
                <w:pPr>
                  <w:widowControl w:val="0"/>
                  <w:jc w:val="center"/>
                  <w:rPr>
                    <w:color w:val="000000" w:themeColor="text1"/>
                    <w14:textFill>
                      <w14:solidFill>
                        <w14:schemeClr w14:val="tx1"/>
                      </w14:solidFill>
                    </w14:textFill>
                  </w:rPr>
                </w:pPr>
                <w:r>
                  <w:rPr>
                    <w:rFonts w:cs="Times New Roman"/>
                    <w:color w:val="000000"/>
                  </w:rPr>
                  <w:t>确定组合的依据</w:t>
                </w:r>
              </w:p>
            </w:tc>
            <w:tc>
              <w:tcPr>
                <w:tcW w:w="4008" w:type="dxa"/>
                <w:vAlign w:val="center"/>
              </w:tcPr>
              <w:p w14:paraId="30FC6D9E">
                <w:pPr>
                  <w:widowControl w:val="0"/>
                  <w:jc w:val="center"/>
                  <w:rPr>
                    <w:color w:val="000000" w:themeColor="text1"/>
                    <w14:textFill>
                      <w14:solidFill>
                        <w14:schemeClr w14:val="tx1"/>
                      </w14:solidFill>
                    </w14:textFill>
                  </w:rPr>
                </w:pPr>
                <w:r>
                  <w:rPr>
                    <w:rFonts w:cs="Times New Roman"/>
                    <w:color w:val="000000"/>
                  </w:rPr>
                  <w:t>计提方法</w:t>
                </w:r>
              </w:p>
            </w:tc>
          </w:tr>
          <w:tr w14:paraId="3FBC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29A27F5">
                <w:pPr>
                  <w:widowControl w:val="0"/>
                  <w:jc w:val="both"/>
                  <w:rPr>
                    <w:color w:val="000000" w:themeColor="text1"/>
                    <w14:textFill>
                      <w14:solidFill>
                        <w14:schemeClr w14:val="tx1"/>
                      </w14:solidFill>
                    </w14:textFill>
                  </w:rPr>
                </w:pPr>
                <w:r>
                  <w:rPr>
                    <w:rFonts w:cs="Times New Roman"/>
                    <w:color w:val="000000"/>
                  </w:rPr>
                  <w:t>组合一军方、警方、政府职能部门等高信用水平单位应收款项组合</w:t>
                </w:r>
              </w:p>
            </w:tc>
            <w:tc>
              <w:tcPr>
                <w:tcW w:w="2268" w:type="dxa"/>
                <w:vAlign w:val="center"/>
              </w:tcPr>
              <w:p w14:paraId="28550BB4">
                <w:pPr>
                  <w:widowControl w:val="0"/>
                  <w:jc w:val="both"/>
                  <w:rPr>
                    <w:color w:val="000000" w:themeColor="text1"/>
                    <w14:textFill>
                      <w14:solidFill>
                        <w14:schemeClr w14:val="tx1"/>
                      </w14:solidFill>
                    </w14:textFill>
                  </w:rPr>
                </w:pPr>
                <w:r>
                  <w:rPr>
                    <w:rFonts w:cs="Times New Roman"/>
                    <w:color w:val="000000"/>
                  </w:rPr>
                  <w:t>应收军方、警方、政府职能部门等高信用水平单位款项</w:t>
                </w:r>
              </w:p>
            </w:tc>
            <w:tc>
              <w:tcPr>
                <w:tcW w:w="4008" w:type="dxa"/>
                <w:vAlign w:val="center"/>
              </w:tcPr>
              <w:p w14:paraId="1A42231D">
                <w:pPr>
                  <w:widowControl w:val="0"/>
                  <w:jc w:val="both"/>
                  <w:rPr>
                    <w:color w:val="000000" w:themeColor="text1"/>
                    <w14:textFill>
                      <w14:solidFill>
                        <w14:schemeClr w14:val="tx1"/>
                      </w14:solidFill>
                    </w14:textFill>
                  </w:rPr>
                </w:pPr>
                <w:r>
                  <w:rPr>
                    <w:rFonts w:hint="eastAsia"/>
                    <w:bCs w:val="0"/>
                  </w:rPr>
                  <w:t>参考历史信用损失经验，结合当前状况以及对未来经济状况的预测，通过违约风险敞口和整个续期预期信用损失率，计算预期信用损失</w:t>
                </w:r>
              </w:p>
            </w:tc>
          </w:tr>
          <w:tr w14:paraId="2344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E66300C">
                <w:pPr>
                  <w:widowControl w:val="0"/>
                  <w:jc w:val="both"/>
                  <w:rPr>
                    <w:color w:val="000000" w:themeColor="text1"/>
                    <w14:textFill>
                      <w14:solidFill>
                        <w14:schemeClr w14:val="tx1"/>
                      </w14:solidFill>
                    </w14:textFill>
                  </w:rPr>
                </w:pPr>
                <w:r>
                  <w:rPr>
                    <w:rFonts w:cs="Times New Roman"/>
                    <w:color w:val="000000"/>
                  </w:rPr>
                  <w:t>组合二关联方组合</w:t>
                </w:r>
              </w:p>
            </w:tc>
            <w:tc>
              <w:tcPr>
                <w:tcW w:w="2268" w:type="dxa"/>
                <w:vAlign w:val="center"/>
              </w:tcPr>
              <w:p w14:paraId="335C526E">
                <w:pPr>
                  <w:widowControl w:val="0"/>
                  <w:jc w:val="both"/>
                  <w:rPr>
                    <w:color w:val="000000" w:themeColor="text1"/>
                    <w14:textFill>
                      <w14:solidFill>
                        <w14:schemeClr w14:val="tx1"/>
                      </w14:solidFill>
                    </w14:textFill>
                  </w:rPr>
                </w:pPr>
                <w:r>
                  <w:rPr>
                    <w:rFonts w:cs="Times New Roman"/>
                    <w:color w:val="000000"/>
                  </w:rPr>
                  <w:t>关联关系</w:t>
                </w:r>
              </w:p>
            </w:tc>
            <w:tc>
              <w:tcPr>
                <w:tcW w:w="4008" w:type="dxa"/>
                <w:vAlign w:val="center"/>
              </w:tcPr>
              <w:p w14:paraId="3CD6E6BE">
                <w:pPr>
                  <w:widowControl w:val="0"/>
                  <w:jc w:val="both"/>
                  <w:rPr>
                    <w:color w:val="000000" w:themeColor="text1"/>
                    <w14:textFill>
                      <w14:solidFill>
                        <w14:schemeClr w14:val="tx1"/>
                      </w14:solidFill>
                    </w14:textFill>
                  </w:rPr>
                </w:pPr>
                <w:r>
                  <w:rPr>
                    <w:rFonts w:hint="eastAsia"/>
                    <w:bCs w:val="0"/>
                  </w:rPr>
                  <w:t>参考历史信用损失经验，结合当前状况以及对未来经济状况的预测，通过违约风险敞口和整个续期预期信用损失率，计算预期信用损失</w:t>
                </w:r>
              </w:p>
            </w:tc>
          </w:tr>
          <w:tr w14:paraId="369F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FF7F23C">
                <w:pPr>
                  <w:widowControl w:val="0"/>
                  <w:jc w:val="both"/>
                  <w:rPr>
                    <w:color w:val="000000" w:themeColor="text1"/>
                    <w14:textFill>
                      <w14:solidFill>
                        <w14:schemeClr w14:val="tx1"/>
                      </w14:solidFill>
                    </w14:textFill>
                  </w:rPr>
                </w:pPr>
                <w:r>
                  <w:rPr>
                    <w:rFonts w:cs="Times New Roman"/>
                    <w:color w:val="000000"/>
                  </w:rPr>
                  <w:t>组合三账龄组合</w:t>
                </w:r>
              </w:p>
            </w:tc>
            <w:tc>
              <w:tcPr>
                <w:tcW w:w="2268" w:type="dxa"/>
                <w:vAlign w:val="center"/>
              </w:tcPr>
              <w:p w14:paraId="08AE4B02">
                <w:pPr>
                  <w:widowControl w:val="0"/>
                  <w:jc w:val="both"/>
                  <w:rPr>
                    <w:color w:val="000000" w:themeColor="text1"/>
                    <w14:textFill>
                      <w14:solidFill>
                        <w14:schemeClr w14:val="tx1"/>
                      </w14:solidFill>
                    </w14:textFill>
                  </w:rPr>
                </w:pPr>
                <w:r>
                  <w:rPr>
                    <w:rFonts w:cs="Times New Roman"/>
                    <w:color w:val="000000"/>
                  </w:rPr>
                  <w:t>账龄</w:t>
                </w:r>
              </w:p>
            </w:tc>
            <w:tc>
              <w:tcPr>
                <w:tcW w:w="4008" w:type="dxa"/>
                <w:vAlign w:val="center"/>
              </w:tcPr>
              <w:p w14:paraId="1BEFA1AA">
                <w:pPr>
                  <w:widowControl w:val="0"/>
                  <w:jc w:val="both"/>
                  <w:rPr>
                    <w:color w:val="000000" w:themeColor="text1"/>
                    <w14:textFill>
                      <w14:solidFill>
                        <w14:schemeClr w14:val="tx1"/>
                      </w14:solidFill>
                    </w14:textFill>
                  </w:rPr>
                </w:pPr>
                <w:r>
                  <w:rPr>
                    <w:rFonts w:hint="eastAsia"/>
                    <w:bCs w:val="0"/>
                  </w:rPr>
                  <w:t>按账龄与整个存续期预期信用损失率对照表计提</w:t>
                </w:r>
              </w:p>
            </w:tc>
          </w:tr>
        </w:tbl>
        <w:p w14:paraId="5DA3913B">
          <w:pPr>
            <w:rPr>
              <w:color w:val="000000" w:themeColor="text1"/>
              <w14:textFill>
                <w14:solidFill>
                  <w14:schemeClr w14:val="tx1"/>
                </w14:solidFill>
              </w14:textFill>
            </w:rPr>
          </w:pPr>
        </w:p>
      </w:sdtContent>
    </w:sdt>
    <w:p w14:paraId="02773B96">
      <w:pPr>
        <w:rPr>
          <w:rFonts w:cs="Times New Roman"/>
          <w:b/>
          <w:bCs w:val="0"/>
          <w:color w:val="000000" w:themeColor="text1"/>
          <w:kern w:val="2"/>
          <w:szCs w:val="28"/>
          <w14:textFill>
            <w14:solidFill>
              <w14:schemeClr w14:val="tx1"/>
            </w14:solidFill>
          </w14:textFill>
        </w:rPr>
      </w:pPr>
    </w:p>
    <w:p w14:paraId="79033766">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应收账款基于账龄确认信用风险特征组合的账龄计算方法[双击切换]"/>
        <w:tag w:val="_GBC_a30f82acbfab40128924b158366b4a73"/>
        <w:id w:val="147453083"/>
        <w:placeholder>
          <w:docPart w:val="GBC22222222222222222222222222222"/>
        </w:placeholder>
      </w:sdtPr>
      <w:sdtEndPr>
        <w:rPr>
          <w:color w:val="000000" w:themeColor="text1"/>
          <w14:textFill>
            <w14:solidFill>
              <w14:schemeClr w14:val="tx1"/>
            </w14:solidFill>
          </w14:textFill>
        </w:rPr>
      </w:sdtEndPr>
      <w:sdtContent>
        <w:p w14:paraId="46DCD24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账款基于账龄确认信用风险特征组合的账龄计算方法"/>
        <w:tag w:val="_GBC_b5bf8a2c04eb4b5b905005b0fbc7b697"/>
        <w:id w:val="147471640"/>
        <w:placeholder>
          <w:docPart w:val="GBC22222222222222222222222222222"/>
        </w:placeholder>
      </w:sdtPr>
      <w:sdtEndPr>
        <w:rPr>
          <w:color w:val="000000" w:themeColor="text1"/>
          <w14:textFill>
            <w14:solidFill>
              <w14:schemeClr w14:val="tx1"/>
            </w14:solidFill>
          </w14:textFill>
        </w:rPr>
      </w:sdtEndPr>
      <w:sdtContent>
        <w:p w14:paraId="0A87F521">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账龄组合的账龄与预期信用损失率对照表如下：</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5CC3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411" w:type="dxa"/>
                <w:vAlign w:val="center"/>
              </w:tcPr>
              <w:p w14:paraId="66633BA2">
                <w:pPr>
                  <w:widowControl w:val="0"/>
                  <w:jc w:val="center"/>
                  <w:rPr>
                    <w:color w:val="000000" w:themeColor="text1"/>
                    <w14:textFill>
                      <w14:solidFill>
                        <w14:schemeClr w14:val="tx1"/>
                      </w14:solidFill>
                    </w14:textFill>
                  </w:rPr>
                </w:pPr>
                <w:r>
                  <w:rPr>
                    <w:rFonts w:cs="Times New Roman"/>
                    <w:color w:val="000000"/>
                  </w:rPr>
                  <w:t>账龄</w:t>
                </w:r>
              </w:p>
            </w:tc>
            <w:tc>
              <w:tcPr>
                <w:tcW w:w="4412" w:type="dxa"/>
                <w:vAlign w:val="center"/>
              </w:tcPr>
              <w:p w14:paraId="3730ED88">
                <w:pPr>
                  <w:widowControl w:val="0"/>
                  <w:jc w:val="center"/>
                  <w:rPr>
                    <w:color w:val="000000" w:themeColor="text1"/>
                    <w14:textFill>
                      <w14:solidFill>
                        <w14:schemeClr w14:val="tx1"/>
                      </w14:solidFill>
                    </w14:textFill>
                  </w:rPr>
                </w:pPr>
                <w:r>
                  <w:t>应收账款预期信用损失率（%</w:t>
                </w:r>
                <w:r>
                  <w:rPr>
                    <w:rFonts w:cs="Times New Roman"/>
                  </w:rPr>
                  <w:t>）</w:t>
                </w:r>
              </w:p>
            </w:tc>
          </w:tr>
          <w:tr w14:paraId="265D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5D911BBB">
                <w:pPr>
                  <w:widowControl w:val="0"/>
                  <w:jc w:val="center"/>
                  <w:rPr>
                    <w:rFonts w:cs="Times New Roman"/>
                    <w:color w:val="000000" w:themeColor="text1"/>
                    <w14:textFill>
                      <w14:solidFill>
                        <w14:schemeClr w14:val="tx1"/>
                      </w14:solidFill>
                    </w14:textFill>
                  </w:rPr>
                </w:pPr>
                <w:r>
                  <w:rPr>
                    <w:rFonts w:cs="Times New Roman"/>
                    <w:bCs w:val="0"/>
                  </w:rPr>
                  <w:t>1年以内</w:t>
                </w:r>
              </w:p>
            </w:tc>
            <w:tc>
              <w:tcPr>
                <w:tcW w:w="4412" w:type="dxa"/>
                <w:vAlign w:val="center"/>
              </w:tcPr>
              <w:p w14:paraId="3077D9DB">
                <w:pPr>
                  <w:widowControl w:val="0"/>
                  <w:jc w:val="center"/>
                  <w:rPr>
                    <w:rFonts w:cs="Times New Roman"/>
                    <w:color w:val="000000" w:themeColor="text1"/>
                    <w14:textFill>
                      <w14:solidFill>
                        <w14:schemeClr w14:val="tx1"/>
                      </w14:solidFill>
                    </w14:textFill>
                  </w:rPr>
                </w:pPr>
              </w:p>
            </w:tc>
          </w:tr>
          <w:tr w14:paraId="6CAE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6C9D0B0D">
                <w:pPr>
                  <w:widowControl w:val="0"/>
                  <w:jc w:val="center"/>
                  <w:rPr>
                    <w:rFonts w:cs="Times New Roman"/>
                    <w:color w:val="000000" w:themeColor="text1"/>
                    <w14:textFill>
                      <w14:solidFill>
                        <w14:schemeClr w14:val="tx1"/>
                      </w14:solidFill>
                    </w14:textFill>
                  </w:rPr>
                </w:pPr>
                <w:r>
                  <w:rPr>
                    <w:rFonts w:cs="Times New Roman"/>
                    <w:bCs w:val="0"/>
                  </w:rPr>
                  <w:t>1－2年</w:t>
                </w:r>
              </w:p>
            </w:tc>
            <w:tc>
              <w:tcPr>
                <w:tcW w:w="4412" w:type="dxa"/>
                <w:vAlign w:val="center"/>
              </w:tcPr>
              <w:p w14:paraId="0D01C2F2">
                <w:pPr>
                  <w:widowControl w:val="0"/>
                  <w:jc w:val="center"/>
                  <w:rPr>
                    <w:rFonts w:cs="Times New Roman"/>
                    <w:color w:val="000000" w:themeColor="text1"/>
                    <w14:textFill>
                      <w14:solidFill>
                        <w14:schemeClr w14:val="tx1"/>
                      </w14:solidFill>
                    </w14:textFill>
                  </w:rPr>
                </w:pPr>
                <w:r>
                  <w:rPr>
                    <w:rFonts w:cs="Times New Roman"/>
                    <w:color w:val="000000"/>
                  </w:rPr>
                  <w:t>20</w:t>
                </w:r>
              </w:p>
            </w:tc>
          </w:tr>
          <w:tr w14:paraId="42D3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5A5D7243">
                <w:pPr>
                  <w:widowControl w:val="0"/>
                  <w:jc w:val="center"/>
                  <w:rPr>
                    <w:rFonts w:cs="Times New Roman"/>
                    <w:color w:val="000000" w:themeColor="text1"/>
                    <w14:textFill>
                      <w14:solidFill>
                        <w14:schemeClr w14:val="tx1"/>
                      </w14:solidFill>
                    </w14:textFill>
                  </w:rPr>
                </w:pPr>
                <w:r>
                  <w:rPr>
                    <w:rFonts w:cs="Times New Roman"/>
                    <w:bCs w:val="0"/>
                  </w:rPr>
                  <w:t>2－3年</w:t>
                </w:r>
              </w:p>
            </w:tc>
            <w:tc>
              <w:tcPr>
                <w:tcW w:w="4412" w:type="dxa"/>
                <w:vAlign w:val="center"/>
              </w:tcPr>
              <w:p w14:paraId="7FFD52FC">
                <w:pPr>
                  <w:widowControl w:val="0"/>
                  <w:jc w:val="center"/>
                  <w:rPr>
                    <w:rFonts w:cs="Times New Roman"/>
                    <w:color w:val="000000" w:themeColor="text1"/>
                    <w14:textFill>
                      <w14:solidFill>
                        <w14:schemeClr w14:val="tx1"/>
                      </w14:solidFill>
                    </w14:textFill>
                  </w:rPr>
                </w:pPr>
                <w:r>
                  <w:rPr>
                    <w:rFonts w:cs="Times New Roman"/>
                    <w:color w:val="000000"/>
                  </w:rPr>
                  <w:t>50</w:t>
                </w:r>
              </w:p>
            </w:tc>
          </w:tr>
          <w:tr w14:paraId="7200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4A579F29">
                <w:pPr>
                  <w:widowControl w:val="0"/>
                  <w:jc w:val="center"/>
                  <w:rPr>
                    <w:rFonts w:cs="Times New Roman"/>
                    <w:color w:val="000000" w:themeColor="text1"/>
                    <w14:textFill>
                      <w14:solidFill>
                        <w14:schemeClr w14:val="tx1"/>
                      </w14:solidFill>
                    </w14:textFill>
                  </w:rPr>
                </w:pPr>
                <w:r>
                  <w:rPr>
                    <w:rFonts w:cs="Times New Roman"/>
                    <w:bCs w:val="0"/>
                  </w:rPr>
                  <w:t>3－4年</w:t>
                </w:r>
              </w:p>
            </w:tc>
            <w:tc>
              <w:tcPr>
                <w:tcW w:w="4412" w:type="dxa"/>
                <w:vAlign w:val="center"/>
              </w:tcPr>
              <w:p w14:paraId="3F765C78">
                <w:pPr>
                  <w:widowControl w:val="0"/>
                  <w:jc w:val="center"/>
                  <w:rPr>
                    <w:rFonts w:cs="Times New Roman"/>
                    <w:color w:val="000000" w:themeColor="text1"/>
                    <w14:textFill>
                      <w14:solidFill>
                        <w14:schemeClr w14:val="tx1"/>
                      </w14:solidFill>
                    </w14:textFill>
                  </w:rPr>
                </w:pPr>
                <w:r>
                  <w:rPr>
                    <w:rFonts w:cs="Times New Roman"/>
                    <w:color w:val="000000"/>
                  </w:rPr>
                  <w:t>70</w:t>
                </w:r>
              </w:p>
            </w:tc>
          </w:tr>
          <w:tr w14:paraId="1192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13FD8FB6">
                <w:pPr>
                  <w:widowControl w:val="0"/>
                  <w:jc w:val="center"/>
                  <w:rPr>
                    <w:rFonts w:cs="Times New Roman"/>
                    <w:color w:val="000000" w:themeColor="text1"/>
                    <w14:textFill>
                      <w14:solidFill>
                        <w14:schemeClr w14:val="tx1"/>
                      </w14:solidFill>
                    </w14:textFill>
                  </w:rPr>
                </w:pPr>
                <w:r>
                  <w:rPr>
                    <w:rFonts w:cs="Times New Roman"/>
                    <w:bCs w:val="0"/>
                  </w:rPr>
                  <w:t>4－5年</w:t>
                </w:r>
              </w:p>
            </w:tc>
            <w:tc>
              <w:tcPr>
                <w:tcW w:w="4412" w:type="dxa"/>
                <w:vAlign w:val="center"/>
              </w:tcPr>
              <w:p w14:paraId="2A4C2035">
                <w:pPr>
                  <w:widowControl w:val="0"/>
                  <w:jc w:val="center"/>
                  <w:rPr>
                    <w:rFonts w:cs="Times New Roman"/>
                    <w:color w:val="000000" w:themeColor="text1"/>
                    <w14:textFill>
                      <w14:solidFill>
                        <w14:schemeClr w14:val="tx1"/>
                      </w14:solidFill>
                    </w14:textFill>
                  </w:rPr>
                </w:pPr>
                <w:r>
                  <w:rPr>
                    <w:rFonts w:cs="Times New Roman"/>
                    <w:color w:val="000000"/>
                  </w:rPr>
                  <w:t>80</w:t>
                </w:r>
              </w:p>
            </w:tc>
          </w:tr>
          <w:tr w14:paraId="0525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2FBD7A91">
                <w:pPr>
                  <w:widowControl w:val="0"/>
                  <w:jc w:val="center"/>
                  <w:rPr>
                    <w:rFonts w:cs="Times New Roman"/>
                    <w:color w:val="000000" w:themeColor="text1"/>
                    <w14:textFill>
                      <w14:solidFill>
                        <w14:schemeClr w14:val="tx1"/>
                      </w14:solidFill>
                    </w14:textFill>
                  </w:rPr>
                </w:pPr>
                <w:r>
                  <w:rPr>
                    <w:rFonts w:cs="Times New Roman"/>
                    <w:bCs w:val="0"/>
                  </w:rPr>
                  <w:t>5年以上</w:t>
                </w:r>
              </w:p>
            </w:tc>
            <w:tc>
              <w:tcPr>
                <w:tcW w:w="4412" w:type="dxa"/>
                <w:vAlign w:val="center"/>
              </w:tcPr>
              <w:p w14:paraId="6A1CFB09">
                <w:pPr>
                  <w:widowControl w:val="0"/>
                  <w:jc w:val="center"/>
                  <w:rPr>
                    <w:rFonts w:cs="Times New Roman"/>
                    <w:color w:val="000000" w:themeColor="text1"/>
                    <w14:textFill>
                      <w14:solidFill>
                        <w14:schemeClr w14:val="tx1"/>
                      </w14:solidFill>
                    </w14:textFill>
                  </w:rPr>
                </w:pPr>
                <w:r>
                  <w:rPr>
                    <w:rFonts w:cs="Times New Roman"/>
                    <w:color w:val="000000"/>
                  </w:rPr>
                  <w:t>100</w:t>
                </w:r>
              </w:p>
            </w:tc>
          </w:tr>
        </w:tbl>
        <w:p w14:paraId="41FD1DF9">
          <w:pPr>
            <w:rPr>
              <w:color w:val="000000" w:themeColor="text1"/>
              <w14:textFill>
                <w14:solidFill>
                  <w14:schemeClr w14:val="tx1"/>
                </w14:solidFill>
              </w14:textFill>
            </w:rPr>
          </w:pPr>
        </w:p>
      </w:sdtContent>
    </w:sdt>
    <w:p w14:paraId="245A8D3B">
      <w:pPr>
        <w:rPr>
          <w:rFonts w:cs="Times New Roman"/>
          <w:b/>
          <w:bCs w:val="0"/>
          <w:color w:val="000000" w:themeColor="text1"/>
          <w:kern w:val="2"/>
          <w:szCs w:val="28"/>
          <w14:textFill>
            <w14:solidFill>
              <w14:schemeClr w14:val="tx1"/>
            </w14:solidFill>
          </w14:textFill>
        </w:rPr>
      </w:pPr>
    </w:p>
    <w:p w14:paraId="3379F332">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按照单项计提坏账准备的认定单项计提判断标准</w:t>
      </w:r>
    </w:p>
    <w:sdt>
      <w:sdtPr>
        <w:rPr>
          <w:color w:val="000000" w:themeColor="text1"/>
          <w14:textFill>
            <w14:solidFill>
              <w14:schemeClr w14:val="tx1"/>
            </w14:solidFill>
          </w14:textFill>
        </w:rPr>
        <w:alias w:val="是否适用：应收账款按照单项计提坏账准备的单项计提判断标准[双击切换]"/>
        <w:tag w:val="_GBC_ee9e87b79c8a492885f71b93a5fcd48d"/>
        <w:id w:val="147461386"/>
        <w:placeholder>
          <w:docPart w:val="GBC22222222222222222222222222222"/>
        </w:placeholder>
      </w:sdtPr>
      <w:sdtEndPr>
        <w:rPr>
          <w:color w:val="000000" w:themeColor="text1"/>
          <w14:textFill>
            <w14:solidFill>
              <w14:schemeClr w14:val="tx1"/>
            </w14:solidFill>
          </w14:textFill>
        </w:rPr>
      </w:sdtEndPr>
      <w:sdtContent>
        <w:p w14:paraId="43F35BA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账款按照单项计提坏账准备的单项计提判断标准"/>
        <w:tag w:val="_GBC_b895356990fa48cc8b1ad33cc5cda698"/>
        <w:id w:val="147463752"/>
        <w:placeholder>
          <w:docPart w:val="GBC22222222222222222222222222222"/>
        </w:placeholder>
      </w:sdtPr>
      <w:sdtEndPr>
        <w:rPr>
          <w:color w:val="000000" w:themeColor="text1"/>
          <w14:textFill>
            <w14:solidFill>
              <w14:schemeClr w14:val="tx1"/>
            </w14:solidFill>
          </w14:textFill>
        </w:rPr>
      </w:sdtEndPr>
      <w:sdtContent>
        <w:p w14:paraId="7B7F286A">
          <w:pPr>
            <w:rPr>
              <w:color w:val="000000" w:themeColor="text1"/>
              <w14:textFill>
                <w14:solidFill>
                  <w14:schemeClr w14:val="tx1"/>
                </w14:solidFill>
              </w14:textFill>
            </w:rPr>
          </w:pPr>
          <w:r>
            <w:rPr>
              <w:rFonts w:hint="eastAsia"/>
              <w:color w:val="000000" w:themeColor="text1"/>
              <w14:textFill>
                <w14:solidFill>
                  <w14:schemeClr w14:val="tx1"/>
                </w14:solidFill>
              </w14:textFill>
            </w:rPr>
            <w:t>对信用风险与组合信用风险显著不同的应收款项，公司按单项计提预期信用损失。</w:t>
          </w:r>
        </w:p>
      </w:sdtContent>
    </w:sdt>
    <w:p w14:paraId="1841E13E">
      <w:pPr>
        <w:rPr>
          <w:color w:val="000000" w:themeColor="text1"/>
          <w14:textFill>
            <w14:solidFill>
              <w14:schemeClr w14:val="tx1"/>
            </w14:solidFill>
          </w14:textFill>
        </w:rPr>
      </w:pPr>
    </w:p>
    <w:p w14:paraId="7055BBB8">
      <w:pPr>
        <w:pStyle w:val="57"/>
        <w:numPr>
          <w:ilvl w:val="0"/>
          <w:numId w:val="46"/>
        </w:numPr>
        <w:rPr>
          <w:rFonts w:ascii="宋体" w:hAnsi="宋体"/>
          <w:color w:val="000000" w:themeColor="text1"/>
          <w14:textFill>
            <w14:solidFill>
              <w14:schemeClr w14:val="tx1"/>
            </w14:solidFill>
          </w14:textFill>
        </w:rPr>
      </w:pPr>
      <w:bookmarkStart w:id="167" w:name="_Hlk24102310"/>
      <w:bookmarkStart w:id="168" w:name="_Hlk152690443"/>
      <w:r>
        <w:rPr>
          <w:rFonts w:ascii="宋体" w:hAnsi="宋体"/>
          <w:color w:val="000000" w:themeColor="text1"/>
          <w14:textFill>
            <w14:solidFill>
              <w14:schemeClr w14:val="tx1"/>
            </w14:solidFill>
          </w14:textFill>
        </w:rPr>
        <w:t>应收款项融资</w:t>
      </w:r>
    </w:p>
    <w:sdt>
      <w:sdtPr>
        <w:rPr>
          <w:color w:val="000000" w:themeColor="text1"/>
          <w14:textFill>
            <w14:solidFill>
              <w14:schemeClr w14:val="tx1"/>
            </w14:solidFill>
          </w14:textFill>
        </w:rPr>
        <w:alias w:val="是否适用：应收款项融资_重要会计政策和估计[双击切换]"/>
        <w:tag w:val="_GBC_47906a8d31c54a72891112f417e1058d"/>
        <w:id w:val="147464031"/>
        <w:placeholder>
          <w:docPart w:val="GBC22222222222222222222222222222"/>
        </w:placeholder>
      </w:sdtPr>
      <w:sdtEndPr>
        <w:rPr>
          <w:color w:val="000000" w:themeColor="text1"/>
          <w14:textFill>
            <w14:solidFill>
              <w14:schemeClr w14:val="tx1"/>
            </w14:solidFill>
          </w14:textFill>
        </w:rPr>
      </w:sdtEndPr>
      <w:sdtContent>
        <w:p w14:paraId="7AAD875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67"/>
    <w:bookmarkEnd w:id="168"/>
    <w:p w14:paraId="6ED9BC92">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应收款项融资按照信用风险特征组合计提坏账准备的组合类别及确定依据[双击切换]"/>
        <w:tag w:val="_GBC_991c72bbcc9e4545985776851a67e9f5"/>
        <w:id w:val="147461495"/>
        <w:placeholder>
          <w:docPart w:val="GBC22222222222222222222222222222"/>
        </w:placeholder>
      </w:sdtPr>
      <w:sdtEndPr>
        <w:rPr>
          <w:color w:val="000000" w:themeColor="text1"/>
          <w14:textFill>
            <w14:solidFill>
              <w14:schemeClr w14:val="tx1"/>
            </w14:solidFill>
          </w14:textFill>
        </w:rPr>
      </w:sdtEndPr>
      <w:sdtContent>
        <w:p w14:paraId="4501057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款项融资按照信用风险特征组合计提坏账准备的组合类别及确定依据"/>
        <w:tag w:val="_GBC_e001404223de4b32980aa3a5b54f2b74"/>
        <w:id w:val="147462061"/>
        <w:placeholder>
          <w:docPart w:val="GBC22222222222222222222222222222"/>
        </w:placeholder>
      </w:sdtPr>
      <w:sdtEndPr>
        <w:rPr>
          <w:color w:val="000000" w:themeColor="text1"/>
          <w14:textFill>
            <w14:solidFill>
              <w14:schemeClr w14:val="tx1"/>
            </w14:solidFill>
          </w14:textFill>
        </w:rPr>
      </w:sdtEndPr>
      <w:sdtContent>
        <w:p w14:paraId="06930A5A">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6D6D1194">
      <w:pPr>
        <w:rPr>
          <w:rFonts w:cs="Times New Roman"/>
          <w:b/>
          <w:bCs w:val="0"/>
          <w:color w:val="000000" w:themeColor="text1"/>
          <w:kern w:val="2"/>
          <w:szCs w:val="28"/>
          <w14:textFill>
            <w14:solidFill>
              <w14:schemeClr w14:val="tx1"/>
            </w14:solidFill>
          </w14:textFill>
        </w:rPr>
      </w:pPr>
    </w:p>
    <w:p w14:paraId="21F3DF1B">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应收款项融资基于账龄确认信用风险特征组合的账龄计算方法[双击切换]"/>
        <w:tag w:val="_GBC_ed4ac302bc6f4dee85e2b543d38e4b3e"/>
        <w:id w:val="147468764"/>
        <w:placeholder>
          <w:docPart w:val="GBC22222222222222222222222222222"/>
        </w:placeholder>
      </w:sdtPr>
      <w:sdtEndPr>
        <w:rPr>
          <w:color w:val="000000" w:themeColor="text1"/>
          <w14:textFill>
            <w14:solidFill>
              <w14:schemeClr w14:val="tx1"/>
            </w14:solidFill>
          </w14:textFill>
        </w:rPr>
      </w:sdtEndPr>
      <w:sdtContent>
        <w:p w14:paraId="17EE601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款项融资基于账龄确认信用风险特征组合的账龄计算方法"/>
        <w:tag w:val="_GBC_dd9635a615ab425aaaec1feb5c3c6f6b"/>
        <w:id w:val="147477993"/>
        <w:placeholder>
          <w:docPart w:val="GBC22222222222222222222222222222"/>
        </w:placeholder>
      </w:sdtPr>
      <w:sdtEndPr>
        <w:rPr>
          <w:color w:val="000000" w:themeColor="text1"/>
          <w14:textFill>
            <w14:solidFill>
              <w14:schemeClr w14:val="tx1"/>
            </w14:solidFill>
          </w14:textFill>
        </w:rPr>
      </w:sdtEndPr>
      <w:sdtContent>
        <w:p w14:paraId="0440F5F7">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5F8D88F3">
      <w:pPr>
        <w:rPr>
          <w:rFonts w:cs="Times New Roman"/>
          <w:b/>
          <w:bCs w:val="0"/>
          <w:color w:val="000000" w:themeColor="text1"/>
          <w:kern w:val="2"/>
          <w:szCs w:val="28"/>
          <w14:textFill>
            <w14:solidFill>
              <w14:schemeClr w14:val="tx1"/>
            </w14:solidFill>
          </w14:textFill>
        </w:rPr>
      </w:pPr>
    </w:p>
    <w:p w14:paraId="71D306F2">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按照单项计提坏账准备的单项计提判断标准</w:t>
      </w:r>
    </w:p>
    <w:sdt>
      <w:sdtPr>
        <w:rPr>
          <w:color w:val="000000" w:themeColor="text1"/>
          <w14:textFill>
            <w14:solidFill>
              <w14:schemeClr w14:val="tx1"/>
            </w14:solidFill>
          </w14:textFill>
        </w:rPr>
        <w:alias w:val="是否适用：应收款项融资按照单项计提坏账准备的单项计提判断标准[双击切换]"/>
        <w:tag w:val="_GBC_da1ff8ccd2084f059e028af496d67278"/>
        <w:id w:val="147477187"/>
        <w:placeholder>
          <w:docPart w:val="GBC22222222222222222222222222222"/>
        </w:placeholder>
      </w:sdtPr>
      <w:sdtEndPr>
        <w:rPr>
          <w:color w:val="000000" w:themeColor="text1"/>
          <w14:textFill>
            <w14:solidFill>
              <w14:schemeClr w14:val="tx1"/>
            </w14:solidFill>
          </w14:textFill>
        </w:rPr>
      </w:sdtEndPr>
      <w:sdtContent>
        <w:p w14:paraId="5F75F76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款项融资按照单项计提坏账准备的单项计提判断标准"/>
        <w:tag w:val="_GBC_6b04e4650f0645ff867d0c4ec58b44d2"/>
        <w:id w:val="147463871"/>
        <w:placeholder>
          <w:docPart w:val="GBC22222222222222222222222222222"/>
        </w:placeholder>
      </w:sdtPr>
      <w:sdtEndPr>
        <w:rPr>
          <w:color w:val="000000" w:themeColor="text1"/>
          <w14:textFill>
            <w14:solidFill>
              <w14:schemeClr w14:val="tx1"/>
            </w14:solidFill>
          </w14:textFill>
        </w:rPr>
      </w:sdtEndPr>
      <w:sdtContent>
        <w:p w14:paraId="4053FF56">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1AF4CD97">
      <w:pPr>
        <w:rPr>
          <w:color w:val="000000" w:themeColor="text1"/>
          <w14:textFill>
            <w14:solidFill>
              <w14:schemeClr w14:val="tx1"/>
            </w14:solidFill>
          </w14:textFill>
        </w:rPr>
      </w:pPr>
    </w:p>
    <w:p w14:paraId="70C9B585">
      <w:pPr>
        <w:pStyle w:val="57"/>
        <w:numPr>
          <w:ilvl w:val="0"/>
          <w:numId w:val="46"/>
        </w:numPr>
        <w:rPr>
          <w:rFonts w:ascii="宋体" w:hAnsi="宋体"/>
          <w:color w:val="000000" w:themeColor="text1"/>
          <w14:textFill>
            <w14:solidFill>
              <w14:schemeClr w14:val="tx1"/>
            </w14:solidFill>
          </w14:textFill>
        </w:rPr>
      </w:pPr>
      <w:bookmarkStart w:id="169" w:name="_Hlk533667836"/>
      <w:r>
        <w:rPr>
          <w:rFonts w:ascii="宋体" w:hAnsi="宋体"/>
          <w:color w:val="000000" w:themeColor="text1"/>
          <w14:textFill>
            <w14:solidFill>
              <w14:schemeClr w14:val="tx1"/>
            </w14:solidFill>
          </w14:textFill>
        </w:rPr>
        <w:t>其他应收款</w:t>
      </w:r>
    </w:p>
    <w:sdt>
      <w:sdtPr>
        <w:rPr>
          <w:rFonts w:hint="eastAsia"/>
          <w:color w:val="000000" w:themeColor="text1"/>
          <w14:textFill>
            <w14:solidFill>
              <w14:schemeClr w14:val="tx1"/>
            </w14:solidFill>
          </w14:textFill>
        </w:rPr>
        <w:alias w:val="是否适用：其他应收款_重要会计政策和估计[双击切换]"/>
        <w:tag w:val="_GBC_dfe58b09048a4951b32b48ce6a3930aa"/>
        <w:id w:val="147470974"/>
        <w:placeholder>
          <w:docPart w:val="GBC22222222222222222222222222222"/>
        </w:placeholder>
      </w:sdtPr>
      <w:sdtEndPr>
        <w:rPr>
          <w:rFonts w:hint="eastAsia"/>
          <w:color w:val="000000" w:themeColor="text1"/>
          <w14:textFill>
            <w14:solidFill>
              <w14:schemeClr w14:val="tx1"/>
            </w14:solidFill>
          </w14:textFill>
        </w:rPr>
      </w:sdtEndPr>
      <w:sdtContent>
        <w:p w14:paraId="75D7600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69"/>
    <w:p w14:paraId="2F72AF84">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其他应收款按照信用风险特征组合计提坏账准备的组合类别及确定依据[双击切换]"/>
        <w:tag w:val="_GBC_9e16f620387d402e9e85b4fe910b3b32"/>
        <w:id w:val="147477048"/>
        <w:placeholder>
          <w:docPart w:val="GBC22222222222222222222222222222"/>
        </w:placeholder>
      </w:sdtPr>
      <w:sdtEndPr>
        <w:rPr>
          <w:color w:val="000000" w:themeColor="text1"/>
          <w14:textFill>
            <w14:solidFill>
              <w14:schemeClr w14:val="tx1"/>
            </w14:solidFill>
          </w14:textFill>
        </w:rPr>
      </w:sdtEndPr>
      <w:sdtContent>
        <w:p w14:paraId="6104F0C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应收款按照信用风险特征组合计提坏账准备的组合类别及确定依据"/>
        <w:tag w:val="_GBC_09d041e587b1414ca6dcd8a2b8f31b9f"/>
        <w:id w:val="147475448"/>
        <w:placeholder>
          <w:docPart w:val="GBC22222222222222222222222222222"/>
        </w:placeholder>
      </w:sdtPr>
      <w:sdtEndPr>
        <w:rPr>
          <w:color w:val="000000" w:themeColor="text1"/>
          <w14:textFill>
            <w14:solidFill>
              <w14:schemeClr w14:val="tx1"/>
            </w14:solidFill>
          </w14:textFill>
        </w:rPr>
      </w:sdtEndPr>
      <w:sdtContent>
        <w:p w14:paraId="20F8DB17">
          <w:pPr>
            <w:rPr>
              <w:color w:val="000000" w:themeColor="text1"/>
              <w14:textFill>
                <w14:solidFill>
                  <w14:schemeClr w14:val="tx1"/>
                </w14:solidFill>
              </w14:textFill>
            </w:rPr>
          </w:pPr>
          <w:r>
            <w:rPr>
              <w:rFonts w:hint="eastAsia"/>
              <w:color w:val="000000" w:themeColor="text1"/>
              <w14:textFill>
                <w14:solidFill>
                  <w14:schemeClr w14:val="tx1"/>
                </w14:solidFill>
              </w14:textFill>
            </w:rPr>
            <w:t>当在单项工具层面无法以合理成本评估预期信用损失的充分证据时，本公司参考历史信用损失经验，结合当前状况以及对未来经济状况的判断，依据信用风险特征将其他应收款划分为若干组合，在组合基础上计算预期信用损失。确定组合的依据如下：</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126"/>
            <w:gridCol w:w="4292"/>
          </w:tblGrid>
          <w:tr w14:paraId="75F7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51B3791">
                <w:pPr>
                  <w:widowControl w:val="0"/>
                  <w:jc w:val="center"/>
                  <w:rPr>
                    <w:color w:val="000000" w:themeColor="text1"/>
                    <w14:textFill>
                      <w14:solidFill>
                        <w14:schemeClr w14:val="tx1"/>
                      </w14:solidFill>
                    </w14:textFill>
                  </w:rPr>
                </w:pPr>
                <w:r>
                  <w:rPr>
                    <w:rFonts w:cs="Times New Roman"/>
                    <w:color w:val="000000"/>
                  </w:rPr>
                  <w:t>组合名称</w:t>
                </w:r>
              </w:p>
            </w:tc>
            <w:tc>
              <w:tcPr>
                <w:tcW w:w="2126" w:type="dxa"/>
                <w:vAlign w:val="center"/>
              </w:tcPr>
              <w:p w14:paraId="52638C61">
                <w:pPr>
                  <w:widowControl w:val="0"/>
                  <w:jc w:val="center"/>
                  <w:rPr>
                    <w:color w:val="000000" w:themeColor="text1"/>
                    <w14:textFill>
                      <w14:solidFill>
                        <w14:schemeClr w14:val="tx1"/>
                      </w14:solidFill>
                    </w14:textFill>
                  </w:rPr>
                </w:pPr>
                <w:r>
                  <w:rPr>
                    <w:rFonts w:cs="Times New Roman"/>
                    <w:color w:val="000000"/>
                  </w:rPr>
                  <w:t>确定组合的依据</w:t>
                </w:r>
              </w:p>
            </w:tc>
            <w:tc>
              <w:tcPr>
                <w:tcW w:w="4292" w:type="dxa"/>
                <w:vAlign w:val="center"/>
              </w:tcPr>
              <w:p w14:paraId="1E2A24A7">
                <w:pPr>
                  <w:widowControl w:val="0"/>
                  <w:jc w:val="center"/>
                  <w:rPr>
                    <w:color w:val="000000" w:themeColor="text1"/>
                    <w14:textFill>
                      <w14:solidFill>
                        <w14:schemeClr w14:val="tx1"/>
                      </w14:solidFill>
                    </w14:textFill>
                  </w:rPr>
                </w:pPr>
                <w:r>
                  <w:rPr>
                    <w:rFonts w:cs="Times New Roman"/>
                    <w:color w:val="000000"/>
                  </w:rPr>
                  <w:t>计提方法</w:t>
                </w:r>
              </w:p>
            </w:tc>
          </w:tr>
          <w:tr w14:paraId="5FDD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D7B95E9">
                <w:pPr>
                  <w:widowControl w:val="0"/>
                  <w:jc w:val="both"/>
                  <w:rPr>
                    <w:color w:val="000000" w:themeColor="text1"/>
                    <w14:textFill>
                      <w14:solidFill>
                        <w14:schemeClr w14:val="tx1"/>
                      </w14:solidFill>
                    </w14:textFill>
                  </w:rPr>
                </w:pPr>
                <w:r>
                  <w:rPr>
                    <w:rFonts w:cs="Times New Roman"/>
                    <w:color w:val="000000"/>
                  </w:rPr>
                  <w:t>组合一军方、警方、政府职能部门等高信用水平单位应收款项组合</w:t>
                </w:r>
              </w:p>
            </w:tc>
            <w:tc>
              <w:tcPr>
                <w:tcW w:w="2126" w:type="dxa"/>
                <w:vAlign w:val="center"/>
              </w:tcPr>
              <w:p w14:paraId="238892D9">
                <w:pPr>
                  <w:widowControl w:val="0"/>
                  <w:jc w:val="both"/>
                  <w:rPr>
                    <w:color w:val="000000" w:themeColor="text1"/>
                    <w14:textFill>
                      <w14:solidFill>
                        <w14:schemeClr w14:val="tx1"/>
                      </w14:solidFill>
                    </w14:textFill>
                  </w:rPr>
                </w:pPr>
                <w:r>
                  <w:rPr>
                    <w:rFonts w:cs="Times New Roman"/>
                    <w:color w:val="000000"/>
                  </w:rPr>
                  <w:t>应收军方、警方、政府职能部门等高信用水平单位款项</w:t>
                </w:r>
              </w:p>
            </w:tc>
            <w:tc>
              <w:tcPr>
                <w:tcW w:w="4292" w:type="dxa"/>
                <w:vAlign w:val="center"/>
              </w:tcPr>
              <w:p w14:paraId="5CA3EA4F">
                <w:pPr>
                  <w:widowControl w:val="0"/>
                  <w:jc w:val="both"/>
                  <w:rPr>
                    <w:color w:val="000000" w:themeColor="text1"/>
                    <w14:textFill>
                      <w14:solidFill>
                        <w14:schemeClr w14:val="tx1"/>
                      </w14:solidFill>
                    </w14:textFill>
                  </w:rPr>
                </w:pPr>
                <w:r>
                  <w:rPr>
                    <w:rFonts w:hint="eastAsia" w:cs="Times New Roman"/>
                    <w:color w:val="000000"/>
                  </w:rPr>
                  <w:t>参考历史信用损失经验，结合当前状况以及对未来经济状况的预测，通过违约风险敞口和未来12个月内或整个存续期预期信用损失率，计算预期信用损失</w:t>
                </w:r>
              </w:p>
            </w:tc>
          </w:tr>
          <w:tr w14:paraId="4256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E058476">
                <w:pPr>
                  <w:widowControl w:val="0"/>
                  <w:jc w:val="both"/>
                  <w:rPr>
                    <w:color w:val="000000" w:themeColor="text1"/>
                    <w14:textFill>
                      <w14:solidFill>
                        <w14:schemeClr w14:val="tx1"/>
                      </w14:solidFill>
                    </w14:textFill>
                  </w:rPr>
                </w:pPr>
                <w:r>
                  <w:rPr>
                    <w:rFonts w:cs="Times New Roman"/>
                    <w:color w:val="000000"/>
                  </w:rPr>
                  <w:t>组合二关联方组合</w:t>
                </w:r>
              </w:p>
            </w:tc>
            <w:tc>
              <w:tcPr>
                <w:tcW w:w="2126" w:type="dxa"/>
                <w:vAlign w:val="center"/>
              </w:tcPr>
              <w:p w14:paraId="08A2B6AF">
                <w:pPr>
                  <w:widowControl w:val="0"/>
                  <w:jc w:val="both"/>
                  <w:rPr>
                    <w:color w:val="000000" w:themeColor="text1"/>
                    <w14:textFill>
                      <w14:solidFill>
                        <w14:schemeClr w14:val="tx1"/>
                      </w14:solidFill>
                    </w14:textFill>
                  </w:rPr>
                </w:pPr>
                <w:r>
                  <w:rPr>
                    <w:rFonts w:cs="Times New Roman"/>
                    <w:color w:val="000000"/>
                  </w:rPr>
                  <w:t>关联关系</w:t>
                </w:r>
              </w:p>
            </w:tc>
            <w:tc>
              <w:tcPr>
                <w:tcW w:w="4292" w:type="dxa"/>
                <w:vAlign w:val="center"/>
              </w:tcPr>
              <w:p w14:paraId="503EF51F">
                <w:pPr>
                  <w:widowControl w:val="0"/>
                  <w:jc w:val="both"/>
                  <w:rPr>
                    <w:color w:val="000000" w:themeColor="text1"/>
                    <w14:textFill>
                      <w14:solidFill>
                        <w14:schemeClr w14:val="tx1"/>
                      </w14:solidFill>
                    </w14:textFill>
                  </w:rPr>
                </w:pPr>
                <w:r>
                  <w:rPr>
                    <w:rFonts w:hint="eastAsia" w:cs="Times New Roman"/>
                    <w:color w:val="000000"/>
                  </w:rPr>
                  <w:t>参考历史信用损失经验，结合当前状况以及对未来经济状况的预测，通过违约风险敞口和未来12个月内或整个存续期预期信用损失率，计算预期信用损失</w:t>
                </w:r>
              </w:p>
            </w:tc>
          </w:tr>
          <w:tr w14:paraId="7D2D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6BB35BB">
                <w:pPr>
                  <w:widowControl w:val="0"/>
                  <w:jc w:val="both"/>
                  <w:rPr>
                    <w:color w:val="000000" w:themeColor="text1"/>
                    <w14:textFill>
                      <w14:solidFill>
                        <w14:schemeClr w14:val="tx1"/>
                      </w14:solidFill>
                    </w14:textFill>
                  </w:rPr>
                </w:pPr>
                <w:r>
                  <w:rPr>
                    <w:rFonts w:cs="Times New Roman"/>
                    <w:color w:val="000000"/>
                  </w:rPr>
                  <w:t>组合三账龄组合</w:t>
                </w:r>
              </w:p>
            </w:tc>
            <w:tc>
              <w:tcPr>
                <w:tcW w:w="2126" w:type="dxa"/>
                <w:vAlign w:val="center"/>
              </w:tcPr>
              <w:p w14:paraId="041541C0">
                <w:pPr>
                  <w:widowControl w:val="0"/>
                  <w:jc w:val="both"/>
                  <w:rPr>
                    <w:color w:val="000000" w:themeColor="text1"/>
                    <w14:textFill>
                      <w14:solidFill>
                        <w14:schemeClr w14:val="tx1"/>
                      </w14:solidFill>
                    </w14:textFill>
                  </w:rPr>
                </w:pPr>
                <w:r>
                  <w:rPr>
                    <w:rFonts w:cs="Times New Roman"/>
                    <w:color w:val="000000"/>
                  </w:rPr>
                  <w:t>账龄</w:t>
                </w:r>
              </w:p>
            </w:tc>
            <w:tc>
              <w:tcPr>
                <w:tcW w:w="4292" w:type="dxa"/>
                <w:vAlign w:val="center"/>
              </w:tcPr>
              <w:p w14:paraId="220E4796">
                <w:pPr>
                  <w:widowControl w:val="0"/>
                  <w:jc w:val="both"/>
                  <w:rPr>
                    <w:color w:val="000000" w:themeColor="text1"/>
                    <w14:textFill>
                      <w14:solidFill>
                        <w14:schemeClr w14:val="tx1"/>
                      </w14:solidFill>
                    </w14:textFill>
                  </w:rPr>
                </w:pPr>
                <w:r>
                  <w:rPr>
                    <w:rFonts w:cs="Times New Roman"/>
                    <w:color w:val="000000"/>
                  </w:rPr>
                  <w:t>按账龄与整个存续期预期信用损失率对照表计提</w:t>
                </w:r>
              </w:p>
            </w:tc>
          </w:tr>
        </w:tbl>
        <w:p w14:paraId="36F26567">
          <w:pPr>
            <w:rPr>
              <w:color w:val="000000" w:themeColor="text1"/>
              <w14:textFill>
                <w14:solidFill>
                  <w14:schemeClr w14:val="tx1"/>
                </w14:solidFill>
              </w14:textFill>
            </w:rPr>
          </w:pPr>
        </w:p>
      </w:sdtContent>
    </w:sdt>
    <w:p w14:paraId="032B5BFB">
      <w:pPr>
        <w:rPr>
          <w:rFonts w:cs="Times New Roman"/>
          <w:b/>
          <w:bCs w:val="0"/>
          <w:color w:val="000000" w:themeColor="text1"/>
          <w:kern w:val="2"/>
          <w:szCs w:val="28"/>
          <w14:textFill>
            <w14:solidFill>
              <w14:schemeClr w14:val="tx1"/>
            </w14:solidFill>
          </w14:textFill>
        </w:rPr>
      </w:pPr>
    </w:p>
    <w:p w14:paraId="4C79BF56">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其他应收款基于账龄确认信用风险特征组合的账龄计算方法[双击切换]"/>
        <w:tag w:val="_GBC_9dc6468b16fc492b8e1d15acd1f8b57f"/>
        <w:id w:val="147478145"/>
        <w:placeholder>
          <w:docPart w:val="GBC22222222222222222222222222222"/>
        </w:placeholder>
      </w:sdtPr>
      <w:sdtEndPr>
        <w:rPr>
          <w:color w:val="000000" w:themeColor="text1"/>
          <w14:textFill>
            <w14:solidFill>
              <w14:schemeClr w14:val="tx1"/>
            </w14:solidFill>
          </w14:textFill>
        </w:rPr>
      </w:sdtEndPr>
      <w:sdtContent>
        <w:p w14:paraId="2892BA1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应收款基于账龄确认信用风险特征组合的账龄计算方法"/>
        <w:tag w:val="_GBC_46c06c8585504e508591bc85e38076b2"/>
        <w:id w:val="147480542"/>
        <w:placeholder>
          <w:docPart w:val="GBC22222222222222222222222222222"/>
        </w:placeholder>
      </w:sdtPr>
      <w:sdtEndPr>
        <w:rPr>
          <w:rFonts w:cs="Times New Roman"/>
          <w:color w:val="000000" w:themeColor="text1"/>
          <w14:textFill>
            <w14:solidFill>
              <w14:schemeClr w14:val="tx1"/>
            </w14:solidFill>
          </w14:textFill>
        </w:rPr>
      </w:sdtEndPr>
      <w:sdtContent>
        <w:p w14:paraId="7F454D0F">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账龄组合的账龄与预期信用损失率对照表如下：</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1"/>
            <w:gridCol w:w="4412"/>
          </w:tblGrid>
          <w:tr w14:paraId="18CE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411" w:type="dxa"/>
                <w:vAlign w:val="center"/>
              </w:tcPr>
              <w:p w14:paraId="20738D46">
                <w:pPr>
                  <w:widowControl w:val="0"/>
                  <w:jc w:val="center"/>
                  <w:rPr>
                    <w:color w:val="000000" w:themeColor="text1"/>
                    <w14:textFill>
                      <w14:solidFill>
                        <w14:schemeClr w14:val="tx1"/>
                      </w14:solidFill>
                    </w14:textFill>
                  </w:rPr>
                </w:pPr>
                <w:r>
                  <w:rPr>
                    <w:rFonts w:cs="Times New Roman"/>
                    <w:color w:val="000000"/>
                  </w:rPr>
                  <w:t>账龄</w:t>
                </w:r>
              </w:p>
            </w:tc>
            <w:tc>
              <w:tcPr>
                <w:tcW w:w="4412" w:type="dxa"/>
                <w:vAlign w:val="center"/>
              </w:tcPr>
              <w:p w14:paraId="20C3B7EC">
                <w:pPr>
                  <w:widowControl w:val="0"/>
                  <w:jc w:val="center"/>
                  <w:rPr>
                    <w:color w:val="000000" w:themeColor="text1"/>
                    <w14:textFill>
                      <w14:solidFill>
                        <w14:schemeClr w14:val="tx1"/>
                      </w14:solidFill>
                    </w14:textFill>
                  </w:rPr>
                </w:pPr>
                <w:r>
                  <w:rPr>
                    <w:bCs w:val="0"/>
                  </w:rPr>
                  <w:t>其他应收款预期信用损失率（%）</w:t>
                </w:r>
              </w:p>
            </w:tc>
          </w:tr>
          <w:tr w14:paraId="701A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191AE315">
                <w:pPr>
                  <w:widowControl w:val="0"/>
                  <w:jc w:val="center"/>
                  <w:rPr>
                    <w:rFonts w:cs="Times New Roman"/>
                    <w:color w:val="000000" w:themeColor="text1"/>
                    <w14:textFill>
                      <w14:solidFill>
                        <w14:schemeClr w14:val="tx1"/>
                      </w14:solidFill>
                    </w14:textFill>
                  </w:rPr>
                </w:pPr>
                <w:r>
                  <w:rPr>
                    <w:rFonts w:cs="Times New Roman"/>
                    <w:bCs w:val="0"/>
                  </w:rPr>
                  <w:t>1年以内</w:t>
                </w:r>
              </w:p>
            </w:tc>
            <w:tc>
              <w:tcPr>
                <w:tcW w:w="4412" w:type="dxa"/>
                <w:vAlign w:val="center"/>
              </w:tcPr>
              <w:p w14:paraId="588ED1E0">
                <w:pPr>
                  <w:widowControl w:val="0"/>
                  <w:jc w:val="center"/>
                  <w:rPr>
                    <w:rFonts w:cs="Times New Roman"/>
                    <w:color w:val="000000" w:themeColor="text1"/>
                    <w14:textFill>
                      <w14:solidFill>
                        <w14:schemeClr w14:val="tx1"/>
                      </w14:solidFill>
                    </w14:textFill>
                  </w:rPr>
                </w:pPr>
              </w:p>
            </w:tc>
          </w:tr>
          <w:tr w14:paraId="53E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50363C87">
                <w:pPr>
                  <w:widowControl w:val="0"/>
                  <w:jc w:val="center"/>
                  <w:rPr>
                    <w:rFonts w:cs="Times New Roman"/>
                    <w:color w:val="000000" w:themeColor="text1"/>
                    <w14:textFill>
                      <w14:solidFill>
                        <w14:schemeClr w14:val="tx1"/>
                      </w14:solidFill>
                    </w14:textFill>
                  </w:rPr>
                </w:pPr>
                <w:r>
                  <w:rPr>
                    <w:rFonts w:cs="Times New Roman"/>
                    <w:bCs w:val="0"/>
                  </w:rPr>
                  <w:t>1－2年</w:t>
                </w:r>
              </w:p>
            </w:tc>
            <w:tc>
              <w:tcPr>
                <w:tcW w:w="4412" w:type="dxa"/>
                <w:vAlign w:val="center"/>
              </w:tcPr>
              <w:p w14:paraId="70D6394A">
                <w:pPr>
                  <w:widowControl w:val="0"/>
                  <w:jc w:val="center"/>
                  <w:rPr>
                    <w:rFonts w:cs="Times New Roman"/>
                    <w:color w:val="000000" w:themeColor="text1"/>
                    <w14:textFill>
                      <w14:solidFill>
                        <w14:schemeClr w14:val="tx1"/>
                      </w14:solidFill>
                    </w14:textFill>
                  </w:rPr>
                </w:pPr>
                <w:r>
                  <w:rPr>
                    <w:rFonts w:cs="Times New Roman"/>
                    <w:color w:val="000000"/>
                  </w:rPr>
                  <w:t>20</w:t>
                </w:r>
              </w:p>
            </w:tc>
          </w:tr>
          <w:tr w14:paraId="7E52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38E86EE8">
                <w:pPr>
                  <w:widowControl w:val="0"/>
                  <w:jc w:val="center"/>
                  <w:rPr>
                    <w:rFonts w:cs="Times New Roman"/>
                    <w:color w:val="000000" w:themeColor="text1"/>
                    <w14:textFill>
                      <w14:solidFill>
                        <w14:schemeClr w14:val="tx1"/>
                      </w14:solidFill>
                    </w14:textFill>
                  </w:rPr>
                </w:pPr>
                <w:r>
                  <w:rPr>
                    <w:rFonts w:cs="Times New Roman"/>
                    <w:bCs w:val="0"/>
                  </w:rPr>
                  <w:t>2－3年</w:t>
                </w:r>
              </w:p>
            </w:tc>
            <w:tc>
              <w:tcPr>
                <w:tcW w:w="4412" w:type="dxa"/>
                <w:vAlign w:val="center"/>
              </w:tcPr>
              <w:p w14:paraId="22DEC17F">
                <w:pPr>
                  <w:widowControl w:val="0"/>
                  <w:jc w:val="center"/>
                  <w:rPr>
                    <w:rFonts w:cs="Times New Roman"/>
                    <w:color w:val="000000" w:themeColor="text1"/>
                    <w14:textFill>
                      <w14:solidFill>
                        <w14:schemeClr w14:val="tx1"/>
                      </w14:solidFill>
                    </w14:textFill>
                  </w:rPr>
                </w:pPr>
                <w:r>
                  <w:rPr>
                    <w:rFonts w:cs="Times New Roman"/>
                    <w:color w:val="000000"/>
                  </w:rPr>
                  <w:t>50</w:t>
                </w:r>
              </w:p>
            </w:tc>
          </w:tr>
          <w:tr w14:paraId="24D0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17BABD45">
                <w:pPr>
                  <w:widowControl w:val="0"/>
                  <w:jc w:val="center"/>
                  <w:rPr>
                    <w:rFonts w:cs="Times New Roman"/>
                    <w:color w:val="000000" w:themeColor="text1"/>
                    <w14:textFill>
                      <w14:solidFill>
                        <w14:schemeClr w14:val="tx1"/>
                      </w14:solidFill>
                    </w14:textFill>
                  </w:rPr>
                </w:pPr>
                <w:r>
                  <w:rPr>
                    <w:rFonts w:cs="Times New Roman"/>
                    <w:bCs w:val="0"/>
                  </w:rPr>
                  <w:t>3－4年</w:t>
                </w:r>
              </w:p>
            </w:tc>
            <w:tc>
              <w:tcPr>
                <w:tcW w:w="4412" w:type="dxa"/>
                <w:vAlign w:val="center"/>
              </w:tcPr>
              <w:p w14:paraId="54ED4F03">
                <w:pPr>
                  <w:widowControl w:val="0"/>
                  <w:jc w:val="center"/>
                  <w:rPr>
                    <w:rFonts w:cs="Times New Roman"/>
                    <w:color w:val="000000" w:themeColor="text1"/>
                    <w14:textFill>
                      <w14:solidFill>
                        <w14:schemeClr w14:val="tx1"/>
                      </w14:solidFill>
                    </w14:textFill>
                  </w:rPr>
                </w:pPr>
                <w:r>
                  <w:rPr>
                    <w:rFonts w:cs="Times New Roman"/>
                    <w:color w:val="000000"/>
                  </w:rPr>
                  <w:t>70</w:t>
                </w:r>
              </w:p>
            </w:tc>
          </w:tr>
          <w:tr w14:paraId="67F3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376E3005">
                <w:pPr>
                  <w:widowControl w:val="0"/>
                  <w:jc w:val="center"/>
                  <w:rPr>
                    <w:rFonts w:cs="Times New Roman"/>
                    <w:color w:val="000000" w:themeColor="text1"/>
                    <w14:textFill>
                      <w14:solidFill>
                        <w14:schemeClr w14:val="tx1"/>
                      </w14:solidFill>
                    </w14:textFill>
                  </w:rPr>
                </w:pPr>
                <w:r>
                  <w:rPr>
                    <w:rFonts w:cs="Times New Roman"/>
                    <w:bCs w:val="0"/>
                  </w:rPr>
                  <w:t>4－5年</w:t>
                </w:r>
              </w:p>
            </w:tc>
            <w:tc>
              <w:tcPr>
                <w:tcW w:w="4412" w:type="dxa"/>
                <w:vAlign w:val="center"/>
              </w:tcPr>
              <w:p w14:paraId="242641B1">
                <w:pPr>
                  <w:widowControl w:val="0"/>
                  <w:jc w:val="center"/>
                  <w:rPr>
                    <w:rFonts w:cs="Times New Roman"/>
                    <w:color w:val="000000" w:themeColor="text1"/>
                    <w14:textFill>
                      <w14:solidFill>
                        <w14:schemeClr w14:val="tx1"/>
                      </w14:solidFill>
                    </w14:textFill>
                  </w:rPr>
                </w:pPr>
                <w:r>
                  <w:rPr>
                    <w:rFonts w:cs="Times New Roman"/>
                    <w:color w:val="000000"/>
                  </w:rPr>
                  <w:t>80</w:t>
                </w:r>
              </w:p>
            </w:tc>
          </w:tr>
          <w:tr w14:paraId="6CED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1" w:type="dxa"/>
                <w:vAlign w:val="center"/>
              </w:tcPr>
              <w:p w14:paraId="52DF87B0">
                <w:pPr>
                  <w:widowControl w:val="0"/>
                  <w:jc w:val="center"/>
                  <w:rPr>
                    <w:rFonts w:cs="Times New Roman"/>
                    <w:color w:val="000000" w:themeColor="text1"/>
                    <w14:textFill>
                      <w14:solidFill>
                        <w14:schemeClr w14:val="tx1"/>
                      </w14:solidFill>
                    </w14:textFill>
                  </w:rPr>
                </w:pPr>
                <w:r>
                  <w:rPr>
                    <w:rFonts w:cs="Times New Roman"/>
                    <w:bCs w:val="0"/>
                  </w:rPr>
                  <w:t>5年以上</w:t>
                </w:r>
              </w:p>
            </w:tc>
            <w:tc>
              <w:tcPr>
                <w:tcW w:w="4412" w:type="dxa"/>
                <w:vAlign w:val="center"/>
              </w:tcPr>
              <w:p w14:paraId="61E7EDB5">
                <w:pPr>
                  <w:widowControl w:val="0"/>
                  <w:jc w:val="center"/>
                  <w:rPr>
                    <w:rFonts w:cs="Times New Roman"/>
                    <w:color w:val="000000" w:themeColor="text1"/>
                    <w14:textFill>
                      <w14:solidFill>
                        <w14:schemeClr w14:val="tx1"/>
                      </w14:solidFill>
                    </w14:textFill>
                  </w:rPr>
                </w:pPr>
                <w:r>
                  <w:rPr>
                    <w:rFonts w:cs="Times New Roman"/>
                    <w:color w:val="000000"/>
                  </w:rPr>
                  <w:t>100</w:t>
                </w:r>
              </w:p>
            </w:tc>
          </w:tr>
        </w:tbl>
        <w:p w14:paraId="48453873">
          <w:pPr>
            <w:rPr>
              <w:color w:val="000000" w:themeColor="text1"/>
              <w14:textFill>
                <w14:solidFill>
                  <w14:schemeClr w14:val="tx1"/>
                </w14:solidFill>
              </w14:textFill>
            </w:rPr>
          </w:pPr>
        </w:p>
      </w:sdtContent>
    </w:sdt>
    <w:p w14:paraId="1FB9EC6F">
      <w:pPr>
        <w:rPr>
          <w:rFonts w:cs="Times New Roman"/>
          <w:b/>
          <w:bCs w:val="0"/>
          <w:color w:val="000000" w:themeColor="text1"/>
          <w:kern w:val="2"/>
          <w:szCs w:val="28"/>
          <w14:textFill>
            <w14:solidFill>
              <w14:schemeClr w14:val="tx1"/>
            </w14:solidFill>
          </w14:textFill>
        </w:rPr>
      </w:pPr>
    </w:p>
    <w:p w14:paraId="6A930F66">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按照单项计提坏账准备的单项计提判断标准</w:t>
      </w:r>
    </w:p>
    <w:sdt>
      <w:sdtPr>
        <w:rPr>
          <w:color w:val="000000" w:themeColor="text1"/>
          <w14:textFill>
            <w14:solidFill>
              <w14:schemeClr w14:val="tx1"/>
            </w14:solidFill>
          </w14:textFill>
        </w:rPr>
        <w:alias w:val="是否适用：其他应收款按照单项计提坏账准备的单项计提判断标准[双击切换]"/>
        <w:tag w:val="_GBC_43f3d12bb3b0461b9d295770acd831d1"/>
        <w:id w:val="147478510"/>
        <w:placeholder>
          <w:docPart w:val="GBC22222222222222222222222222222"/>
        </w:placeholder>
      </w:sdtPr>
      <w:sdtEndPr>
        <w:rPr>
          <w:color w:val="000000" w:themeColor="text1"/>
          <w14:textFill>
            <w14:solidFill>
              <w14:schemeClr w14:val="tx1"/>
            </w14:solidFill>
          </w14:textFill>
        </w:rPr>
      </w:sdtEndPr>
      <w:sdtContent>
        <w:p w14:paraId="531E75D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应收款按照单项计提坏账准备的单项计提判断标准"/>
        <w:tag w:val="_GBC_68249e7c8a0845c297b91eadc4fe5514"/>
        <w:id w:val="147473946"/>
        <w:placeholder>
          <w:docPart w:val="GBC22222222222222222222222222222"/>
        </w:placeholder>
      </w:sdtPr>
      <w:sdtEndPr>
        <w:rPr>
          <w:color w:val="000000" w:themeColor="text1"/>
          <w14:textFill>
            <w14:solidFill>
              <w14:schemeClr w14:val="tx1"/>
            </w14:solidFill>
          </w14:textFill>
        </w:rPr>
      </w:sdtEndPr>
      <w:sdtContent>
        <w:p w14:paraId="0D4AEFA8">
          <w:pPr>
            <w:rPr>
              <w:color w:val="000000" w:themeColor="text1"/>
              <w14:textFill>
                <w14:solidFill>
                  <w14:schemeClr w14:val="tx1"/>
                </w14:solidFill>
              </w14:textFill>
            </w:rPr>
          </w:pPr>
          <w:r>
            <w:rPr>
              <w:rFonts w:hint="eastAsia"/>
              <w:color w:val="000000" w:themeColor="text1"/>
              <w14:textFill>
                <w14:solidFill>
                  <w14:schemeClr w14:val="tx1"/>
                </w14:solidFill>
              </w14:textFill>
            </w:rPr>
            <w:t>对信用风险与组合信用风险显著不同的应收款项，公司按单项计提预期信用损失。</w:t>
          </w:r>
        </w:p>
      </w:sdtContent>
    </w:sdt>
    <w:p w14:paraId="1BB3741D">
      <w:pPr>
        <w:rPr>
          <w:color w:val="000000" w:themeColor="text1"/>
          <w14:textFill>
            <w14:solidFill>
              <w14:schemeClr w14:val="tx1"/>
            </w14:solidFill>
          </w14:textFill>
        </w:rPr>
      </w:pPr>
    </w:p>
    <w:p w14:paraId="285B345E">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存货</w:t>
      </w:r>
    </w:p>
    <w:sdt>
      <w:sdtPr>
        <w:rPr>
          <w:rFonts w:hint="eastAsia"/>
          <w:color w:val="000000" w:themeColor="text1"/>
          <w14:textFill>
            <w14:solidFill>
              <w14:schemeClr w14:val="tx1"/>
            </w14:solidFill>
          </w14:textFill>
        </w:rPr>
        <w:alias w:val="是否适用：存货_重要会计政策和估计[双击切换]"/>
        <w:tag w:val="_GBC_517cddca0e1f4d4bb5ef2c4a3d049269"/>
        <w:id w:val="147456015"/>
        <w:placeholder>
          <w:docPart w:val="GBC22222222222222222222222222222"/>
        </w:placeholder>
      </w:sdtPr>
      <w:sdtEndPr>
        <w:rPr>
          <w:rFonts w:hint="eastAsia"/>
          <w:color w:val="000000" w:themeColor="text1"/>
          <w14:textFill>
            <w14:solidFill>
              <w14:schemeClr w14:val="tx1"/>
            </w14:solidFill>
          </w14:textFill>
        </w:rPr>
      </w:sdtEndPr>
      <w:sdtContent>
        <w:p w14:paraId="45D7898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8DDD37">
      <w:pPr>
        <w:rPr>
          <w:rFonts w:cs="Times New Roman"/>
          <w:b/>
          <w:color w:val="000000" w:themeColor="text1"/>
          <w:kern w:val="2"/>
          <w:szCs w:val="28"/>
          <w14:textFill>
            <w14:solidFill>
              <w14:schemeClr w14:val="tx1"/>
            </w14:solidFill>
          </w14:textFill>
        </w:rPr>
      </w:pPr>
      <w:bookmarkStart w:id="170" w:name="_Hlk152678121"/>
      <w:r>
        <w:rPr>
          <w:rFonts w:cs="Times New Roman"/>
          <w:b/>
          <w:color w:val="000000" w:themeColor="text1"/>
          <w:kern w:val="2"/>
          <w:szCs w:val="28"/>
          <w14:textFill>
            <w14:solidFill>
              <w14:schemeClr w14:val="tx1"/>
            </w14:solidFill>
          </w14:textFill>
        </w:rPr>
        <w:t>存货</w:t>
      </w:r>
      <w:r>
        <w:rPr>
          <w:rFonts w:hint="eastAsia" w:cs="Times New Roman"/>
          <w:b/>
          <w:color w:val="000000" w:themeColor="text1"/>
          <w:kern w:val="2"/>
          <w:szCs w:val="28"/>
          <w14:textFill>
            <w14:solidFill>
              <w14:schemeClr w14:val="tx1"/>
            </w14:solidFill>
          </w14:textFill>
        </w:rPr>
        <w:t>类别、发出计价方法、盘存制度、低值易耗品和包装物的摊销方法</w:t>
      </w:r>
    </w:p>
    <w:bookmarkEnd w:id="170"/>
    <w:sdt>
      <w:sdtPr>
        <w:rPr>
          <w:color w:val="000000" w:themeColor="text1"/>
          <w14:textFill>
            <w14:solidFill>
              <w14:schemeClr w14:val="tx1"/>
            </w14:solidFill>
          </w14:textFill>
        </w:rPr>
        <w:alias w:val="是否适用：存货类别、发出计价方法、盘存制度、低值易耗品和包装物的摊销方法[双击切换]"/>
        <w:tag w:val="_GBC_a0dd59db9daa43019390412c5246a774"/>
        <w:id w:val="147451411"/>
        <w:placeholder>
          <w:docPart w:val="GBC22222222222222222222222222222"/>
        </w:placeholder>
      </w:sdtPr>
      <w:sdtEndPr>
        <w:rPr>
          <w:color w:val="000000" w:themeColor="text1"/>
          <w14:textFill>
            <w14:solidFill>
              <w14:schemeClr w14:val="tx1"/>
            </w14:solidFill>
          </w14:textFill>
        </w:rPr>
      </w:sdtEndPr>
      <w:sdtContent>
        <w:p w14:paraId="2DB9D68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存货类别、发出计价方法、盘存制度、低值易耗品和包装物的摊销方法"/>
        <w:tag w:val="_GBC_4c0ac6dfbfb04e56bc0dd3a35b636c52"/>
        <w:id w:val="147461232"/>
        <w:placeholder>
          <w:docPart w:val="GBC22222222222222222222222222222"/>
        </w:placeholder>
      </w:sdtPr>
      <w:sdtEndPr>
        <w:rPr>
          <w:color w:val="000000" w:themeColor="text1"/>
          <w14:textFill>
            <w14:solidFill>
              <w14:schemeClr w14:val="tx1"/>
            </w14:solidFill>
          </w14:textFill>
        </w:rPr>
      </w:sdtEndPr>
      <w:sdtContent>
        <w:p w14:paraId="6A078C5B">
          <w:pPr>
            <w:rPr>
              <w:color w:val="000000" w:themeColor="text1"/>
              <w14:textFill>
                <w14:solidFill>
                  <w14:schemeClr w14:val="tx1"/>
                </w14:solidFill>
              </w14:textFill>
            </w:rPr>
          </w:pPr>
          <w:r>
            <w:rPr>
              <w:rFonts w:hint="eastAsia"/>
              <w:color w:val="000000" w:themeColor="text1"/>
              <w14:textFill>
                <w14:solidFill>
                  <w14:schemeClr w14:val="tx1"/>
                </w14:solidFill>
              </w14:textFill>
            </w:rPr>
            <w:t>（1）存货类别</w:t>
          </w:r>
        </w:p>
        <w:p w14:paraId="5FF1A916">
          <w:pPr>
            <w:rPr>
              <w:color w:val="000000" w:themeColor="text1"/>
              <w14:textFill>
                <w14:solidFill>
                  <w14:schemeClr w14:val="tx1"/>
                </w14:solidFill>
              </w14:textFill>
            </w:rPr>
          </w:pPr>
          <w:r>
            <w:rPr>
              <w:rFonts w:hint="eastAsia"/>
              <w:color w:val="000000" w:themeColor="text1"/>
              <w14:textFill>
                <w14:solidFill>
                  <w14:schemeClr w14:val="tx1"/>
                </w14:solidFill>
              </w14:textFill>
            </w:rPr>
            <w:t>存货是指本公司在日常活动中持有以备出售的产成品或商品、处在生产过程中的在产品、在生产过程或提供劳务过程中耗用的材料和物料等。主要包括原材料、周转材料、委托加工材料、在产品、自制半成品、产成品（库存商品）、发出商品等。</w:t>
          </w:r>
        </w:p>
        <w:p w14:paraId="7752C814">
          <w:pPr>
            <w:rPr>
              <w:color w:val="000000" w:themeColor="text1"/>
              <w14:textFill>
                <w14:solidFill>
                  <w14:schemeClr w14:val="tx1"/>
                </w14:solidFill>
              </w14:textFill>
            </w:rPr>
          </w:pPr>
          <w:r>
            <w:rPr>
              <w:rFonts w:hint="eastAsia"/>
              <w:color w:val="000000" w:themeColor="text1"/>
              <w14:textFill>
                <w14:solidFill>
                  <w14:schemeClr w14:val="tx1"/>
                </w14:solidFill>
              </w14:textFill>
            </w:rPr>
            <w:t>（2）存货发出计价方法</w:t>
          </w:r>
        </w:p>
        <w:p w14:paraId="303336DB">
          <w:pPr>
            <w:rPr>
              <w:color w:val="000000" w:themeColor="text1"/>
              <w14:textFill>
                <w14:solidFill>
                  <w14:schemeClr w14:val="tx1"/>
                </w14:solidFill>
              </w14:textFill>
            </w:rPr>
          </w:pPr>
          <w:r>
            <w:rPr>
              <w:rFonts w:hint="eastAsia"/>
              <w:color w:val="000000" w:themeColor="text1"/>
              <w14:textFill>
                <w14:solidFill>
                  <w14:schemeClr w14:val="tx1"/>
                </w14:solidFill>
              </w14:textFill>
            </w:rPr>
            <w:t>发出存货采用月末一次加权平均法。</w:t>
          </w:r>
        </w:p>
        <w:p w14:paraId="4FA38E26">
          <w:pPr>
            <w:rPr>
              <w:color w:val="000000" w:themeColor="text1"/>
              <w14:textFill>
                <w14:solidFill>
                  <w14:schemeClr w14:val="tx1"/>
                </w14:solidFill>
              </w14:textFill>
            </w:rPr>
          </w:pPr>
          <w:r>
            <w:rPr>
              <w:rFonts w:hint="eastAsia"/>
              <w:color w:val="000000" w:themeColor="text1"/>
              <w14:textFill>
                <w14:solidFill>
                  <w14:schemeClr w14:val="tx1"/>
                </w14:solidFill>
              </w14:textFill>
            </w:rPr>
            <w:t>（3）存货的盘存制度</w:t>
          </w:r>
        </w:p>
        <w:p w14:paraId="091F7E0C">
          <w:pPr>
            <w:rPr>
              <w:color w:val="000000" w:themeColor="text1"/>
              <w14:textFill>
                <w14:solidFill>
                  <w14:schemeClr w14:val="tx1"/>
                </w14:solidFill>
              </w14:textFill>
            </w:rPr>
          </w:pPr>
          <w:r>
            <w:rPr>
              <w:rFonts w:hint="eastAsia"/>
              <w:color w:val="000000" w:themeColor="text1"/>
              <w14:textFill>
                <w14:solidFill>
                  <w14:schemeClr w14:val="tx1"/>
                </w14:solidFill>
              </w14:textFill>
            </w:rPr>
            <w:t>存货盘存制度为永续盘存制。</w:t>
          </w:r>
        </w:p>
        <w:p w14:paraId="2651F081">
          <w:pPr>
            <w:rPr>
              <w:color w:val="000000" w:themeColor="text1"/>
              <w14:textFill>
                <w14:solidFill>
                  <w14:schemeClr w14:val="tx1"/>
                </w14:solidFill>
              </w14:textFill>
            </w:rPr>
          </w:pPr>
          <w:r>
            <w:rPr>
              <w:rFonts w:hint="eastAsia"/>
              <w:color w:val="000000" w:themeColor="text1"/>
              <w14:textFill>
                <w14:solidFill>
                  <w14:schemeClr w14:val="tx1"/>
                </w14:solidFill>
              </w14:textFill>
            </w:rPr>
            <w:t>（4）低值易耗品和包装物的摊销方法</w:t>
          </w:r>
        </w:p>
        <w:p w14:paraId="379CF7AC">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1）低值易耗品 </w:t>
          </w:r>
        </w:p>
        <w:p w14:paraId="5E189F4F">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按照一次转销法进行摊销。 </w:t>
          </w:r>
        </w:p>
        <w:p w14:paraId="5F9DA025">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2）包装物 </w:t>
          </w:r>
        </w:p>
        <w:p w14:paraId="13806162">
          <w:pPr>
            <w:rPr>
              <w:color w:val="000000" w:themeColor="text1"/>
              <w14:textFill>
                <w14:solidFill>
                  <w14:schemeClr w14:val="tx1"/>
                </w14:solidFill>
              </w14:textFill>
            </w:rPr>
          </w:pPr>
          <w:r>
            <w:rPr>
              <w:rFonts w:hint="eastAsia"/>
              <w:color w:val="000000" w:themeColor="text1"/>
              <w14:textFill>
                <w14:solidFill>
                  <w14:schemeClr w14:val="tx1"/>
                </w14:solidFill>
              </w14:textFill>
            </w:rPr>
            <w:t>按照一次转销法进行摊销。</w:t>
          </w:r>
        </w:p>
      </w:sdtContent>
    </w:sdt>
    <w:p w14:paraId="0622D219">
      <w:pPr>
        <w:rPr>
          <w:rFonts w:cs="Times New Roman"/>
          <w:color w:val="000000" w:themeColor="text1"/>
          <w14:textFill>
            <w14:solidFill>
              <w14:schemeClr w14:val="tx1"/>
            </w14:solidFill>
          </w14:textFill>
        </w:rPr>
      </w:pPr>
    </w:p>
    <w:p w14:paraId="2CDC16A4">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存货跌价准备的确认标准和计提方法</w:t>
      </w:r>
    </w:p>
    <w:sdt>
      <w:sdtPr>
        <w:rPr>
          <w:color w:val="000000" w:themeColor="text1"/>
          <w14:textFill>
            <w14:solidFill>
              <w14:schemeClr w14:val="tx1"/>
            </w14:solidFill>
          </w14:textFill>
        </w:rPr>
        <w:alias w:val="是否适用：存货跌价准备的确认标准和计提方法[双击切换]"/>
        <w:tag w:val="_GBC_193ccfcb63424273902a6a08c94807b7"/>
        <w:id w:val="147473385"/>
        <w:placeholder>
          <w:docPart w:val="GBC22222222222222222222222222222"/>
        </w:placeholder>
      </w:sdtPr>
      <w:sdtEndPr>
        <w:rPr>
          <w:color w:val="000000" w:themeColor="text1"/>
          <w14:textFill>
            <w14:solidFill>
              <w14:schemeClr w14:val="tx1"/>
            </w14:solidFill>
          </w14:textFill>
        </w:rPr>
      </w:sdtEndPr>
      <w:sdtContent>
        <w:p w14:paraId="26DF654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存货跌价准备的确认标准和计提方法"/>
        <w:tag w:val="_GBC_d61a6b98d0f44b4a8162d7dd318ee8d8"/>
        <w:id w:val="147468895"/>
        <w:placeholder>
          <w:docPart w:val="GBC22222222222222222222222222222"/>
        </w:placeholder>
      </w:sdtPr>
      <w:sdtEndPr>
        <w:rPr>
          <w:color w:val="000000" w:themeColor="text1"/>
          <w14:textFill>
            <w14:solidFill>
              <w14:schemeClr w14:val="tx1"/>
            </w14:solidFill>
          </w14:textFill>
        </w:rPr>
      </w:sdtEndPr>
      <w:sdtContent>
        <w:p w14:paraId="5577516A">
          <w:pPr>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表日，存货采用成本与可变现净值孰低计量，按照成本高于可变现净值的差额计提存货跌价准备。直接用于出售的存货，在正常生产经营过程中以该存货的估计售价减去估计的销售费用和相关税费后的金额确定其可变现净值；需要经过加工的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14:paraId="26E5954B">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w:t>
          </w:r>
        </w:p>
      </w:sdtContent>
    </w:sdt>
    <w:p w14:paraId="42DD6AB1">
      <w:pPr>
        <w:rPr>
          <w:rFonts w:cs="Times New Roman"/>
          <w:b/>
          <w:color w:val="000000" w:themeColor="text1"/>
          <w:kern w:val="2"/>
          <w:szCs w:val="28"/>
          <w14:textFill>
            <w14:solidFill>
              <w14:schemeClr w14:val="tx1"/>
            </w14:solidFill>
          </w14:textFill>
        </w:rPr>
      </w:pPr>
    </w:p>
    <w:p w14:paraId="41572658">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按照组合计提存货跌价准备的组合类别及确定依据</w:t>
      </w:r>
      <w:r>
        <w:rPr>
          <w:rFonts w:hint="eastAsia" w:cs="Times New Roman"/>
          <w:b/>
          <w:color w:val="000000" w:themeColor="text1"/>
          <w:kern w:val="2"/>
          <w:szCs w:val="28"/>
          <w14:textFill>
            <w14:solidFill>
              <w14:schemeClr w14:val="tx1"/>
            </w14:solidFill>
          </w14:textFill>
        </w:rPr>
        <w:t>、</w:t>
      </w:r>
      <w:r>
        <w:rPr>
          <w:rFonts w:hint="eastAsia"/>
          <w:b/>
          <w:color w:val="000000" w:themeColor="text1"/>
          <w14:textFill>
            <w14:solidFill>
              <w14:schemeClr w14:val="tx1"/>
            </w14:solidFill>
          </w14:textFill>
        </w:rPr>
        <w:t>不同类别存货可变现净值的确定依据</w:t>
      </w:r>
    </w:p>
    <w:sdt>
      <w:sdtPr>
        <w:rPr>
          <w:color w:val="000000" w:themeColor="text1"/>
          <w14:textFill>
            <w14:solidFill>
              <w14:schemeClr w14:val="tx1"/>
            </w14:solidFill>
          </w14:textFill>
        </w:rPr>
        <w:alias w:val="是否适用：按照组合计提存货跌价准备的组合类别及确定依据、不同类别存货可变现净值的确定依据[双击切换]"/>
        <w:tag w:val="_GBC_6fb7683a95e64eb590d6d510a9774226"/>
        <w:id w:val="147456685"/>
        <w:placeholder>
          <w:docPart w:val="GBC22222222222222222222222222222"/>
        </w:placeholder>
      </w:sdtPr>
      <w:sdtEndPr>
        <w:rPr>
          <w:color w:val="000000" w:themeColor="text1"/>
          <w14:textFill>
            <w14:solidFill>
              <w14:schemeClr w14:val="tx1"/>
            </w14:solidFill>
          </w14:textFill>
        </w:rPr>
      </w:sdtEndPr>
      <w:sdtContent>
        <w:p w14:paraId="638FC89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650C3BA">
      <w:pPr>
        <w:rPr>
          <w:rFonts w:cs="Times New Roman"/>
          <w:b/>
          <w:color w:val="000000" w:themeColor="text1"/>
          <w:kern w:val="2"/>
          <w:szCs w:val="28"/>
          <w14:textFill>
            <w14:solidFill>
              <w14:schemeClr w14:val="tx1"/>
            </w14:solidFill>
          </w14:textFill>
        </w:rPr>
      </w:pPr>
    </w:p>
    <w:p w14:paraId="022FE80B">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基于库龄确认存货可变现净值的各库龄组合可变现净值的计算方法和确定依据</w:t>
      </w:r>
    </w:p>
    <w:sdt>
      <w:sdtPr>
        <w:rPr>
          <w:color w:val="000000" w:themeColor="text1"/>
          <w14:textFill>
            <w14:solidFill>
              <w14:schemeClr w14:val="tx1"/>
            </w14:solidFill>
          </w14:textFill>
        </w:rPr>
        <w:alias w:val="是否适用：基于库龄确认存货可变现净值的各库龄组合可变现净值的计算方法和确定依据[双击切换]"/>
        <w:tag w:val="_GBC_16ecfef990ce404c873906cd3cd4dea4"/>
        <w:id w:val="147474372"/>
        <w:placeholder>
          <w:docPart w:val="GBC22222222222222222222222222222"/>
        </w:placeholder>
      </w:sdtPr>
      <w:sdtEndPr>
        <w:rPr>
          <w:color w:val="000000" w:themeColor="text1"/>
          <w14:textFill>
            <w14:solidFill>
              <w14:schemeClr w14:val="tx1"/>
            </w14:solidFill>
          </w14:textFill>
        </w:rPr>
      </w:sdtEndPr>
      <w:sdtContent>
        <w:p w14:paraId="4F0D7DD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CEF024">
      <w:pPr>
        <w:rPr>
          <w:rFonts w:cs="Times New Roman"/>
          <w:color w:val="000000" w:themeColor="text1"/>
          <w14:textFill>
            <w14:solidFill>
              <w14:schemeClr w14:val="tx1"/>
            </w14:solidFill>
          </w14:textFill>
        </w:rPr>
      </w:pPr>
    </w:p>
    <w:p w14:paraId="157698E1">
      <w:pPr>
        <w:pStyle w:val="57"/>
        <w:numPr>
          <w:ilvl w:val="0"/>
          <w:numId w:val="46"/>
        </w:numPr>
        <w:rPr>
          <w:rFonts w:ascii="宋体" w:hAnsi="宋体"/>
          <w:color w:val="000000" w:themeColor="text1"/>
          <w14:textFill>
            <w14:solidFill>
              <w14:schemeClr w14:val="tx1"/>
            </w14:solidFill>
          </w14:textFill>
        </w:rPr>
      </w:pPr>
      <w:bookmarkStart w:id="171" w:name="_Hlk533667851"/>
      <w:r>
        <w:rPr>
          <w:rFonts w:ascii="宋体" w:hAnsi="宋体"/>
          <w:color w:val="000000" w:themeColor="text1"/>
          <w14:textFill>
            <w14:solidFill>
              <w14:schemeClr w14:val="tx1"/>
            </w14:solidFill>
          </w14:textFill>
        </w:rPr>
        <w:t>合同资产</w:t>
      </w:r>
    </w:p>
    <w:sdt>
      <w:sdtPr>
        <w:rPr>
          <w:rFonts w:hint="eastAsia"/>
          <w:color w:val="000000" w:themeColor="text1"/>
          <w14:textFill>
            <w14:solidFill>
              <w14:schemeClr w14:val="tx1"/>
            </w14:solidFill>
          </w14:textFill>
        </w:rPr>
        <w:alias w:val="是否适用：合同资产_重要会计政策和估计[双击切换]"/>
        <w:tag w:val="_GBC_2975adaf2d6646238ccae8f732c465f0"/>
        <w:id w:val="147454790"/>
        <w:placeholder>
          <w:docPart w:val="GBC22222222222222222222222222222"/>
        </w:placeholder>
      </w:sdtPr>
      <w:sdtEndPr>
        <w:rPr>
          <w:rFonts w:hint="eastAsia"/>
          <w:color w:val="000000" w:themeColor="text1"/>
          <w14:textFill>
            <w14:solidFill>
              <w14:schemeClr w14:val="tx1"/>
            </w14:solidFill>
          </w14:textFill>
        </w:rPr>
      </w:sdtEndPr>
      <w:sdtContent>
        <w:p w14:paraId="1EB7E44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97FBEB">
      <w:pPr>
        <w:rPr>
          <w:rFonts w:cs="Times New Roman"/>
          <w:b/>
          <w:color w:val="000000" w:themeColor="text1"/>
          <w:kern w:val="2"/>
          <w:szCs w:val="28"/>
          <w14:textFill>
            <w14:solidFill>
              <w14:schemeClr w14:val="tx1"/>
            </w14:solidFill>
          </w14:textFill>
        </w:rPr>
      </w:pPr>
      <w:r>
        <w:rPr>
          <w:rFonts w:hint="eastAsia" w:cs="Times New Roman"/>
          <w:b/>
          <w:color w:val="000000" w:themeColor="text1"/>
          <w:kern w:val="2"/>
          <w:szCs w:val="28"/>
          <w14:textFill>
            <w14:solidFill>
              <w14:schemeClr w14:val="tx1"/>
            </w14:solidFill>
          </w14:textFill>
        </w:rPr>
        <w:t>合同资产的确认方法及标准</w:t>
      </w:r>
    </w:p>
    <w:sdt>
      <w:sdtPr>
        <w:rPr>
          <w:color w:val="000000" w:themeColor="text1"/>
          <w14:textFill>
            <w14:solidFill>
              <w14:schemeClr w14:val="tx1"/>
            </w14:solidFill>
          </w14:textFill>
        </w:rPr>
        <w:alias w:val="是否适用：合同资产的确定方法、摊销方法和减值测试方法[双击切换]"/>
        <w:tag w:val="_GBC_4c4f86076daf4596b0ff34199b55a09a"/>
        <w:id w:val="147466747"/>
        <w:placeholder>
          <w:docPart w:val="GBC22222222222222222222222222222"/>
        </w:placeholder>
      </w:sdtPr>
      <w:sdtEndPr>
        <w:rPr>
          <w:color w:val="000000" w:themeColor="text1"/>
          <w14:textFill>
            <w14:solidFill>
              <w14:schemeClr w14:val="tx1"/>
            </w14:solidFill>
          </w14:textFill>
        </w:rPr>
      </w:sdtEndPr>
      <w:sdtContent>
        <w:p w14:paraId="14AFEB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同资产的确定方法、摊销方法和减值测试方法"/>
        <w:tag w:val="_GBC_3a321460bd2944c9b8bfb3131a9e1b86"/>
        <w:id w:val="147459452"/>
        <w:placeholder>
          <w:docPart w:val="GBC22222222222222222222222222222"/>
        </w:placeholder>
      </w:sdtPr>
      <w:sdtEndPr>
        <w:rPr>
          <w:color w:val="000000" w:themeColor="text1"/>
          <w14:textFill>
            <w14:solidFill>
              <w14:schemeClr w14:val="tx1"/>
            </w14:solidFill>
          </w14:textFill>
        </w:rPr>
      </w:sdtEndPr>
      <w:sdtContent>
        <w:p w14:paraId="55490B2B">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本公司已向客户转让商品而有权收取对价的权利，且该权利取决于时间流逝之外的其他因素的，确认为合同资产。本公司拥有的无条件(即，仅取决于时间流逝)向客户收取对价的权利作为应收款项单独列示。</w:t>
          </w:r>
        </w:p>
      </w:sdtContent>
    </w:sdt>
    <w:p w14:paraId="07A69A4A">
      <w:pPr>
        <w:rPr>
          <w:color w:val="000000" w:themeColor="text1"/>
          <w14:textFill>
            <w14:solidFill>
              <w14:schemeClr w14:val="tx1"/>
            </w14:solidFill>
          </w14:textFill>
        </w:rPr>
      </w:pPr>
    </w:p>
    <w:bookmarkEnd w:id="171"/>
    <w:p w14:paraId="50468E0B">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合同资产按照信用风险特征组合计提坏账准备的组合类别及确定依据[双击切换]"/>
        <w:tag w:val="_GBC_88801ad04a564fb2b7e709fd757fcda3"/>
        <w:id w:val="147452458"/>
        <w:placeholder>
          <w:docPart w:val="GBC22222222222222222222222222222"/>
        </w:placeholder>
      </w:sdtPr>
      <w:sdtEndPr>
        <w:rPr>
          <w:color w:val="000000" w:themeColor="text1"/>
          <w14:textFill>
            <w14:solidFill>
              <w14:schemeClr w14:val="tx1"/>
            </w14:solidFill>
          </w14:textFill>
        </w:rPr>
      </w:sdtEndPr>
      <w:sdtContent>
        <w:p w14:paraId="328704B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同资产按照信用风险特征组合计提坏账准备的组合类别及确定依据"/>
        <w:tag w:val="_GBC_39a27b872e8747698a9fdd2eb76f8126"/>
        <w:id w:val="147471459"/>
        <w:placeholder>
          <w:docPart w:val="GBC22222222222222222222222222222"/>
        </w:placeholder>
      </w:sdtPr>
      <w:sdtEndPr>
        <w:rPr>
          <w:color w:val="000000" w:themeColor="text1"/>
          <w14:textFill>
            <w14:solidFill>
              <w14:schemeClr w14:val="tx1"/>
            </w14:solidFill>
          </w14:textFill>
        </w:rPr>
      </w:sdtEndPr>
      <w:sdtContent>
        <w:p w14:paraId="7485F25B">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662323B8">
      <w:pPr>
        <w:rPr>
          <w:rFonts w:cs="Times New Roman"/>
          <w:b/>
          <w:bCs w:val="0"/>
          <w:color w:val="000000" w:themeColor="text1"/>
          <w:kern w:val="2"/>
          <w:szCs w:val="28"/>
          <w14:textFill>
            <w14:solidFill>
              <w14:schemeClr w14:val="tx1"/>
            </w14:solidFill>
          </w14:textFill>
        </w:rPr>
      </w:pPr>
    </w:p>
    <w:p w14:paraId="5F503177">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合同资产基于账龄确认信用风险特征组合的账龄计算方法[双击切换]"/>
        <w:tag w:val="_GBC_59be362629844c15946a32547bc25926"/>
        <w:id w:val="147473280"/>
        <w:placeholder>
          <w:docPart w:val="GBC22222222222222222222222222222"/>
        </w:placeholder>
      </w:sdtPr>
      <w:sdtEndPr>
        <w:rPr>
          <w:color w:val="000000" w:themeColor="text1"/>
          <w14:textFill>
            <w14:solidFill>
              <w14:schemeClr w14:val="tx1"/>
            </w14:solidFill>
          </w14:textFill>
        </w:rPr>
      </w:sdtEndPr>
      <w:sdtContent>
        <w:p w14:paraId="6A3641F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同资产基于账龄确认信用风险特征组合的账龄计算方法"/>
        <w:tag w:val="_GBC_d77e25a333d649e0a23a1ff543fdc37a"/>
        <w:id w:val="147476765"/>
        <w:placeholder>
          <w:docPart w:val="GBC22222222222222222222222222222"/>
        </w:placeholder>
      </w:sdtPr>
      <w:sdtEndPr>
        <w:rPr>
          <w:color w:val="000000" w:themeColor="text1"/>
          <w14:textFill>
            <w14:solidFill>
              <w14:schemeClr w14:val="tx1"/>
            </w14:solidFill>
          </w14:textFill>
        </w:rPr>
      </w:sdtEndPr>
      <w:sdtContent>
        <w:p w14:paraId="27985658">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1D82DD7E">
      <w:pPr>
        <w:rPr>
          <w:rFonts w:cs="Times New Roman"/>
          <w:b/>
          <w:bCs w:val="0"/>
          <w:color w:val="000000" w:themeColor="text1"/>
          <w:kern w:val="2"/>
          <w:szCs w:val="28"/>
          <w14:textFill>
            <w14:solidFill>
              <w14:schemeClr w14:val="tx1"/>
            </w14:solidFill>
          </w14:textFill>
        </w:rPr>
      </w:pPr>
    </w:p>
    <w:p w14:paraId="6F4E7F3F">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按照单项计提坏账准备的认定单项计提判断标准</w:t>
      </w:r>
    </w:p>
    <w:sdt>
      <w:sdtPr>
        <w:rPr>
          <w:color w:val="000000" w:themeColor="text1"/>
          <w14:textFill>
            <w14:solidFill>
              <w14:schemeClr w14:val="tx1"/>
            </w14:solidFill>
          </w14:textFill>
        </w:rPr>
        <w:alias w:val="是否适用：合同资产按照单项计提坏账准备的单项计提判断标准[双击切换]"/>
        <w:tag w:val="_GBC_0ad2d10f39624b3486cf825e91aa1d85"/>
        <w:id w:val="147456630"/>
        <w:placeholder>
          <w:docPart w:val="GBC22222222222222222222222222222"/>
        </w:placeholder>
      </w:sdtPr>
      <w:sdtEndPr>
        <w:rPr>
          <w:color w:val="000000" w:themeColor="text1"/>
          <w14:textFill>
            <w14:solidFill>
              <w14:schemeClr w14:val="tx1"/>
            </w14:solidFill>
          </w14:textFill>
        </w:rPr>
      </w:sdtEndPr>
      <w:sdtContent>
        <w:p w14:paraId="34B8613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同资产按照单项计提坏账准备的单项计提判断标准"/>
        <w:tag w:val="_GBC_e7ac066d5b584f0baa04d6dac8453779"/>
        <w:id w:val="147478188"/>
        <w:placeholder>
          <w:docPart w:val="GBC22222222222222222222222222222"/>
        </w:placeholder>
      </w:sdtPr>
      <w:sdtEndPr>
        <w:rPr>
          <w:color w:val="000000" w:themeColor="text1"/>
          <w14:textFill>
            <w14:solidFill>
              <w14:schemeClr w14:val="tx1"/>
            </w14:solidFill>
          </w14:textFill>
        </w:rPr>
      </w:sdtEndPr>
      <w:sdtContent>
        <w:p w14:paraId="495E9C2B">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具体情况详见附注五、11、金融工具。</w:t>
          </w:r>
        </w:p>
      </w:sdtContent>
    </w:sdt>
    <w:p w14:paraId="31F088C1">
      <w:pPr>
        <w:rPr>
          <w:color w:val="000000" w:themeColor="text1"/>
          <w14:textFill>
            <w14:solidFill>
              <w14:schemeClr w14:val="tx1"/>
            </w14:solidFill>
          </w14:textFill>
        </w:rPr>
      </w:pPr>
    </w:p>
    <w:p w14:paraId="6D73E4D2">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持有待售的非流动资产或处置组</w:t>
      </w:r>
    </w:p>
    <w:sdt>
      <w:sdtPr>
        <w:rPr>
          <w:color w:val="000000" w:themeColor="text1"/>
          <w14:textFill>
            <w14:solidFill>
              <w14:schemeClr w14:val="tx1"/>
            </w14:solidFill>
          </w14:textFill>
        </w:rPr>
        <w:alias w:val="是否适用：持有待售的非流动资产或处置组[双击切换]"/>
        <w:tag w:val="_GBC_f1f73a9983444ce2a24c3a748aa6178f"/>
        <w:id w:val="147455190"/>
        <w:placeholder>
          <w:docPart w:val="GBC22222222222222222222222222222"/>
        </w:placeholder>
      </w:sdtPr>
      <w:sdtEndPr>
        <w:rPr>
          <w:color w:val="000000" w:themeColor="text1"/>
          <w14:textFill>
            <w14:solidFill>
              <w14:schemeClr w14:val="tx1"/>
            </w14:solidFill>
          </w14:textFill>
        </w:rPr>
      </w:sdtEndPr>
      <w:sdtContent>
        <w:p w14:paraId="64C4C1E9">
          <w:pPr>
            <w:rPr>
              <w:color w:val="000000" w:themeColor="text1"/>
              <w14:textFill>
                <w14:solidFill>
                  <w14:schemeClr w14:val="tx1"/>
                </w14:solidFill>
              </w14:textFill>
            </w:rPr>
          </w:pPr>
          <w:bookmarkStart w:id="172" w:name="_Hlk533151067"/>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持有待售的非流动资产或处置组"/>
        <w:tag w:val="_GBC_f73ce57cdf2f499aadf2d1abe9773623"/>
        <w:id w:val="147476297"/>
        <w:placeholder>
          <w:docPart w:val="GBC22222222222222222222222222222"/>
        </w:placeholder>
      </w:sdtPr>
      <w:sdtEndPr>
        <w:rPr>
          <w:color w:val="000000" w:themeColor="text1"/>
          <w14:textFill>
            <w14:solidFill>
              <w14:schemeClr w14:val="tx1"/>
            </w14:solidFill>
          </w14:textFill>
        </w:rPr>
      </w:sdtEndPr>
      <w:sdtContent>
        <w:p w14:paraId="51742EED">
          <w:pPr>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资产负债表中持有待售的非流动资产或持有待售的处置组中的资产列示为持有待售资产，持有待售的处置组中的负债列示为持有待售负债。</w:t>
          </w:r>
        </w:p>
      </w:sdtContent>
    </w:sdt>
    <w:p w14:paraId="794DA8FC">
      <w:pPr>
        <w:rPr>
          <w:color w:val="000000" w:themeColor="text1"/>
          <w14:textFill>
            <w14:solidFill>
              <w14:schemeClr w14:val="tx1"/>
            </w14:solidFill>
          </w14:textFill>
        </w:rPr>
      </w:pPr>
    </w:p>
    <w:bookmarkEnd w:id="172"/>
    <w:p w14:paraId="66CDD110">
      <w:pPr>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划分为持有待售的非流动资产或处置组的确认标准和会计处理方法</w:t>
      </w:r>
    </w:p>
    <w:sdt>
      <w:sdtPr>
        <w:rPr>
          <w:color w:val="000000" w:themeColor="text1"/>
          <w14:textFill>
            <w14:solidFill>
              <w14:schemeClr w14:val="tx1"/>
            </w14:solidFill>
          </w14:textFill>
        </w:rPr>
        <w:alias w:val="是否适用：划分为持有待售的非流动资产或处置组的确认标准和会计处理方法[双击切换]"/>
        <w:tag w:val="_GBC_6c531b0531914ce08b0f9e9ff03b4e9c"/>
        <w:id w:val="147472691"/>
        <w:placeholder>
          <w:docPart w:val="GBC22222222222222222222222222222"/>
        </w:placeholder>
      </w:sdtPr>
      <w:sdtEndPr>
        <w:rPr>
          <w:color w:val="000000" w:themeColor="text1"/>
          <w14:textFill>
            <w14:solidFill>
              <w14:schemeClr w14:val="tx1"/>
            </w14:solidFill>
          </w14:textFill>
        </w:rPr>
      </w:sdtEndPr>
      <w:sdtContent>
        <w:p w14:paraId="7B68A52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划分为持有待售的非流动资产或处置组的确认标准和会计处理方法"/>
        <w:tag w:val="_GBC_b7191fb064a643b298159d5d171b0856"/>
        <w:id w:val="147474296"/>
        <w:placeholder>
          <w:docPart w:val="GBC22222222222222222222222222222"/>
        </w:placeholder>
      </w:sdtPr>
      <w:sdtEndPr>
        <w:rPr>
          <w:color w:val="000000" w:themeColor="text1"/>
          <w:highlight w:val="yellow"/>
          <w14:textFill>
            <w14:solidFill>
              <w14:schemeClr w14:val="tx1"/>
            </w14:solidFill>
          </w14:textFill>
        </w:rPr>
      </w:sdtEndPr>
      <w:sdtContent>
        <w:p w14:paraId="4DB0E82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(1)持有待售的非流动资产和处置组确认标准</w:t>
          </w:r>
        </w:p>
        <w:p w14:paraId="3DADF3F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公司将同时满足下列条件的非流动资产或处置组划分为持有待售类别：①根据类似交易中出售此类资产或处置组的惯例，在当前状况下即可立即出售；②出售极可能发生，即公司已经就出售计划作出决议且获得确定的购买承诺，预计出售将在一年内完成。 </w:t>
          </w:r>
        </w:p>
        <w:p w14:paraId="3260BB1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公司专为转售而取得的非流动资产或处置组，在取得日满足“预计出售将在一年内完成”的条件，且短期（通常为3个月）内很可能满足持有待售类别的其他划分条件的，在取得日将其划分为持有待售类别。</w:t>
          </w:r>
        </w:p>
        <w:p w14:paraId="211ABA8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因公司无法控制的下列原因之一，导致非关联方之间的交易未能在一年内完成，且公司仍然承诺出售非流动资产或处置组的，继续将非流动资产或处置组划分为持有待售类别：①买方或其他方意外设定导致出售延期的条件，公司针对这些条件已经及时采取行动，且预计能够自设定导致出售延期的条件起一年内顺利化解延期因素；②因发生罕见情况，导致持有待售的非流动资产或处置组未能在一年内完成出售，公司在最初一年内已经针对这些新情况采取必要措施且重新满足了持有待售类别的划分条件。</w:t>
          </w:r>
        </w:p>
        <w:p w14:paraId="3F34D92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（2）持有待售的非流动资产或处置组的会计处理方法</w:t>
          </w:r>
        </w:p>
        <w:p w14:paraId="7FBBD9F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①初始计量和后续计量 </w:t>
          </w:r>
        </w:p>
        <w:p w14:paraId="1A993F0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初始计量和在资产负债表日重新计量持有待售的非流动资产或处置组时，其账面价值高于公允价值减去出售费用后的净额的，将账面价值减记至公允价值减去出售费用后的净额，减记的金额确认为资产减值损失，计入当期损益，同时计提持有待售资产减值准备。</w:t>
          </w:r>
        </w:p>
        <w:p w14:paraId="578479A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对于取得日划分为持有待售类别的非流动资产或处置组，在初始计量时比较假定其不划分为持有待售类别情况下的初始计量金额和公允价值减去出售费用后的净额，以两者孰低计量。除企业合并中取得的非流动资产或处置组外，由非流动资产或处置组以公允价值减去出售费用后的净额作为初始计量金额而产生的差额，计入当期损益。</w:t>
          </w:r>
        </w:p>
        <w:p w14:paraId="5249157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对于持有待售的处置组确认的资产减值损失金额，先抵减处置组中商誉的账面价值，再根据处置组中的各项非流动资产账面价值所占比重，按比例抵减其账面价值。</w:t>
          </w:r>
        </w:p>
        <w:p w14:paraId="168ECA69">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持有待售的非流动资产或处置组中的非流动资产不计提折旧或摊销，持有待售的处置组中负债的利息和其他费用继续予以确认。</w:t>
          </w:r>
        </w:p>
        <w:p w14:paraId="1A48486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②资产减值损失转回的会计处理 </w:t>
          </w:r>
        </w:p>
        <w:p w14:paraId="64391C8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后续资产负债表日持有待售的非流动资产公允价值减去出售费用后的净额增加的，以前减记的金额予以恢复，并在划分为持有待售类别后确认的资产减值损失金额内转回，转回金额计入当期损益。划分为持有待售类别前确认的资产减值损失不转回。</w:t>
          </w:r>
        </w:p>
        <w:p w14:paraId="5AA0B12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后续资产负债表日持有待售的处置组公允价值减去出售费用后的净额增加的，以前减记的金额予以恢复，并在划分为持有待售类别后非流动资产确认的资产减值损失金额内转回，转回金额计入当期损益。已抵减的商誉账面价值，以及非流动资产在划分为持有待售类别前确认的资产减值损失不转回。</w:t>
          </w:r>
        </w:p>
        <w:p w14:paraId="2E3A775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持有待售的处置组确认的资产减值损失后续转回金额，根据处置组中除商誉外各项非流动资产账面价值所占比重，按比例增加其账面价值。</w:t>
          </w:r>
        </w:p>
        <w:p w14:paraId="08BE548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③不再继续划分为持有待售类别以及终止确认的会计处理</w:t>
          </w:r>
        </w:p>
        <w:p w14:paraId="0D33B1C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非流动资产或处置组因不再满足持有待售类别的划分条件而不再继续划分为持有待售类别或非流动资产从持有待售的处置组中移除时，按照以下两者孰低计量：1) 划分为持有待售类别前的账面价值，按照假定不划分为持有待售类别情况下本应确认的折旧、摊销或减值等进行调整后的金额；2) 可收回金额。 </w:t>
          </w:r>
        </w:p>
        <w:p w14:paraId="15FD308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终止确认持有待售的非流动资产或处置组时，将尚未确认的利得或损失计入当期损益。</w:t>
          </w:r>
        </w:p>
      </w:sdtContent>
    </w:sdt>
    <w:p w14:paraId="32780531">
      <w:pPr>
        <w:jc w:val="both"/>
        <w:rPr>
          <w:color w:val="000000" w:themeColor="text1"/>
          <w14:textFill>
            <w14:solidFill>
              <w14:schemeClr w14:val="tx1"/>
            </w14:solidFill>
          </w14:textFill>
        </w:rPr>
      </w:pPr>
    </w:p>
    <w:p w14:paraId="5046A4F9">
      <w:pPr>
        <w:jc w:val="both"/>
        <w:rPr>
          <w:rFonts w:cs="Times New Roman"/>
          <w:b/>
          <w:color w:val="000000" w:themeColor="text1"/>
          <w:kern w:val="2"/>
          <w14:textFill>
            <w14:solidFill>
              <w14:schemeClr w14:val="tx1"/>
            </w14:solidFill>
          </w14:textFill>
        </w:rPr>
      </w:pPr>
      <w:r>
        <w:rPr>
          <w:rFonts w:cs="Times New Roman"/>
          <w:b/>
          <w:color w:val="000000" w:themeColor="text1"/>
          <w:kern w:val="2"/>
          <w14:textFill>
            <w14:solidFill>
              <w14:schemeClr w14:val="tx1"/>
            </w14:solidFill>
          </w14:textFill>
        </w:rPr>
        <w:t>终止经营的认定标准和列报方法</w:t>
      </w:r>
    </w:p>
    <w:sdt>
      <w:sdtPr>
        <w:rPr>
          <w:color w:val="000000" w:themeColor="text1"/>
          <w14:textFill>
            <w14:solidFill>
              <w14:schemeClr w14:val="tx1"/>
            </w14:solidFill>
          </w14:textFill>
        </w:rPr>
        <w:alias w:val="是否适用：终止经营的认定标准和列报方法[双击切换]"/>
        <w:tag w:val="_GBC_4c502276dc0f4c08a09a2a83a4203533"/>
        <w:id w:val="147462444"/>
        <w:placeholder>
          <w:docPart w:val="GBC22222222222222222222222222222"/>
        </w:placeholder>
      </w:sdtPr>
      <w:sdtEndPr>
        <w:rPr>
          <w:color w:val="000000" w:themeColor="text1"/>
          <w14:textFill>
            <w14:solidFill>
              <w14:schemeClr w14:val="tx1"/>
            </w14:solidFill>
          </w14:textFill>
        </w:rPr>
      </w:sdtEndPr>
      <w:sdtContent>
        <w:p w14:paraId="4732D567">
          <w:pPr>
            <w:jc w:val="both"/>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终止经营的认定标准和列报方法"/>
        <w:tag w:val="_GBC_58f57a3b282d431a8ee5234e168d1b89"/>
        <w:id w:val="147475676"/>
        <w:placeholder>
          <w:docPart w:val="GBC22222222222222222222222222222"/>
        </w:placeholder>
      </w:sdtPr>
      <w:sdtEndPr>
        <w:rPr>
          <w:color w:val="000000" w:themeColor="text1"/>
          <w14:textFill>
            <w14:solidFill>
              <w14:schemeClr w14:val="tx1"/>
            </w14:solidFill>
          </w14:textFill>
        </w:rPr>
      </w:sdtEndPr>
      <w:sdtContent>
        <w:p w14:paraId="6F12A50D">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（1）终止经营的确认标准 </w:t>
          </w:r>
        </w:p>
        <w:p w14:paraId="26F04862">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满足下列条件之一的、已经被处置或划分为持有待售类别且能够单独区分的组成部分确认为终止经营：</w:t>
          </w:r>
        </w:p>
        <w:p w14:paraId="6BB4E7D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①该组成部分代表一项独立的主要业务或一个单独的主要经营地区；</w:t>
          </w:r>
        </w:p>
        <w:p w14:paraId="2A22AD5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②该组成部分是拟对一项独立的主要业务或一个单独的主要经营地区进行处置的一项相关联计划的一部分；</w:t>
          </w:r>
        </w:p>
        <w:p w14:paraId="1A7441F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③该组成部分是专为转售而取得的子公司。</w:t>
          </w:r>
        </w:p>
        <w:p w14:paraId="686B0DB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（2）终止经营的列报方法 </w:t>
          </w:r>
        </w:p>
        <w:p w14:paraId="27B70B23">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在利润表中分别列示持续经营损益和终止经营损益。终止经营的减值损失和转回金额等经营损益及处置损益作为终止经营损益列报。对于当期列报的终止经营，在当期财务报表中将原来作为持续经营损益列报的信息重新作为可比期间的终止经营损益列报。终止经营不再满足持有待售类别划分条件的，在当期财务报表中将原来作为终止经营损益列报的信息重新作为可比期间的持续经营损益列报。</w:t>
          </w:r>
        </w:p>
      </w:sdtContent>
    </w:sdt>
    <w:p w14:paraId="7B61BD32">
      <w:pPr>
        <w:jc w:val="both"/>
        <w:rPr>
          <w:color w:val="000000" w:themeColor="text1"/>
          <w14:textFill>
            <w14:solidFill>
              <w14:schemeClr w14:val="tx1"/>
            </w14:solidFill>
          </w14:textFill>
        </w:rPr>
      </w:pPr>
    </w:p>
    <w:bookmarkEnd w:id="164"/>
    <w:p w14:paraId="4B1C2178">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长期股权投资</w:t>
      </w:r>
    </w:p>
    <w:sdt>
      <w:sdtPr>
        <w:rPr>
          <w:color w:val="000000" w:themeColor="text1"/>
          <w14:textFill>
            <w14:solidFill>
              <w14:schemeClr w14:val="tx1"/>
            </w14:solidFill>
          </w14:textFill>
        </w:rPr>
        <w:alias w:val="是否适用：长期股权投资_重要会计政策和估计[双击切换]"/>
        <w:tag w:val="_GBC_a2b657853ac547afaaad118dec96d0e1"/>
        <w:id w:val="147453048"/>
        <w:placeholder>
          <w:docPart w:val="GBC22222222222222222222222222222"/>
        </w:placeholder>
      </w:sdtPr>
      <w:sdtEndPr>
        <w:rPr>
          <w:color w:val="000000" w:themeColor="text1"/>
          <w14:textFill>
            <w14:solidFill>
              <w14:schemeClr w14:val="tx1"/>
            </w14:solidFill>
          </w14:textFill>
        </w:rPr>
      </w:sdtEndPr>
      <w:sdtContent>
        <w:p w14:paraId="01D712F5">
          <w:pPr>
            <w:jc w:val="both"/>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长期股权投资的核算方法"/>
        <w:tag w:val="_GBC_3e77074cd50946b1bccdff9bc1c9556f"/>
        <w:id w:val="147471982"/>
        <w:placeholder>
          <w:docPart w:val="GBC22222222222222222222222222222"/>
        </w:placeholder>
      </w:sdtPr>
      <w:sdtEndPr>
        <w:rPr>
          <w:color w:val="000000" w:themeColor="text1"/>
          <w14:textFill>
            <w14:solidFill>
              <w14:schemeClr w14:val="tx1"/>
            </w14:solidFill>
          </w14:textFill>
        </w:rPr>
      </w:sdtEndPr>
      <w:sdtContent>
        <w:p w14:paraId="705B51C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（1）共同控制、重大影响的判断 </w:t>
          </w:r>
        </w:p>
        <w:p w14:paraId="43746F9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照相关约定对某项安排存在共有的控制，并且该安排的相关活动必须经过分享控制权的参与方一致同意后才能决策，认定为共同控制。对被投资单位的财务和经营政策有参与决策的权力，但并不能够控制或者与其他方一起共同控制这些政策的制定，认定为重大影响。</w:t>
          </w:r>
        </w:p>
        <w:p w14:paraId="07B4308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（2）投资成本的确定 </w:t>
          </w:r>
        </w:p>
        <w:p w14:paraId="0E88BFC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同一控制下的企业合并形成的，合并方以支付现金、转让非现金资产、承担债务或发行权益性证券作为合并对价的，在合并日按照取得被合并方所有者权益在最终控制方合并财务报表中的账面价值的份额作为其初始投资成本。长期股权投资初始投资成本与支付的合并对价的账面价值或发行股份的面值总额之间的差额调整资本公积；资本公积不足冲减的，调整留存收益。</w:t>
          </w:r>
        </w:p>
        <w:p w14:paraId="6FF5F13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通过多次交易分步实现同一控制下企业合并形成的长期股权投资，判断是否属于“一揽子交易”。属于“一揽子交易”的，把各项交易作为一项取得控制权的交易进行会计处理。不属于“一揽子交易”的，在合并日，根据合并后应享有被合并方净资产在最终控制方合并财务报表中的账面价值的份额确定初始投资成本。合并日长期股权投资的初始投资成本，与达到合并前的长期股权投资账面价值加上合并日进一步取得股份新支付对价的账面价值之和的差额，调整资本公积；资本公积不足冲减的，调整留存收益。</w:t>
          </w:r>
        </w:p>
        <w:p w14:paraId="456DCD5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2）非同一控制下的企业合并形成的，在购买日按照支付的合并对价的公允价值作为其初始投资成本。 </w:t>
          </w:r>
        </w:p>
        <w:p w14:paraId="4319500C">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公司通过多次交易分步实现非同一控制下企业合并形成的长期股权投资，区分个别财务报表和合并财务报表进行相关会计处理：</w:t>
          </w:r>
        </w:p>
        <w:p w14:paraId="4DDA19F2">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①在个别财务报表中，按照原持有的股权投资的账面价值加上新增投资成本之和，作为改按成本法核算的初始投资成本。</w:t>
          </w:r>
        </w:p>
        <w:p w14:paraId="7D355E1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在合并财务报表中，判断是否属于“一揽子交易”。属于“一揽子交易”的，把各项交易作为一项取得控制权的交易进行会计处理。不属于“一揽子交易”的，对于购买日之前持有的被购买方的股权，按照该股权在购买日的公允价值进行重新计量，公允价值与其账面价值的差额计入当期投资收益；购买日之前持有的被购买方的股权涉及权益法核算下的其他综合收益等的，与其相关的其他综合收益等转为购买日所属当期收益。但由于被投资方重新计量设定受益计划净负债或净资产变动而产生的其他综合收益除外。</w:t>
          </w:r>
        </w:p>
        <w:p w14:paraId="5B5CB8F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除企业合并形成以外的：以支付现金取得的，按照实际支付的购买价款作为其初始投资成本；以发行权益性证券取得的，按照发行权益性证券的公允价值作为其初始投资成本；以债务重组方式取得的，按《企业会计准则第12号——债务重组》确定其初始投资成本；以非货币性资产交换取得的，按《企业会计准则第7号——非货币性资产交换》确定其初始投资成本。 </w:t>
          </w:r>
        </w:p>
        <w:p w14:paraId="68E8E23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（3）后续计量及损益确认方法 </w:t>
          </w:r>
        </w:p>
        <w:p w14:paraId="0E6D2DAE">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对被投资单位实施控制的长期股权投资采用成本法核算；对联营企业和合营企业的长期股权投资，采用权益法核算。 </w:t>
          </w:r>
        </w:p>
        <w:p w14:paraId="78BC8B1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（4）通过多次交易分步处置对子公司投资至丧失控制权的处理方法</w:t>
          </w:r>
        </w:p>
        <w:p w14:paraId="4DE687F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1）是否属于“一揽子交易”的判断原则 </w:t>
          </w:r>
        </w:p>
        <w:p w14:paraId="06A2F872">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通过多次交易分步处置对子公司股权投资直至丧失控制权的，公司结合分步交易的各个步骤的交易协议条款、分别取得的处置对价、出售股权的对象、处置方式、处置时点等信息来判断分步交易是否属于“一揽子交易”。各项交易的条款、条件以及经济影响符合以下一种或多种情况，通常表明多次交易事项属于“一揽子交易”：</w:t>
          </w:r>
        </w:p>
        <w:p w14:paraId="2A80DA89">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①这些交易是同时或者在考虑了彼此影响的情况下订立的；</w:t>
          </w:r>
        </w:p>
        <w:p w14:paraId="27D723C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②这些交易整体才能达成一项完整的商业结果；</w:t>
          </w:r>
        </w:p>
        <w:p w14:paraId="34DECE28">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③一项交易的发生取决于其他至少一项交易的发生；</w:t>
          </w:r>
        </w:p>
        <w:p w14:paraId="7B6E2337">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④一项交易单独看是不经济的，但是和其他交易一并考虑时是经济的。</w:t>
          </w:r>
        </w:p>
        <w:p w14:paraId="45A86019">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2）不属于“一揽子交易”的会计处理</w:t>
          </w:r>
        </w:p>
        <w:p w14:paraId="6D6A4FD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①个别财务报表</w:t>
          </w:r>
        </w:p>
        <w:p w14:paraId="5DE5AB5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对处置的股权，其账面价值与实际取得价款之间的差额，计入当期损益。对于剩余股权，对被投资单位仍具有重大影响或者与其他方一起实施共同控制的，转为权益法核算；不能再对被投资单位实施控制、共同控制或重大影响的，按照《企业会计准则第22号——金融工具确认和计量》的相关规定进行核算。</w:t>
          </w:r>
        </w:p>
        <w:p w14:paraId="60D7A4E6">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②合并财务报表</w:t>
          </w:r>
        </w:p>
        <w:p w14:paraId="220153B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在丧失控制权之前，处置价款与处置长期股权投资相对应享有子公司自购买日或合并日开始持续计算的净资产份额之间的差额，调整资本公积（资本溢价），资本溢价不足冲减的，冲减留存收益。</w:t>
          </w:r>
        </w:p>
        <w:p w14:paraId="709B3C7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丧失对原子公司控制权时，对于剩余股权，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收益，同时冲减商誉。与原有子公司股权投资相关的其他综合收益等，应当在丧失控制权时转为当期投资收益。</w:t>
          </w:r>
        </w:p>
        <w:p w14:paraId="459ABDD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3）属于“一揽子交易”的会计处理 </w:t>
          </w:r>
        </w:p>
        <w:p w14:paraId="47549D3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①个别财务报表</w:t>
          </w:r>
        </w:p>
        <w:p w14:paraId="2D9DEA71">
          <w:pPr>
            <w:rPr>
              <w:color w:val="000000" w:themeColor="text1"/>
              <w14:textFill>
                <w14:solidFill>
                  <w14:schemeClr w14:val="tx1"/>
                </w14:solidFill>
              </w14:textFill>
            </w:rPr>
          </w:pPr>
          <w:r>
            <w:rPr>
              <w:rFonts w:hint="eastAsia"/>
              <w:color w:val="000000" w:themeColor="text1"/>
              <w14:textFill>
                <w14:solidFill>
                  <w14:schemeClr w14:val="tx1"/>
                </w14:solidFill>
              </w14:textFill>
            </w:rPr>
            <w:t>将各项交易作为一项处置子公司并丧失控制权的交易进行会计处理。但是，在丧失控制权之前每一次处置价款与处置投资对应的长期股权投资账面价值之间的差额，在个别财务报表中确认为其他综合收益，在丧失控制权时一并转入丧失控制权当期的损益。</w:t>
          </w:r>
        </w:p>
        <w:p w14:paraId="2B46C5AA">
          <w:pPr>
            <w:rPr>
              <w:color w:val="000000" w:themeColor="text1"/>
              <w14:textFill>
                <w14:solidFill>
                  <w14:schemeClr w14:val="tx1"/>
                </w14:solidFill>
              </w14:textFill>
            </w:rPr>
          </w:pPr>
          <w:r>
            <w:rPr>
              <w:rFonts w:hint="eastAsia"/>
              <w:color w:val="000000" w:themeColor="text1"/>
              <w14:textFill>
                <w14:solidFill>
                  <w14:schemeClr w14:val="tx1"/>
                </w14:solidFill>
              </w14:textFill>
            </w:rPr>
            <w:t>②合并财务报表</w:t>
          </w:r>
        </w:p>
        <w:p w14:paraId="500DB7DD">
          <w:pPr>
            <w:rPr>
              <w:color w:val="000000" w:themeColor="text1"/>
              <w14:textFill>
                <w14:solidFill>
                  <w14:schemeClr w14:val="tx1"/>
                </w14:solidFill>
              </w14:textFill>
            </w:rPr>
          </w:pPr>
          <w:r>
            <w:rPr>
              <w:rFonts w:hint="eastAsia"/>
              <w:color w:val="000000" w:themeColor="text1"/>
              <w14:textFill>
                <w14:solidFill>
                  <w14:schemeClr w14:val="tx1"/>
                </w14:solidFill>
              </w14:textFill>
            </w:rPr>
            <w:t>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sdtContent>
    </w:sdt>
    <w:p w14:paraId="6FAFA7D2">
      <w:pPr>
        <w:rPr>
          <w:color w:val="000000" w:themeColor="text1"/>
          <w14:textFill>
            <w14:solidFill>
              <w14:schemeClr w14:val="tx1"/>
            </w14:solidFill>
          </w14:textFill>
        </w:rPr>
      </w:pPr>
    </w:p>
    <w:p w14:paraId="36D2EE91">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投资性房地产</w:t>
      </w:r>
    </w:p>
    <w:p w14:paraId="39077624">
      <w:pPr>
        <w:pStyle w:val="58"/>
        <w:numPr>
          <w:ilvl w:val="0"/>
          <w:numId w:val="47"/>
        </w:numPr>
        <w:rPr>
          <w:rFonts w:ascii="宋体" w:hAnsi="宋体"/>
          <w:color w:val="000000" w:themeColor="text1"/>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如果</w:t>
      </w:r>
      <w:r>
        <w:rPr>
          <w:rFonts w:hint="eastAsia" w:ascii="宋体" w:hAnsi="宋体"/>
          <w:color w:val="000000" w:themeColor="text1"/>
          <w14:textFill>
            <w14:solidFill>
              <w14:schemeClr w14:val="tx1"/>
            </w14:solidFill>
          </w14:textFill>
        </w:rPr>
        <w:t>采用成本计量模式的</w:t>
      </w:r>
    </w:p>
    <w:p w14:paraId="5BE0B9AF">
      <w:pPr>
        <w:pStyle w:val="64"/>
        <w:rPr>
          <w:rFonts w:ascii="宋体" w:hAnsi="宋体"/>
          <w:b w:val="0"/>
          <w:color w:val="000000" w:themeColor="text1"/>
          <w:szCs w:val="21"/>
          <w14:textFill>
            <w14:solidFill>
              <w14:schemeClr w14:val="tx1"/>
            </w14:solidFill>
          </w14:textFill>
        </w:rPr>
      </w:pPr>
      <w:r>
        <w:rPr>
          <w:rFonts w:hint="eastAsia" w:ascii="宋体" w:hAnsi="宋体"/>
          <w:b w:val="0"/>
          <w:color w:val="000000" w:themeColor="text1"/>
          <w:szCs w:val="21"/>
          <w14:textFill>
            <w14:solidFill>
              <w14:schemeClr w14:val="tx1"/>
            </w14:solidFill>
          </w14:textFill>
        </w:rPr>
        <w:t>折旧或摊销方法</w:t>
      </w:r>
    </w:p>
    <w:sdt>
      <w:sdtPr>
        <w:rPr>
          <w:color w:val="000000" w:themeColor="text1"/>
          <w14:textFill>
            <w14:solidFill>
              <w14:schemeClr w14:val="tx1"/>
            </w14:solidFill>
          </w14:textFill>
        </w:rPr>
        <w:alias w:val="采用成本计量模式的折旧或摊销方法"/>
        <w:tag w:val="_GBC_5b2898357289426780691d99ea19aa67"/>
        <w:id w:val="147473336"/>
        <w:placeholder>
          <w:docPart w:val="GBC22222222222222222222222222222"/>
        </w:placeholder>
      </w:sdtPr>
      <w:sdtEndPr>
        <w:rPr>
          <w:color w:val="000000" w:themeColor="text1"/>
          <w14:textFill>
            <w14:solidFill>
              <w14:schemeClr w14:val="tx1"/>
            </w14:solidFill>
          </w14:textFill>
        </w:rPr>
      </w:sdtEndPr>
      <w:sdtContent>
        <w:p w14:paraId="4215E744">
          <w:pPr>
            <w:rPr>
              <w:color w:val="000000" w:themeColor="text1"/>
              <w14:textFill>
                <w14:solidFill>
                  <w14:schemeClr w14:val="tx1"/>
                </w14:solidFill>
              </w14:textFill>
            </w:rPr>
          </w:pPr>
          <w:r>
            <w:rPr>
              <w:rFonts w:hint="eastAsia"/>
              <w:color w:val="000000" w:themeColor="text1"/>
              <w14:textFill>
                <w14:solidFill>
                  <w14:schemeClr w14:val="tx1"/>
                </w14:solidFill>
              </w14:textFill>
            </w:rPr>
            <w:t>投资性房地产包括已出租的土地使用权、持有并准备增值后转让的土地使用权和已出租的建筑物。</w:t>
          </w:r>
        </w:p>
        <w:p w14:paraId="785267D2">
          <w:pPr>
            <w:rPr>
              <w:color w:val="000000" w:themeColor="text1"/>
              <w14:textFill>
                <w14:solidFill>
                  <w14:schemeClr w14:val="tx1"/>
                </w14:solidFill>
              </w14:textFill>
            </w:rPr>
          </w:pPr>
          <w:r>
            <w:rPr>
              <w:rFonts w:hint="eastAsia"/>
              <w:color w:val="000000" w:themeColor="text1"/>
              <w14:textFill>
                <w14:solidFill>
                  <w14:schemeClr w14:val="tx1"/>
                </w14:solidFill>
              </w14:textFill>
            </w:rPr>
            <w:t>投资性房地产按照成本进行初始计量，采用成本模式进行后续计量，并采用与固定资产和无形资产相同的方法计提折旧或进行摊销。</w:t>
          </w:r>
        </w:p>
      </w:sdtContent>
    </w:sdt>
    <w:p w14:paraId="3524AB83">
      <w:pPr>
        <w:rPr>
          <w:color w:val="000000" w:themeColor="text1"/>
          <w14:textFill>
            <w14:solidFill>
              <w14:schemeClr w14:val="tx1"/>
            </w14:solidFill>
          </w14:textFill>
        </w:rPr>
      </w:pPr>
    </w:p>
    <w:p w14:paraId="62661D27">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固定资产</w:t>
      </w:r>
    </w:p>
    <w:p w14:paraId="7588BB35">
      <w:pPr>
        <w:pStyle w:val="58"/>
        <w:numPr>
          <w:ilvl w:val="0"/>
          <w:numId w:val="4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确认条件</w:t>
      </w:r>
    </w:p>
    <w:sdt>
      <w:sdtPr>
        <w:rPr>
          <w:color w:val="000000" w:themeColor="text1"/>
          <w14:textFill>
            <w14:solidFill>
              <w14:schemeClr w14:val="tx1"/>
            </w14:solidFill>
          </w14:textFill>
        </w:rPr>
        <w:alias w:val="是否适用：固定资产确认条件[双击切换]"/>
        <w:tag w:val="_GBC_45cce032cd1f43bfad18a80dd94e9cc4"/>
        <w:id w:val="147459049"/>
        <w:placeholder>
          <w:docPart w:val="GBC22222222222222222222222222222"/>
        </w:placeholder>
      </w:sdtPr>
      <w:sdtEndPr>
        <w:rPr>
          <w:color w:val="000000" w:themeColor="text1"/>
          <w14:textFill>
            <w14:solidFill>
              <w14:schemeClr w14:val="tx1"/>
            </w14:solidFill>
          </w14:textFill>
        </w:rPr>
      </w:sdtEndPr>
      <w:sdtContent>
        <w:p w14:paraId="3C6771D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bCs w:val="0"/>
          <w:color w:val="000000" w:themeColor="text1"/>
          <w14:textFill>
            <w14:solidFill>
              <w14:schemeClr w14:val="tx1"/>
            </w14:solidFill>
          </w14:textFill>
        </w:rPr>
        <w:alias w:val="固定资产确认条件"/>
        <w:tag w:val="_GBC_3044d53470b143fa9477fa34b85d4ec5"/>
        <w:id w:val="147480589"/>
        <w:placeholder>
          <w:docPart w:val="GBC22222222222222222222222222222"/>
        </w:placeholder>
      </w:sdtPr>
      <w:sdtEndPr>
        <w:rPr>
          <w:b/>
          <w:bCs w:val="0"/>
          <w:color w:val="000000" w:themeColor="text1"/>
          <w14:textFill>
            <w14:solidFill>
              <w14:schemeClr w14:val="tx1"/>
            </w14:solidFill>
          </w14:textFill>
        </w:rPr>
      </w:sdtEndPr>
      <w:sdtContent>
        <w:p w14:paraId="234BE75B">
          <w:pPr>
            <w:rPr>
              <w:b/>
              <w:bCs w:val="0"/>
              <w:color w:val="000000" w:themeColor="text1"/>
              <w14:textFill>
                <w14:solidFill>
                  <w14:schemeClr w14:val="tx1"/>
                </w14:solidFill>
              </w14:textFill>
            </w:rPr>
          </w:pPr>
          <w:r>
            <w:rPr>
              <w:rFonts w:hint="eastAsia"/>
              <w:bCs w:val="0"/>
              <w:color w:val="000000" w:themeColor="text1"/>
              <w14:textFill>
                <w14:solidFill>
                  <w14:schemeClr w14:val="tx1"/>
                </w14:solidFill>
              </w14:textFill>
            </w:rPr>
            <w:t>固定资产是指为生产商品、提供劳务、出租或经营管理而持有的，使用年限超过一个会计年度的有形资产。固定资产在同时满足经济利益很可能流入、成本能够可靠计量时予以确认。</w:t>
          </w:r>
        </w:p>
      </w:sdtContent>
    </w:sdt>
    <w:p w14:paraId="78122592">
      <w:pPr>
        <w:rPr>
          <w:color w:val="000000" w:themeColor="text1"/>
          <w14:textFill>
            <w14:solidFill>
              <w14:schemeClr w14:val="tx1"/>
            </w14:solidFill>
          </w14:textFill>
        </w:rPr>
      </w:pPr>
    </w:p>
    <w:p w14:paraId="54DD8A7F">
      <w:pPr>
        <w:pStyle w:val="58"/>
        <w:numPr>
          <w:ilvl w:val="0"/>
          <w:numId w:val="48"/>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折旧方法</w:t>
      </w:r>
    </w:p>
    <w:sdt>
      <w:sdtPr>
        <w:rPr>
          <w:color w:val="000000" w:themeColor="text1"/>
          <w14:textFill>
            <w14:solidFill>
              <w14:schemeClr w14:val="tx1"/>
            </w14:solidFill>
          </w14:textFill>
        </w:rPr>
        <w:alias w:val="是否适用：固定资产折旧方法[双击切换]"/>
        <w:tag w:val="_GBC_c221ef38ff6a4242aab725946697311c"/>
        <w:id w:val="147472347"/>
        <w:placeholder>
          <w:docPart w:val="GBC22222222222222222222222222222"/>
        </w:placeholder>
      </w:sdtPr>
      <w:sdtEndPr>
        <w:rPr>
          <w:color w:val="000000" w:themeColor="text1"/>
          <w14:textFill>
            <w14:solidFill>
              <w14:schemeClr w14:val="tx1"/>
            </w14:solidFill>
          </w14:textFill>
        </w:rPr>
      </w:sdtEndPr>
      <w:sdtContent>
        <w:p w14:paraId="7B7300E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1832"/>
        <w:gridCol w:w="1833"/>
        <w:gridCol w:w="1833"/>
        <w:gridCol w:w="1833"/>
      </w:tblGrid>
      <w:tr w14:paraId="0BE3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39db65ac15c4d7583d7fe75cb893517"/>
            <w:id w:val="147470287"/>
          </w:sdtPr>
          <w:sdtContent>
            <w:tc>
              <w:tcPr>
                <w:tcW w:w="949" w:type="pct"/>
                <w:vAlign w:val="center"/>
              </w:tcPr>
              <w:p w14:paraId="6B548321">
                <w:pPr>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1b5147121b9948e5a115c7a4d6c95995"/>
            <w:id w:val="147473837"/>
          </w:sdtPr>
          <w:sdtContent>
            <w:tc>
              <w:tcPr>
                <w:tcW w:w="1012" w:type="pct"/>
                <w:vAlign w:val="center"/>
              </w:tcPr>
              <w:p w14:paraId="21C8F15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折旧方法</w:t>
                </w:r>
              </w:p>
            </w:tc>
          </w:sdtContent>
        </w:sdt>
        <w:sdt>
          <w:sdtPr>
            <w:tag w:val="_PLD_65441224aa3f4fd3be4ca0650b16b1aa"/>
            <w:id w:val="147474292"/>
          </w:sdtPr>
          <w:sdtContent>
            <w:tc>
              <w:tcPr>
                <w:tcW w:w="1013" w:type="pct"/>
                <w:vAlign w:val="center"/>
              </w:tcPr>
              <w:p w14:paraId="1BAE2C93">
                <w:pPr>
                  <w:jc w:val="center"/>
                  <w:rPr>
                    <w:color w:val="000000" w:themeColor="text1"/>
                    <w14:textFill>
                      <w14:solidFill>
                        <w14:schemeClr w14:val="tx1"/>
                      </w14:solidFill>
                    </w14:textFill>
                  </w:rPr>
                </w:pPr>
                <w:r>
                  <w:rPr>
                    <w:color w:val="000000" w:themeColor="text1"/>
                    <w14:textFill>
                      <w14:solidFill>
                        <w14:schemeClr w14:val="tx1"/>
                      </w14:solidFill>
                    </w14:textFill>
                  </w:rPr>
                  <w:t>折旧年限（年）</w:t>
                </w:r>
              </w:p>
            </w:tc>
          </w:sdtContent>
        </w:sdt>
        <w:sdt>
          <w:sdtPr>
            <w:tag w:val="_PLD_1c82a37539a842289bf80f2937f33bee"/>
            <w:id w:val="147479114"/>
          </w:sdtPr>
          <w:sdtContent>
            <w:tc>
              <w:tcPr>
                <w:tcW w:w="1013" w:type="pct"/>
                <w:vAlign w:val="center"/>
              </w:tcPr>
              <w:p w14:paraId="4B74DC2D">
                <w:pPr>
                  <w:jc w:val="center"/>
                  <w:rPr>
                    <w:color w:val="000000" w:themeColor="text1"/>
                    <w14:textFill>
                      <w14:solidFill>
                        <w14:schemeClr w14:val="tx1"/>
                      </w14:solidFill>
                    </w14:textFill>
                  </w:rPr>
                </w:pPr>
                <w:r>
                  <w:rPr>
                    <w:color w:val="000000" w:themeColor="text1"/>
                    <w14:textFill>
                      <w14:solidFill>
                        <w14:schemeClr w14:val="tx1"/>
                      </w14:solidFill>
                    </w14:textFill>
                  </w:rPr>
                  <w:t>残值率</w:t>
                </w:r>
              </w:p>
            </w:tc>
          </w:sdtContent>
        </w:sdt>
        <w:sdt>
          <w:sdtPr>
            <w:tag w:val="_PLD_a67e8338c181496fa22b9944b63ec82c"/>
            <w:id w:val="147475036"/>
          </w:sdtPr>
          <w:sdtContent>
            <w:tc>
              <w:tcPr>
                <w:tcW w:w="1013" w:type="pct"/>
                <w:vAlign w:val="center"/>
              </w:tcPr>
              <w:p w14:paraId="7BFAB65B">
                <w:pPr>
                  <w:jc w:val="center"/>
                  <w:rPr>
                    <w:color w:val="000000" w:themeColor="text1"/>
                    <w14:textFill>
                      <w14:solidFill>
                        <w14:schemeClr w14:val="tx1"/>
                      </w14:solidFill>
                    </w14:textFill>
                  </w:rPr>
                </w:pPr>
                <w:r>
                  <w:rPr>
                    <w:color w:val="000000" w:themeColor="text1"/>
                    <w14:textFill>
                      <w14:solidFill>
                        <w14:schemeClr w14:val="tx1"/>
                      </w14:solidFill>
                    </w14:textFill>
                  </w:rPr>
                  <w:t>年折旧率</w:t>
                </w:r>
              </w:p>
            </w:tc>
          </w:sdtContent>
        </w:sdt>
      </w:tr>
      <w:tr w14:paraId="1CCD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vAlign w:val="center"/>
          </w:tcPr>
          <w:p w14:paraId="2E16DA06">
            <w:pPr>
              <w:jc w:val="both"/>
            </w:pPr>
            <w:r>
              <w:rPr>
                <w:rFonts w:hint="eastAsia"/>
                <w:color w:val="000000"/>
              </w:rPr>
              <w:t>房屋、建筑物</w:t>
            </w:r>
          </w:p>
        </w:tc>
        <w:tc>
          <w:tcPr>
            <w:tcW w:w="1012" w:type="pct"/>
            <w:vAlign w:val="center"/>
          </w:tcPr>
          <w:p w14:paraId="60CDDABC">
            <w:pPr>
              <w:jc w:val="both"/>
            </w:pPr>
            <w:r>
              <w:rPr>
                <w:rFonts w:hint="eastAsia"/>
                <w:color w:val="000000"/>
              </w:rPr>
              <w:t>年限平均法</w:t>
            </w:r>
          </w:p>
        </w:tc>
        <w:tc>
          <w:tcPr>
            <w:tcW w:w="1013" w:type="pct"/>
            <w:vAlign w:val="center"/>
          </w:tcPr>
          <w:p w14:paraId="6E9FE2C7">
            <w:pPr>
              <w:jc w:val="center"/>
              <w:rPr>
                <w:rFonts w:cs="Times New Roman"/>
              </w:rPr>
            </w:pPr>
            <w:r>
              <w:rPr>
                <w:rFonts w:cs="Times New Roman"/>
                <w:color w:val="000000"/>
              </w:rPr>
              <w:t>20-45</w:t>
            </w:r>
          </w:p>
        </w:tc>
        <w:tc>
          <w:tcPr>
            <w:tcW w:w="1013" w:type="pct"/>
            <w:vAlign w:val="center"/>
          </w:tcPr>
          <w:p w14:paraId="4E0A5158">
            <w:pPr>
              <w:jc w:val="center"/>
              <w:rPr>
                <w:rFonts w:cs="Times New Roman"/>
              </w:rPr>
            </w:pPr>
            <w:r>
              <w:rPr>
                <w:rFonts w:cs="Times New Roman"/>
                <w:color w:val="000000"/>
              </w:rPr>
              <w:t>3%-5%</w:t>
            </w:r>
          </w:p>
        </w:tc>
        <w:tc>
          <w:tcPr>
            <w:tcW w:w="1013" w:type="pct"/>
            <w:vAlign w:val="center"/>
          </w:tcPr>
          <w:p w14:paraId="245568CF">
            <w:pPr>
              <w:jc w:val="center"/>
              <w:rPr>
                <w:rFonts w:cs="Times New Roman"/>
              </w:rPr>
            </w:pPr>
            <w:r>
              <w:rPr>
                <w:rFonts w:cs="Times New Roman"/>
                <w:color w:val="000000"/>
              </w:rPr>
              <w:t>2.11%-4.85%</w:t>
            </w:r>
          </w:p>
        </w:tc>
      </w:tr>
      <w:tr w14:paraId="203F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vAlign w:val="center"/>
          </w:tcPr>
          <w:p w14:paraId="0731FEC2">
            <w:pPr>
              <w:jc w:val="both"/>
            </w:pPr>
            <w:r>
              <w:rPr>
                <w:rFonts w:hint="eastAsia"/>
                <w:color w:val="000000"/>
              </w:rPr>
              <w:t>机器设备</w:t>
            </w:r>
          </w:p>
        </w:tc>
        <w:tc>
          <w:tcPr>
            <w:tcW w:w="1012" w:type="pct"/>
            <w:vAlign w:val="center"/>
          </w:tcPr>
          <w:p w14:paraId="3CF3249F">
            <w:pPr>
              <w:jc w:val="both"/>
            </w:pPr>
            <w:r>
              <w:rPr>
                <w:rFonts w:hint="eastAsia"/>
                <w:color w:val="000000"/>
              </w:rPr>
              <w:t>年限平均法</w:t>
            </w:r>
          </w:p>
        </w:tc>
        <w:tc>
          <w:tcPr>
            <w:tcW w:w="1013" w:type="pct"/>
            <w:vAlign w:val="center"/>
          </w:tcPr>
          <w:p w14:paraId="548526B8">
            <w:pPr>
              <w:jc w:val="center"/>
              <w:rPr>
                <w:rFonts w:cs="Times New Roman"/>
              </w:rPr>
            </w:pPr>
            <w:r>
              <w:rPr>
                <w:rFonts w:cs="Times New Roman"/>
                <w:color w:val="000000"/>
              </w:rPr>
              <w:t>10-15</w:t>
            </w:r>
          </w:p>
        </w:tc>
        <w:tc>
          <w:tcPr>
            <w:tcW w:w="1013" w:type="pct"/>
            <w:vAlign w:val="center"/>
          </w:tcPr>
          <w:p w14:paraId="5909BA1A">
            <w:pPr>
              <w:jc w:val="center"/>
              <w:rPr>
                <w:rFonts w:cs="Times New Roman"/>
              </w:rPr>
            </w:pPr>
            <w:r>
              <w:rPr>
                <w:rFonts w:cs="Times New Roman"/>
                <w:color w:val="000000"/>
              </w:rPr>
              <w:t>3%</w:t>
            </w:r>
          </w:p>
        </w:tc>
        <w:tc>
          <w:tcPr>
            <w:tcW w:w="1013" w:type="pct"/>
            <w:vAlign w:val="center"/>
          </w:tcPr>
          <w:p w14:paraId="1209BE77">
            <w:pPr>
              <w:jc w:val="center"/>
              <w:rPr>
                <w:rFonts w:cs="Times New Roman"/>
              </w:rPr>
            </w:pPr>
            <w:r>
              <w:rPr>
                <w:rFonts w:cs="Times New Roman"/>
                <w:color w:val="000000"/>
              </w:rPr>
              <w:t>6.47%-9.70%</w:t>
            </w:r>
          </w:p>
        </w:tc>
      </w:tr>
      <w:tr w14:paraId="7F84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vAlign w:val="center"/>
          </w:tcPr>
          <w:p w14:paraId="1251009D">
            <w:pPr>
              <w:jc w:val="both"/>
            </w:pPr>
            <w:r>
              <w:rPr>
                <w:rFonts w:hint="eastAsia"/>
                <w:color w:val="000000"/>
              </w:rPr>
              <w:t>运输工具</w:t>
            </w:r>
          </w:p>
        </w:tc>
        <w:tc>
          <w:tcPr>
            <w:tcW w:w="1012" w:type="pct"/>
            <w:vAlign w:val="center"/>
          </w:tcPr>
          <w:p w14:paraId="5C03FCBB">
            <w:pPr>
              <w:jc w:val="both"/>
            </w:pPr>
            <w:r>
              <w:rPr>
                <w:rFonts w:hint="eastAsia"/>
                <w:color w:val="000000"/>
              </w:rPr>
              <w:t>年限平均法</w:t>
            </w:r>
          </w:p>
        </w:tc>
        <w:tc>
          <w:tcPr>
            <w:tcW w:w="1013" w:type="pct"/>
            <w:vAlign w:val="center"/>
          </w:tcPr>
          <w:p w14:paraId="114408D9">
            <w:pPr>
              <w:jc w:val="center"/>
              <w:rPr>
                <w:rFonts w:cs="Times New Roman"/>
              </w:rPr>
            </w:pPr>
            <w:r>
              <w:rPr>
                <w:rFonts w:cs="Times New Roman"/>
                <w:color w:val="000000"/>
              </w:rPr>
              <w:t>6-10</w:t>
            </w:r>
          </w:p>
        </w:tc>
        <w:tc>
          <w:tcPr>
            <w:tcW w:w="1013" w:type="pct"/>
            <w:vAlign w:val="center"/>
          </w:tcPr>
          <w:p w14:paraId="3011FB6A">
            <w:pPr>
              <w:jc w:val="center"/>
              <w:rPr>
                <w:rFonts w:cs="Times New Roman"/>
              </w:rPr>
            </w:pPr>
            <w:r>
              <w:rPr>
                <w:rFonts w:cs="Times New Roman"/>
                <w:color w:val="000000"/>
              </w:rPr>
              <w:t>0-3%</w:t>
            </w:r>
          </w:p>
        </w:tc>
        <w:tc>
          <w:tcPr>
            <w:tcW w:w="1013" w:type="pct"/>
            <w:vAlign w:val="center"/>
          </w:tcPr>
          <w:p w14:paraId="1800D90F">
            <w:pPr>
              <w:jc w:val="center"/>
              <w:rPr>
                <w:rFonts w:cs="Times New Roman"/>
              </w:rPr>
            </w:pPr>
            <w:r>
              <w:rPr>
                <w:rFonts w:cs="Times New Roman"/>
                <w:color w:val="000000"/>
              </w:rPr>
              <w:t>9.70%-16.67%</w:t>
            </w:r>
          </w:p>
        </w:tc>
      </w:tr>
      <w:tr w14:paraId="7CF8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vAlign w:val="center"/>
          </w:tcPr>
          <w:p w14:paraId="6DCA6E78">
            <w:pPr>
              <w:jc w:val="both"/>
            </w:pPr>
            <w:r>
              <w:rPr>
                <w:rFonts w:hint="eastAsia"/>
                <w:color w:val="000000"/>
              </w:rPr>
              <w:t>其他</w:t>
            </w:r>
          </w:p>
        </w:tc>
        <w:tc>
          <w:tcPr>
            <w:tcW w:w="1012" w:type="pct"/>
            <w:vAlign w:val="center"/>
          </w:tcPr>
          <w:p w14:paraId="742287FE">
            <w:pPr>
              <w:jc w:val="both"/>
            </w:pPr>
            <w:r>
              <w:rPr>
                <w:rFonts w:hint="eastAsia"/>
                <w:color w:val="000000"/>
              </w:rPr>
              <w:t>年限平均法</w:t>
            </w:r>
          </w:p>
        </w:tc>
        <w:tc>
          <w:tcPr>
            <w:tcW w:w="1013" w:type="pct"/>
            <w:vAlign w:val="center"/>
          </w:tcPr>
          <w:p w14:paraId="365D6F57">
            <w:pPr>
              <w:jc w:val="center"/>
              <w:rPr>
                <w:rFonts w:cs="Times New Roman"/>
              </w:rPr>
            </w:pPr>
            <w:r>
              <w:rPr>
                <w:rFonts w:cs="Times New Roman"/>
                <w:color w:val="000000"/>
              </w:rPr>
              <w:t>4-5</w:t>
            </w:r>
          </w:p>
        </w:tc>
        <w:tc>
          <w:tcPr>
            <w:tcW w:w="1013" w:type="pct"/>
            <w:vAlign w:val="center"/>
          </w:tcPr>
          <w:p w14:paraId="51C55D3A">
            <w:pPr>
              <w:jc w:val="center"/>
              <w:rPr>
                <w:rFonts w:cs="Times New Roman"/>
              </w:rPr>
            </w:pPr>
            <w:r>
              <w:rPr>
                <w:rFonts w:cs="Times New Roman"/>
                <w:color w:val="000000"/>
              </w:rPr>
              <w:t>0%</w:t>
            </w:r>
          </w:p>
        </w:tc>
        <w:tc>
          <w:tcPr>
            <w:tcW w:w="1013" w:type="pct"/>
            <w:vAlign w:val="center"/>
          </w:tcPr>
          <w:p w14:paraId="3673B8BA">
            <w:pPr>
              <w:jc w:val="center"/>
              <w:rPr>
                <w:rFonts w:cs="Times New Roman"/>
              </w:rPr>
            </w:pPr>
            <w:r>
              <w:rPr>
                <w:rFonts w:cs="Times New Roman"/>
                <w:color w:val="000000"/>
              </w:rPr>
              <w:t>20.00%-25.00%</w:t>
            </w:r>
          </w:p>
        </w:tc>
      </w:tr>
    </w:tbl>
    <w:p w14:paraId="06330241">
      <w:pPr>
        <w:rPr>
          <w:color w:val="000000" w:themeColor="text1"/>
          <w14:textFill>
            <w14:solidFill>
              <w14:schemeClr w14:val="tx1"/>
            </w14:solidFill>
          </w14:textFill>
        </w:rPr>
      </w:pPr>
    </w:p>
    <w:p w14:paraId="2A05F2C2">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在建工程</w:t>
      </w:r>
    </w:p>
    <w:p w14:paraId="7BB925BA">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在建工程_重要会计政策和估计[双击切换]"/>
          <w:tag w:val="_GBC_d9803b41f65e4a7fbebb412a259d9bf9"/>
          <w:id w:val="147451190"/>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sdt>
      <w:sdtPr>
        <w:rPr>
          <w:rFonts w:hint="eastAsia"/>
          <w:color w:val="000000" w:themeColor="text1"/>
          <w14:textFill>
            <w14:solidFill>
              <w14:schemeClr w14:val="tx1"/>
            </w14:solidFill>
          </w14:textFill>
        </w:rPr>
        <w:alias w:val="在建工程核算方法"/>
        <w:tag w:val="_GBC_ed79f983df814c58add61776fe84c76e"/>
        <w:id w:val="147465479"/>
        <w:placeholder>
          <w:docPart w:val="GBC22222222222222222222222222222"/>
        </w:placeholder>
      </w:sdtPr>
      <w:sdtEndPr>
        <w:rPr>
          <w:rFonts w:hint="eastAsia"/>
          <w:color w:val="000000" w:themeColor="text1"/>
          <w14:textFill>
            <w14:solidFill>
              <w14:schemeClr w14:val="tx1"/>
            </w14:solidFill>
          </w14:textFill>
        </w:rPr>
      </w:sdtEndPr>
      <w:sdtContent>
        <w:p w14:paraId="5DAAFEEA">
          <w:pPr>
            <w:rPr>
              <w:color w:val="000000" w:themeColor="text1"/>
              <w14:textFill>
                <w14:solidFill>
                  <w14:schemeClr w14:val="tx1"/>
                </w14:solidFill>
              </w14:textFill>
            </w:rPr>
          </w:pPr>
          <w:r>
            <w:rPr>
              <w:rFonts w:hint="eastAsia"/>
              <w:color w:val="000000" w:themeColor="text1"/>
              <w14:textFill>
                <w14:solidFill>
                  <w14:schemeClr w14:val="tx1"/>
                </w14:solidFill>
              </w14:textFill>
            </w:rPr>
            <w:t>（1）在建工程同时满足经济利益很可能流入、成本能够可靠计量则予以确认。在建工程按建造该项资产达到预定可使用状态前所发生的实际成本计量。</w:t>
          </w:r>
        </w:p>
        <w:p w14:paraId="1B7BE947">
          <w:pPr>
            <w:rPr>
              <w:color w:val="000000" w:themeColor="text1"/>
              <w14:textFill>
                <w14:solidFill>
                  <w14:schemeClr w14:val="tx1"/>
                </w14:solidFill>
              </w14:textFill>
            </w:rPr>
          </w:pPr>
          <w:r>
            <w:rPr>
              <w:rFonts w:hint="eastAsia"/>
              <w:color w:val="000000" w:themeColor="text1"/>
              <w14:textFill>
                <w14:solidFill>
                  <w14:schemeClr w14:val="tx1"/>
                </w14:solidFill>
              </w14:textFill>
            </w:rPr>
            <w:t>（2）在建工程达到预定可使用状态时，按工程实际成本转入固定资产。已达到预定可使用状态但尚未办理竣工决算的，先按估计价值转入固定资产，待办理竣工决算后再按实际成本调整原暂估价值，但不再调整原已计提的折旧。</w:t>
          </w:r>
        </w:p>
        <w:p w14:paraId="4B67E923">
          <w:pPr>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在建工程的减值测试方法和减值准备计提方法详见附注五、27、长期资产减值。</w:t>
          </w:r>
        </w:p>
      </w:sdtContent>
    </w:sdt>
    <w:p w14:paraId="1E21E108">
      <w:pPr>
        <w:rPr>
          <w:color w:val="000000" w:themeColor="text1"/>
          <w14:textFill>
            <w14:solidFill>
              <w14:schemeClr w14:val="tx1"/>
            </w14:solidFill>
          </w14:textFill>
        </w:rPr>
      </w:pPr>
    </w:p>
    <w:p w14:paraId="6D21BF49">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借款费用</w:t>
      </w:r>
    </w:p>
    <w:sdt>
      <w:sdtPr>
        <w:rPr>
          <w:rFonts w:hint="eastAsia"/>
          <w:color w:val="000000" w:themeColor="text1"/>
          <w14:textFill>
            <w14:solidFill>
              <w14:schemeClr w14:val="tx1"/>
            </w14:solidFill>
          </w14:textFill>
        </w:rPr>
        <w:alias w:val="是否适用：借款费用_重要会计政策和估计[双击切换]"/>
        <w:tag w:val="_GBC_3f3db73e5cb247009b3840143b5e6627"/>
        <w:id w:val="147451854"/>
        <w:placeholder>
          <w:docPart w:val="GBC22222222222222222222222222222"/>
        </w:placeholder>
      </w:sdtPr>
      <w:sdtEndPr>
        <w:rPr>
          <w:rFonts w:hint="eastAsia"/>
          <w:color w:val="000000" w:themeColor="text1"/>
          <w14:textFill>
            <w14:solidFill>
              <w14:schemeClr w14:val="tx1"/>
            </w14:solidFill>
          </w14:textFill>
        </w:rPr>
      </w:sdtEndPr>
      <w:sdtContent>
        <w:p w14:paraId="48CD7D0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借款费用的会计处理方法"/>
        <w:tag w:val="_GBC_2101c32d32c64f39a8b8fcd2b72dbb0a"/>
        <w:id w:val="147455706"/>
        <w:placeholder>
          <w:docPart w:val="GBC22222222222222222222222222222"/>
        </w:placeholder>
      </w:sdtPr>
      <w:sdtEndPr>
        <w:rPr>
          <w:rFonts w:hint="eastAsia"/>
          <w:color w:val="000000" w:themeColor="text1"/>
          <w14:textFill>
            <w14:solidFill>
              <w14:schemeClr w14:val="tx1"/>
            </w14:solidFill>
          </w14:textFill>
        </w:rPr>
      </w:sdtEndPr>
      <w:sdtContent>
        <w:p w14:paraId="6D9F97D1">
          <w:pPr>
            <w:rPr>
              <w:color w:val="000000" w:themeColor="text1"/>
              <w14:textFill>
                <w14:solidFill>
                  <w14:schemeClr w14:val="tx1"/>
                </w14:solidFill>
              </w14:textFill>
            </w:rPr>
          </w:pPr>
          <w:r>
            <w:rPr>
              <w:rFonts w:hint="eastAsia"/>
              <w:color w:val="000000" w:themeColor="text1"/>
              <w14:textFill>
                <w14:solidFill>
                  <w14:schemeClr w14:val="tx1"/>
                </w14:solidFill>
              </w14:textFill>
            </w:rPr>
            <w:t>（1）借款费用资本化的确认原则</w:t>
          </w:r>
        </w:p>
        <w:p w14:paraId="319D1145">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公司发生的借款费用，可直接归属于符合资本化条件的资产的购建或者生产的，予以资本化，计入相关资产成本；其他借款费用，在发生时确认为费用，计入当期损益。</w:t>
          </w:r>
        </w:p>
        <w:p w14:paraId="08E45C70">
          <w:pPr>
            <w:rPr>
              <w:color w:val="000000" w:themeColor="text1"/>
              <w14:textFill>
                <w14:solidFill>
                  <w14:schemeClr w14:val="tx1"/>
                </w14:solidFill>
              </w14:textFill>
            </w:rPr>
          </w:pPr>
          <w:r>
            <w:rPr>
              <w:rFonts w:hint="eastAsia"/>
              <w:color w:val="000000" w:themeColor="text1"/>
              <w14:textFill>
                <w14:solidFill>
                  <w14:schemeClr w14:val="tx1"/>
                </w14:solidFill>
              </w14:textFill>
            </w:rPr>
            <w:t>（2）借款费用资本化期间</w:t>
          </w:r>
        </w:p>
        <w:p w14:paraId="75D151C8">
          <w:pPr>
            <w:rPr>
              <w:color w:val="000000" w:themeColor="text1"/>
              <w14:textFill>
                <w14:solidFill>
                  <w14:schemeClr w14:val="tx1"/>
                </w14:solidFill>
              </w14:textFill>
            </w:rPr>
          </w:pPr>
          <w:r>
            <w:rPr>
              <w:rFonts w:hint="eastAsia"/>
              <w:color w:val="000000" w:themeColor="text1"/>
              <w14:textFill>
                <w14:solidFill>
                  <w14:schemeClr w14:val="tx1"/>
                </w14:solidFill>
              </w14:textFill>
            </w:rPr>
            <w:t>①当借款费用同时满足下列条件时，开始资本化：1) 资产支出已经发生；2) 借款费用已经发生；3) 为使资产达到预定可使用或可销售状态所必要的购建或者生产活动已经开始。</w:t>
          </w:r>
        </w:p>
        <w:p w14:paraId="15246BA4">
          <w:pPr>
            <w:rPr>
              <w:color w:val="000000" w:themeColor="text1"/>
              <w14:textFill>
                <w14:solidFill>
                  <w14:schemeClr w14:val="tx1"/>
                </w14:solidFill>
              </w14:textFill>
            </w:rPr>
          </w:pPr>
          <w:r>
            <w:rPr>
              <w:rFonts w:hint="eastAsia"/>
              <w:color w:val="000000" w:themeColor="text1"/>
              <w14:textFill>
                <w14:solidFill>
                  <w14:schemeClr w14:val="tx1"/>
                </w14:solidFill>
              </w14:textFill>
            </w:rPr>
            <w:t>②若符合资本化条件的资产在购建或者生产过程中发生非正常中断，并且中断时间连续超过3个月，暂停借款费用的资本化；中断期间发生的借款费用确认为当期费用，直至资产的购建或者生产活动重新开始。</w:t>
          </w:r>
        </w:p>
        <w:p w14:paraId="39867AE8">
          <w:pPr>
            <w:rPr>
              <w:color w:val="000000" w:themeColor="text1"/>
              <w14:textFill>
                <w14:solidFill>
                  <w14:schemeClr w14:val="tx1"/>
                </w14:solidFill>
              </w14:textFill>
            </w:rPr>
          </w:pPr>
          <w:r>
            <w:rPr>
              <w:rFonts w:hint="eastAsia"/>
              <w:color w:val="000000" w:themeColor="text1"/>
              <w14:textFill>
                <w14:solidFill>
                  <w14:schemeClr w14:val="tx1"/>
                </w14:solidFill>
              </w14:textFill>
            </w:rPr>
            <w:t>③当所购建或者生产符合资本化条件的资产达到预定可使用或可销售状态时，借款费用停止资本化。</w:t>
          </w:r>
        </w:p>
        <w:p w14:paraId="0FE108FC">
          <w:pPr>
            <w:rPr>
              <w:color w:val="000000" w:themeColor="text1"/>
              <w14:textFill>
                <w14:solidFill>
                  <w14:schemeClr w14:val="tx1"/>
                </w14:solidFill>
              </w14:textFill>
            </w:rPr>
          </w:pPr>
          <w:r>
            <w:rPr>
              <w:rFonts w:hint="eastAsia"/>
              <w:color w:val="000000" w:themeColor="text1"/>
              <w14:textFill>
                <w14:solidFill>
                  <w14:schemeClr w14:val="tx1"/>
                </w14:solidFill>
              </w14:textFill>
            </w:rPr>
            <w:t>（3）借款费用资本化率以及资本化金额</w:t>
          </w:r>
        </w:p>
        <w:p w14:paraId="71364AA2">
          <w:pPr>
            <w:rPr>
              <w:color w:val="000000" w:themeColor="text1"/>
              <w14:textFill>
                <w14:solidFill>
                  <w14:schemeClr w14:val="tx1"/>
                </w14:solidFill>
              </w14:textFill>
            </w:rPr>
          </w:pPr>
          <w:r>
            <w:rPr>
              <w:rFonts w:hint="eastAsia"/>
              <w:color w:val="000000" w:themeColor="text1"/>
              <w14:textFill>
                <w14:solidFill>
                  <w14:schemeClr w14:val="tx1"/>
                </w14:solidFill>
              </w14:textFill>
            </w:rPr>
            <w:t>为购建或者生产符合资本化条件的资产而借入专门借款的，以专门借款当期实际发生的利息费用（包括按照实际利率法确定的折价或溢价的摊销），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计算确定一般借款应予资本化的利息金额。</w:t>
          </w:r>
        </w:p>
      </w:sdtContent>
    </w:sdt>
    <w:p w14:paraId="03F9D48B">
      <w:pPr>
        <w:rPr>
          <w:color w:val="000000" w:themeColor="text1"/>
          <w14:textFill>
            <w14:solidFill>
              <w14:schemeClr w14:val="tx1"/>
            </w14:solidFill>
          </w14:textFill>
        </w:rPr>
      </w:pPr>
    </w:p>
    <w:p w14:paraId="7561FCD8">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生物资产</w:t>
      </w:r>
    </w:p>
    <w:sdt>
      <w:sdtPr>
        <w:rPr>
          <w:rFonts w:hint="eastAsia"/>
          <w:color w:val="000000" w:themeColor="text1"/>
          <w14:textFill>
            <w14:solidFill>
              <w14:schemeClr w14:val="tx1"/>
            </w14:solidFill>
          </w14:textFill>
        </w:rPr>
        <w:alias w:val="是否适用：生物资产_重要会计政策和估计[双击切换]"/>
        <w:tag w:val="_GBC_3c525bb9dd0340978b83e74317a40315"/>
        <w:id w:val="147452257"/>
        <w:placeholder>
          <w:docPart w:val="GBC22222222222222222222222222222"/>
        </w:placeholder>
      </w:sdtPr>
      <w:sdtEndPr>
        <w:rPr>
          <w:rFonts w:hint="eastAsia"/>
          <w:color w:val="000000" w:themeColor="text1"/>
          <w14:textFill>
            <w14:solidFill>
              <w14:schemeClr w14:val="tx1"/>
            </w14:solidFill>
          </w14:textFill>
        </w:rPr>
      </w:sdtEndPr>
      <w:sdtContent>
        <w:p w14:paraId="560CB5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A3B1D0">
      <w:pPr>
        <w:rPr>
          <w:color w:val="000000" w:themeColor="text1"/>
          <w14:textFill>
            <w14:solidFill>
              <w14:schemeClr w14:val="tx1"/>
            </w14:solidFill>
          </w14:textFill>
        </w:rPr>
      </w:pPr>
    </w:p>
    <w:p w14:paraId="37A192B7">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油气资产</w:t>
      </w:r>
    </w:p>
    <w:sdt>
      <w:sdtPr>
        <w:rPr>
          <w:rFonts w:hint="eastAsia"/>
          <w:color w:val="000000" w:themeColor="text1"/>
          <w14:textFill>
            <w14:solidFill>
              <w14:schemeClr w14:val="tx1"/>
            </w14:solidFill>
          </w14:textFill>
        </w:rPr>
        <w:alias w:val="是否适用：油气资产_重要会计政策和估计[双击切换]"/>
        <w:tag w:val="_GBC_60d99a70431c4b868b6e953077cbfe88"/>
        <w:id w:val="147468632"/>
        <w:placeholder>
          <w:docPart w:val="GBC22222222222222222222222222222"/>
        </w:placeholder>
      </w:sdtPr>
      <w:sdtEndPr>
        <w:rPr>
          <w:rFonts w:hint="eastAsia"/>
          <w:color w:val="000000" w:themeColor="text1"/>
          <w14:textFill>
            <w14:solidFill>
              <w14:schemeClr w14:val="tx1"/>
            </w14:solidFill>
          </w14:textFill>
        </w:rPr>
      </w:sdtEndPr>
      <w:sdtContent>
        <w:p w14:paraId="35B9BFF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CCA48F1">
      <w:pPr>
        <w:rPr>
          <w:rFonts w:cs="Times New Roman"/>
          <w:color w:val="000000" w:themeColor="text1"/>
          <w:kern w:val="2"/>
          <w14:textFill>
            <w14:solidFill>
              <w14:schemeClr w14:val="tx1"/>
            </w14:solidFill>
          </w14:textFill>
        </w:rPr>
      </w:pPr>
    </w:p>
    <w:p w14:paraId="1BA9BA33">
      <w:pPr>
        <w:pStyle w:val="57"/>
        <w:numPr>
          <w:ilvl w:val="0"/>
          <w:numId w:val="46"/>
        </w:numPr>
        <w:rPr>
          <w:rFonts w:ascii="宋体" w:hAnsi="宋体"/>
          <w:color w:val="000000" w:themeColor="text1"/>
          <w14:textFill>
            <w14:solidFill>
              <w14:schemeClr w14:val="tx1"/>
            </w14:solidFill>
          </w14:textFill>
        </w:rPr>
      </w:pPr>
      <w:bookmarkStart w:id="173" w:name="_Hlk169007443"/>
      <w:r>
        <w:rPr>
          <w:rFonts w:ascii="宋体" w:hAnsi="宋体"/>
          <w:color w:val="000000" w:themeColor="text1"/>
          <w14:textFill>
            <w14:solidFill>
              <w14:schemeClr w14:val="tx1"/>
            </w14:solidFill>
          </w14:textFill>
        </w:rPr>
        <w:t>无形资产</w:t>
      </w:r>
    </w:p>
    <w:p w14:paraId="56B17BA2">
      <w:pPr>
        <w:pStyle w:val="58"/>
        <w:numPr>
          <w:ilvl w:val="3"/>
          <w:numId w:val="49"/>
        </w:numPr>
        <w:tabs>
          <w:tab w:val="left" w:pos="44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使用寿命及其确定依据、估计情况、摊销方法</w:t>
      </w:r>
      <w:r>
        <w:rPr>
          <w:rFonts w:hint="eastAsia"/>
          <w:color w:val="000000" w:themeColor="text1"/>
          <w14:textFill>
            <w14:solidFill>
              <w14:schemeClr w14:val="tx1"/>
            </w14:solidFill>
          </w14:textFill>
        </w:rPr>
        <w:t>或复核程序</w:t>
      </w:r>
    </w:p>
    <w:sdt>
      <w:sdtPr>
        <w:rPr>
          <w:rFonts w:hint="eastAsia"/>
          <w:color w:val="000000" w:themeColor="text1"/>
          <w14:textFill>
            <w14:solidFill>
              <w14:schemeClr w14:val="tx1"/>
            </w14:solidFill>
          </w14:textFill>
        </w:rPr>
        <w:alias w:val="是否适用：无形资产计价方法、使用寿命、减值测试[双击切换]"/>
        <w:tag w:val="_GBC_a82698fb1ffd4e75b46a9c35938b4cf4"/>
        <w:id w:val="147481381"/>
        <w:placeholder>
          <w:docPart w:val="GBC22222222222222222222222222222"/>
        </w:placeholder>
      </w:sdtPr>
      <w:sdtEndPr>
        <w:rPr>
          <w:rFonts w:hint="eastAsia"/>
          <w:color w:val="000000" w:themeColor="text1"/>
          <w14:textFill>
            <w14:solidFill>
              <w14:schemeClr w14:val="tx1"/>
            </w14:solidFill>
          </w14:textFill>
        </w:rPr>
      </w:sdtEndPr>
      <w:sdtContent>
        <w:p w14:paraId="7252D5A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无形资产计价方法、使用寿命、减值测试"/>
        <w:tag w:val="_GBC_a9e64b18f452482eb6674ec605618dcc"/>
        <w:id w:val="147459966"/>
        <w:placeholder>
          <w:docPart w:val="GBC22222222222222222222222222222"/>
        </w:placeholder>
      </w:sdtPr>
      <w:sdtEndPr>
        <w:rPr>
          <w:color w:val="000000" w:themeColor="text1"/>
          <w14:textFill>
            <w14:solidFill>
              <w14:schemeClr w14:val="tx1"/>
            </w14:solidFill>
          </w14:textFill>
        </w:rPr>
      </w:sdtEndPr>
      <w:sdtContent>
        <w:p w14:paraId="334C4310">
          <w:pPr>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无形资产包括土地使用权、专利权、非专利技术、软件、商标等，按成本进行初始计量。</w:t>
          </w:r>
        </w:p>
        <w:p w14:paraId="4ED41BC4">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本公司在取得无形资产时分析判断其使用寿命，划分为使用寿命有限和使用寿命不确定的无</w:t>
          </w:r>
        </w:p>
        <w:p w14:paraId="061AA509">
          <w:pPr>
            <w:rPr>
              <w:color w:val="000000" w:themeColor="text1"/>
              <w14:textFill>
                <w14:solidFill>
                  <w14:schemeClr w14:val="tx1"/>
                </w14:solidFill>
              </w14:textFill>
            </w:rPr>
          </w:pPr>
          <w:r>
            <w:rPr>
              <w:rFonts w:hint="eastAsia"/>
              <w:color w:val="000000" w:themeColor="text1"/>
              <w14:textFill>
                <w14:solidFill>
                  <w14:schemeClr w14:val="tx1"/>
                </w14:solidFill>
              </w14:textFill>
            </w:rPr>
            <w:t>形资产。</w:t>
          </w:r>
        </w:p>
        <w:p w14:paraId="48F0D1E0">
          <w:pPr>
            <w:rPr>
              <w:color w:val="000000" w:themeColor="text1"/>
              <w14:textFill>
                <w14:solidFill>
                  <w14:schemeClr w14:val="tx1"/>
                </w14:solidFill>
              </w14:textFill>
            </w:rPr>
          </w:pPr>
          <w:r>
            <w:rPr>
              <w:rFonts w:hint="eastAsia"/>
              <w:color w:val="000000" w:themeColor="text1"/>
              <w14:textFill>
                <w14:solidFill>
                  <w14:schemeClr w14:val="tx1"/>
                </w14:solidFill>
              </w14:textFill>
            </w:rPr>
            <w:t>①使用寿命有限的无形资产</w:t>
          </w:r>
        </w:p>
        <w:p w14:paraId="37E9EF11">
          <w:pPr>
            <w:rPr>
              <w:color w:val="000000" w:themeColor="text1"/>
              <w14:textFill>
                <w14:solidFill>
                  <w14:schemeClr w14:val="tx1"/>
                </w14:solidFill>
              </w14:textFill>
            </w:rPr>
          </w:pPr>
          <w:r>
            <w:rPr>
              <w:rFonts w:hint="eastAsia"/>
              <w:color w:val="000000" w:themeColor="text1"/>
              <w14:textFill>
                <w14:solidFill>
                  <w14:schemeClr w14:val="tx1"/>
                </w14:solidFill>
              </w14:textFill>
            </w:rPr>
            <w:t>使用寿命有限的无形资产，在使用寿命内按照与该项无形资产有关的经济利益的预期实现方式系统合理地摊销，无法可靠确定预期实现方式的，采用直线法摊销。具体如下：</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4819"/>
            <w:gridCol w:w="2024"/>
          </w:tblGrid>
          <w:tr w14:paraId="3B3A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45B841CF">
                <w:pPr>
                  <w:widowControl w:val="0"/>
                  <w:jc w:val="center"/>
                  <w:rPr>
                    <w:color w:val="000000" w:themeColor="text1"/>
                    <w14:textFill>
                      <w14:solidFill>
                        <w14:schemeClr w14:val="tx1"/>
                      </w14:solidFill>
                    </w14:textFill>
                  </w:rPr>
                </w:pPr>
                <w:r>
                  <w:rPr>
                    <w:rFonts w:cs="Times New Roman"/>
                    <w:color w:val="000000"/>
                  </w:rPr>
                  <w:t>项目</w:t>
                </w:r>
              </w:p>
            </w:tc>
            <w:tc>
              <w:tcPr>
                <w:tcW w:w="4819" w:type="dxa"/>
              </w:tcPr>
              <w:p w14:paraId="1EE6BA55">
                <w:pPr>
                  <w:widowControl w:val="0"/>
                  <w:jc w:val="center"/>
                  <w:rPr>
                    <w:color w:val="000000" w:themeColor="text1"/>
                    <w14:textFill>
                      <w14:solidFill>
                        <w14:schemeClr w14:val="tx1"/>
                      </w14:solidFill>
                    </w14:textFill>
                  </w:rPr>
                </w:pPr>
                <w:r>
                  <w:rPr>
                    <w:rFonts w:hint="eastAsia" w:cs="Times New Roman"/>
                    <w:color w:val="000000"/>
                  </w:rPr>
                  <w:t>使用寿命及其确定依据</w:t>
                </w:r>
              </w:p>
            </w:tc>
            <w:tc>
              <w:tcPr>
                <w:tcW w:w="2024" w:type="dxa"/>
              </w:tcPr>
              <w:p w14:paraId="1D3800C7">
                <w:pPr>
                  <w:widowControl w:val="0"/>
                  <w:jc w:val="center"/>
                  <w:rPr>
                    <w:color w:val="000000" w:themeColor="text1"/>
                    <w14:textFill>
                      <w14:solidFill>
                        <w14:schemeClr w14:val="tx1"/>
                      </w14:solidFill>
                    </w14:textFill>
                  </w:rPr>
                </w:pPr>
                <w:r>
                  <w:rPr>
                    <w:rFonts w:hint="eastAsia" w:cs="Times New Roman"/>
                    <w:color w:val="000000"/>
                  </w:rPr>
                  <w:t>摊销方法</w:t>
                </w:r>
              </w:p>
            </w:tc>
          </w:tr>
          <w:tr w14:paraId="73E5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6C7B27B">
                <w:pPr>
                  <w:widowControl w:val="0"/>
                  <w:jc w:val="both"/>
                  <w:rPr>
                    <w:color w:val="000000" w:themeColor="text1"/>
                    <w14:textFill>
                      <w14:solidFill>
                        <w14:schemeClr w14:val="tx1"/>
                      </w14:solidFill>
                    </w14:textFill>
                  </w:rPr>
                </w:pPr>
                <w:r>
                  <w:rPr>
                    <w:rFonts w:cs="Times New Roman"/>
                    <w:color w:val="000000"/>
                  </w:rPr>
                  <w:t>土地使用权</w:t>
                </w:r>
              </w:p>
            </w:tc>
            <w:tc>
              <w:tcPr>
                <w:tcW w:w="4819" w:type="dxa"/>
              </w:tcPr>
              <w:p w14:paraId="03299072">
                <w:pPr>
                  <w:widowControl w:val="0"/>
                  <w:jc w:val="both"/>
                  <w:rPr>
                    <w:color w:val="000000" w:themeColor="text1"/>
                    <w14:textFill>
                      <w14:solidFill>
                        <w14:schemeClr w14:val="tx1"/>
                      </w14:solidFill>
                    </w14:textFill>
                  </w:rPr>
                </w:pPr>
                <w:r>
                  <w:rPr>
                    <w:rFonts w:hint="eastAsia" w:cs="Times New Roman"/>
                    <w:color w:val="000000"/>
                  </w:rPr>
                  <w:t>按出让年限确定使用寿命</w:t>
                </w:r>
              </w:p>
            </w:tc>
            <w:tc>
              <w:tcPr>
                <w:tcW w:w="2024" w:type="dxa"/>
              </w:tcPr>
              <w:p w14:paraId="44CC427F">
                <w:pPr>
                  <w:widowControl w:val="0"/>
                  <w:jc w:val="both"/>
                  <w:rPr>
                    <w:color w:val="000000" w:themeColor="text1"/>
                    <w14:textFill>
                      <w14:solidFill>
                        <w14:schemeClr w14:val="tx1"/>
                      </w14:solidFill>
                    </w14:textFill>
                  </w:rPr>
                </w:pPr>
                <w:r>
                  <w:rPr>
                    <w:rFonts w:hint="eastAsia" w:cs="Times New Roman"/>
                    <w:color w:val="000000"/>
                  </w:rPr>
                  <w:t>直线法</w:t>
                </w:r>
              </w:p>
            </w:tc>
          </w:tr>
          <w:tr w14:paraId="5B6E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4231DF7">
                <w:pPr>
                  <w:widowControl w:val="0"/>
                  <w:jc w:val="both"/>
                  <w:rPr>
                    <w:color w:val="000000" w:themeColor="text1"/>
                    <w14:textFill>
                      <w14:solidFill>
                        <w14:schemeClr w14:val="tx1"/>
                      </w14:solidFill>
                    </w14:textFill>
                  </w:rPr>
                </w:pPr>
                <w:r>
                  <w:rPr>
                    <w:rFonts w:cs="Times New Roman"/>
                    <w:color w:val="000000"/>
                  </w:rPr>
                  <w:t>软件</w:t>
                </w:r>
                <w:r>
                  <w:rPr>
                    <w:rFonts w:hint="eastAsia" w:cs="Times New Roman"/>
                    <w:color w:val="000000"/>
                  </w:rPr>
                  <w:t>使用权</w:t>
                </w:r>
              </w:p>
            </w:tc>
            <w:tc>
              <w:tcPr>
                <w:tcW w:w="4819" w:type="dxa"/>
              </w:tcPr>
              <w:p w14:paraId="123E49BB">
                <w:pPr>
                  <w:widowControl w:val="0"/>
                  <w:jc w:val="both"/>
                  <w:rPr>
                    <w:color w:val="000000" w:themeColor="text1"/>
                    <w14:textFill>
                      <w14:solidFill>
                        <w14:schemeClr w14:val="tx1"/>
                      </w14:solidFill>
                    </w14:textFill>
                  </w:rPr>
                </w:pPr>
                <w:r>
                  <w:rPr>
                    <w:rFonts w:hint="eastAsia"/>
                    <w:bCs w:val="0"/>
                  </w:rPr>
                  <w:t>按预期受益期限确定使用寿命为5-10年</w:t>
                </w:r>
              </w:p>
            </w:tc>
            <w:tc>
              <w:tcPr>
                <w:tcW w:w="2024" w:type="dxa"/>
              </w:tcPr>
              <w:p w14:paraId="6C676C99">
                <w:pPr>
                  <w:widowControl w:val="0"/>
                  <w:jc w:val="both"/>
                  <w:rPr>
                    <w:color w:val="000000" w:themeColor="text1"/>
                    <w14:textFill>
                      <w14:solidFill>
                        <w14:schemeClr w14:val="tx1"/>
                      </w14:solidFill>
                    </w14:textFill>
                  </w:rPr>
                </w:pPr>
                <w:r>
                  <w:rPr>
                    <w:rFonts w:hint="eastAsia" w:cs="Times New Roman"/>
                    <w:color w:val="000000"/>
                  </w:rPr>
                  <w:t>直线法</w:t>
                </w:r>
              </w:p>
            </w:tc>
          </w:tr>
        </w:tbl>
        <w:p w14:paraId="2FD1B121">
          <w:pPr>
            <w:rPr>
              <w:color w:val="000000" w:themeColor="text1"/>
              <w14:textFill>
                <w14:solidFill>
                  <w14:schemeClr w14:val="tx1"/>
                </w14:solidFill>
              </w14:textFill>
            </w:rPr>
          </w:pPr>
          <w:r>
            <w:rPr>
              <w:rFonts w:hint="eastAsia"/>
              <w:color w:val="000000" w:themeColor="text1"/>
              <w14:textFill>
                <w14:solidFill>
                  <w14:schemeClr w14:val="tx1"/>
                </w14:solidFill>
              </w14:textFill>
            </w:rPr>
            <w:t>②使用寿命不确定的无形资产</w:t>
          </w:r>
        </w:p>
        <w:p w14:paraId="5BEA7806">
          <w:pPr>
            <w:rPr>
              <w:color w:val="000000" w:themeColor="text1"/>
              <w14:textFill>
                <w14:solidFill>
                  <w14:schemeClr w14:val="tx1"/>
                </w14:solidFill>
              </w14:textFill>
            </w:rPr>
          </w:pPr>
          <w:r>
            <w:rPr>
              <w:rFonts w:hint="eastAsia"/>
              <w:color w:val="000000" w:themeColor="text1"/>
              <w14:textFill>
                <w14:solidFill>
                  <w14:schemeClr w14:val="tx1"/>
                </w14:solidFill>
              </w14:textFill>
            </w:rPr>
            <w:t>使用寿命不确定的无形资产不摊销，公司在每个会计期间均对该无形资产的使用寿命进行复核。对使用寿命不确定的无形资产，使用寿命不确定的判断依据是：</w:t>
          </w:r>
        </w:p>
        <w:p w14:paraId="7FF2CD98">
          <w:pPr>
            <w:rPr>
              <w:color w:val="000000" w:themeColor="text1"/>
              <w14:textFill>
                <w14:solidFill>
                  <w14:schemeClr w14:val="tx1"/>
                </w14:solidFill>
              </w14:textFill>
            </w:rPr>
          </w:pPr>
          <w:r>
            <w:rPr>
              <w:rFonts w:hint="eastAsia"/>
              <w:color w:val="000000" w:themeColor="text1"/>
              <w14:textFill>
                <w14:solidFill>
                  <w14:schemeClr w14:val="tx1"/>
                </w14:solidFill>
              </w14:textFill>
            </w:rPr>
            <w:t>无法预见无形资产为企业带来经济利益期限的，视为使用寿命不确定的无形资产。期末，对使用寿命不确定的无形资产的使用寿命进行复核，如果有证据表明该无形资产为企业带来经济利益的期限是可预见的，则估计其使用寿命并按照使用寿命有限的无形资产的摊销政策进行摊销。</w:t>
          </w:r>
        </w:p>
      </w:sdtContent>
    </w:sdt>
    <w:p w14:paraId="0433525D">
      <w:pPr>
        <w:rPr>
          <w:color w:val="000000" w:themeColor="text1"/>
          <w14:textFill>
            <w14:solidFill>
              <w14:schemeClr w14:val="tx1"/>
            </w14:solidFill>
          </w14:textFill>
        </w:rPr>
      </w:pPr>
    </w:p>
    <w:p w14:paraId="0C5C7EAF">
      <w:pPr>
        <w:pStyle w:val="58"/>
        <w:numPr>
          <w:ilvl w:val="3"/>
          <w:numId w:val="49"/>
        </w:numPr>
        <w:tabs>
          <w:tab w:val="left" w:pos="44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研发支出的归集范围及相关会计处理方法</w:t>
      </w:r>
    </w:p>
    <w:sdt>
      <w:sdtPr>
        <w:rPr>
          <w:rFonts w:hint="eastAsia"/>
          <w:color w:val="000000" w:themeColor="text1"/>
          <w14:textFill>
            <w14:solidFill>
              <w14:schemeClr w14:val="tx1"/>
            </w14:solidFill>
          </w14:textFill>
        </w:rPr>
        <w:alias w:val="是否适用：无形资产内部研究开发支出会计政策[双击切换]"/>
        <w:tag w:val="_GBC_c3cef4c9f19749b8a53b7f49d3b7bac3"/>
        <w:id w:val="147461417"/>
        <w:placeholder>
          <w:docPart w:val="GBC22222222222222222222222222222"/>
        </w:placeholder>
      </w:sdtPr>
      <w:sdtEndPr>
        <w:rPr>
          <w:rFonts w:hint="eastAsia"/>
          <w:color w:val="000000" w:themeColor="text1"/>
          <w14:textFill>
            <w14:solidFill>
              <w14:schemeClr w14:val="tx1"/>
            </w14:solidFill>
          </w14:textFill>
        </w:rPr>
      </w:sdtEndPr>
      <w:sdtContent>
        <w:p w14:paraId="6FED263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无形资产内部研究、开发支出会计政策"/>
        <w:tag w:val="_GBC_af7b1338d88344dfb8cd34ed66bfe672"/>
        <w:id w:val="147473365"/>
        <w:placeholder>
          <w:docPart w:val="GBC22222222222222222222222222222"/>
        </w:placeholder>
      </w:sdtPr>
      <w:sdtEndPr>
        <w:rPr>
          <w:color w:val="000000" w:themeColor="text1"/>
          <w14:textFill>
            <w14:solidFill>
              <w14:schemeClr w14:val="tx1"/>
            </w14:solidFill>
          </w14:textFill>
        </w:rPr>
      </w:sdtEndPr>
      <w:sdtContent>
        <w:p w14:paraId="682D3FDB">
          <w:pPr>
            <w:rPr>
              <w:color w:val="000000" w:themeColor="text1"/>
              <w14:textFill>
                <w14:solidFill>
                  <w14:schemeClr w14:val="tx1"/>
                </w14:solidFill>
              </w14:textFill>
            </w:rPr>
          </w:pPr>
          <w:r>
            <w:rPr>
              <w:rFonts w:hint="eastAsia"/>
              <w:color w:val="000000" w:themeColor="text1"/>
              <w14:textFill>
                <w14:solidFill>
                  <w14:schemeClr w14:val="tx1"/>
                </w14:solidFill>
              </w14:textFill>
            </w:rPr>
            <w:t>1）划分公司内部研究开发项目的研究阶段和开发阶段具体标准</w:t>
          </w:r>
        </w:p>
        <w:p w14:paraId="673FEF9F">
          <w:pPr>
            <w:rPr>
              <w:color w:val="000000" w:themeColor="text1"/>
              <w14:textFill>
                <w14:solidFill>
                  <w14:schemeClr w14:val="tx1"/>
                </w14:solidFill>
              </w14:textFill>
            </w:rPr>
          </w:pPr>
          <w:r>
            <w:rPr>
              <w:rFonts w:hint="eastAsia"/>
              <w:color w:val="000000" w:themeColor="text1"/>
              <w14:textFill>
                <w14:solidFill>
                  <w14:schemeClr w14:val="tx1"/>
                </w14:solidFill>
              </w14:textFill>
            </w:rPr>
            <w:t>研究阶段：为获取并理解新的科学或技术知识等而进行的独创性的有计划调查、研究活动的阶段。</w:t>
          </w:r>
        </w:p>
        <w:p w14:paraId="7BA92A8B">
          <w:pPr>
            <w:rPr>
              <w:color w:val="000000" w:themeColor="text1"/>
              <w14:textFill>
                <w14:solidFill>
                  <w14:schemeClr w14:val="tx1"/>
                </w14:solidFill>
              </w14:textFill>
            </w:rPr>
          </w:pPr>
          <w:r>
            <w:rPr>
              <w:rFonts w:hint="eastAsia"/>
              <w:color w:val="000000" w:themeColor="text1"/>
              <w14:textFill>
                <w14:solidFill>
                  <w14:schemeClr w14:val="tx1"/>
                </w14:solidFill>
              </w14:textFill>
            </w:rPr>
            <w:t>开发阶段：在进行商业性生产或使用前，将研究成果或其他知识应用于某项计划或设计，以生产出新的或具有实质性改进的材料、装置、产品等活动的阶段。</w:t>
          </w:r>
        </w:p>
        <w:p w14:paraId="20A87B7A">
          <w:pPr>
            <w:rPr>
              <w:color w:val="000000" w:themeColor="text1"/>
              <w14:textFill>
                <w14:solidFill>
                  <w14:schemeClr w14:val="tx1"/>
                </w14:solidFill>
              </w14:textFill>
            </w:rPr>
          </w:pPr>
          <w:r>
            <w:rPr>
              <w:rFonts w:hint="eastAsia"/>
              <w:color w:val="000000" w:themeColor="text1"/>
              <w14:textFill>
                <w14:solidFill>
                  <w14:schemeClr w14:val="tx1"/>
                </w14:solidFill>
              </w14:textFill>
            </w:rPr>
            <w:t>内部研究开发项目研究阶段的支出，在发生时计入当期损益。</w:t>
          </w:r>
        </w:p>
        <w:p w14:paraId="3A3CE7D7">
          <w:pPr>
            <w:rPr>
              <w:color w:val="000000" w:themeColor="text1"/>
              <w14:textFill>
                <w14:solidFill>
                  <w14:schemeClr w14:val="tx1"/>
                </w14:solidFill>
              </w14:textFill>
            </w:rPr>
          </w:pPr>
          <w:r>
            <w:rPr>
              <w:rFonts w:hint="eastAsia"/>
              <w:color w:val="000000" w:themeColor="text1"/>
              <w14:textFill>
                <w14:solidFill>
                  <w14:schemeClr w14:val="tx1"/>
                </w14:solidFill>
              </w14:textFill>
            </w:rPr>
            <w:t>2）开发阶段支出符合资本化的具体标准</w:t>
          </w:r>
        </w:p>
        <w:p w14:paraId="6F1B0856">
          <w:pPr>
            <w:rPr>
              <w:color w:val="000000" w:themeColor="text1"/>
              <w14:textFill>
                <w14:solidFill>
                  <w14:schemeClr w14:val="tx1"/>
                </w14:solidFill>
              </w14:textFill>
            </w:rPr>
          </w:pPr>
          <w:r>
            <w:rPr>
              <w:rFonts w:hint="eastAsia"/>
              <w:color w:val="000000" w:themeColor="text1"/>
              <w14:textFill>
                <w14:solidFill>
                  <w14:schemeClr w14:val="tx1"/>
                </w14:solidFill>
              </w14:textFill>
            </w:rPr>
            <w:t>内部研究开发项目开发阶段的支出，同时满足下列条件时确认为无形资产：</w:t>
          </w:r>
        </w:p>
        <w:p w14:paraId="7AC47364">
          <w:pPr>
            <w:rPr>
              <w:color w:val="000000" w:themeColor="text1"/>
              <w14:textFill>
                <w14:solidFill>
                  <w14:schemeClr w14:val="tx1"/>
                </w14:solidFill>
              </w14:textFill>
            </w:rPr>
          </w:pPr>
          <w:r>
            <w:rPr>
              <w:rFonts w:hint="eastAsia"/>
              <w:color w:val="000000" w:themeColor="text1"/>
              <w14:textFill>
                <w14:solidFill>
                  <w14:schemeClr w14:val="tx1"/>
                </w14:solidFill>
              </w14:textFill>
            </w:rPr>
            <w:t>①完成该无形资产以使其能够使用或出售在技术上具有可行性；</w:t>
          </w:r>
        </w:p>
        <w:p w14:paraId="4FBBF1F4">
          <w:pPr>
            <w:rPr>
              <w:color w:val="000000" w:themeColor="text1"/>
              <w14:textFill>
                <w14:solidFill>
                  <w14:schemeClr w14:val="tx1"/>
                </w14:solidFill>
              </w14:textFill>
            </w:rPr>
          </w:pPr>
          <w:r>
            <w:rPr>
              <w:rFonts w:hint="eastAsia"/>
              <w:color w:val="000000" w:themeColor="text1"/>
              <w14:textFill>
                <w14:solidFill>
                  <w14:schemeClr w14:val="tx1"/>
                </w14:solidFill>
              </w14:textFill>
            </w:rPr>
            <w:t>②具有完成该无形资产并使用或出售的意图；</w:t>
          </w:r>
        </w:p>
        <w:p w14:paraId="3D7B5695">
          <w:pPr>
            <w:rPr>
              <w:color w:val="000000" w:themeColor="text1"/>
              <w14:textFill>
                <w14:solidFill>
                  <w14:schemeClr w14:val="tx1"/>
                </w14:solidFill>
              </w14:textFill>
            </w:rPr>
          </w:pPr>
          <w:r>
            <w:rPr>
              <w:rFonts w:hint="eastAsia"/>
              <w:color w:val="000000" w:themeColor="text1"/>
              <w14:textFill>
                <w14:solidFill>
                  <w14:schemeClr w14:val="tx1"/>
                </w14:solidFill>
              </w14:textFill>
            </w:rPr>
            <w:t>③无形资产产生经济利益的方式，包括能够证明运用该无形资产生产的产品存在市场或无形资产自身存在市场，无形资产将在内部使用的，能够证明其有用性；</w:t>
          </w:r>
        </w:p>
        <w:p w14:paraId="369BA044">
          <w:pPr>
            <w:rPr>
              <w:color w:val="000000" w:themeColor="text1"/>
              <w14:textFill>
                <w14:solidFill>
                  <w14:schemeClr w14:val="tx1"/>
                </w14:solidFill>
              </w14:textFill>
            </w:rPr>
          </w:pPr>
          <w:r>
            <w:rPr>
              <w:rFonts w:hint="eastAsia"/>
              <w:color w:val="000000" w:themeColor="text1"/>
              <w14:textFill>
                <w14:solidFill>
                  <w14:schemeClr w14:val="tx1"/>
                </w14:solidFill>
              </w14:textFill>
            </w:rPr>
            <w:t>④有足够的技术、财务资源和其他资源支持，以完成该无形资产的开发，并有能力使用或出售该无形资产；</w:t>
          </w:r>
        </w:p>
        <w:p w14:paraId="56B73573">
          <w:pPr>
            <w:rPr>
              <w:color w:val="000000" w:themeColor="text1"/>
              <w14:textFill>
                <w14:solidFill>
                  <w14:schemeClr w14:val="tx1"/>
                </w14:solidFill>
              </w14:textFill>
            </w:rPr>
          </w:pPr>
          <w:r>
            <w:rPr>
              <w:rFonts w:hint="eastAsia"/>
              <w:color w:val="000000" w:themeColor="text1"/>
              <w14:textFill>
                <w14:solidFill>
                  <w14:schemeClr w14:val="tx1"/>
                </w14:solidFill>
              </w14:textFill>
            </w:rPr>
            <w:t>⑤归属于该无形资产开发阶段的支出能够可靠地计量。</w:t>
          </w:r>
        </w:p>
        <w:p w14:paraId="24B36E34">
          <w:pPr>
            <w:rPr>
              <w:color w:val="000000" w:themeColor="text1"/>
              <w14:textFill>
                <w14:solidFill>
                  <w14:schemeClr w14:val="tx1"/>
                </w14:solidFill>
              </w14:textFill>
            </w:rPr>
          </w:pPr>
          <w:r>
            <w:rPr>
              <w:rFonts w:hint="eastAsia"/>
              <w:color w:val="000000" w:themeColor="text1"/>
              <w14:textFill>
                <w14:solidFill>
                  <w14:schemeClr w14:val="tx1"/>
                </w14:solidFill>
              </w14:textFill>
            </w:rPr>
            <w:t>不满足上述条件的开发阶段的支出，于发生时计入当期损益。以前期间已计入损益的开发支出不在以后期间重新确认为资产。已资本化的开发阶段的支出在资产负债表上列示为开发支出，自该项目达到预定用途之日起转为无形资产。</w:t>
          </w:r>
        </w:p>
      </w:sdtContent>
    </w:sdt>
    <w:bookmarkEnd w:id="173"/>
    <w:p w14:paraId="478AE92F">
      <w:pPr>
        <w:rPr>
          <w:color w:val="000000" w:themeColor="text1"/>
          <w14:textFill>
            <w14:solidFill>
              <w14:schemeClr w14:val="tx1"/>
            </w14:solidFill>
          </w14:textFill>
        </w:rPr>
      </w:pPr>
    </w:p>
    <w:p w14:paraId="264D92E4">
      <w:pPr>
        <w:pStyle w:val="57"/>
        <w:numPr>
          <w:ilvl w:val="0"/>
          <w:numId w:val="46"/>
        </w:numPr>
        <w:rPr>
          <w:rFonts w:ascii="宋体" w:hAnsi="宋体"/>
          <w:color w:val="000000" w:themeColor="text1"/>
          <w14:textFill>
            <w14:solidFill>
              <w14:schemeClr w14:val="tx1"/>
            </w14:solidFill>
          </w14:textFill>
        </w:rPr>
      </w:pPr>
      <w:bookmarkStart w:id="174" w:name="_Hlk44405424"/>
      <w:r>
        <w:rPr>
          <w:rFonts w:ascii="宋体" w:hAnsi="宋体"/>
          <w:color w:val="000000" w:themeColor="text1"/>
          <w14:textFill>
            <w14:solidFill>
              <w14:schemeClr w14:val="tx1"/>
            </w14:solidFill>
          </w14:textFill>
        </w:rPr>
        <w:t>长期资产减值</w:t>
      </w:r>
    </w:p>
    <w:sdt>
      <w:sdtPr>
        <w:rPr>
          <w:rFonts w:hint="eastAsia"/>
          <w:color w:val="000000" w:themeColor="text1"/>
          <w14:textFill>
            <w14:solidFill>
              <w14:schemeClr w14:val="tx1"/>
            </w14:solidFill>
          </w14:textFill>
        </w:rPr>
        <w:alias w:val="是否适用：长期资产减值_重要会计政策和估计[双击切换]"/>
        <w:tag w:val="_GBC_d0feb744f96144ffa5335cd194c6cdf9"/>
        <w:id w:val="147462485"/>
        <w:placeholder>
          <w:docPart w:val="GBC22222222222222222222222222222"/>
        </w:placeholder>
      </w:sdtPr>
      <w:sdtEndPr>
        <w:rPr>
          <w:rFonts w:hint="eastAsia"/>
          <w:color w:val="000000" w:themeColor="text1"/>
          <w14:textFill>
            <w14:solidFill>
              <w14:schemeClr w14:val="tx1"/>
            </w14:solidFill>
          </w14:textFill>
        </w:rPr>
      </w:sdtEndPr>
      <w:sdtContent>
        <w:p w14:paraId="4414D81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非金融长期资产减值测试方法及会计处理方法"/>
        <w:tag w:val="_GBC_e8cb396d7101453b9e9cd1bc11b8633e"/>
        <w:id w:val="147477147"/>
        <w:placeholder>
          <w:docPart w:val="GBC22222222222222222222222222222"/>
        </w:placeholder>
      </w:sdtPr>
      <w:sdtEndPr>
        <w:rPr>
          <w:rFonts w:hint="eastAsia"/>
          <w:color w:val="000000" w:themeColor="text1"/>
          <w14:textFill>
            <w14:solidFill>
              <w14:schemeClr w14:val="tx1"/>
            </w14:solidFill>
          </w14:textFill>
        </w:rPr>
      </w:sdtEndPr>
      <w:sdtContent>
        <w:p w14:paraId="5AAC0B49">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在资产负债表日判断长期资产是否存在可能发生减值的迹象。如果长期资产存在减值迹象的，以单项资产为基础估计其可收回金额；难以对单项资产的可收回金额进行估计的，以该资产所属的资产组为基础确定资产组的可收回金额。</w:t>
          </w:r>
        </w:p>
        <w:p w14:paraId="501D9D4B">
          <w:pPr>
            <w:rPr>
              <w:color w:val="000000" w:themeColor="text1"/>
              <w14:textFill>
                <w14:solidFill>
                  <w14:schemeClr w14:val="tx1"/>
                </w14:solidFill>
              </w14:textFill>
            </w:rPr>
          </w:pPr>
          <w:r>
            <w:rPr>
              <w:rFonts w:hint="eastAsia"/>
              <w:color w:val="000000" w:themeColor="text1"/>
              <w14:textFill>
                <w14:solidFill>
                  <w14:schemeClr w14:val="tx1"/>
                </w14:solidFill>
              </w14:textFill>
            </w:rPr>
            <w:t>资产可收回金额的估计，根据其公允价值减去处置费用后的净额与资产预计未来现金流量的现值两者之间较高者确定。</w:t>
          </w:r>
        </w:p>
        <w:p w14:paraId="1DC70689">
          <w:pPr>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的计量结果表明，长期资产的可收回金额低于其账面价值的，将长期资产的账面价值减记至可收回金额，减记的金额确认为资产减值损失，计入当期损益，同时计提相应的资产减值准备。资产减值损失一经确认，在以后会计期间不得转回。</w:t>
          </w:r>
        </w:p>
        <w:p w14:paraId="27CDB91C">
          <w:pPr>
            <w:rPr>
              <w:color w:val="000000" w:themeColor="text1"/>
              <w14:textFill>
                <w14:solidFill>
                  <w14:schemeClr w14:val="tx1"/>
                </w14:solidFill>
              </w14:textFill>
            </w:rPr>
          </w:pPr>
          <w:r>
            <w:rPr>
              <w:rFonts w:hint="eastAsia"/>
              <w:color w:val="000000" w:themeColor="text1"/>
              <w14:textFill>
                <w14:solidFill>
                  <w14:schemeClr w14:val="tx1"/>
                </w14:solidFill>
              </w14:textFill>
            </w:rPr>
            <w:t>资产减值损失确认后，减值资产的折旧或者摊销费用在未来期间作相应调整，以使该资产在剩余使用寿命内，系统地分摊调整后的资产账面价值（扣除预计净残值）。</w:t>
          </w:r>
        </w:p>
        <w:p w14:paraId="3C46E76D">
          <w:pPr>
            <w:rPr>
              <w:color w:val="000000" w:themeColor="text1"/>
              <w14:textFill>
                <w14:solidFill>
                  <w14:schemeClr w14:val="tx1"/>
                </w14:solidFill>
              </w14:textFill>
            </w:rPr>
          </w:pPr>
          <w:r>
            <w:rPr>
              <w:rFonts w:hint="eastAsia"/>
              <w:color w:val="000000" w:themeColor="text1"/>
              <w14:textFill>
                <w14:solidFill>
                  <w14:schemeClr w14:val="tx1"/>
                </w14:solidFill>
              </w14:textFill>
            </w:rPr>
            <w:t>因企业合并所形成的商誉和使用寿命不确定的无形资产，无论是否存在减值迹象，每年都进行减值测试。</w:t>
          </w:r>
        </w:p>
        <w:p w14:paraId="4CCAE416">
          <w:pPr>
            <w:rPr>
              <w:color w:val="000000" w:themeColor="text1"/>
              <w14:textFill>
                <w14:solidFill>
                  <w14:schemeClr w14:val="tx1"/>
                </w14:solidFill>
              </w14:textFill>
            </w:rPr>
          </w:pPr>
          <w:r>
            <w:rPr>
              <w:rFonts w:hint="eastAsia"/>
              <w:color w:val="000000" w:themeColor="text1"/>
              <w14:textFill>
                <w14:solidFill>
                  <w14:schemeClr w14:val="tx1"/>
                </w14:solidFill>
              </w14:textFill>
            </w:rPr>
            <w:t>在对商誉进行减值测试时，将商誉的账面价值分摊至预期从企业合并的协同效应中受益的资产组或资产组组合。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与其可收回金额，如相关资产组或者资产组组合的可收回金额低于其账面价值的，确认商誉的减值损失。</w:t>
          </w:r>
        </w:p>
      </w:sdtContent>
    </w:sdt>
    <w:bookmarkEnd w:id="174"/>
    <w:p w14:paraId="2E841361">
      <w:pPr>
        <w:rPr>
          <w:color w:val="000000" w:themeColor="text1"/>
          <w14:textFill>
            <w14:solidFill>
              <w14:schemeClr w14:val="tx1"/>
            </w14:solidFill>
          </w14:textFill>
        </w:rPr>
      </w:pPr>
    </w:p>
    <w:p w14:paraId="684CDD94">
      <w:pPr>
        <w:pStyle w:val="57"/>
        <w:numPr>
          <w:ilvl w:val="0"/>
          <w:numId w:val="46"/>
        </w:numPr>
        <w:rPr>
          <w:rFonts w:ascii="宋体" w:hAnsi="宋体"/>
          <w:color w:val="000000" w:themeColor="text1"/>
          <w14:textFill>
            <w14:solidFill>
              <w14:schemeClr w14:val="tx1"/>
            </w14:solidFill>
          </w14:textFill>
        </w:rPr>
      </w:pPr>
      <w:bookmarkStart w:id="175" w:name="_Hlk44405475"/>
      <w:r>
        <w:rPr>
          <w:rFonts w:ascii="宋体" w:hAnsi="宋体"/>
          <w:color w:val="000000" w:themeColor="text1"/>
          <w14:textFill>
            <w14:solidFill>
              <w14:schemeClr w14:val="tx1"/>
            </w14:solidFill>
          </w14:textFill>
        </w:rPr>
        <w:t>长期待摊费用</w:t>
      </w:r>
    </w:p>
    <w:sdt>
      <w:sdtPr>
        <w:rPr>
          <w:rFonts w:hint="eastAsia"/>
          <w:color w:val="000000" w:themeColor="text1"/>
          <w14:textFill>
            <w14:solidFill>
              <w14:schemeClr w14:val="tx1"/>
            </w14:solidFill>
          </w14:textFill>
        </w:rPr>
        <w:alias w:val="是否适用：长期待摊费用_重要会计政策和估计[双击切换]"/>
        <w:tag w:val="_GBC_75739ccc62204f0490525060b33e330f"/>
        <w:id w:val="147463816"/>
        <w:placeholder>
          <w:docPart w:val="GBC22222222222222222222222222222"/>
        </w:placeholder>
      </w:sdtPr>
      <w:sdtEndPr>
        <w:rPr>
          <w:rFonts w:hint="eastAsia"/>
          <w:color w:val="000000" w:themeColor="text1"/>
          <w14:textFill>
            <w14:solidFill>
              <w14:schemeClr w14:val="tx1"/>
            </w14:solidFill>
          </w14:textFill>
        </w:rPr>
      </w:sdtEndPr>
      <w:sdtContent>
        <w:p w14:paraId="27EB45D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开办费、长期待摊费用摊销方法"/>
        <w:tag w:val="_GBC_e4e695ce4aea4c878acb6f8ad7190139"/>
        <w:id w:val="147465304"/>
        <w:placeholder>
          <w:docPart w:val="GBC22222222222222222222222222222"/>
        </w:placeholder>
      </w:sdtPr>
      <w:sdtEndPr>
        <w:rPr>
          <w:rFonts w:hint="eastAsia"/>
          <w:color w:val="000000" w:themeColor="text1"/>
          <w14:textFill>
            <w14:solidFill>
              <w14:schemeClr w14:val="tx1"/>
            </w14:solidFill>
          </w14:textFill>
        </w:rPr>
      </w:sdtEndPr>
      <w:sdtContent>
        <w:p w14:paraId="5A2DDDD1">
          <w:pPr>
            <w:rPr>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长期待摊费用，是指本公司已经发生但应由本期和以后各期负担的分摊期限在1年以上的各项费用。</w:t>
          </w:r>
        </w:p>
        <w:p w14:paraId="322669F9">
          <w:pPr>
            <w:rPr>
              <w:color w:val="000000" w:themeColor="text1"/>
              <w14:textFill>
                <w14:solidFill>
                  <w14:schemeClr w14:val="tx1"/>
                </w14:solidFill>
              </w14:textFill>
            </w:rPr>
          </w:pPr>
          <w:r>
            <w:rPr>
              <w:rFonts w:hint="eastAsia"/>
              <w:color w:val="000000" w:themeColor="text1"/>
              <w14:textFill>
                <w14:solidFill>
                  <w14:schemeClr w14:val="tx1"/>
                </w14:solidFill>
              </w14:textFill>
            </w:rPr>
            <w:t>（1）摊销方法</w:t>
          </w:r>
        </w:p>
        <w:p w14:paraId="40001601">
          <w:pPr>
            <w:rPr>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长期待摊费用在受益期内按直线法分期摊销。</w:t>
          </w:r>
        </w:p>
        <w:p w14:paraId="3F4AC43E">
          <w:pPr>
            <w:rPr>
              <w:color w:val="000000" w:themeColor="text1"/>
              <w14:textFill>
                <w14:solidFill>
                  <w14:schemeClr w14:val="tx1"/>
                </w14:solidFill>
              </w14:textFill>
            </w:rPr>
          </w:pPr>
          <w:r>
            <w:rPr>
              <w:rFonts w:hint="eastAsia"/>
              <w:color w:val="000000" w:themeColor="text1"/>
              <w14:textFill>
                <w14:solidFill>
                  <w14:schemeClr w14:val="tx1"/>
                </w14:solidFill>
              </w14:textFill>
            </w:rPr>
            <w:t>（2）摊销年限</w:t>
          </w:r>
        </w:p>
        <w:p w14:paraId="23A691AF">
          <w:pPr>
            <w:rPr>
              <w:rFonts w:cs="Times New Roman"/>
              <w:color w:val="000000" w:themeColor="text1"/>
              <w:kern w:val="2"/>
              <w14:textFill>
                <w14:solidFill>
                  <w14:schemeClr w14:val="tx1"/>
                </w14:solidFill>
              </w14:textFill>
            </w:rPr>
          </w:pPr>
          <w:r>
            <w:rPr>
              <w:rFonts w:hint="eastAsia"/>
              <w:color w:val="000000" w:themeColor="text1"/>
              <w14:textFill>
                <w14:solidFill>
                  <w14:schemeClr w14:val="tx1"/>
                </w14:solidFill>
              </w14:textFill>
            </w:rPr>
            <w:t>根据房屋租赁期限及预计受益期限确定摊销年限。</w:t>
          </w:r>
        </w:p>
      </w:sdtContent>
    </w:sdt>
    <w:p w14:paraId="2BC0FEB6">
      <w:pPr>
        <w:rPr>
          <w:color w:val="000000" w:themeColor="text1"/>
          <w14:textFill>
            <w14:solidFill>
              <w14:schemeClr w14:val="tx1"/>
            </w14:solidFill>
          </w14:textFill>
        </w:rPr>
      </w:pPr>
    </w:p>
    <w:bookmarkEnd w:id="175"/>
    <w:p w14:paraId="20B23187">
      <w:pPr>
        <w:pStyle w:val="57"/>
        <w:numPr>
          <w:ilvl w:val="0"/>
          <w:numId w:val="46"/>
        </w:numPr>
        <w:rPr>
          <w:rFonts w:ascii="宋体" w:hAnsi="宋体"/>
          <w:color w:val="000000" w:themeColor="text1"/>
          <w14:textFill>
            <w14:solidFill>
              <w14:schemeClr w14:val="tx1"/>
            </w14:solidFill>
          </w14:textFill>
        </w:rPr>
      </w:pPr>
      <w:bookmarkStart w:id="176" w:name="_Hlk10465482"/>
      <w:r>
        <w:rPr>
          <w:rFonts w:ascii="宋体" w:hAnsi="宋体"/>
          <w:color w:val="000000" w:themeColor="text1"/>
          <w14:textFill>
            <w14:solidFill>
              <w14:schemeClr w14:val="tx1"/>
            </w14:solidFill>
          </w14:textFill>
        </w:rPr>
        <w:t>合同负债</w:t>
      </w:r>
    </w:p>
    <w:sdt>
      <w:sdtPr>
        <w:rPr>
          <w:color w:val="000000" w:themeColor="text1"/>
          <w14:textFill>
            <w14:solidFill>
              <w14:schemeClr w14:val="tx1"/>
            </w14:solidFill>
          </w14:textFill>
        </w:rPr>
        <w:alias w:val="是否适用：合同负债的确定方法、摊销方法和减值测试方法[双击切换]"/>
        <w:tag w:val="_GBC_f210968f2ea04a338a3253827b172c25"/>
        <w:id w:val="147465140"/>
        <w:placeholder>
          <w:docPart w:val="GBC22222222222222222222222222222"/>
        </w:placeholder>
      </w:sdtPr>
      <w:sdtEndPr>
        <w:rPr>
          <w:color w:val="000000" w:themeColor="text1"/>
          <w14:textFill>
            <w14:solidFill>
              <w14:schemeClr w14:val="tx1"/>
            </w14:solidFill>
          </w14:textFill>
        </w:rPr>
      </w:sdtEndPr>
      <w:sdtContent>
        <w:p w14:paraId="03E4CFC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同负债的确定方法、摊销方法和减值测试方法"/>
        <w:tag w:val="_GBC_adbfb902bae348178906cb42c1932267"/>
        <w:id w:val="147475080"/>
        <w:placeholder>
          <w:docPart w:val="GBC22222222222222222222222222222"/>
        </w:placeholder>
      </w:sdtPr>
      <w:sdtEndPr>
        <w:rPr>
          <w:color w:val="000000" w:themeColor="text1"/>
          <w14:textFill>
            <w14:solidFill>
              <w14:schemeClr w14:val="tx1"/>
            </w14:solidFill>
          </w14:textFill>
        </w:rPr>
      </w:sdtEndPr>
      <w:sdtContent>
        <w:p w14:paraId="7CF61DA9">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本公司将已收或应收客户对价而应向客户转让商品的义务部分确认为合同负债。</w:t>
          </w:r>
        </w:p>
      </w:sdtContent>
    </w:sdt>
    <w:p w14:paraId="6FFD626D">
      <w:pPr>
        <w:rPr>
          <w:color w:val="000000" w:themeColor="text1"/>
          <w14:textFill>
            <w14:solidFill>
              <w14:schemeClr w14:val="tx1"/>
            </w14:solidFill>
          </w14:textFill>
        </w:rPr>
      </w:pPr>
    </w:p>
    <w:bookmarkEnd w:id="176"/>
    <w:p w14:paraId="4BE64A2E">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职工薪酬</w:t>
      </w:r>
    </w:p>
    <w:p w14:paraId="1110C423">
      <w:pPr>
        <w:pStyle w:val="58"/>
        <w:numPr>
          <w:ilvl w:val="0"/>
          <w:numId w:val="50"/>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短期薪酬的会计处理方法</w:t>
      </w:r>
    </w:p>
    <w:sdt>
      <w:sdtPr>
        <w:rPr>
          <w:color w:val="000000" w:themeColor="text1"/>
          <w14:textFill>
            <w14:solidFill>
              <w14:schemeClr w14:val="tx1"/>
            </w14:solidFill>
          </w14:textFill>
        </w:rPr>
        <w:alias w:val="是否适用：短期薪酬的会计处理方法[双击切换]"/>
        <w:tag w:val="_GBC_eefed2a465e349b6a35598930bd9541d"/>
        <w:id w:val="147457838"/>
        <w:placeholder>
          <w:docPart w:val="GBC22222222222222222222222222222"/>
        </w:placeholder>
      </w:sdtPr>
      <w:sdtEndPr>
        <w:rPr>
          <w:color w:val="000000" w:themeColor="text1"/>
          <w14:textFill>
            <w14:solidFill>
              <w14:schemeClr w14:val="tx1"/>
            </w14:solidFill>
          </w14:textFill>
        </w:rPr>
      </w:sdtEndPr>
      <w:sdtContent>
        <w:p w14:paraId="51D328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短期薪酬的会计处理方法"/>
        <w:tag w:val="_GBC_8fdf44b194ac45fb945d36b9896df796"/>
        <w:id w:val="147462327"/>
        <w:placeholder>
          <w:docPart w:val="GBC22222222222222222222222222222"/>
        </w:placeholder>
      </w:sdtPr>
      <w:sdtEndPr>
        <w:rPr>
          <w:color w:val="000000" w:themeColor="text1"/>
          <w14:textFill>
            <w14:solidFill>
              <w14:schemeClr w14:val="tx1"/>
            </w14:solidFill>
          </w14:textFill>
        </w:rPr>
      </w:sdtEndPr>
      <w:sdtContent>
        <w:p w14:paraId="7652572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在职工为公司提供服务的会计期间，将实际发生的短期薪酬确认为负债，并计入当期损益或相关资产成本。</w:t>
          </w:r>
        </w:p>
      </w:sdtContent>
    </w:sdt>
    <w:p w14:paraId="4F4FED77">
      <w:pPr>
        <w:rPr>
          <w:color w:val="000000" w:themeColor="text1"/>
          <w14:textFill>
            <w14:solidFill>
              <w14:schemeClr w14:val="tx1"/>
            </w14:solidFill>
          </w14:textFill>
        </w:rPr>
      </w:pPr>
    </w:p>
    <w:p w14:paraId="35934797">
      <w:pPr>
        <w:pStyle w:val="58"/>
        <w:numPr>
          <w:ilvl w:val="0"/>
          <w:numId w:val="50"/>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离职后福利的会计处理方法</w:t>
      </w:r>
    </w:p>
    <w:sdt>
      <w:sdtPr>
        <w:rPr>
          <w:rFonts w:hint="eastAsia"/>
          <w:color w:val="000000" w:themeColor="text1"/>
          <w14:textFill>
            <w14:solidFill>
              <w14:schemeClr w14:val="tx1"/>
            </w14:solidFill>
          </w14:textFill>
        </w:rPr>
        <w:alias w:val="是否适用：离职后福利的会计处理方法[双击切换]"/>
        <w:tag w:val="_GBC_35bbae299fda438d9e595058bbecbcdc"/>
        <w:id w:val="147458956"/>
        <w:placeholder>
          <w:docPart w:val="GBC22222222222222222222222222222"/>
        </w:placeholder>
      </w:sdtPr>
      <w:sdtEndPr>
        <w:rPr>
          <w:rFonts w:hint="eastAsia"/>
          <w:color w:val="000000" w:themeColor="text1"/>
          <w14:textFill>
            <w14:solidFill>
              <w14:schemeClr w14:val="tx1"/>
            </w14:solidFill>
          </w14:textFill>
        </w:rPr>
      </w:sdtEndPr>
      <w:sdtContent>
        <w:p w14:paraId="17694C2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离职后福利的会计处理方法"/>
        <w:tag w:val="_GBC_3b0bafa6ef784ba99c829e2f60cf828e"/>
        <w:id w:val="147461196"/>
        <w:placeholder>
          <w:docPart w:val="GBC22222222222222222222222222222"/>
        </w:placeholder>
      </w:sdtPr>
      <w:sdtEndPr>
        <w:rPr>
          <w:color w:val="000000" w:themeColor="text1"/>
          <w14:textFill>
            <w14:solidFill>
              <w14:schemeClr w14:val="tx1"/>
            </w14:solidFill>
          </w14:textFill>
        </w:rPr>
      </w:sdtEndPr>
      <w:sdtContent>
        <w:p w14:paraId="7299A6A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离职后福利分为设定提存计划和设定受益计划。</w:t>
          </w:r>
        </w:p>
        <w:p w14:paraId="19E155D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 在职工为公司提供服务的会计期间，根据设定提存计划计算的应缴存金额确认为负债，并计入当期损益或相关资产成本。</w:t>
          </w:r>
        </w:p>
        <w:p w14:paraId="7680134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②对设定受益计划的会计处理通常包括下列步骤：</w:t>
          </w:r>
        </w:p>
        <w:p w14:paraId="4A1F15D3">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 根据预期累计福利单位法，采用无偏且相互一致的精算假设对有关人口统计变量和财务变量等作出估计，计量设定受益计划所产生的义务，并确定相关义务的所属期间。同时，对设定受益计划所产生的义务予以折现，以确定设定受益计划义务的现值和当期服务成本；</w:t>
          </w:r>
        </w:p>
        <w:p w14:paraId="69248F7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 设定受益计划存在资产的，将设定受益计划义务现值减去设定受益计划资产公允价值所形成的赤字或盈余确认为一项设定受益计划净负债或净资产。设定受益计划存在盈余的，以设定受益计划的盈余和资产上限两项的孰低者计量设定受益计划净资产；</w:t>
          </w:r>
        </w:p>
        <w:p w14:paraId="1AE8C688">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 期末，将设定受益计划产生的职工薪酬成本确认为服务成本、设定受益计划净负债或净资产的利息净额以及重新计量设定受益计划净负债或净资产所产生的变动等三部分，其中服务成本和设定受益计划净负债或净资产的利息净额计入当期损益或相关资产成本，重新计量设定受益计划净负债或净资产所产生的变动计入其他综合收益，并且在后续会计期间不允许转回至损益，但可以在权益范围内转移这些在其他综合收益确认的金额。</w:t>
          </w:r>
        </w:p>
      </w:sdtContent>
    </w:sdt>
    <w:p w14:paraId="4E67999A">
      <w:pPr>
        <w:rPr>
          <w:color w:val="000000" w:themeColor="text1"/>
          <w14:textFill>
            <w14:solidFill>
              <w14:schemeClr w14:val="tx1"/>
            </w14:solidFill>
          </w14:textFill>
        </w:rPr>
      </w:pPr>
    </w:p>
    <w:p w14:paraId="2447A211">
      <w:pPr>
        <w:pStyle w:val="58"/>
        <w:numPr>
          <w:ilvl w:val="0"/>
          <w:numId w:val="50"/>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辞退福利的会计处理方法</w:t>
      </w:r>
    </w:p>
    <w:sdt>
      <w:sdtPr>
        <w:rPr>
          <w:rFonts w:hint="eastAsia"/>
          <w:color w:val="000000" w:themeColor="text1"/>
          <w14:textFill>
            <w14:solidFill>
              <w14:schemeClr w14:val="tx1"/>
            </w14:solidFill>
          </w14:textFill>
        </w:rPr>
        <w:alias w:val="是否适用：辞退福利的会计处理方法[双击切换]"/>
        <w:tag w:val="_GBC_b6be1c30b6144d54b0e20b3cb9d3a691"/>
        <w:id w:val="147460004"/>
        <w:placeholder>
          <w:docPart w:val="GBC22222222222222222222222222222"/>
        </w:placeholder>
      </w:sdtPr>
      <w:sdtEndPr>
        <w:rPr>
          <w:rFonts w:hint="eastAsia"/>
          <w:color w:val="000000" w:themeColor="text1"/>
          <w14:textFill>
            <w14:solidFill>
              <w14:schemeClr w14:val="tx1"/>
            </w14:solidFill>
          </w14:textFill>
        </w:rPr>
      </w:sdtEndPr>
      <w:sdtContent>
        <w:p w14:paraId="3748D63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辞退福利的会计处理方法"/>
        <w:tag w:val="_GBC_a93705fb60b24bceb25c88a68ed87432"/>
        <w:id w:val="147452138"/>
        <w:placeholder>
          <w:docPart w:val="GBC22222222222222222222222222222"/>
        </w:placeholder>
      </w:sdtPr>
      <w:sdtEndPr>
        <w:rPr>
          <w:color w:val="000000" w:themeColor="text1"/>
          <w14:textFill>
            <w14:solidFill>
              <w14:schemeClr w14:val="tx1"/>
            </w14:solidFill>
          </w14:textFill>
        </w:rPr>
      </w:sdtEndPr>
      <w:sdtContent>
        <w:p w14:paraId="4B3AE24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向职工提供的辞退福利，在下列两者孰早日确认辞退福利产生的职工薪酬负债，并计入当期损益：①公司不能单方面撤回因解除劳动关系计划或裁减建议所提供的辞退福利时；②公司确认与涉及支付辞退福利的重组相关的成本或费用时。</w:t>
          </w:r>
        </w:p>
      </w:sdtContent>
    </w:sdt>
    <w:p w14:paraId="2C374F75">
      <w:pPr>
        <w:rPr>
          <w:color w:val="000000" w:themeColor="text1"/>
          <w14:textFill>
            <w14:solidFill>
              <w14:schemeClr w14:val="tx1"/>
            </w14:solidFill>
          </w14:textFill>
        </w:rPr>
      </w:pPr>
    </w:p>
    <w:p w14:paraId="70057928">
      <w:pPr>
        <w:pStyle w:val="58"/>
        <w:numPr>
          <w:ilvl w:val="0"/>
          <w:numId w:val="50"/>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其他长期职工福利的会计处理方法</w:t>
      </w:r>
    </w:p>
    <w:sdt>
      <w:sdtPr>
        <w:rPr>
          <w:rFonts w:hint="eastAsia"/>
          <w:color w:val="000000" w:themeColor="text1"/>
          <w14:textFill>
            <w14:solidFill>
              <w14:schemeClr w14:val="tx1"/>
            </w14:solidFill>
          </w14:textFill>
        </w:rPr>
        <w:alias w:val="是否适用：其他长期职工福利的会计处理方法[双击切换]"/>
        <w:tag w:val="_GBC_6650f3bc6a474b318e05b9d60314cb7f"/>
        <w:id w:val="147478266"/>
        <w:placeholder>
          <w:docPart w:val="GBC22222222222222222222222222222"/>
        </w:placeholder>
      </w:sdtPr>
      <w:sdtEndPr>
        <w:rPr>
          <w:rFonts w:hint="eastAsia"/>
          <w:color w:val="000000" w:themeColor="text1"/>
          <w14:textFill>
            <w14:solidFill>
              <w14:schemeClr w14:val="tx1"/>
            </w14:solidFill>
          </w14:textFill>
        </w:rPr>
      </w:sdtEndPr>
      <w:sdtContent>
        <w:p w14:paraId="0D229A0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长期职工福利的会计处理方法"/>
        <w:tag w:val="_GBC_0e549e9400284de7b64ddf6ecc255dea"/>
        <w:id w:val="147471279"/>
        <w:placeholder>
          <w:docPart w:val="GBC22222222222222222222222222222"/>
        </w:placeholder>
      </w:sdtPr>
      <w:sdtEndPr>
        <w:rPr>
          <w:color w:val="000000" w:themeColor="text1"/>
          <w14:textFill>
            <w14:solidFill>
              <w14:schemeClr w14:val="tx1"/>
            </w14:solidFill>
          </w14:textFill>
        </w:rPr>
      </w:sdtEndPr>
      <w:sdtContent>
        <w:p w14:paraId="3526FDE8">
          <w:pPr>
            <w:ind w:firstLine="420" w:firstLineChars="200"/>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向职工提供的其他长期福利，符合设定提存计划条件的，按照设定提存计划的有关规定进行会计处理；除此之外的其他长期福利，按照设定受益计划的有关规定进行会计处理，为简化相关会计处理，将其产生的职工薪酬成本确认为服务成本、其他长期职工福利净负债或净资产的利息净额以及重新计量其他长期职工福利净负债或净资产所产生的变动等组成项目的总净额计入当期损益或相关资产成本。</w:t>
          </w:r>
        </w:p>
      </w:sdtContent>
    </w:sdt>
    <w:p w14:paraId="0FBBECC7">
      <w:pPr>
        <w:rPr>
          <w:color w:val="000000" w:themeColor="text1"/>
          <w14:textFill>
            <w14:solidFill>
              <w14:schemeClr w14:val="tx1"/>
            </w14:solidFill>
          </w14:textFill>
        </w:rPr>
      </w:pPr>
    </w:p>
    <w:p w14:paraId="53F6FE86">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预计负债</w:t>
      </w:r>
    </w:p>
    <w:sdt>
      <w:sdtPr>
        <w:rPr>
          <w:rFonts w:hint="eastAsia"/>
          <w:color w:val="000000" w:themeColor="text1"/>
          <w14:textFill>
            <w14:solidFill>
              <w14:schemeClr w14:val="tx1"/>
            </w14:solidFill>
          </w14:textFill>
        </w:rPr>
        <w:alias w:val="是否适用：预计负债_重要会计政策和估计[双击切换]"/>
        <w:tag w:val="_GBC_60f7f598e5d5458986c0f06775dc38fd"/>
        <w:id w:val="147483442"/>
        <w:placeholder>
          <w:docPart w:val="GBC22222222222222222222222222222"/>
        </w:placeholder>
      </w:sdtPr>
      <w:sdtEndPr>
        <w:rPr>
          <w:rFonts w:hint="eastAsia"/>
          <w:color w:val="000000" w:themeColor="text1"/>
          <w14:textFill>
            <w14:solidFill>
              <w14:schemeClr w14:val="tx1"/>
            </w14:solidFill>
          </w14:textFill>
        </w:rPr>
      </w:sdtEndPr>
      <w:sdtContent>
        <w:p w14:paraId="4353920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预计负债的核算方法"/>
        <w:tag w:val="_GBC_d6934772e41e485d9e00e349486f9d7e"/>
        <w:id w:val="147463377"/>
        <w:placeholder>
          <w:docPart w:val="GBC22222222222222222222222222222"/>
        </w:placeholder>
      </w:sdtPr>
      <w:sdtEndPr>
        <w:rPr>
          <w:rFonts w:hint="eastAsia"/>
          <w:color w:val="000000" w:themeColor="text1"/>
          <w14:textFill>
            <w14:solidFill>
              <w14:schemeClr w14:val="tx1"/>
            </w14:solidFill>
          </w14:textFill>
        </w:rPr>
      </w:sdtEndPr>
      <w:sdtContent>
        <w:p w14:paraId="0C7C48A0">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因对外提供担保、诉讼事项、产品质量保证、亏损合同等或有事项形成的义务成为公司承担的现时义务，履行该义务很可能导致经济利益流出公司，且该义务的金额能够可靠的计量时，公司将该项义务确认为预计负债。</w:t>
          </w:r>
        </w:p>
        <w:p w14:paraId="0A913B0C">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（2）公司按照履行相关现时义务所需支出的最佳估计数对预计负债进行初始计量，并在资产负债表日对预计负债的账面价值进行复核。</w:t>
          </w:r>
        </w:p>
      </w:sdtContent>
    </w:sdt>
    <w:p w14:paraId="52F781D1">
      <w:pPr>
        <w:rPr>
          <w:color w:val="000000" w:themeColor="text1"/>
          <w14:textFill>
            <w14:solidFill>
              <w14:schemeClr w14:val="tx1"/>
            </w14:solidFill>
          </w14:textFill>
        </w:rPr>
      </w:pPr>
    </w:p>
    <w:p w14:paraId="011F335F">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股份支付</w:t>
      </w:r>
    </w:p>
    <w:sdt>
      <w:sdtPr>
        <w:rPr>
          <w:rFonts w:hint="eastAsia"/>
          <w:color w:val="000000" w:themeColor="text1"/>
          <w14:textFill>
            <w14:solidFill>
              <w14:schemeClr w14:val="tx1"/>
            </w14:solidFill>
          </w14:textFill>
        </w:rPr>
        <w:alias w:val="是否适用：股份支付_重要会计政策和估计[双击切换]"/>
        <w:tag w:val="_GBC_cfe00a6b35f24950855f2412f34bcf7a"/>
        <w:id w:val="147455056"/>
        <w:placeholder>
          <w:docPart w:val="GBC22222222222222222222222222222"/>
        </w:placeholder>
      </w:sdtPr>
      <w:sdtEndPr>
        <w:rPr>
          <w:rFonts w:hint="eastAsia"/>
          <w:color w:val="000000" w:themeColor="text1"/>
          <w14:textFill>
            <w14:solidFill>
              <w14:schemeClr w14:val="tx1"/>
            </w14:solidFill>
          </w14:textFill>
        </w:rPr>
      </w:sdtEndPr>
      <w:sdtContent>
        <w:p w14:paraId="3C465E7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97B3653">
      <w:pPr>
        <w:rPr>
          <w:color w:val="000000" w:themeColor="text1"/>
          <w14:textFill>
            <w14:solidFill>
              <w14:schemeClr w14:val="tx1"/>
            </w14:solidFill>
          </w14:textFill>
        </w:rPr>
      </w:pPr>
    </w:p>
    <w:p w14:paraId="23B9539C">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优先股、永续债等其他金融工具</w:t>
      </w:r>
    </w:p>
    <w:sdt>
      <w:sdtPr>
        <w:rPr>
          <w:rFonts w:hint="eastAsia"/>
          <w:color w:val="000000" w:themeColor="text1"/>
          <w14:textFill>
            <w14:solidFill>
              <w14:schemeClr w14:val="tx1"/>
            </w14:solidFill>
          </w14:textFill>
        </w:rPr>
        <w:alias w:val="是否适用：优先股、永续债等其他金融工具[双击切换]"/>
        <w:tag w:val="_GBC_34eb80e2168144958293aa1351780303"/>
        <w:id w:val="147464784"/>
        <w:placeholder>
          <w:docPart w:val="GBC22222222222222222222222222222"/>
        </w:placeholder>
      </w:sdtPr>
      <w:sdtEndPr>
        <w:rPr>
          <w:rFonts w:hint="eastAsia"/>
          <w:color w:val="000000" w:themeColor="text1"/>
          <w14:textFill>
            <w14:solidFill>
              <w14:schemeClr w14:val="tx1"/>
            </w14:solidFill>
          </w14:textFill>
        </w:rPr>
      </w:sdtEndPr>
      <w:sdtContent>
        <w:p w14:paraId="4F606B9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248C1AC">
      <w:pPr>
        <w:rPr>
          <w:color w:val="000000" w:themeColor="text1"/>
          <w14:textFill>
            <w14:solidFill>
              <w14:schemeClr w14:val="tx1"/>
            </w14:solidFill>
          </w14:textFill>
        </w:rPr>
      </w:pPr>
    </w:p>
    <w:p w14:paraId="1A32FB0F">
      <w:pPr>
        <w:pStyle w:val="57"/>
        <w:numPr>
          <w:ilvl w:val="0"/>
          <w:numId w:val="46"/>
        </w:numPr>
        <w:rPr>
          <w:rFonts w:ascii="宋体" w:hAnsi="宋体"/>
          <w:color w:val="000000" w:themeColor="text1"/>
          <w14:textFill>
            <w14:solidFill>
              <w14:schemeClr w14:val="tx1"/>
            </w14:solidFill>
          </w14:textFill>
        </w:rPr>
      </w:pPr>
      <w:bookmarkStart w:id="177" w:name="_Hlk10465559"/>
      <w:r>
        <w:rPr>
          <w:rFonts w:ascii="宋体" w:hAnsi="宋体"/>
          <w:color w:val="000000" w:themeColor="text1"/>
          <w14:textFill>
            <w14:solidFill>
              <w14:schemeClr w14:val="tx1"/>
            </w14:solidFill>
          </w14:textFill>
        </w:rPr>
        <w:t>收入</w:t>
      </w:r>
    </w:p>
    <w:p w14:paraId="53905A59">
      <w:pPr>
        <w:pStyle w:val="58"/>
        <w:numPr>
          <w:ilvl w:val="3"/>
          <w:numId w:val="51"/>
        </w:numPr>
        <w:ind w:left="426" w:hanging="426"/>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按照业务类型披露收入确认和计量所采用的会计政策</w:t>
      </w:r>
    </w:p>
    <w:sdt>
      <w:sdtPr>
        <w:rPr>
          <w:color w:val="000000" w:themeColor="text1"/>
          <w14:textFill>
            <w14:solidFill>
              <w14:schemeClr w14:val="tx1"/>
            </w14:solidFill>
          </w14:textFill>
        </w:rPr>
        <w:alias w:val="是否适用：收入确认和计量所采用的会计政策[双击切换]"/>
        <w:tag w:val="_GBC_b6eb71cc057645f3b05fb68d8273c681"/>
        <w:id w:val="147483572"/>
        <w:placeholder>
          <w:docPart w:val="GBC22222222222222222222222222222"/>
        </w:placeholder>
      </w:sdtPr>
      <w:sdtEndPr>
        <w:rPr>
          <w:color w:val="000000" w:themeColor="text1"/>
          <w14:textFill>
            <w14:solidFill>
              <w14:schemeClr w14:val="tx1"/>
            </w14:solidFill>
          </w14:textFill>
        </w:rPr>
      </w:sdtEndPr>
      <w:sdtContent>
        <w:p w14:paraId="197536C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alias w:val="收入确认和计量所采用的会计政策"/>
        <w:tag w:val="_GBC_c9c2b3029c08405387c460d2d7eacc7d"/>
        <w:id w:val="147465818"/>
        <w:placeholder>
          <w:docPart w:val="GBC22222222222222222222222222222"/>
        </w:placeholder>
      </w:sdtPr>
      <w:sdtEndPr>
        <w:rPr>
          <w:color w:val="000000" w:themeColor="text1"/>
          <w14:textFill>
            <w14:solidFill>
              <w14:schemeClr w14:val="tx1"/>
            </w14:solidFill>
          </w14:textFill>
        </w:rPr>
      </w:sdtEndPr>
      <w:sdtContent>
        <w:p w14:paraId="544F7C88">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①收入确认原则 </w:t>
          </w:r>
        </w:p>
        <w:p w14:paraId="2D472CF5">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于合同开始日，公司对合同进行评估，识别合同所包含的各单项履约义务，并确定各单项履约义务是在某一时段内履行，还是在某一时点履行。</w:t>
          </w:r>
        </w:p>
        <w:p w14:paraId="79E1D397">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满足下列条件之一时，属于在某一时段内履行履约义务，否则，属于在某一时点履行履约义务：1) 客户在公司履约的同时即取得并消耗公司履约所带来的经济利益；2) 客户能够控制公司履约过程中在建商品；3) 公司履约过程中所产出的商品具有不可替代用途，且公司在整个合同期间内有权就累计至今已完成的履约部分收取款项。</w:t>
          </w:r>
        </w:p>
        <w:p w14:paraId="299283FF">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对于在某一时段内履行的履约义务，公司在该段时间内按照履约进度确认收入。履约进度不能合理确定时，已经发生的成本预计能够得到补偿的，按照已经发生的成本金额确认收入，直到履约进度能够合理确定为止。对于在某一时点履行的履约义务，在客户取得相关商品或服务控制权时点确认收入。在判断客户是否已取得商品控制权时，公司考虑下列迹象：1) 公司就该商品享有现时收款权利，即客户就该商品负有现时付款义务；2) 公司已将该商品的法定所有权转移给客户，即客户已拥有该商品的法定所有权；3) 公司已将该商品实物转移给客户，即客户已实物占有该商品；4) 公司已将该商品所有权上的主要风险和报酬转移给客户，即客户已取得该商品所有权上的主要风险和报酬；5) 客户已接受该商品；6) 其他表明客户已取得商品控制权的迹象。 </w:t>
          </w:r>
        </w:p>
        <w:p w14:paraId="22058E25">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②收入计量原则 </w:t>
          </w:r>
        </w:p>
        <w:p w14:paraId="219094BB">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 公司按照分摊至各单项履约义务的交易价格计量收入。交易价格是公司因向客户转让商品或服务而预期有权收取的对价金额，不包括代第三方收取的款项以及预期将退还给客户的款项。 </w:t>
          </w:r>
        </w:p>
        <w:p w14:paraId="2CFFCD53">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 合同中存在可变对价的，公司按照期望值或最可能发生金额确定可变对价的最佳估计数，但包含可变对价的交易价格，不超过在相关不确定性消除时累计已确认收入极可能不会发生重大转回的金额。 </w:t>
          </w:r>
        </w:p>
        <w:p w14:paraId="48782C2F">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 合同中存在重大融资成分的，公司按照假定客户在取得商品或服务控制权时即以现金支付的应付金额确定交易价格。该交易价格与合同对价之间的差额，在合同期间内采用实际利率法摊销。合同开始日，公司预计客户取得商品或服务控制权与客户支付价款间隔不超过一年的，不考虑合同中存在的重大融资成分。</w:t>
          </w:r>
        </w:p>
        <w:p w14:paraId="53484672">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 合同中包含两项或多项履约义务的，公司于合同开始日，按照各单项履约义务所承诺商品的单独售价的相对比例，将交易价格分摊至各单项履约义务。</w:t>
          </w:r>
        </w:p>
        <w:p w14:paraId="7B4473B9">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③收入确认的具体方法 </w:t>
          </w:r>
        </w:p>
        <w:p w14:paraId="7F177E58">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1) 军需品销售收入，在商品已发至购买方指定的接收单位，并取得接收单位验收回执后，确认收入。</w:t>
          </w:r>
        </w:p>
        <w:p w14:paraId="7B3DD079">
          <w:pPr>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 民品销售收入，在向客户发货并经验收后确认收入。合同或协议价款的收取采用递延方式，实质上具有融资性质的，按照应收的合同或协议价款的公允价值确定销售商品收入金额。</w:t>
          </w:r>
        </w:p>
      </w:sdtContent>
    </w:sdt>
    <w:p w14:paraId="43D5571A">
      <w:pPr>
        <w:rPr>
          <w:color w:val="000000" w:themeColor="text1"/>
          <w14:textFill>
            <w14:solidFill>
              <w14:schemeClr w14:val="tx1"/>
            </w14:solidFill>
          </w14:textFill>
        </w:rPr>
      </w:pPr>
    </w:p>
    <w:bookmarkEnd w:id="177"/>
    <w:p w14:paraId="2C0DF12C">
      <w:pPr>
        <w:pStyle w:val="58"/>
        <w:numPr>
          <w:ilvl w:val="3"/>
          <w:numId w:val="51"/>
        </w:numPr>
        <w:ind w:left="426" w:hanging="426"/>
        <w:rPr>
          <w:rFonts w:ascii="宋体" w:hAnsi="宋体"/>
          <w:color w:val="000000" w:themeColor="text1"/>
          <w:szCs w:val="21"/>
          <w14:textFill>
            <w14:solidFill>
              <w14:schemeClr w14:val="tx1"/>
            </w14:solidFill>
          </w14:textFill>
        </w:rPr>
      </w:pPr>
      <w:bookmarkStart w:id="178" w:name="_Hlk10465594"/>
      <w:r>
        <w:rPr>
          <w:rFonts w:hint="eastAsia" w:ascii="宋体" w:hAnsi="宋体"/>
          <w:color w:val="000000" w:themeColor="text1"/>
          <w:szCs w:val="21"/>
          <w14:textFill>
            <w14:solidFill>
              <w14:schemeClr w14:val="tx1"/>
            </w14:solidFill>
          </w14:textFill>
        </w:rPr>
        <w:t>同类业务采用不同经营模式涉及不同收入确认方式及计量方法</w:t>
      </w:r>
    </w:p>
    <w:sdt>
      <w:sdtPr>
        <w:rPr>
          <w:color w:val="000000" w:themeColor="text1"/>
          <w14:textFill>
            <w14:solidFill>
              <w14:schemeClr w14:val="tx1"/>
            </w14:solidFill>
          </w14:textFill>
        </w:rPr>
        <w:alias w:val="是否适用：同类业务采用不同经营模式导致收入确认会计政策存在差异的情况[双击切换]"/>
        <w:tag w:val="_GBC_f4f4337356c44180a833322bec4248a8"/>
        <w:id w:val="147469628"/>
        <w:placeholder>
          <w:docPart w:val="GBC22222222222222222222222222222"/>
        </w:placeholder>
      </w:sdtPr>
      <w:sdtEndPr>
        <w:rPr>
          <w:color w:val="000000" w:themeColor="text1"/>
          <w14:textFill>
            <w14:solidFill>
              <w14:schemeClr w14:val="tx1"/>
            </w14:solidFill>
          </w14:textFill>
        </w:rPr>
      </w:sdtEndPr>
      <w:sdtContent>
        <w:p w14:paraId="44A06AB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0DF207">
      <w:pPr>
        <w:rPr>
          <w:color w:val="000000" w:themeColor="text1"/>
          <w14:textFill>
            <w14:solidFill>
              <w14:schemeClr w14:val="tx1"/>
            </w14:solidFill>
          </w14:textFill>
        </w:rPr>
      </w:pPr>
    </w:p>
    <w:bookmarkEnd w:id="178"/>
    <w:p w14:paraId="0750DDD5">
      <w:pPr>
        <w:pStyle w:val="57"/>
        <w:numPr>
          <w:ilvl w:val="0"/>
          <w:numId w:val="46"/>
        </w:numPr>
        <w:rPr>
          <w:rFonts w:ascii="宋体" w:hAnsi="宋体"/>
          <w:color w:val="000000" w:themeColor="text1"/>
          <w14:textFill>
            <w14:solidFill>
              <w14:schemeClr w14:val="tx1"/>
            </w14:solidFill>
          </w14:textFill>
        </w:rPr>
      </w:pPr>
      <w:bookmarkStart w:id="179" w:name="_Hlk10465679"/>
      <w:r>
        <w:rPr>
          <w:rFonts w:ascii="宋体" w:hAnsi="宋体"/>
          <w:color w:val="000000" w:themeColor="text1"/>
          <w14:textFill>
            <w14:solidFill>
              <w14:schemeClr w14:val="tx1"/>
            </w14:solidFill>
          </w14:textFill>
        </w:rPr>
        <w:t>合同成本</w:t>
      </w:r>
    </w:p>
    <w:sdt>
      <w:sdtPr>
        <w:rPr>
          <w:color w:val="000000" w:themeColor="text1"/>
          <w14:textFill>
            <w14:solidFill>
              <w14:schemeClr w14:val="tx1"/>
            </w14:solidFill>
          </w14:textFill>
        </w:rPr>
        <w:alias w:val="是否适用：合同成本_重要会计政策和估计[双击切换]"/>
        <w:tag w:val="_GBC_d7752b20e4914f04bf87bad019929fe8"/>
        <w:id w:val="147474032"/>
        <w:placeholder>
          <w:docPart w:val="GBC22222222222222222222222222222"/>
        </w:placeholder>
      </w:sdtPr>
      <w:sdtEndPr>
        <w:rPr>
          <w:color w:val="000000" w:themeColor="text1"/>
          <w14:textFill>
            <w14:solidFill>
              <w14:schemeClr w14:val="tx1"/>
            </w14:solidFill>
          </w14:textFill>
        </w:rPr>
      </w:sdtEndPr>
      <w:sdtContent>
        <w:p w14:paraId="2D4EB33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合同成本_重要会计政策和估计"/>
        <w:tag w:val="_GBC_6936a4a013d94bae8da35405dbef11fd"/>
        <w:id w:val="147475833"/>
        <w:placeholder>
          <w:docPart w:val="GBC22222222222222222222222222222"/>
        </w:placeholder>
      </w:sdtPr>
      <w:sdtEndPr>
        <w:rPr>
          <w:color w:val="000000" w:themeColor="text1"/>
          <w14:textFill>
            <w14:solidFill>
              <w14:schemeClr w14:val="tx1"/>
            </w14:solidFill>
          </w14:textFill>
        </w:rPr>
      </w:sdtEndPr>
      <w:sdtContent>
        <w:p w14:paraId="6F26CE02">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公司为取得合同发生的增量成本预期能够收回的，作为合同取得成本确认为一项资产。如果合同取得成本的摊销期限不超过一年，在发生时直接计入当期损益。</w:t>
          </w:r>
        </w:p>
        <w:p w14:paraId="61F36108">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公司为履行合同发生的成本，不适用存货、固定资产或无形资产等相关准则的规范范围且同时满足下列条件的，作为合同履约成本确认为一项资产：</w:t>
          </w:r>
        </w:p>
        <w:p w14:paraId="37CE3561">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（1）该成本与一份当前或预期取得的合同直接相关，包括直接人工、直接材料、制造费用（或类似费用）、明确由客户承担的成本以及仅因该合同而发生的其他成本；</w:t>
          </w:r>
        </w:p>
        <w:p w14:paraId="61181D8C">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（2）该成本增加了公司未来用于履行履约义务的资源；</w:t>
          </w:r>
        </w:p>
        <w:p w14:paraId="2C6E741D">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（3）该成本预期能够收回。</w:t>
          </w:r>
        </w:p>
        <w:p w14:paraId="6BBF2F30">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公司对于与合同成本有关的资产采用与该资产相关的商品或服务收入确认相同的基础进行摊销，计入当期损益。</w:t>
          </w:r>
        </w:p>
        <w:p w14:paraId="5C5BD5E2">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如果与合同成本有关的资产的账面价值高于因转让与该资产相关的商品或服务预期能够取得的剩余对价减去估计将要发生的成本，公司对超出部分计提减值准备，并确认为资产减值损失。以前期间减值的因素之后发生变化，使得转让该资产相关的商品或服务预期能够取得的剩余对价减去估计将要发生的成本高于该资产账面价值的，转回原已计提的资产减值准备，并计入当期损益，但转回后的资产账面价值不超过假定不计提减值准备情况下该资产在转回日的账面价值。</w:t>
          </w:r>
        </w:p>
      </w:sdtContent>
    </w:sdt>
    <w:p w14:paraId="58FF0BCE">
      <w:pPr>
        <w:rPr>
          <w:color w:val="000000" w:themeColor="text1"/>
          <w14:textFill>
            <w14:solidFill>
              <w14:schemeClr w14:val="tx1"/>
            </w14:solidFill>
          </w14:textFill>
        </w:rPr>
      </w:pPr>
    </w:p>
    <w:bookmarkEnd w:id="179"/>
    <w:p w14:paraId="6E9D1A5E">
      <w:pPr>
        <w:pStyle w:val="57"/>
        <w:numPr>
          <w:ilvl w:val="0"/>
          <w:numId w:val="46"/>
        </w:numPr>
        <w:rPr>
          <w:rFonts w:ascii="宋体" w:hAnsi="宋体"/>
          <w:color w:val="000000" w:themeColor="text1"/>
          <w14:textFill>
            <w14:solidFill>
              <w14:schemeClr w14:val="tx1"/>
            </w14:solidFill>
          </w14:textFill>
        </w:rPr>
      </w:pPr>
      <w:bookmarkStart w:id="180" w:name="_Hlk10465775"/>
      <w:r>
        <w:rPr>
          <w:rFonts w:ascii="宋体" w:hAnsi="宋体"/>
          <w:color w:val="000000" w:themeColor="text1"/>
          <w14:textFill>
            <w14:solidFill>
              <w14:schemeClr w14:val="tx1"/>
            </w14:solidFill>
          </w14:textFill>
        </w:rPr>
        <w:t>政府补助</w:t>
      </w:r>
    </w:p>
    <w:sdt>
      <w:sdtPr>
        <w:rPr>
          <w:color w:val="000000" w:themeColor="text1"/>
          <w14:textFill>
            <w14:solidFill>
              <w14:schemeClr w14:val="tx1"/>
            </w14:solidFill>
          </w14:textFill>
        </w:rPr>
        <w:alias w:val="是否适用：政府补助_重要会计政策和估计[双击切换]"/>
        <w:tag w:val="_GBC_09d5ec3540ea4d9a8e10c93326c490a0"/>
        <w:id w:val="147477479"/>
        <w:placeholder>
          <w:docPart w:val="GBC22222222222222222222222222222"/>
        </w:placeholder>
      </w:sdtPr>
      <w:sdtEndPr>
        <w:rPr>
          <w:color w:val="000000" w:themeColor="text1"/>
          <w14:textFill>
            <w14:solidFill>
              <w14:schemeClr w14:val="tx1"/>
            </w14:solidFill>
          </w14:textFill>
        </w:rPr>
      </w:sdtEndPr>
      <w:sdtContent>
        <w:p w14:paraId="24C58EE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政府补助_重要会计政策和估计"/>
        <w:tag w:val="_GBC_f313a7b8b81b4ed0845a3af1ac57e5e8"/>
        <w:id w:val="147463201"/>
        <w:placeholder>
          <w:docPart w:val="GBC22222222222222222222222222222"/>
        </w:placeholder>
      </w:sdtPr>
      <w:sdtEndPr>
        <w:rPr>
          <w:color w:val="000000" w:themeColor="text1"/>
          <w14:textFill>
            <w14:solidFill>
              <w14:schemeClr w14:val="tx1"/>
            </w14:solidFill>
          </w14:textFill>
        </w:rPr>
      </w:sdtEndPr>
      <w:sdtContent>
        <w:p w14:paraId="7414B1FA">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政府补助在同时满足下列条件时予以确认：①公司能够满足政府补助所附的条件；②公司能够收到政府补助。政府补助为货币性资产的，按照收到或应收的金额计量。政府补助为非货币性资产的，按照公允价值计量；公允价值不能可靠取得的，按照名义金额计量。 </w:t>
          </w:r>
        </w:p>
        <w:p w14:paraId="0F38E29D">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（2）与资产相关的政府补助判断依据及会计处理方法</w:t>
          </w:r>
        </w:p>
        <w:p w14:paraId="4C0D8B7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政府文件规定用于购建或以其他方式形成长期资产的政府补助划分为与资产相关的政府补助。政府文件不明确的，以取得该补助必须具备的基本条件为基础进行判断，以购建或其他方式形成长期资产为基本条件的作为与资产相关的政府补助。与资产相关的政府补助，冲减相关资产的账面价值或确认为递延收益。与资产相关的政府补助确认为递延收益的，在相关资产使用寿命内按照合理、系统的方法分期计入损益。按照名义金额计量的政府补助，直接计入当期损益。相关资产在使用寿命结束前被出售、转让、报废或发生毁损的，将尚未分配的相关递延收益余额转入资产处置当期的损益。 </w:t>
          </w:r>
        </w:p>
        <w:p w14:paraId="4A1DF009">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（3）与收益相关的政府补助判断依据及会计处理方法</w:t>
          </w:r>
        </w:p>
        <w:p w14:paraId="60FEC3E9">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除与资产相关的政府补助之外的政府补助划分为与收益相关的政府补助。对于同时包含与资产相关部分和与收益相关部分的政府补助，难以区分与资产相关或与收益相关的，整体归类为与收益相关的政府补助。与收益相关的政府补助，用于补偿以后期间的相关成本费用或损失的，确认为递延收益，在确认相关成本费用或损失的期间，计入当期损益或冲减相关成本；用于补偿已发生的相关成本费用或损失的，直接计入当期损益或冲减相关成本。</w:t>
          </w:r>
        </w:p>
        <w:p w14:paraId="3417459F">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（4）与公司日常经营活动相关的政府补助，按照经济业务实质，计入其他收益或冲减相关成本费用。与公司日常活动无关的政府补助，计入营业外收支。</w:t>
          </w:r>
        </w:p>
        <w:p w14:paraId="411BE509">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（5）政策性优惠贷款贴息的会计处理方法</w:t>
          </w:r>
        </w:p>
        <w:p w14:paraId="76631DD9">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 财政将贴息资金拨付给贷款银行，由贷款银行以政策性优惠利率向公司提供贷款的，以实际收到的借款金额作为借款的入账价值，按照借款本金和该政策性优惠利率计算相关借款费用。</w:t>
          </w:r>
        </w:p>
        <w:p w14:paraId="628EDD6E">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 财政将贴息资金直接拨付给公司的，将对应的贴息冲减相关借款费用。</w:t>
          </w:r>
        </w:p>
      </w:sdtContent>
    </w:sdt>
    <w:bookmarkEnd w:id="180"/>
    <w:p w14:paraId="57E83FFF">
      <w:pPr>
        <w:rPr>
          <w:color w:val="000000" w:themeColor="text1"/>
          <w14:textFill>
            <w14:solidFill>
              <w14:schemeClr w14:val="tx1"/>
            </w14:solidFill>
          </w14:textFill>
        </w:rPr>
      </w:pPr>
    </w:p>
    <w:p w14:paraId="625038D4">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递延所得税资产/递延所得税负债</w:t>
      </w:r>
    </w:p>
    <w:sdt>
      <w:sdtPr>
        <w:rPr>
          <w:rFonts w:hint="eastAsia"/>
          <w:color w:val="000000" w:themeColor="text1"/>
          <w14:textFill>
            <w14:solidFill>
              <w14:schemeClr w14:val="tx1"/>
            </w14:solidFill>
          </w14:textFill>
        </w:rPr>
        <w:alias w:val="是否适用：所得税的会计处理方法[双击切换]"/>
        <w:tag w:val="_GBC_3e4bb828d17944599248216201e65683"/>
        <w:id w:val="147461938"/>
        <w:placeholder>
          <w:docPart w:val="GBC22222222222222222222222222222"/>
        </w:placeholder>
      </w:sdtPr>
      <w:sdtEndPr>
        <w:rPr>
          <w:rFonts w:hint="eastAsia"/>
          <w:color w:val="000000" w:themeColor="text1"/>
          <w14:textFill>
            <w14:solidFill>
              <w14:schemeClr w14:val="tx1"/>
            </w14:solidFill>
          </w14:textFill>
        </w:rPr>
      </w:sdtEndPr>
      <w:sdtContent>
        <w:p w14:paraId="7A34F2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所得税的会计处理方法"/>
        <w:tag w:val="_GBC_545dd84ed2b9458fa5e2b87aa1e1cc1c"/>
        <w:id w:val="147470682"/>
        <w:placeholder>
          <w:docPart w:val="GBC22222222222222222222222222222"/>
        </w:placeholder>
      </w:sdtPr>
      <w:sdtEndPr>
        <w:rPr>
          <w:rFonts w:hint="eastAsia"/>
          <w:color w:val="000000" w:themeColor="text1"/>
          <w14:textFill>
            <w14:solidFill>
              <w14:schemeClr w14:val="tx1"/>
            </w14:solidFill>
          </w14:textFill>
        </w:rPr>
      </w:sdtEndPr>
      <w:sdtContent>
        <w:p w14:paraId="2974CD9D">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根据资产、负债的账面价值与其计税基础之间的差额（未作为资产和负债确认的项目按照税法规定可以确定其计税基础的，该计税基础与其账面数之间的差额），按照预期收回该资产或清偿该负债期间的适用税率计算确认递延所得税资产或递延所得税负债。</w:t>
          </w:r>
        </w:p>
        <w:p w14:paraId="75ABA7AA">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w:t>
          </w:r>
        </w:p>
        <w:p w14:paraId="03513938">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资产负债表日，对递延所得税资产的账面价值进行复核，如果未来期间很可能无法获得足够的应纳税所得额用以抵扣递延所得税资产的利益，则减记递延所得税资产的账面价值。在很可能获得足够的应纳税所得额时，转回减记的金额。</w:t>
          </w:r>
        </w:p>
        <w:p w14:paraId="572B1F1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（4）公司当期所得税和递延所得税作为所得税费用或收益计入当期损益，但不包括下列情况产生的所得税：①企业合并；②直接在所有者权益中确认的交易或者事项。</w:t>
          </w:r>
        </w:p>
        <w:p w14:paraId="08B69CBD">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同时满足下列条件时，公司将递延所得税资产及递延所得税负债以抵销后的净额列示：①拥有以净额结算当期所得税资产及当期所得税负债的法定权利；②递延所得税资产和递延所得税负债是与同一税收征管部门对同一纳税主体征收的所得税相关或者对不同的纳税主体相关，但在未来每一具有重要性的递延所得税资产和递延所得税负债转回的期间内，涉及的纳税主体意图以净额结算当期所得税资产及当期所得税负债或是同时取得资产、清偿债务。</w:t>
          </w:r>
        </w:p>
      </w:sdtContent>
    </w:sdt>
    <w:p w14:paraId="4D8C1631">
      <w:pPr>
        <w:pStyle w:val="57"/>
        <w:numPr>
          <w:ilvl w:val="0"/>
          <w:numId w:val="46"/>
        </w:numPr>
        <w:rPr>
          <w:rFonts w:ascii="宋体" w:hAnsi="宋体"/>
          <w:color w:val="000000" w:themeColor="text1"/>
          <w14:textFill>
            <w14:solidFill>
              <w14:schemeClr w14:val="tx1"/>
            </w14:solidFill>
          </w14:textFill>
        </w:rPr>
      </w:pPr>
      <w:bookmarkStart w:id="181" w:name="_Hlk167884177"/>
      <w:bookmarkStart w:id="182" w:name="_Hlk169007779"/>
      <w:r>
        <w:rPr>
          <w:rFonts w:ascii="宋体" w:hAnsi="宋体"/>
          <w:color w:val="000000" w:themeColor="text1"/>
          <w14:textFill>
            <w14:solidFill>
              <w14:schemeClr w14:val="tx1"/>
            </w14:solidFill>
          </w14:textFill>
        </w:rPr>
        <w:t>租赁</w:t>
      </w:r>
    </w:p>
    <w:sdt>
      <w:sdtPr>
        <w:rPr>
          <w:color w:val="000000" w:themeColor="text1"/>
          <w14:textFill>
            <w14:solidFill>
              <w14:schemeClr w14:val="tx1"/>
            </w14:solidFill>
          </w14:textFill>
        </w:rPr>
        <w:alias w:val="是否适用：租赁_重要会计政策和估计[双击切换]"/>
        <w:tag w:val="_GBC_7f954ee357264e2c946d2c530d8787c5"/>
        <w:id w:val="-804698688"/>
        <w:placeholder>
          <w:docPart w:val="{0740b8a5-1ba0-4fc1-adab-1023569073ee}"/>
        </w:placeholder>
      </w:sdtPr>
      <w:sdtEndPr>
        <w:rPr>
          <w:color w:val="000000" w:themeColor="text1"/>
          <w14:textFill>
            <w14:solidFill>
              <w14:schemeClr w14:val="tx1"/>
            </w14:solidFill>
          </w14:textFill>
        </w:rPr>
      </w:sdtEndPr>
      <w:sdtContent>
        <w:p w14:paraId="60C314D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3112C6A">
      <w:pPr>
        <w:rPr>
          <w:rFonts w:ascii="Calibri" w:hAnsi="Calibri" w:cs="Times New Roman"/>
          <w:b/>
          <w:color w:val="000000" w:themeColor="text1"/>
          <w:kern w:val="2"/>
          <w:szCs w:val="32"/>
          <w14:textFill>
            <w14:solidFill>
              <w14:schemeClr w14:val="tx1"/>
            </w14:solidFill>
          </w14:textFill>
        </w:rPr>
      </w:pPr>
      <w:r>
        <w:rPr>
          <w:rFonts w:ascii="Calibri" w:hAnsi="Calibri" w:cs="Times New Roman"/>
          <w:b/>
          <w:color w:val="000000" w:themeColor="text1"/>
          <w:kern w:val="2"/>
          <w:szCs w:val="32"/>
          <w14:textFill>
            <w14:solidFill>
              <w14:schemeClr w14:val="tx1"/>
            </w14:solidFill>
          </w14:textFill>
        </w:rPr>
        <w:t>作为承租方对短期租赁和低价值资产租赁进行简化处理的判断依据和会计处理方法</w:t>
      </w:r>
    </w:p>
    <w:sdt>
      <w:sdtPr>
        <w:rPr>
          <w:color w:val="000000" w:themeColor="text1"/>
          <w14:textFill>
            <w14:solidFill>
              <w14:schemeClr w14:val="tx1"/>
            </w14:solidFill>
          </w14:textFill>
        </w:rPr>
        <w:alias w:val="是否适用：作为承租方对短期租赁和低价值资产租赁进行简化处理的判断依据和会计处理方法[双击切换]"/>
        <w:tag w:val="_GBC_7bcaad3acb7c40ecbe59ad19b127555f"/>
        <w:id w:val="534542676"/>
        <w:placeholder>
          <w:docPart w:val="{0740b8a5-1ba0-4fc1-adab-1023569073ee}"/>
        </w:placeholder>
      </w:sdtPr>
      <w:sdtEndPr>
        <w:rPr>
          <w:color w:val="000000" w:themeColor="text1"/>
          <w14:textFill>
            <w14:solidFill>
              <w14:schemeClr w14:val="tx1"/>
            </w14:solidFill>
          </w14:textFill>
        </w:rPr>
      </w:sdtEndPr>
      <w:sdtContent>
        <w:p w14:paraId="5FCFECF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作为承租方对短期租赁和低价值资产租赁进行简化处理的判断依据和会计处理方法"/>
        <w:tag w:val="_GBC_83c59a0eb4ac4ef2afb783bc5dd4efb6"/>
        <w:id w:val="-300851453"/>
        <w:placeholder>
          <w:docPart w:val="{0740b8a5-1ba0-4fc1-adab-1023569073ee}"/>
        </w:placeholder>
      </w:sdtPr>
      <w:sdtEndPr>
        <w:rPr>
          <w:color w:val="000000" w:themeColor="text1"/>
          <w14:textFill>
            <w14:solidFill>
              <w14:schemeClr w14:val="tx1"/>
            </w14:solidFill>
          </w14:textFill>
        </w:rPr>
      </w:sdtEndPr>
      <w:sdtContent>
        <w:p w14:paraId="07F2D18C">
          <w:pPr>
            <w:rPr>
              <w:color w:val="000000" w:themeColor="text1"/>
              <w14:textFill>
                <w14:solidFill>
                  <w14:schemeClr w14:val="tx1"/>
                </w14:solidFill>
              </w14:textFill>
            </w:rPr>
          </w:pPr>
          <w:r>
            <w:rPr>
              <w:rFonts w:hint="eastAsia"/>
              <w:color w:val="000000" w:themeColor="text1"/>
              <w14:textFill>
                <w14:solidFill>
                  <w14:schemeClr w14:val="tx1"/>
                </w14:solidFill>
              </w14:textFill>
            </w:rPr>
            <w:t>在租赁期开始日，公司将租赁期不超过 12 个月，且不包含购买选择权的租赁认定为短期租赁；将单项租赁资产为全新资产时价值较低的租赁认定为低价值资产租赁。</w:t>
          </w:r>
        </w:p>
        <w:p w14:paraId="45C9B146">
          <w:pPr>
            <w:rPr>
              <w:color w:val="000000" w:themeColor="text1"/>
              <w14:textFill>
                <w14:solidFill>
                  <w14:schemeClr w14:val="tx1"/>
                </w14:solidFill>
              </w14:textFill>
            </w:rPr>
          </w:pPr>
          <w:r>
            <w:rPr>
              <w:rFonts w:hint="eastAsia"/>
              <w:color w:val="000000" w:themeColor="text1"/>
              <w14:textFill>
                <w14:solidFill>
                  <w14:schemeClr w14:val="tx1"/>
                </w14:solidFill>
              </w14:textFill>
            </w:rPr>
            <w:t>对于所有短期租赁和低价值资产租赁，公司在租赁期内各个期间按照直线法将租赁付款额计入相关资产成本或当期损益。</w:t>
          </w:r>
        </w:p>
      </w:sdtContent>
    </w:sdt>
    <w:p w14:paraId="3294FC51">
      <w:pPr>
        <w:rPr>
          <w:rFonts w:ascii="Calibri" w:hAnsi="Calibri" w:cs="Times New Roman"/>
          <w:color w:val="000000" w:themeColor="text1"/>
          <w:kern w:val="2"/>
          <w:szCs w:val="32"/>
          <w14:textFill>
            <w14:solidFill>
              <w14:schemeClr w14:val="tx1"/>
            </w14:solidFill>
          </w14:textFill>
        </w:rPr>
      </w:pPr>
    </w:p>
    <w:p w14:paraId="6DADF93A">
      <w:pPr>
        <w:rPr>
          <w:rFonts w:ascii="Calibri" w:hAnsi="Calibri" w:cs="Times New Roman"/>
          <w:b/>
          <w:color w:val="000000" w:themeColor="text1"/>
          <w:kern w:val="2"/>
          <w:szCs w:val="32"/>
          <w14:textFill>
            <w14:solidFill>
              <w14:schemeClr w14:val="tx1"/>
            </w14:solidFill>
          </w14:textFill>
        </w:rPr>
      </w:pPr>
      <w:r>
        <w:rPr>
          <w:rFonts w:ascii="Calibri" w:hAnsi="Calibri" w:cs="Times New Roman"/>
          <w:b/>
          <w:color w:val="000000" w:themeColor="text1"/>
          <w:kern w:val="2"/>
          <w:szCs w:val="32"/>
          <w14:textFill>
            <w14:solidFill>
              <w14:schemeClr w14:val="tx1"/>
            </w14:solidFill>
          </w14:textFill>
        </w:rPr>
        <w:t>作为出租方的租赁分类标准和会计处理方法</w:t>
      </w:r>
    </w:p>
    <w:sdt>
      <w:sdtPr>
        <w:rPr>
          <w:color w:val="000000" w:themeColor="text1"/>
          <w14:textFill>
            <w14:solidFill>
              <w14:schemeClr w14:val="tx1"/>
            </w14:solidFill>
          </w14:textFill>
        </w:rPr>
        <w:alias w:val="是否适用：作为出租方的租赁分类标准和会计处理方法[双击切换]"/>
        <w:tag w:val="_GBC_5f67d3c5f08047cab6976824f73e97e9"/>
        <w:id w:val="1309276138"/>
        <w:placeholder>
          <w:docPart w:val="{0740b8a5-1ba0-4fc1-adab-1023569073ee}"/>
        </w:placeholder>
      </w:sdtPr>
      <w:sdtEndPr>
        <w:rPr>
          <w:color w:val="000000" w:themeColor="text1"/>
          <w14:textFill>
            <w14:solidFill>
              <w14:schemeClr w14:val="tx1"/>
            </w14:solidFill>
          </w14:textFill>
        </w:rPr>
      </w:sdtEndPr>
      <w:sdtContent>
        <w:p w14:paraId="3735453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作为出租方的租赁分类标准和会计处理方法"/>
        <w:tag w:val="_GBC_32ac25e0a5c442ef8da612bad391098d"/>
        <w:id w:val="915752831"/>
        <w:placeholder>
          <w:docPart w:val="{0740b8a5-1ba0-4fc1-adab-1023569073ee}"/>
        </w:placeholder>
      </w:sdtPr>
      <w:sdtEndPr>
        <w:rPr>
          <w:color w:val="000000" w:themeColor="text1"/>
          <w14:textFill>
            <w14:solidFill>
              <w14:schemeClr w14:val="tx1"/>
            </w14:solidFill>
          </w14:textFill>
        </w:rPr>
      </w:sdtEndPr>
      <w:sdtContent>
        <w:p w14:paraId="606F1761">
          <w:pPr>
            <w:rPr>
              <w:color w:val="000000" w:themeColor="text1"/>
              <w14:textFill>
                <w14:solidFill>
                  <w14:schemeClr w14:val="tx1"/>
                </w14:solidFill>
              </w14:textFill>
            </w:rPr>
          </w:pPr>
          <w:r>
            <w:rPr>
              <w:rFonts w:hint="eastAsia"/>
              <w:color w:val="000000" w:themeColor="text1"/>
              <w14:textFill>
                <w14:solidFill>
                  <w14:schemeClr w14:val="tx1"/>
                </w14:solidFill>
              </w14:textFill>
            </w:rPr>
            <w:t>在租赁开始日，公司将实质上转移了与租赁资产所有权有关的几乎全部风险和报酬的租赁划分为融资租赁，除此之外的均为经营租赁。</w:t>
          </w:r>
        </w:p>
        <w:p w14:paraId="3AD1D392">
          <w:pPr>
            <w:rPr>
              <w:color w:val="000000" w:themeColor="text1"/>
              <w14:textFill>
                <w14:solidFill>
                  <w14:schemeClr w14:val="tx1"/>
                </w14:solidFill>
              </w14:textFill>
            </w:rPr>
          </w:pPr>
          <w:r>
            <w:rPr>
              <w:rFonts w:hint="eastAsia"/>
              <w:color w:val="000000" w:themeColor="text1"/>
              <w14:textFill>
                <w14:solidFill>
                  <w14:schemeClr w14:val="tx1"/>
                </w14:solidFill>
              </w14:textFill>
            </w:rPr>
            <w:t>(1) 经营租赁</w:t>
          </w:r>
        </w:p>
        <w:p w14:paraId="07B343D7">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在租赁期内各个期间按照直线法将租赁收款额确认为租金收入，发生的初始直接费用予以资本化并按照与租金收入确认相同的基础进行分摊，分期计入当期损益。公司取得的与经营租赁有关的未计入租赁收款额的可变租赁付款额在实际发生时计入当期损益。</w:t>
          </w:r>
        </w:p>
        <w:p w14:paraId="61B05C30">
          <w:pPr>
            <w:rPr>
              <w:color w:val="000000" w:themeColor="text1"/>
              <w14:textFill>
                <w14:solidFill>
                  <w14:schemeClr w14:val="tx1"/>
                </w14:solidFill>
              </w14:textFill>
            </w:rPr>
          </w:pPr>
          <w:r>
            <w:rPr>
              <w:rFonts w:hint="eastAsia"/>
              <w:color w:val="000000" w:themeColor="text1"/>
              <w14:textFill>
                <w14:solidFill>
                  <w14:schemeClr w14:val="tx1"/>
                </w14:solidFill>
              </w14:textFill>
            </w:rPr>
            <w:t>(2) 融资租赁</w:t>
          </w:r>
        </w:p>
        <w:p w14:paraId="21C5ED82">
          <w:pPr>
            <w:rPr>
              <w:color w:val="000000" w:themeColor="text1"/>
              <w14:textFill>
                <w14:solidFill>
                  <w14:schemeClr w14:val="tx1"/>
                </w14:solidFill>
              </w14:textFill>
            </w:rPr>
          </w:pPr>
          <w:r>
            <w:rPr>
              <w:rFonts w:hint="eastAsia"/>
              <w:color w:val="000000" w:themeColor="text1"/>
              <w14:textFill>
                <w14:solidFill>
                  <w14:schemeClr w14:val="tx1"/>
                </w14:solidFill>
              </w14:textFill>
            </w:rPr>
            <w:t>在租赁期开始日，公司按照租赁投资净额（未担保余值和租赁期开始日尚未收到的租赁收款额按照租赁内含利率折现的现值之和）确认应收融资租赁款，并终止确认融资租赁资产。在租赁期的各个期间，公司按照租赁内含利率计算并确认利息收入。</w:t>
          </w:r>
        </w:p>
        <w:p w14:paraId="3971CC00">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公司取得的未纳入租赁投资净额计量的可变租赁付款额在实际发生时计入当期损益。</w:t>
          </w:r>
        </w:p>
      </w:sdtContent>
    </w:sdt>
    <w:p w14:paraId="79A8A2A3">
      <w:pPr>
        <w:rPr>
          <w:color w:val="000000" w:themeColor="text1"/>
          <w14:textFill>
            <w14:solidFill>
              <w14:schemeClr w14:val="tx1"/>
            </w14:solidFill>
          </w14:textFill>
        </w:rPr>
      </w:pPr>
    </w:p>
    <w:bookmarkEnd w:id="181"/>
    <w:bookmarkEnd w:id="182"/>
    <w:p w14:paraId="2E756AD1">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其他重要的会计政策和会计估计</w:t>
      </w:r>
    </w:p>
    <w:sdt>
      <w:sdtPr>
        <w:rPr>
          <w:color w:val="000000" w:themeColor="text1"/>
          <w14:textFill>
            <w14:solidFill>
              <w14:schemeClr w14:val="tx1"/>
            </w14:solidFill>
          </w14:textFill>
        </w:rPr>
        <w:alias w:val="是否适用：其他重要的会计政策和会计估计[双击切换]"/>
        <w:tag w:val="_GBC_b4281f4538de4623a036697d3903e1f8"/>
        <w:id w:val="147453258"/>
        <w:placeholder>
          <w:docPart w:val="GBC22222222222222222222222222222"/>
        </w:placeholder>
      </w:sdtPr>
      <w:sdtEndPr>
        <w:rPr>
          <w:color w:val="000000" w:themeColor="text1"/>
          <w14:textFill>
            <w14:solidFill>
              <w14:schemeClr w14:val="tx1"/>
            </w14:solidFill>
          </w14:textFill>
        </w:rPr>
      </w:sdtEndPr>
      <w:sdtContent>
        <w:p w14:paraId="481479B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22C678A">
      <w:pPr>
        <w:rPr>
          <w:color w:val="000000" w:themeColor="text1"/>
          <w14:textFill>
            <w14:solidFill>
              <w14:schemeClr w14:val="tx1"/>
            </w14:solidFill>
          </w14:textFill>
        </w:rPr>
      </w:pPr>
    </w:p>
    <w:p w14:paraId="12B23308">
      <w:pPr>
        <w:pStyle w:val="57"/>
        <w:numPr>
          <w:ilvl w:val="0"/>
          <w:numId w:val="46"/>
        </w:num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重要会计政策和会计估计的变更</w:t>
      </w:r>
    </w:p>
    <w:p w14:paraId="71C43056">
      <w:pPr>
        <w:pStyle w:val="58"/>
        <w:numPr>
          <w:ilvl w:val="3"/>
          <w:numId w:val="52"/>
        </w:numPr>
        <w:ind w:left="426" w:hanging="426"/>
        <w:rPr>
          <w:rFonts w:ascii="宋体" w:hAnsi="宋体"/>
          <w:color w:val="000000" w:themeColor="text1"/>
          <w14:textFill>
            <w14:solidFill>
              <w14:schemeClr w14:val="tx1"/>
            </w14:solidFill>
          </w14:textFill>
        </w:rPr>
      </w:pPr>
      <w:bookmarkStart w:id="183" w:name="_Hlk169007887"/>
      <w:r>
        <w:rPr>
          <w:rFonts w:hint="eastAsia" w:ascii="宋体" w:hAnsi="宋体"/>
          <w:color w:val="000000" w:themeColor="text1"/>
          <w14:textFill>
            <w14:solidFill>
              <w14:schemeClr w14:val="tx1"/>
            </w14:solidFill>
          </w14:textFill>
        </w:rPr>
        <w:t>重要</w:t>
      </w:r>
      <w:r>
        <w:rPr>
          <w:rFonts w:ascii="宋体" w:hAnsi="宋体"/>
          <w:color w:val="000000" w:themeColor="text1"/>
          <w14:textFill>
            <w14:solidFill>
              <w14:schemeClr w14:val="tx1"/>
            </w14:solidFill>
          </w14:textFill>
        </w:rPr>
        <w:t>会计政策变更</w:t>
      </w:r>
    </w:p>
    <w:sdt>
      <w:sdtPr>
        <w:rPr>
          <w:color w:val="000000" w:themeColor="text1"/>
          <w14:textFill>
            <w14:solidFill>
              <w14:schemeClr w14:val="tx1"/>
            </w14:solidFill>
          </w14:textFill>
        </w:rPr>
        <w:alias w:val="是否适用：重要会计政策变更[双击切换]"/>
        <w:tag w:val="_GBC_f1ebc580f60c4d30a80747190ffbec4f"/>
        <w:id w:val="147458043"/>
        <w:placeholder>
          <w:docPart w:val="GBC22222222222222222222222222222"/>
        </w:placeholder>
      </w:sdtPr>
      <w:sdtEndPr>
        <w:rPr>
          <w:color w:val="000000" w:themeColor="text1"/>
          <w14:textFill>
            <w14:solidFill>
              <w14:schemeClr w14:val="tx1"/>
            </w14:solidFill>
          </w14:textFill>
        </w:rPr>
      </w:sdtEndPr>
      <w:sdtContent>
        <w:p w14:paraId="378E20BC">
          <w:pPr>
            <w:rPr>
              <w:rFonts w:cs="Times New Roman"/>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3500CD">
      <w:pPr>
        <w:rPr>
          <w:color w:val="000000" w:themeColor="text1"/>
          <w14:textFill>
            <w14:solidFill>
              <w14:schemeClr w14:val="tx1"/>
            </w14:solidFill>
          </w14:textFill>
        </w:rPr>
      </w:pPr>
    </w:p>
    <w:p w14:paraId="385AF571">
      <w:pPr>
        <w:pStyle w:val="58"/>
        <w:numPr>
          <w:ilvl w:val="3"/>
          <w:numId w:val="52"/>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重要会计估计变更</w:t>
      </w:r>
    </w:p>
    <w:sdt>
      <w:sdtPr>
        <w:rPr>
          <w:color w:val="000000" w:themeColor="text1"/>
          <w14:textFill>
            <w14:solidFill>
              <w14:schemeClr w14:val="tx1"/>
            </w14:solidFill>
          </w14:textFill>
        </w:rPr>
        <w:alias w:val="是否适用：重要会计估计变更[双击切换]"/>
        <w:tag w:val="_GBC_902f08bd36774074945386d2d1f9b67d"/>
        <w:id w:val="147455783"/>
        <w:placeholder>
          <w:docPart w:val="GBC22222222222222222222222222222"/>
        </w:placeholder>
      </w:sdtPr>
      <w:sdtEndPr>
        <w:rPr>
          <w:color w:val="000000" w:themeColor="text1"/>
          <w14:textFill>
            <w14:solidFill>
              <w14:schemeClr w14:val="tx1"/>
            </w14:solidFill>
          </w14:textFill>
        </w:rPr>
      </w:sdtEndPr>
      <w:sdtContent>
        <w:p w14:paraId="22CE4CCB">
          <w:pPr>
            <w:rPr>
              <w:rFonts w:cs="Times New Roman"/>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58C6108">
      <w:pPr>
        <w:rPr>
          <w:color w:val="000000" w:themeColor="text1"/>
          <w14:textFill>
            <w14:solidFill>
              <w14:schemeClr w14:val="tx1"/>
            </w14:solidFill>
          </w14:textFill>
        </w:rPr>
      </w:pPr>
    </w:p>
    <w:bookmarkEnd w:id="183"/>
    <w:p w14:paraId="769D488B">
      <w:pPr>
        <w:pStyle w:val="58"/>
        <w:numPr>
          <w:ilvl w:val="3"/>
          <w:numId w:val="52"/>
        </w:numPr>
        <w:ind w:left="426" w:hanging="426"/>
        <w:rPr>
          <w:rFonts w:ascii="宋体" w:hAnsi="宋体"/>
          <w:color w:val="000000" w:themeColor="text1"/>
          <w14:textFill>
            <w14:solidFill>
              <w14:schemeClr w14:val="tx1"/>
            </w14:solidFill>
          </w14:textFill>
        </w:rPr>
      </w:pPr>
      <w:bookmarkStart w:id="184" w:name="_Hlk10465969"/>
      <w:bookmarkEnd w:id="184"/>
      <w:bookmarkStart w:id="185" w:name="_Hlk24100246"/>
      <w:bookmarkStart w:id="186" w:name="_Hlk137050657"/>
      <w:r>
        <w:rPr>
          <w:rFonts w:hint="eastAsia" w:ascii="宋体" w:hAnsi="宋体"/>
          <w:color w:val="000000" w:themeColor="text1"/>
          <w14:textFill>
            <w14:solidFill>
              <w14:schemeClr w14:val="tx1"/>
            </w14:solidFill>
          </w14:textFill>
        </w:rPr>
        <w:t>2025年起首次执行新会计准则或准则解释等涉及调整首次执行当年年初的财务报表</w:t>
      </w:r>
    </w:p>
    <w:sdt>
      <w:sdtPr>
        <w:rPr>
          <w:rFonts w:hint="eastAsia"/>
          <w:color w:val="000000" w:themeColor="text1"/>
          <w14:textFill>
            <w14:solidFill>
              <w14:schemeClr w14:val="tx1"/>
            </w14:solidFill>
          </w14:textFill>
        </w:rPr>
        <w:alias w:val="是否适用：首次执行新金融工具准则或新收入准则调整首次执行当年年初财务报表相关项目情况[双击切换]"/>
        <w:tag w:val="_GBC_8608c1ec447d48978e05546e78cb2ffc"/>
        <w:id w:val="147478794"/>
        <w:placeholder>
          <w:docPart w:val="GBC22222222222222222222222222222"/>
        </w:placeholder>
      </w:sdtPr>
      <w:sdtEndPr>
        <w:rPr>
          <w:rFonts w:hint="eastAsia"/>
          <w:color w:val="000000" w:themeColor="text1"/>
          <w14:textFill>
            <w14:solidFill>
              <w14:schemeClr w14:val="tx1"/>
            </w14:solidFill>
          </w14:textFill>
        </w:rPr>
      </w:sdtEndPr>
      <w:sdtContent>
        <w:p w14:paraId="24B1F41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563151D">
      <w:pPr>
        <w:rPr>
          <w:color w:val="000000" w:themeColor="text1"/>
          <w14:textFill>
            <w14:solidFill>
              <w14:schemeClr w14:val="tx1"/>
            </w14:solidFill>
          </w14:textFill>
        </w:rPr>
      </w:pPr>
    </w:p>
    <w:bookmarkEnd w:id="185"/>
    <w:bookmarkEnd w:id="186"/>
    <w:p w14:paraId="5CBD79A6">
      <w:pPr>
        <w:pStyle w:val="57"/>
        <w:numPr>
          <w:ilvl w:val="0"/>
          <w:numId w:val="46"/>
        </w:numPr>
        <w:rPr>
          <w:rFonts w:ascii="宋体" w:hAnsi="宋体"/>
          <w:color w:val="000000" w:themeColor="text1"/>
          <w14:textFill>
            <w14:solidFill>
              <w14:schemeClr w14:val="tx1"/>
            </w14:solidFill>
          </w14:textFill>
        </w:rPr>
      </w:pPr>
      <w:bookmarkStart w:id="187" w:name="_Hlk137051084"/>
      <w:bookmarkEnd w:id="187"/>
      <w:bookmarkStart w:id="188" w:name="_Hlk24100423"/>
      <w:bookmarkEnd w:id="188"/>
      <w:r>
        <w:rPr>
          <w:rFonts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公司主要会计政策、会计估计和前期差错的其他说明[双击切换]"/>
        <w:tag w:val="_GBC_6deb29735f384e0d9a2b017d4265a493"/>
        <w:id w:val="147470207"/>
        <w:placeholder>
          <w:docPart w:val="GBC22222222222222222222222222222"/>
        </w:placeholder>
      </w:sdtPr>
      <w:sdtEndPr>
        <w:rPr>
          <w:rFonts w:hint="eastAsia"/>
          <w:color w:val="000000" w:themeColor="text1"/>
          <w14:textFill>
            <w14:solidFill>
              <w14:schemeClr w14:val="tx1"/>
            </w14:solidFill>
          </w14:textFill>
        </w:rPr>
      </w:sdtEndPr>
      <w:sdtContent>
        <w:p w14:paraId="591B6AF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9EFCF0F">
      <w:pPr>
        <w:rPr>
          <w:color w:val="000000" w:themeColor="text1"/>
          <w14:textFill>
            <w14:solidFill>
              <w14:schemeClr w14:val="tx1"/>
            </w14:solidFill>
          </w14:textFill>
        </w:rPr>
      </w:pPr>
    </w:p>
    <w:p w14:paraId="373AAF70">
      <w:pPr>
        <w:rPr>
          <w:color w:val="000000" w:themeColor="text1"/>
          <w14:textFill>
            <w14:solidFill>
              <w14:schemeClr w14:val="tx1"/>
            </w14:solidFill>
          </w14:textFill>
        </w:rPr>
      </w:pPr>
    </w:p>
    <w:p w14:paraId="41D64816">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税项</w:t>
      </w:r>
    </w:p>
    <w:p w14:paraId="6C3C75DF">
      <w:pPr>
        <w:pStyle w:val="57"/>
        <w:numPr>
          <w:ilvl w:val="0"/>
          <w:numId w:val="53"/>
        </w:numPr>
        <w:tabs>
          <w:tab w:val="left" w:pos="546"/>
        </w:tabs>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主要税种及税率</w:t>
      </w:r>
    </w:p>
    <w:p w14:paraId="6925B03A">
      <w:pPr>
        <w:rPr>
          <w:color w:val="000000" w:themeColor="text1"/>
          <w14:textFill>
            <w14:solidFill>
              <w14:schemeClr w14:val="tx1"/>
            </w14:solidFill>
          </w14:textFill>
        </w:rPr>
      </w:pPr>
      <w:r>
        <w:rPr>
          <w:rFonts w:hint="eastAsia"/>
          <w:color w:val="000000" w:themeColor="text1"/>
          <w14:textFill>
            <w14:solidFill>
              <w14:schemeClr w14:val="tx1"/>
            </w14:solidFill>
          </w14:textFill>
        </w:rPr>
        <w:t>主要税种及税率情况</w:t>
      </w:r>
    </w:p>
    <w:sdt>
      <w:sdtPr>
        <w:rPr>
          <w:color w:val="000000" w:themeColor="text1"/>
          <w14:textFill>
            <w14:solidFill>
              <w14:schemeClr w14:val="tx1"/>
            </w14:solidFill>
          </w14:textFill>
        </w:rPr>
        <w:alias w:val="是否适用：主要税种及税率情况 [双击切换]"/>
        <w:tag w:val="_GBC_fd47fa4fd9aa499c8903795268a25582"/>
        <w:id w:val="147464734"/>
        <w:placeholder>
          <w:docPart w:val="GBC22222222222222222222222222222"/>
        </w:placeholder>
      </w:sdtPr>
      <w:sdtEndPr>
        <w:rPr>
          <w:color w:val="000000" w:themeColor="text1"/>
          <w14:textFill>
            <w14:solidFill>
              <w14:schemeClr w14:val="tx1"/>
            </w14:solidFill>
          </w14:textFill>
        </w:rPr>
      </w:sdtEndPr>
      <w:sdtContent>
        <w:p w14:paraId="7293CE9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5"/>
        <w:gridCol w:w="4362"/>
        <w:gridCol w:w="2802"/>
      </w:tblGrid>
      <w:tr w14:paraId="728D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7d49d0412b143bf84fec865b918065a"/>
            <w:id w:val="147465845"/>
          </w:sdtPr>
          <w:sdtContent>
            <w:tc>
              <w:tcPr>
                <w:tcW w:w="1042" w:type="pct"/>
                <w:vAlign w:val="center"/>
              </w:tcPr>
              <w:p w14:paraId="6540B72C">
                <w:pPr>
                  <w:jc w:val="center"/>
                  <w:rPr>
                    <w:color w:val="000000" w:themeColor="text1"/>
                    <w14:textFill>
                      <w14:solidFill>
                        <w14:schemeClr w14:val="tx1"/>
                      </w14:solidFill>
                    </w14:textFill>
                  </w:rPr>
                </w:pPr>
                <w:r>
                  <w:rPr>
                    <w:color w:val="000000" w:themeColor="text1"/>
                    <w14:textFill>
                      <w14:solidFill>
                        <w14:schemeClr w14:val="tx1"/>
                      </w14:solidFill>
                    </w14:textFill>
                  </w:rPr>
                  <w:t>税种</w:t>
                </w:r>
              </w:p>
            </w:tc>
          </w:sdtContent>
        </w:sdt>
        <w:sdt>
          <w:sdtPr>
            <w:tag w:val="_PLD_e42202809983483baa812ed26e1b27a2"/>
            <w:id w:val="147466992"/>
          </w:sdtPr>
          <w:sdtContent>
            <w:tc>
              <w:tcPr>
                <w:tcW w:w="2410" w:type="pct"/>
                <w:vAlign w:val="center"/>
              </w:tcPr>
              <w:p w14:paraId="0386AF4D">
                <w:pPr>
                  <w:jc w:val="center"/>
                  <w:rPr>
                    <w:color w:val="000000" w:themeColor="text1"/>
                    <w14:textFill>
                      <w14:solidFill>
                        <w14:schemeClr w14:val="tx1"/>
                      </w14:solidFill>
                    </w14:textFill>
                  </w:rPr>
                </w:pPr>
                <w:r>
                  <w:rPr>
                    <w:color w:val="000000" w:themeColor="text1"/>
                    <w14:textFill>
                      <w14:solidFill>
                        <w14:schemeClr w14:val="tx1"/>
                      </w14:solidFill>
                    </w14:textFill>
                  </w:rPr>
                  <w:t>计税依据</w:t>
                </w:r>
              </w:p>
            </w:tc>
          </w:sdtContent>
        </w:sdt>
        <w:sdt>
          <w:sdtPr>
            <w:tag w:val="_PLD_0cebc7a4c62844c6b35146cd64cd4277"/>
            <w:id w:val="147468173"/>
          </w:sdtPr>
          <w:sdtContent>
            <w:tc>
              <w:tcPr>
                <w:tcW w:w="1548" w:type="pct"/>
                <w:vAlign w:val="center"/>
              </w:tcPr>
              <w:p w14:paraId="42438B6C">
                <w:pPr>
                  <w:jc w:val="center"/>
                  <w:rPr>
                    <w:color w:val="000000" w:themeColor="text1"/>
                    <w14:textFill>
                      <w14:solidFill>
                        <w14:schemeClr w14:val="tx1"/>
                      </w14:solidFill>
                    </w14:textFill>
                  </w:rPr>
                </w:pPr>
                <w:r>
                  <w:rPr>
                    <w:color w:val="000000" w:themeColor="text1"/>
                    <w14:textFill>
                      <w14:solidFill>
                        <w14:schemeClr w14:val="tx1"/>
                      </w14:solidFill>
                    </w14:textFill>
                  </w:rPr>
                  <w:t>税率</w:t>
                </w:r>
              </w:p>
            </w:tc>
          </w:sdtContent>
        </w:sdt>
      </w:tr>
      <w:tr w14:paraId="17C4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72270E0F">
            <w:pPr>
              <w:jc w:val="both"/>
              <w:rPr>
                <w:color w:val="000000" w:themeColor="text1"/>
                <w14:textFill>
                  <w14:solidFill>
                    <w14:schemeClr w14:val="tx1"/>
                  </w14:solidFill>
                </w14:textFill>
              </w:rPr>
            </w:pPr>
            <w:r>
              <w:rPr>
                <w:color w:val="000000" w:themeColor="text1"/>
                <w14:textFill>
                  <w14:solidFill>
                    <w14:schemeClr w14:val="tx1"/>
                  </w14:solidFill>
                </w14:textFill>
              </w:rPr>
              <w:t>增值税</w:t>
            </w:r>
          </w:p>
        </w:tc>
        <w:tc>
          <w:tcPr>
            <w:tcW w:w="2410" w:type="pct"/>
            <w:vAlign w:val="center"/>
          </w:tcPr>
          <w:p w14:paraId="0559670B">
            <w:pPr>
              <w:jc w:val="both"/>
            </w:pPr>
            <w:r>
              <w:rPr>
                <w:rFonts w:hint="eastAsia"/>
                <w:color w:val="000000"/>
              </w:rPr>
              <w:t>按税法规定计算的销售货物和应税劳务收入为基础计算销项税额，在扣除当期允许抵扣的进项税额后，差额部分为应交增值税</w:t>
            </w:r>
          </w:p>
        </w:tc>
        <w:tc>
          <w:tcPr>
            <w:tcW w:w="1548" w:type="pct"/>
            <w:vAlign w:val="center"/>
          </w:tcPr>
          <w:p w14:paraId="60012EB9">
            <w:pPr>
              <w:jc w:val="both"/>
            </w:pPr>
            <w:r>
              <w:rPr>
                <w:rFonts w:hint="eastAsia"/>
                <w:color w:val="000000"/>
              </w:rPr>
              <w:t>3%、5%、6%、9%、13%</w:t>
            </w:r>
          </w:p>
        </w:tc>
      </w:tr>
      <w:tr w14:paraId="67C5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36D4E5B8">
            <w:pPr>
              <w:jc w:val="both"/>
              <w:rPr>
                <w:color w:val="000000" w:themeColor="text1"/>
                <w14:textFill>
                  <w14:solidFill>
                    <w14:schemeClr w14:val="tx1"/>
                  </w14:solidFill>
                </w14:textFill>
              </w:rPr>
            </w:pPr>
            <w:r>
              <w:rPr>
                <w:color w:val="000000" w:themeColor="text1"/>
                <w14:textFill>
                  <w14:solidFill>
                    <w14:schemeClr w14:val="tx1"/>
                  </w14:solidFill>
                </w14:textFill>
              </w:rPr>
              <w:t>城市维护建设税</w:t>
            </w:r>
          </w:p>
        </w:tc>
        <w:tc>
          <w:tcPr>
            <w:tcW w:w="2410" w:type="pct"/>
            <w:vAlign w:val="center"/>
          </w:tcPr>
          <w:p w14:paraId="54C64E93">
            <w:pPr>
              <w:jc w:val="both"/>
            </w:pPr>
            <w:r>
              <w:rPr>
                <w:rFonts w:hint="eastAsia"/>
                <w:color w:val="000000"/>
              </w:rPr>
              <w:t>按实际缴纳的增值税计缴</w:t>
            </w:r>
          </w:p>
        </w:tc>
        <w:tc>
          <w:tcPr>
            <w:tcW w:w="1548" w:type="pct"/>
            <w:vAlign w:val="center"/>
          </w:tcPr>
          <w:p w14:paraId="55FBBCDD">
            <w:pPr>
              <w:jc w:val="both"/>
            </w:pPr>
            <w:r>
              <w:rPr>
                <w:rFonts w:hint="eastAsia"/>
                <w:color w:val="000000"/>
              </w:rPr>
              <w:t>5%、7%</w:t>
            </w:r>
          </w:p>
        </w:tc>
      </w:tr>
      <w:tr w14:paraId="6E1F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5CE16B86">
            <w:pPr>
              <w:jc w:val="both"/>
              <w:rPr>
                <w:color w:val="000000" w:themeColor="text1"/>
                <w14:textFill>
                  <w14:solidFill>
                    <w14:schemeClr w14:val="tx1"/>
                  </w14:solidFill>
                </w14:textFill>
              </w:rPr>
            </w:pPr>
            <w:r>
              <w:rPr>
                <w:color w:val="000000" w:themeColor="text1"/>
                <w14:textFill>
                  <w14:solidFill>
                    <w14:schemeClr w14:val="tx1"/>
                  </w14:solidFill>
                </w14:textFill>
              </w:rPr>
              <w:t>教育费附加</w:t>
            </w:r>
          </w:p>
        </w:tc>
        <w:tc>
          <w:tcPr>
            <w:tcW w:w="2410" w:type="pct"/>
            <w:vAlign w:val="center"/>
          </w:tcPr>
          <w:p w14:paraId="3D3289EF">
            <w:pPr>
              <w:jc w:val="both"/>
            </w:pPr>
            <w:r>
              <w:rPr>
                <w:rFonts w:hint="eastAsia"/>
                <w:color w:val="000000"/>
              </w:rPr>
              <w:t>按实际缴纳的增值税计缴</w:t>
            </w:r>
          </w:p>
        </w:tc>
        <w:tc>
          <w:tcPr>
            <w:tcW w:w="1548" w:type="pct"/>
            <w:vAlign w:val="center"/>
          </w:tcPr>
          <w:p w14:paraId="154A7DB0">
            <w:pPr>
              <w:jc w:val="both"/>
            </w:pPr>
            <w:r>
              <w:rPr>
                <w:rFonts w:hint="eastAsia"/>
                <w:color w:val="000000"/>
              </w:rPr>
              <w:t>3%</w:t>
            </w:r>
          </w:p>
        </w:tc>
      </w:tr>
      <w:tr w14:paraId="3F37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1160B2FB">
            <w:pPr>
              <w:jc w:val="both"/>
            </w:pPr>
            <w:r>
              <w:rPr>
                <w:color w:val="000000" w:themeColor="text1"/>
                <w14:textFill>
                  <w14:solidFill>
                    <w14:schemeClr w14:val="tx1"/>
                  </w14:solidFill>
                </w14:textFill>
              </w:rPr>
              <w:t>地方教育费附加</w:t>
            </w:r>
          </w:p>
        </w:tc>
        <w:tc>
          <w:tcPr>
            <w:tcW w:w="2410" w:type="pct"/>
            <w:vAlign w:val="center"/>
          </w:tcPr>
          <w:p w14:paraId="4BFDF7CE">
            <w:pPr>
              <w:jc w:val="both"/>
            </w:pPr>
            <w:r>
              <w:rPr>
                <w:rFonts w:hint="eastAsia"/>
                <w:color w:val="000000"/>
              </w:rPr>
              <w:t>按实际缴纳的增值税计缴</w:t>
            </w:r>
          </w:p>
        </w:tc>
        <w:tc>
          <w:tcPr>
            <w:tcW w:w="1548" w:type="pct"/>
            <w:vAlign w:val="center"/>
          </w:tcPr>
          <w:p w14:paraId="472177CD">
            <w:pPr>
              <w:jc w:val="both"/>
            </w:pPr>
            <w:r>
              <w:rPr>
                <w:rFonts w:hint="eastAsia"/>
                <w:color w:val="000000"/>
              </w:rPr>
              <w:t>2%</w:t>
            </w:r>
          </w:p>
        </w:tc>
      </w:tr>
      <w:tr w14:paraId="3C0B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50D52AE2">
            <w:pPr>
              <w:jc w:val="both"/>
            </w:pPr>
            <w:r>
              <w:rPr>
                <w:color w:val="000000" w:themeColor="text1"/>
                <w14:textFill>
                  <w14:solidFill>
                    <w14:schemeClr w14:val="tx1"/>
                  </w14:solidFill>
                </w14:textFill>
              </w:rPr>
              <w:t>企业所得税</w:t>
            </w:r>
          </w:p>
        </w:tc>
        <w:tc>
          <w:tcPr>
            <w:tcW w:w="2410" w:type="pct"/>
            <w:vAlign w:val="center"/>
          </w:tcPr>
          <w:p w14:paraId="7BFBC590">
            <w:pPr>
              <w:jc w:val="both"/>
            </w:pPr>
            <w:r>
              <w:rPr>
                <w:rFonts w:hint="eastAsia"/>
                <w:color w:val="000000"/>
              </w:rPr>
              <w:t>应纳税所得额</w:t>
            </w:r>
          </w:p>
        </w:tc>
        <w:tc>
          <w:tcPr>
            <w:tcW w:w="1548" w:type="pct"/>
            <w:vAlign w:val="center"/>
          </w:tcPr>
          <w:p w14:paraId="47623890">
            <w:pPr>
              <w:jc w:val="both"/>
            </w:pPr>
            <w:r>
              <w:rPr>
                <w:rFonts w:hint="eastAsia"/>
                <w:color w:val="000000"/>
              </w:rPr>
              <w:t>15%、20%、25%</w:t>
            </w:r>
          </w:p>
        </w:tc>
      </w:tr>
      <w:tr w14:paraId="690B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2" w:type="pct"/>
            <w:vAlign w:val="center"/>
          </w:tcPr>
          <w:p w14:paraId="7E63BDB6">
            <w:pPr>
              <w:jc w:val="both"/>
              <w:rPr>
                <w:color w:val="000000" w:themeColor="text1"/>
                <w14:textFill>
                  <w14:solidFill>
                    <w14:schemeClr w14:val="tx1"/>
                  </w14:solidFill>
                </w14:textFill>
              </w:rPr>
            </w:pPr>
            <w:r>
              <w:rPr>
                <w:color w:val="000000" w:themeColor="text1"/>
                <w14:textFill>
                  <w14:solidFill>
                    <w14:schemeClr w14:val="tx1"/>
                  </w14:solidFill>
                </w14:textFill>
              </w:rPr>
              <w:t>房产税</w:t>
            </w:r>
          </w:p>
        </w:tc>
        <w:tc>
          <w:tcPr>
            <w:tcW w:w="2410" w:type="pct"/>
            <w:vAlign w:val="center"/>
          </w:tcPr>
          <w:p w14:paraId="7DDFD86C">
            <w:pPr>
              <w:jc w:val="both"/>
              <w:rPr>
                <w:color w:val="000000"/>
              </w:rPr>
            </w:pPr>
            <w:r>
              <w:rPr>
                <w:color w:val="000000"/>
              </w:rPr>
              <w:t>从价计征的，按房产原值一次减除20%-30%后余值的1.2%计缴；从租计征的，按租金收入的12%计缴</w:t>
            </w:r>
          </w:p>
        </w:tc>
        <w:tc>
          <w:tcPr>
            <w:tcW w:w="1548" w:type="pct"/>
            <w:vAlign w:val="center"/>
          </w:tcPr>
          <w:p w14:paraId="698F31DF">
            <w:pPr>
              <w:jc w:val="both"/>
              <w:rPr>
                <w:color w:val="000000"/>
              </w:rPr>
            </w:pPr>
            <w:r>
              <w:rPr>
                <w:color w:val="000000"/>
              </w:rPr>
              <w:t>1.2%、12%</w:t>
            </w:r>
          </w:p>
        </w:tc>
      </w:tr>
    </w:tbl>
    <w:p w14:paraId="0A507F42">
      <w:pPr>
        <w:rPr>
          <w:color w:val="000000" w:themeColor="text1"/>
          <w14:textFill>
            <w14:solidFill>
              <w14:schemeClr w14:val="tx1"/>
            </w14:solidFill>
          </w14:textFill>
        </w:rPr>
      </w:pPr>
    </w:p>
    <w:p w14:paraId="76800A79">
      <w:pPr>
        <w:rPr>
          <w:color w:val="000000" w:themeColor="text1"/>
          <w14:textFill>
            <w14:solidFill>
              <w14:schemeClr w14:val="tx1"/>
            </w14:solidFill>
          </w14:textFill>
        </w:rPr>
      </w:pPr>
      <w:r>
        <w:rPr>
          <w:rFonts w:hint="eastAsia"/>
          <w:color w:val="000000" w:themeColor="text1"/>
          <w14:textFill>
            <w14:solidFill>
              <w14:schemeClr w14:val="tx1"/>
            </w14:solidFill>
          </w14:textFill>
        </w:rPr>
        <w:t>存在不同企业所得税税率纳税主体的，披露情况说明</w:t>
      </w:r>
    </w:p>
    <w:sdt>
      <w:sdtPr>
        <w:rPr>
          <w:color w:val="000000" w:themeColor="text1"/>
          <w14:textFill>
            <w14:solidFill>
              <w14:schemeClr w14:val="tx1"/>
            </w14:solidFill>
          </w14:textFill>
        </w:rPr>
        <w:alias w:val="是否适用：存在不同企业所得税税率纳税主体的，披露情况说明[双击切换]"/>
        <w:tag w:val="_GBC_848dc0d1182048ccb5485f3b0d7d1d70"/>
        <w:id w:val="147478491"/>
        <w:placeholder>
          <w:docPart w:val="GBC22222222222222222222222222222"/>
        </w:placeholder>
      </w:sdtPr>
      <w:sdtEndPr>
        <w:rPr>
          <w:color w:val="000000" w:themeColor="text1"/>
          <w14:textFill>
            <w14:solidFill>
              <w14:schemeClr w14:val="tx1"/>
            </w14:solidFill>
          </w14:textFill>
        </w:rPr>
      </w:sdtEndPr>
      <w:sdtContent>
        <w:p w14:paraId="2D0475A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602"/>
        <w:gridCol w:w="4447"/>
      </w:tblGrid>
      <w:tr w14:paraId="4AB8A8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blHeader/>
        </w:trPr>
        <w:sdt>
          <w:sdtPr>
            <w:tag w:val="_PLD_440a50b0d3fa4b22b061006e717665d8"/>
            <w:id w:val="147470230"/>
          </w:sdtPr>
          <w:sdtContent>
            <w:tc>
              <w:tcPr>
                <w:tcW w:w="2543" w:type="pct"/>
                <w:tcBorders>
                  <w:bottom w:val="single" w:color="auto" w:sz="4" w:space="0"/>
                </w:tcBorders>
                <w:vAlign w:val="center"/>
              </w:tcPr>
              <w:p w14:paraId="1AC53239">
                <w:pPr>
                  <w:jc w:val="center"/>
                </w:pPr>
                <w:r>
                  <w:rPr>
                    <w:rFonts w:hint="eastAsia"/>
                  </w:rPr>
                  <w:t>纳税主体名称</w:t>
                </w:r>
              </w:p>
            </w:tc>
          </w:sdtContent>
        </w:sdt>
        <w:sdt>
          <w:sdtPr>
            <w:tag w:val="_PLD_5c2541995bc04204a53104c1e5a4c9da"/>
            <w:id w:val="147479875"/>
          </w:sdtPr>
          <w:sdtContent>
            <w:tc>
              <w:tcPr>
                <w:tcW w:w="2457" w:type="pct"/>
                <w:tcBorders>
                  <w:bottom w:val="single" w:color="auto" w:sz="4" w:space="0"/>
                </w:tcBorders>
                <w:vAlign w:val="center"/>
              </w:tcPr>
              <w:p w14:paraId="263216C9">
                <w:pPr>
                  <w:jc w:val="center"/>
                </w:pPr>
                <w:r>
                  <w:rPr>
                    <w:rFonts w:hint="eastAsia"/>
                  </w:rPr>
                  <w:t>所得税税率（%）</w:t>
                </w:r>
              </w:p>
            </w:tc>
          </w:sdtContent>
        </w:sdt>
      </w:tr>
      <w:tr w14:paraId="5B2A3D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548752A3">
            <w:r>
              <w:rPr>
                <w:rFonts w:hint="eastAsia"/>
              </w:rPr>
              <w:t>内蒙古际华森普利服装皮业有限公司</w:t>
            </w:r>
          </w:p>
        </w:tc>
        <w:tc>
          <w:tcPr>
            <w:tcW w:w="2457" w:type="pct"/>
            <w:tcBorders>
              <w:top w:val="single" w:color="auto" w:sz="4" w:space="0"/>
              <w:left w:val="single" w:color="auto" w:sz="4" w:space="0"/>
              <w:bottom w:val="single" w:color="auto" w:sz="4" w:space="0"/>
            </w:tcBorders>
            <w:vAlign w:val="center"/>
          </w:tcPr>
          <w:p w14:paraId="2D9271EA">
            <w:pPr>
              <w:jc w:val="center"/>
            </w:pPr>
            <w:r>
              <w:rPr>
                <w:rFonts w:hint="eastAsia"/>
                <w:color w:val="000000"/>
              </w:rPr>
              <w:t>15</w:t>
            </w:r>
          </w:p>
        </w:tc>
      </w:tr>
      <w:tr w14:paraId="53653C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4EC5CFE0">
            <w:r>
              <w:rPr>
                <w:rFonts w:hint="eastAsia"/>
                <w:color w:val="000000"/>
              </w:rPr>
              <w:t>际华三五三六实业有限公司</w:t>
            </w:r>
          </w:p>
        </w:tc>
        <w:tc>
          <w:tcPr>
            <w:tcW w:w="2457" w:type="pct"/>
            <w:tcBorders>
              <w:top w:val="single" w:color="auto" w:sz="4" w:space="0"/>
              <w:left w:val="single" w:color="auto" w:sz="4" w:space="0"/>
              <w:bottom w:val="single" w:color="auto" w:sz="4" w:space="0"/>
            </w:tcBorders>
            <w:vAlign w:val="center"/>
          </w:tcPr>
          <w:p w14:paraId="7868E97B">
            <w:pPr>
              <w:jc w:val="center"/>
            </w:pPr>
            <w:r>
              <w:rPr>
                <w:rFonts w:hint="eastAsia"/>
                <w:color w:val="000000"/>
              </w:rPr>
              <w:t>15</w:t>
            </w:r>
          </w:p>
        </w:tc>
      </w:tr>
      <w:tr w14:paraId="1E1D7A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65DAC475">
            <w:r>
              <w:rPr>
                <w:rFonts w:hint="eastAsia"/>
                <w:color w:val="000000"/>
              </w:rPr>
              <w:t>际华制鞋工业有限公司</w:t>
            </w:r>
          </w:p>
        </w:tc>
        <w:tc>
          <w:tcPr>
            <w:tcW w:w="2457" w:type="pct"/>
            <w:tcBorders>
              <w:top w:val="single" w:color="auto" w:sz="4" w:space="0"/>
              <w:left w:val="single" w:color="auto" w:sz="4" w:space="0"/>
              <w:bottom w:val="single" w:color="auto" w:sz="4" w:space="0"/>
            </w:tcBorders>
            <w:vAlign w:val="center"/>
          </w:tcPr>
          <w:p w14:paraId="467AF380">
            <w:pPr>
              <w:jc w:val="center"/>
            </w:pPr>
            <w:r>
              <w:rPr>
                <w:rFonts w:hint="eastAsia"/>
                <w:color w:val="000000"/>
              </w:rPr>
              <w:t>15</w:t>
            </w:r>
          </w:p>
        </w:tc>
      </w:tr>
      <w:tr w14:paraId="582086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2E164474">
            <w:r>
              <w:rPr>
                <w:rFonts w:hint="eastAsia"/>
                <w:color w:val="000000"/>
              </w:rPr>
              <w:t>际华三五一二皮革服装有限公司</w:t>
            </w:r>
          </w:p>
        </w:tc>
        <w:tc>
          <w:tcPr>
            <w:tcW w:w="2457" w:type="pct"/>
            <w:tcBorders>
              <w:top w:val="single" w:color="auto" w:sz="4" w:space="0"/>
              <w:left w:val="single" w:color="auto" w:sz="4" w:space="0"/>
              <w:bottom w:val="single" w:color="auto" w:sz="4" w:space="0"/>
            </w:tcBorders>
            <w:vAlign w:val="center"/>
          </w:tcPr>
          <w:p w14:paraId="5DC10B82">
            <w:pPr>
              <w:jc w:val="center"/>
            </w:pPr>
            <w:r>
              <w:rPr>
                <w:rFonts w:hint="eastAsia"/>
                <w:color w:val="000000"/>
              </w:rPr>
              <w:t>15</w:t>
            </w:r>
          </w:p>
        </w:tc>
      </w:tr>
      <w:tr w14:paraId="7A88D9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6A023988">
            <w:r>
              <w:rPr>
                <w:rFonts w:hint="eastAsia"/>
                <w:color w:val="000000"/>
              </w:rPr>
              <w:t>新疆际华七五五五职业装有限公司</w:t>
            </w:r>
          </w:p>
        </w:tc>
        <w:tc>
          <w:tcPr>
            <w:tcW w:w="2457" w:type="pct"/>
            <w:tcBorders>
              <w:top w:val="single" w:color="auto" w:sz="4" w:space="0"/>
              <w:left w:val="single" w:color="auto" w:sz="4" w:space="0"/>
              <w:bottom w:val="single" w:color="auto" w:sz="4" w:space="0"/>
            </w:tcBorders>
            <w:vAlign w:val="center"/>
          </w:tcPr>
          <w:p w14:paraId="6B2585FF">
            <w:pPr>
              <w:jc w:val="center"/>
            </w:pPr>
            <w:r>
              <w:rPr>
                <w:rFonts w:hint="eastAsia"/>
                <w:color w:val="000000"/>
              </w:rPr>
              <w:t>15</w:t>
            </w:r>
          </w:p>
        </w:tc>
      </w:tr>
      <w:tr w14:paraId="61D116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07A90974">
            <w:r>
              <w:rPr>
                <w:rFonts w:hint="eastAsia"/>
                <w:color w:val="000000"/>
              </w:rPr>
              <w:t>际华三五四二纺织有限公司</w:t>
            </w:r>
          </w:p>
        </w:tc>
        <w:tc>
          <w:tcPr>
            <w:tcW w:w="2457" w:type="pct"/>
            <w:tcBorders>
              <w:top w:val="single" w:color="auto" w:sz="4" w:space="0"/>
              <w:left w:val="single" w:color="auto" w:sz="4" w:space="0"/>
              <w:bottom w:val="single" w:color="auto" w:sz="4" w:space="0"/>
            </w:tcBorders>
            <w:vAlign w:val="center"/>
          </w:tcPr>
          <w:p w14:paraId="6F78789A">
            <w:pPr>
              <w:jc w:val="center"/>
            </w:pPr>
            <w:r>
              <w:rPr>
                <w:rFonts w:hint="eastAsia"/>
                <w:color w:val="000000"/>
              </w:rPr>
              <w:t>15</w:t>
            </w:r>
          </w:p>
        </w:tc>
      </w:tr>
      <w:tr w14:paraId="40A3DC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5534B43D">
            <w:r>
              <w:rPr>
                <w:rFonts w:hint="eastAsia"/>
                <w:color w:val="000000"/>
              </w:rPr>
              <w:t>际华三五四三针织服饰有限公司</w:t>
            </w:r>
          </w:p>
        </w:tc>
        <w:tc>
          <w:tcPr>
            <w:tcW w:w="2457" w:type="pct"/>
            <w:tcBorders>
              <w:top w:val="single" w:color="auto" w:sz="4" w:space="0"/>
              <w:left w:val="single" w:color="auto" w:sz="4" w:space="0"/>
              <w:bottom w:val="single" w:color="auto" w:sz="4" w:space="0"/>
            </w:tcBorders>
            <w:vAlign w:val="center"/>
          </w:tcPr>
          <w:p w14:paraId="23508429">
            <w:pPr>
              <w:jc w:val="center"/>
            </w:pPr>
            <w:r>
              <w:rPr>
                <w:rFonts w:hint="eastAsia"/>
                <w:color w:val="000000"/>
              </w:rPr>
              <w:t>15</w:t>
            </w:r>
          </w:p>
        </w:tc>
      </w:tr>
      <w:tr w14:paraId="4D94DA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2AA62EC3">
            <w:r>
              <w:rPr>
                <w:rFonts w:hint="eastAsia"/>
                <w:color w:val="000000"/>
              </w:rPr>
              <w:t>湖北际华针织有限公司</w:t>
            </w:r>
          </w:p>
        </w:tc>
        <w:tc>
          <w:tcPr>
            <w:tcW w:w="2457" w:type="pct"/>
            <w:tcBorders>
              <w:top w:val="single" w:color="auto" w:sz="4" w:space="0"/>
              <w:left w:val="single" w:color="auto" w:sz="4" w:space="0"/>
              <w:bottom w:val="single" w:color="auto" w:sz="4" w:space="0"/>
            </w:tcBorders>
            <w:vAlign w:val="center"/>
          </w:tcPr>
          <w:p w14:paraId="579ECBAB">
            <w:pPr>
              <w:jc w:val="center"/>
            </w:pPr>
            <w:r>
              <w:rPr>
                <w:rFonts w:hint="eastAsia"/>
                <w:color w:val="000000"/>
              </w:rPr>
              <w:t>15</w:t>
            </w:r>
          </w:p>
        </w:tc>
      </w:tr>
      <w:tr w14:paraId="533BE2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5094139F">
            <w:r>
              <w:rPr>
                <w:rFonts w:hint="eastAsia"/>
                <w:color w:val="000000"/>
              </w:rPr>
              <w:t>际华三五二二装具饰品有限公司</w:t>
            </w:r>
          </w:p>
        </w:tc>
        <w:tc>
          <w:tcPr>
            <w:tcW w:w="2457" w:type="pct"/>
            <w:tcBorders>
              <w:top w:val="single" w:color="auto" w:sz="4" w:space="0"/>
              <w:left w:val="single" w:color="auto" w:sz="4" w:space="0"/>
              <w:bottom w:val="single" w:color="auto" w:sz="4" w:space="0"/>
            </w:tcBorders>
            <w:vAlign w:val="center"/>
          </w:tcPr>
          <w:p w14:paraId="4372AD7B">
            <w:pPr>
              <w:jc w:val="center"/>
            </w:pPr>
            <w:r>
              <w:rPr>
                <w:rFonts w:hint="eastAsia"/>
                <w:color w:val="000000"/>
              </w:rPr>
              <w:t>15</w:t>
            </w:r>
          </w:p>
        </w:tc>
      </w:tr>
      <w:tr w14:paraId="7FA539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02BB4CF9">
            <w:r>
              <w:rPr>
                <w:rFonts w:hint="eastAsia"/>
                <w:color w:val="000000"/>
              </w:rPr>
              <w:t>南京际华三五二一环保科技有限公司</w:t>
            </w:r>
          </w:p>
        </w:tc>
        <w:tc>
          <w:tcPr>
            <w:tcW w:w="2457" w:type="pct"/>
            <w:tcBorders>
              <w:top w:val="single" w:color="auto" w:sz="4" w:space="0"/>
              <w:left w:val="single" w:color="auto" w:sz="4" w:space="0"/>
              <w:bottom w:val="single" w:color="auto" w:sz="4" w:space="0"/>
            </w:tcBorders>
            <w:vAlign w:val="center"/>
          </w:tcPr>
          <w:p w14:paraId="5C5EDFB4">
            <w:pPr>
              <w:jc w:val="center"/>
            </w:pPr>
            <w:r>
              <w:rPr>
                <w:rFonts w:hint="eastAsia"/>
                <w:color w:val="000000"/>
              </w:rPr>
              <w:t>15</w:t>
            </w:r>
          </w:p>
        </w:tc>
      </w:tr>
      <w:tr w14:paraId="07FD07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7C6FC27C">
            <w:r>
              <w:rPr>
                <w:rFonts w:hint="eastAsia"/>
                <w:color w:val="000000"/>
              </w:rPr>
              <w:t>际华三五零二职业装有限公司</w:t>
            </w:r>
          </w:p>
        </w:tc>
        <w:tc>
          <w:tcPr>
            <w:tcW w:w="2457" w:type="pct"/>
            <w:tcBorders>
              <w:top w:val="single" w:color="auto" w:sz="4" w:space="0"/>
              <w:left w:val="single" w:color="auto" w:sz="4" w:space="0"/>
              <w:bottom w:val="single" w:color="auto" w:sz="4" w:space="0"/>
            </w:tcBorders>
            <w:vAlign w:val="center"/>
          </w:tcPr>
          <w:p w14:paraId="73223647">
            <w:pPr>
              <w:jc w:val="center"/>
            </w:pPr>
            <w:r>
              <w:rPr>
                <w:rFonts w:hint="eastAsia"/>
                <w:color w:val="000000"/>
              </w:rPr>
              <w:t>15</w:t>
            </w:r>
          </w:p>
        </w:tc>
      </w:tr>
      <w:tr w14:paraId="0F9EB9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25187A00">
            <w:r>
              <w:rPr>
                <w:rFonts w:hint="eastAsia"/>
                <w:color w:val="000000"/>
              </w:rPr>
              <w:t>际华三五零六纺织服装有限公司</w:t>
            </w:r>
          </w:p>
        </w:tc>
        <w:tc>
          <w:tcPr>
            <w:tcW w:w="2457" w:type="pct"/>
            <w:tcBorders>
              <w:top w:val="single" w:color="auto" w:sz="4" w:space="0"/>
              <w:left w:val="single" w:color="auto" w:sz="4" w:space="0"/>
              <w:bottom w:val="single" w:color="auto" w:sz="4" w:space="0"/>
            </w:tcBorders>
            <w:vAlign w:val="center"/>
          </w:tcPr>
          <w:p w14:paraId="55F59CA7">
            <w:pPr>
              <w:jc w:val="center"/>
            </w:pPr>
            <w:r>
              <w:rPr>
                <w:rFonts w:hint="eastAsia"/>
                <w:color w:val="000000"/>
              </w:rPr>
              <w:t>15</w:t>
            </w:r>
          </w:p>
        </w:tc>
      </w:tr>
      <w:tr w14:paraId="70E970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23CB9033">
            <w:r>
              <w:rPr>
                <w:rFonts w:hint="eastAsia"/>
                <w:color w:val="000000"/>
              </w:rPr>
              <w:t>际华三五零九纺织有限公司</w:t>
            </w:r>
          </w:p>
        </w:tc>
        <w:tc>
          <w:tcPr>
            <w:tcW w:w="2457" w:type="pct"/>
            <w:tcBorders>
              <w:top w:val="single" w:color="auto" w:sz="4" w:space="0"/>
              <w:left w:val="single" w:color="auto" w:sz="4" w:space="0"/>
              <w:bottom w:val="single" w:color="auto" w:sz="4" w:space="0"/>
            </w:tcBorders>
            <w:vAlign w:val="center"/>
          </w:tcPr>
          <w:p w14:paraId="697A65EF">
            <w:pPr>
              <w:jc w:val="center"/>
            </w:pPr>
            <w:r>
              <w:rPr>
                <w:rFonts w:hint="eastAsia"/>
                <w:color w:val="000000"/>
              </w:rPr>
              <w:t>15</w:t>
            </w:r>
          </w:p>
        </w:tc>
      </w:tr>
      <w:tr w14:paraId="747F66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4CB44EE4">
            <w:r>
              <w:rPr>
                <w:rFonts w:hint="eastAsia"/>
                <w:color w:val="000000"/>
              </w:rPr>
              <w:t>际华橡胶工业有限公司</w:t>
            </w:r>
          </w:p>
        </w:tc>
        <w:tc>
          <w:tcPr>
            <w:tcW w:w="2457" w:type="pct"/>
            <w:tcBorders>
              <w:top w:val="single" w:color="auto" w:sz="4" w:space="0"/>
              <w:left w:val="single" w:color="auto" w:sz="4" w:space="0"/>
              <w:bottom w:val="single" w:color="auto" w:sz="4" w:space="0"/>
            </w:tcBorders>
            <w:vAlign w:val="center"/>
          </w:tcPr>
          <w:p w14:paraId="0D517A52">
            <w:pPr>
              <w:jc w:val="center"/>
            </w:pPr>
            <w:r>
              <w:rPr>
                <w:rFonts w:hint="eastAsia"/>
                <w:color w:val="000000"/>
              </w:rPr>
              <w:t>15</w:t>
            </w:r>
          </w:p>
        </w:tc>
      </w:tr>
      <w:tr w14:paraId="37F460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1CEC7326">
            <w:r>
              <w:rPr>
                <w:rFonts w:hint="eastAsia"/>
                <w:color w:val="000000"/>
              </w:rPr>
              <w:t>际华三五一五皮革皮鞋有限公司</w:t>
            </w:r>
          </w:p>
        </w:tc>
        <w:tc>
          <w:tcPr>
            <w:tcW w:w="2457" w:type="pct"/>
            <w:tcBorders>
              <w:top w:val="single" w:color="auto" w:sz="4" w:space="0"/>
              <w:left w:val="single" w:color="auto" w:sz="4" w:space="0"/>
              <w:bottom w:val="single" w:color="auto" w:sz="4" w:space="0"/>
            </w:tcBorders>
            <w:vAlign w:val="center"/>
          </w:tcPr>
          <w:p w14:paraId="66306D8A">
            <w:pPr>
              <w:jc w:val="center"/>
            </w:pPr>
            <w:r>
              <w:rPr>
                <w:rFonts w:hint="eastAsia"/>
                <w:color w:val="000000"/>
              </w:rPr>
              <w:t>15</w:t>
            </w:r>
          </w:p>
        </w:tc>
      </w:tr>
      <w:tr w14:paraId="1B8630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3760160B">
            <w:r>
              <w:rPr>
                <w:rFonts w:hint="eastAsia"/>
                <w:color w:val="000000"/>
              </w:rPr>
              <w:t>际华三五一三实业有限公司</w:t>
            </w:r>
          </w:p>
        </w:tc>
        <w:tc>
          <w:tcPr>
            <w:tcW w:w="2457" w:type="pct"/>
            <w:tcBorders>
              <w:top w:val="single" w:color="auto" w:sz="4" w:space="0"/>
              <w:left w:val="single" w:color="auto" w:sz="4" w:space="0"/>
              <w:bottom w:val="single" w:color="auto" w:sz="4" w:space="0"/>
            </w:tcBorders>
            <w:vAlign w:val="center"/>
          </w:tcPr>
          <w:p w14:paraId="54557536">
            <w:pPr>
              <w:jc w:val="center"/>
            </w:pPr>
            <w:r>
              <w:rPr>
                <w:rFonts w:hint="eastAsia"/>
                <w:color w:val="000000"/>
              </w:rPr>
              <w:t>15</w:t>
            </w:r>
          </w:p>
        </w:tc>
      </w:tr>
      <w:tr w14:paraId="723C2D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1D600045">
            <w:r>
              <w:rPr>
                <w:rFonts w:hint="eastAsia"/>
                <w:color w:val="000000"/>
              </w:rPr>
              <w:t>南京际华三五二一特种装备有限公司</w:t>
            </w:r>
          </w:p>
        </w:tc>
        <w:tc>
          <w:tcPr>
            <w:tcW w:w="2457" w:type="pct"/>
            <w:tcBorders>
              <w:top w:val="single" w:color="auto" w:sz="4" w:space="0"/>
              <w:left w:val="single" w:color="auto" w:sz="4" w:space="0"/>
              <w:bottom w:val="single" w:color="auto" w:sz="4" w:space="0"/>
            </w:tcBorders>
            <w:vAlign w:val="center"/>
          </w:tcPr>
          <w:p w14:paraId="0F2AEB1F">
            <w:pPr>
              <w:jc w:val="center"/>
            </w:pPr>
            <w:r>
              <w:rPr>
                <w:rFonts w:hint="eastAsia"/>
                <w:color w:val="000000"/>
              </w:rPr>
              <w:t>15</w:t>
            </w:r>
          </w:p>
        </w:tc>
      </w:tr>
      <w:tr w14:paraId="092E89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6B47D55F">
            <w:r>
              <w:rPr>
                <w:rFonts w:hint="eastAsia"/>
                <w:color w:val="000000"/>
              </w:rPr>
              <w:t>际华三五一四制革制鞋有限公司</w:t>
            </w:r>
          </w:p>
        </w:tc>
        <w:tc>
          <w:tcPr>
            <w:tcW w:w="2457" w:type="pct"/>
            <w:tcBorders>
              <w:top w:val="single" w:color="auto" w:sz="4" w:space="0"/>
              <w:left w:val="single" w:color="auto" w:sz="4" w:space="0"/>
              <w:bottom w:val="single" w:color="auto" w:sz="4" w:space="0"/>
            </w:tcBorders>
            <w:vAlign w:val="center"/>
          </w:tcPr>
          <w:p w14:paraId="20E161BB">
            <w:pPr>
              <w:jc w:val="center"/>
            </w:pPr>
            <w:r>
              <w:rPr>
                <w:rFonts w:hint="eastAsia"/>
                <w:color w:val="000000"/>
              </w:rPr>
              <w:t>15</w:t>
            </w:r>
          </w:p>
        </w:tc>
      </w:tr>
      <w:tr w14:paraId="06257E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21A8767D">
            <w:r>
              <w:rPr>
                <w:rFonts w:hint="eastAsia"/>
                <w:color w:val="000000"/>
              </w:rPr>
              <w:t>际华三五三九制鞋有限公司</w:t>
            </w:r>
          </w:p>
        </w:tc>
        <w:tc>
          <w:tcPr>
            <w:tcW w:w="2457" w:type="pct"/>
            <w:tcBorders>
              <w:top w:val="single" w:color="auto" w:sz="4" w:space="0"/>
              <w:left w:val="single" w:color="auto" w:sz="4" w:space="0"/>
              <w:bottom w:val="single" w:color="auto" w:sz="4" w:space="0"/>
            </w:tcBorders>
            <w:vAlign w:val="center"/>
          </w:tcPr>
          <w:p w14:paraId="1E222366">
            <w:pPr>
              <w:jc w:val="center"/>
            </w:pPr>
            <w:r>
              <w:rPr>
                <w:rFonts w:hint="eastAsia"/>
                <w:color w:val="000000"/>
              </w:rPr>
              <w:t>15</w:t>
            </w:r>
          </w:p>
        </w:tc>
      </w:tr>
      <w:tr w14:paraId="0A872C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13A11E12">
            <w:r>
              <w:rPr>
                <w:rFonts w:hint="eastAsia"/>
                <w:color w:val="000000"/>
              </w:rPr>
              <w:t>际华三五三四制衣有限公司</w:t>
            </w:r>
          </w:p>
        </w:tc>
        <w:tc>
          <w:tcPr>
            <w:tcW w:w="2457" w:type="pct"/>
            <w:tcBorders>
              <w:top w:val="single" w:color="auto" w:sz="4" w:space="0"/>
              <w:left w:val="single" w:color="auto" w:sz="4" w:space="0"/>
              <w:bottom w:val="single" w:color="auto" w:sz="4" w:space="0"/>
            </w:tcBorders>
            <w:vAlign w:val="center"/>
          </w:tcPr>
          <w:p w14:paraId="79F65E37">
            <w:pPr>
              <w:jc w:val="center"/>
            </w:pPr>
            <w:r>
              <w:rPr>
                <w:rFonts w:hint="eastAsia"/>
                <w:color w:val="000000"/>
              </w:rPr>
              <w:t>15</w:t>
            </w:r>
          </w:p>
        </w:tc>
      </w:tr>
      <w:tr w14:paraId="152AD3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39DD2C7B">
            <w:r>
              <w:rPr>
                <w:rFonts w:hint="eastAsia"/>
                <w:color w:val="000000"/>
              </w:rPr>
              <w:t>呼图壁县万源棉业有限公司</w:t>
            </w:r>
          </w:p>
        </w:tc>
        <w:tc>
          <w:tcPr>
            <w:tcW w:w="2457" w:type="pct"/>
            <w:tcBorders>
              <w:top w:val="single" w:color="auto" w:sz="4" w:space="0"/>
              <w:left w:val="single" w:color="auto" w:sz="4" w:space="0"/>
              <w:bottom w:val="single" w:color="auto" w:sz="4" w:space="0"/>
            </w:tcBorders>
            <w:vAlign w:val="center"/>
          </w:tcPr>
          <w:p w14:paraId="72A75BFB">
            <w:pPr>
              <w:jc w:val="center"/>
            </w:pPr>
            <w:r>
              <w:rPr>
                <w:rFonts w:hint="eastAsia"/>
                <w:color w:val="000000"/>
              </w:rPr>
              <w:t>农产品加工免征企业所得税</w:t>
            </w:r>
          </w:p>
        </w:tc>
      </w:tr>
      <w:tr w14:paraId="5DD69A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73755542">
            <w:r>
              <w:rPr>
                <w:rFonts w:hint="eastAsia"/>
                <w:color w:val="000000"/>
              </w:rPr>
              <w:t>际华海外投资有限公司</w:t>
            </w:r>
          </w:p>
        </w:tc>
        <w:tc>
          <w:tcPr>
            <w:tcW w:w="2457" w:type="pct"/>
            <w:tcBorders>
              <w:top w:val="single" w:color="auto" w:sz="4" w:space="0"/>
              <w:left w:val="single" w:color="auto" w:sz="4" w:space="0"/>
              <w:bottom w:val="single" w:color="auto" w:sz="4" w:space="0"/>
            </w:tcBorders>
            <w:vAlign w:val="center"/>
          </w:tcPr>
          <w:p w14:paraId="4C99A1A1">
            <w:pPr>
              <w:jc w:val="center"/>
            </w:pPr>
            <w:r>
              <w:rPr>
                <w:rFonts w:hint="eastAsia"/>
                <w:color w:val="000000"/>
              </w:rPr>
              <w:t>16.5</w:t>
            </w:r>
          </w:p>
        </w:tc>
      </w:tr>
      <w:tr w14:paraId="3677D7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531002AB">
            <w:r>
              <w:rPr>
                <w:rFonts w:hint="eastAsia"/>
                <w:color w:val="000000"/>
              </w:rPr>
              <w:t>新疆际华科技产业发展有限公司</w:t>
            </w:r>
          </w:p>
        </w:tc>
        <w:tc>
          <w:tcPr>
            <w:tcW w:w="2457" w:type="pct"/>
            <w:tcBorders>
              <w:top w:val="single" w:color="auto" w:sz="4" w:space="0"/>
              <w:left w:val="single" w:color="auto" w:sz="4" w:space="0"/>
              <w:bottom w:val="single" w:color="auto" w:sz="4" w:space="0"/>
            </w:tcBorders>
            <w:vAlign w:val="center"/>
          </w:tcPr>
          <w:p w14:paraId="166B4B22">
            <w:pPr>
              <w:jc w:val="center"/>
            </w:pPr>
            <w:r>
              <w:rPr>
                <w:rFonts w:hint="eastAsia"/>
                <w:color w:val="000000"/>
              </w:rPr>
              <w:t>20</w:t>
            </w:r>
          </w:p>
        </w:tc>
      </w:tr>
      <w:tr w14:paraId="41D81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1344FBAF">
            <w:r>
              <w:rPr>
                <w:rFonts w:hint="eastAsia"/>
                <w:color w:val="000000"/>
              </w:rPr>
              <w:t>南京际华五三零二服饰装具有限责任公司</w:t>
            </w:r>
          </w:p>
        </w:tc>
        <w:tc>
          <w:tcPr>
            <w:tcW w:w="2457" w:type="pct"/>
            <w:tcBorders>
              <w:top w:val="single" w:color="auto" w:sz="4" w:space="0"/>
              <w:left w:val="single" w:color="auto" w:sz="4" w:space="0"/>
              <w:bottom w:val="single" w:color="auto" w:sz="4" w:space="0"/>
            </w:tcBorders>
            <w:vAlign w:val="center"/>
          </w:tcPr>
          <w:p w14:paraId="7BBDBEFD">
            <w:pPr>
              <w:jc w:val="center"/>
            </w:pPr>
            <w:r>
              <w:rPr>
                <w:rFonts w:hint="eastAsia"/>
                <w:color w:val="000000"/>
              </w:rPr>
              <w:t>15</w:t>
            </w:r>
          </w:p>
        </w:tc>
      </w:tr>
      <w:tr w14:paraId="6FE34F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79ED0B70">
            <w:r>
              <w:rPr>
                <w:rFonts w:hint="eastAsia"/>
                <w:color w:val="000000"/>
              </w:rPr>
              <w:t>南京际华国润过滤技术有限公司</w:t>
            </w:r>
          </w:p>
        </w:tc>
        <w:tc>
          <w:tcPr>
            <w:tcW w:w="2457" w:type="pct"/>
            <w:tcBorders>
              <w:top w:val="single" w:color="auto" w:sz="4" w:space="0"/>
              <w:left w:val="single" w:color="auto" w:sz="4" w:space="0"/>
              <w:bottom w:val="single" w:color="auto" w:sz="4" w:space="0"/>
            </w:tcBorders>
            <w:vAlign w:val="center"/>
          </w:tcPr>
          <w:p w14:paraId="6B0B3662">
            <w:pPr>
              <w:jc w:val="center"/>
            </w:pPr>
            <w:r>
              <w:rPr>
                <w:rFonts w:hint="eastAsia"/>
                <w:color w:val="000000"/>
              </w:rPr>
              <w:t>20</w:t>
            </w:r>
          </w:p>
        </w:tc>
      </w:tr>
      <w:tr w14:paraId="3394A3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619C9A7C">
            <w:r>
              <w:rPr>
                <w:rFonts w:hint="eastAsia"/>
                <w:color w:val="000000"/>
              </w:rPr>
              <w:t>新兴际华国际贸易（天津）有限公司</w:t>
            </w:r>
          </w:p>
        </w:tc>
        <w:tc>
          <w:tcPr>
            <w:tcW w:w="2457" w:type="pct"/>
            <w:tcBorders>
              <w:top w:val="single" w:color="auto" w:sz="4" w:space="0"/>
              <w:left w:val="single" w:color="auto" w:sz="4" w:space="0"/>
              <w:bottom w:val="single" w:color="auto" w:sz="4" w:space="0"/>
            </w:tcBorders>
            <w:vAlign w:val="center"/>
          </w:tcPr>
          <w:p w14:paraId="0F5D0E5D">
            <w:pPr>
              <w:jc w:val="center"/>
            </w:pPr>
            <w:r>
              <w:rPr>
                <w:rFonts w:hint="eastAsia"/>
                <w:color w:val="000000"/>
              </w:rPr>
              <w:t>20</w:t>
            </w:r>
          </w:p>
        </w:tc>
      </w:tr>
      <w:tr w14:paraId="427F3D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47D0D4DA">
            <w:r>
              <w:rPr>
                <w:rFonts w:hint="eastAsia"/>
                <w:color w:val="000000"/>
              </w:rPr>
              <w:t>际华（内蒙古）新能源发展有限公司</w:t>
            </w:r>
          </w:p>
        </w:tc>
        <w:tc>
          <w:tcPr>
            <w:tcW w:w="2457" w:type="pct"/>
            <w:tcBorders>
              <w:top w:val="single" w:color="auto" w:sz="4" w:space="0"/>
              <w:left w:val="single" w:color="auto" w:sz="4" w:space="0"/>
              <w:bottom w:val="single" w:color="auto" w:sz="4" w:space="0"/>
            </w:tcBorders>
            <w:vAlign w:val="center"/>
          </w:tcPr>
          <w:p w14:paraId="21041E37">
            <w:pPr>
              <w:jc w:val="center"/>
            </w:pPr>
            <w:r>
              <w:rPr>
                <w:rFonts w:hint="eastAsia"/>
                <w:color w:val="000000"/>
              </w:rPr>
              <w:t>20</w:t>
            </w:r>
          </w:p>
        </w:tc>
      </w:tr>
      <w:tr w14:paraId="2A68A9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1E6818EC">
            <w:r>
              <w:rPr>
                <w:rFonts w:hint="eastAsia"/>
                <w:color w:val="000000"/>
              </w:rPr>
              <w:t>南京际华三五〇三服装有限公司</w:t>
            </w:r>
          </w:p>
        </w:tc>
        <w:tc>
          <w:tcPr>
            <w:tcW w:w="2457" w:type="pct"/>
            <w:tcBorders>
              <w:top w:val="single" w:color="auto" w:sz="4" w:space="0"/>
              <w:left w:val="single" w:color="auto" w:sz="4" w:space="0"/>
              <w:bottom w:val="single" w:color="auto" w:sz="4" w:space="0"/>
            </w:tcBorders>
            <w:vAlign w:val="center"/>
          </w:tcPr>
          <w:p w14:paraId="5CE7587D">
            <w:pPr>
              <w:jc w:val="center"/>
            </w:pPr>
            <w:r>
              <w:rPr>
                <w:rFonts w:hint="eastAsia"/>
                <w:color w:val="000000"/>
              </w:rPr>
              <w:t>15</w:t>
            </w:r>
          </w:p>
        </w:tc>
      </w:tr>
      <w:tr w14:paraId="267832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vAlign w:val="center"/>
          </w:tcPr>
          <w:p w14:paraId="57B9BEF4">
            <w:r>
              <w:rPr>
                <w:rFonts w:hint="eastAsia"/>
                <w:color w:val="000000"/>
              </w:rPr>
              <w:t>除上述以外的其他纳税主体</w:t>
            </w:r>
          </w:p>
        </w:tc>
        <w:tc>
          <w:tcPr>
            <w:tcW w:w="2457" w:type="pct"/>
            <w:tcBorders>
              <w:top w:val="single" w:color="auto" w:sz="4" w:space="0"/>
              <w:left w:val="single" w:color="auto" w:sz="4" w:space="0"/>
              <w:bottom w:val="single" w:color="auto" w:sz="4" w:space="0"/>
            </w:tcBorders>
            <w:vAlign w:val="center"/>
          </w:tcPr>
          <w:p w14:paraId="61872FFE">
            <w:pPr>
              <w:jc w:val="center"/>
            </w:pPr>
            <w:r>
              <w:rPr>
                <w:rFonts w:hint="eastAsia"/>
                <w:color w:val="000000"/>
              </w:rPr>
              <w:t>25</w:t>
            </w:r>
          </w:p>
        </w:tc>
      </w:tr>
    </w:tbl>
    <w:p w14:paraId="1BC571A3">
      <w:pPr>
        <w:rPr>
          <w:color w:val="000000" w:themeColor="text1"/>
          <w14:textFill>
            <w14:solidFill>
              <w14:schemeClr w14:val="tx1"/>
            </w14:solidFill>
          </w14:textFill>
        </w:rPr>
      </w:pPr>
    </w:p>
    <w:p w14:paraId="7007D3A4">
      <w:pPr>
        <w:pStyle w:val="57"/>
        <w:numPr>
          <w:ilvl w:val="0"/>
          <w:numId w:val="53"/>
        </w:numPr>
        <w:tabs>
          <w:tab w:val="left" w:pos="546"/>
        </w:tabs>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税收优惠</w:t>
      </w:r>
    </w:p>
    <w:sdt>
      <w:sdtPr>
        <w:rPr>
          <w:rFonts w:hint="eastAsia"/>
          <w:color w:val="000000" w:themeColor="text1"/>
          <w14:textFill>
            <w14:solidFill>
              <w14:schemeClr w14:val="tx1"/>
            </w14:solidFill>
          </w14:textFill>
        </w:rPr>
        <w:alias w:val="是否适用：税收优惠[双击切换]"/>
        <w:tag w:val="_GBC_f8eb23e7a2e74e448e4eb46519d87bd6"/>
        <w:id w:val="147483623"/>
        <w:placeholder>
          <w:docPart w:val="GBC22222222222222222222222222222"/>
        </w:placeholder>
      </w:sdtPr>
      <w:sdtEndPr>
        <w:rPr>
          <w:rFonts w:hint="eastAsia"/>
          <w:color w:val="000000" w:themeColor="text1"/>
          <w14:textFill>
            <w14:solidFill>
              <w14:schemeClr w14:val="tx1"/>
            </w14:solidFill>
          </w14:textFill>
        </w:rPr>
      </w:sdtEndPr>
      <w:sdtContent>
        <w:p w14:paraId="6EB23B4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优惠税赋及批文"/>
        <w:tag w:val="_GBC_3bbdacdaa3ba421fb8a81b9bda047bb4"/>
        <w:id w:val="147474521"/>
        <w:placeholder>
          <w:docPart w:val="GBC22222222222222222222222222222"/>
        </w:placeholder>
      </w:sdtPr>
      <w:sdtEndPr>
        <w:rPr>
          <w:rFonts w:hint="eastAsia"/>
          <w:color w:val="000000" w:themeColor="text1"/>
          <w14:textFill>
            <w14:solidFill>
              <w14:schemeClr w14:val="tx1"/>
            </w14:solidFill>
          </w14:textFill>
        </w:rPr>
      </w:sdtEndPr>
      <w:sdtContent>
        <w:p w14:paraId="017C3598">
          <w:pPr>
            <w:rPr>
              <w:color w:val="000000" w:themeColor="text1"/>
              <w14:textFill>
                <w14:solidFill>
                  <w14:schemeClr w14:val="tx1"/>
                </w14:solidFill>
              </w14:textFill>
            </w:rPr>
          </w:pPr>
          <w:r>
            <w:rPr>
              <w:rFonts w:hint="eastAsia"/>
              <w:color w:val="000000" w:themeColor="text1"/>
              <w14:textFill>
                <w14:solidFill>
                  <w14:schemeClr w14:val="tx1"/>
                </w14:solidFill>
              </w14:textFill>
            </w:rPr>
            <w:t>（1）符合西部大开发有关税收优惠政策的规定</w:t>
          </w:r>
        </w:p>
        <w:p w14:paraId="1B1C756F">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根据《关于延续西部大开发企业所得税政策的公告》（财政部、税务总局、国家发展改革委公告2020年第23号），子公司内蒙古际华森普利服装皮业有限公司、际华三五三六实业有限公司、际华三五一二皮革服装有限公司、新疆际华七五五五职业装有限公司等4家企业，享受西部大开发企业所得税优惠，减按15%税率计缴。</w:t>
          </w:r>
        </w:p>
        <w:p w14:paraId="501284C0">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（2）符合高新技术企业有关税收优惠政策的规定</w:t>
          </w:r>
        </w:p>
        <w:p w14:paraId="6A16616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根据《高新技术企业认定管理办法》（国科发火〔2016〕32号）和《高新技术企业认定管理工作指引》（国科发火〔2016〕195号）有关规定，子公司际华三五零二职业装有限公司、南京际华三五〇三服装有限公司、际华三五零六纺织服装有限公司、际华三五三四制衣有限公司、际华三五一三实业有限公司、际华三五一四制革制鞋有限公司、际华三五一五皮革皮鞋有限公司、际华三五零九纺织有限公司、际华三五四二纺织有限公司、际华三五四三针织服饰有限公司、湖北际华针织有限公司、南京际华三五二一特种装备有限公司、南京际华三五二一环保科技有限公司、南京际华五三零二服饰装具有限责任公司、际华三五二二装具饰品有限公司、际华橡胶工业有限公司、际华制鞋工业有限公司、际华三五三九制鞋有限公司等18家企业为高新技术企业，企业所得税按15%计缴。</w:t>
          </w:r>
        </w:p>
        <w:p w14:paraId="049A448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3）根据财政部、国家税务总局印发的《关于发布享受企业所得税优惠政策的农产品初加工范围（试行）的通知》（财税〔2008〕149号），子公司呼图壁县万源棉业有限公司属于免征农产品加工企业所得税的范围，免征农产品加工企业所得税。</w:t>
          </w:r>
        </w:p>
        <w:p w14:paraId="75A229DA">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（4）根据《财政部 税务总局关于小微企业和个体工商户所得税优惠政策的公告》（财政部 税务总局公告2023年第6号）、《财政部 税务总局关于进一步实施小微企业所得税优惠政策的公告》（财政部税务总局公告2022年第13号）等规定，从2023年1月1日至2024年12 月31日，年应纳税所得额不超过100万元的部分，减按25%计入应纳税所得额，按20%的税率计缴企业所得税；据《财政部税务总局关于进一步支持小微企业和个体工商户发展有关税费政策的公告》（财政部税务总局公告2023年第12号）,自2023年1月1日至2027 年12月31日，对增值税小规模纳税人、小型微利企业和个体工商户减半计缴资源税（不含水资源税）、城市维护建设税、房产税、城镇土地使用税、印花税（不含证券交易印花税）、耕地占用税和教育费附加、地方教育附加。子公司新疆际华科技产业发展有限公司、南京际华国润过滤技术有限公司、新兴际华国际贸易（天津）有限公司、际华（内蒙古）新能源发展有限公司本年度符合小型微利企业标准，享受小微企业税收优惠。</w:t>
          </w:r>
        </w:p>
        <w:p w14:paraId="5413CA64">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5）根据财政部、税务总局《关于先进制造业企业增值税加计抵减政策的公告》（财政部税务总局公告2023年第43号），自2023年1月1日至2027年12月31日，允许先进制造业企业按照当期可抵扣进项税额加计5%抵减应纳增值税税额。子公司际华三五零二职业装有限公司、南京际华三五〇三服装有限公司、际华三五零六纺织服装有限公司、际华三五一三实业有限公司、际华三五一四制革制鞋有限公司、际华三五一五皮革皮鞋有限公司、南京际华三五二一特种装备有限公司、南京际华三五二一环保科技有限公司、际华三五四二纺织有限公司、际华三五三四制衣有限公司、际华三五四三针织服饰有限公司、湖北际华针织有限公司、沈阳际华三五四七特种装具有限公司、新疆际华七五五五职业装有限公司、内蒙古际华森普利服装皮业有限公司、际华三五三九制鞋有限公司、际华橡胶工业有限公司，享受上述增值税加计抵减优惠政策。</w:t>
          </w:r>
        </w:p>
        <w:p w14:paraId="6FD506E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（6）根据《关于进一步扶持自主就业退役士兵创业就业有关税收政策的公告》（财政部 税务总局 退役军人事务部公告2023年第14号），自2023年1月1日至2027年12月31日，企业招用自主就业退役士兵，与其签订1年以上期限劳动合同并依法缴纳社会保险费的，自签订劳动合同并缴纳社会保险当月起，在3年内按实际招用人数予以定额依次扣减增值税、城市维护建设税、教育费附加、地方教育附加和企业所得税优惠。定额标准为每人每年6,000元，最高可上浮 50%，各省、自治区、直辖市人民政府可根据本地区实际情况在此幅度内确定具体定额标准。子公司际华三五零六纺织服装有限公司、际华三五一三实业有限公司、南京际华三五二一特种装备有限公司、南京际华三五二一环保科技有限公司、际华三五四三针织服饰有限公司、湖北际华针织有限公司、际华制鞋工业有限公司，享受上述优惠政策。</w:t>
          </w:r>
        </w:p>
        <w:p w14:paraId="5A9308FA">
          <w:pPr>
            <w:rPr>
              <w:color w:val="000000" w:themeColor="text1"/>
              <w14:textFill>
                <w14:solidFill>
                  <w14:schemeClr w14:val="tx1"/>
                </w14:solidFill>
              </w14:textFill>
            </w:rPr>
          </w:pPr>
        </w:p>
      </w:sdtContent>
    </w:sdt>
    <w:p w14:paraId="375426D2">
      <w:pPr>
        <w:pStyle w:val="57"/>
        <w:numPr>
          <w:ilvl w:val="0"/>
          <w:numId w:val="53"/>
        </w:numPr>
        <w:tabs>
          <w:tab w:val="left" w:pos="546"/>
        </w:tabs>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税项说明[双击切换]"/>
        <w:tag w:val="_GBC_566ef0a7141a4b2ca002ad8d0663c462"/>
        <w:id w:val="147471621"/>
        <w:placeholder>
          <w:docPart w:val="GBC22222222222222222222222222222"/>
        </w:placeholder>
      </w:sdtPr>
      <w:sdtEndPr>
        <w:rPr>
          <w:rFonts w:hint="eastAsia"/>
          <w:color w:val="000000" w:themeColor="text1"/>
          <w14:textFill>
            <w14:solidFill>
              <w14:schemeClr w14:val="tx1"/>
            </w14:solidFill>
          </w14:textFill>
        </w:rPr>
      </w:sdtEndPr>
      <w:sdtContent>
        <w:p w14:paraId="40826C2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C1B86E">
      <w:pPr>
        <w:rPr>
          <w:color w:val="000000" w:themeColor="text1"/>
          <w14:textFill>
            <w14:solidFill>
              <w14:schemeClr w14:val="tx1"/>
            </w14:solidFill>
          </w14:textFill>
        </w:rPr>
      </w:pPr>
    </w:p>
    <w:p w14:paraId="4C6A4AD2">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合并财务报表项目注释</w:t>
      </w:r>
    </w:p>
    <w:p w14:paraId="2EF2009D">
      <w:pPr>
        <w:pStyle w:val="57"/>
        <w:numPr>
          <w:ilvl w:val="0"/>
          <w:numId w:val="54"/>
        </w:numPr>
        <w:rPr>
          <w:color w:val="000000" w:themeColor="text1"/>
          <w:szCs w:val="21"/>
          <w14:textFill>
            <w14:solidFill>
              <w14:schemeClr w14:val="tx1"/>
            </w14:solidFill>
          </w14:textFill>
        </w:rPr>
      </w:pPr>
      <w:bookmarkStart w:id="189" w:name="_Hlk167884561"/>
      <w:r>
        <w:rPr>
          <w:color w:val="000000" w:themeColor="text1"/>
          <w:szCs w:val="21"/>
          <w14:textFill>
            <w14:solidFill>
              <w14:schemeClr w14:val="tx1"/>
            </w14:solidFill>
          </w14:textFill>
        </w:rPr>
        <w:t>货币资金</w:t>
      </w:r>
    </w:p>
    <w:sdt>
      <w:sdtPr>
        <w:rPr>
          <w:rFonts w:hint="eastAsia"/>
          <w:color w:val="000000" w:themeColor="text1"/>
          <w14:textFill>
            <w14:solidFill>
              <w14:schemeClr w14:val="tx1"/>
            </w14:solidFill>
          </w14:textFill>
        </w:rPr>
        <w:alias w:val="是否适用：货币资金[双击切换]"/>
        <w:tag w:val="_GBC_5f3519836df54c60a57659bf8a9d755e"/>
        <w:id w:val="147451467"/>
        <w:placeholder>
          <w:docPart w:val="GBC22222222222222222222222222222"/>
        </w:placeholder>
      </w:sdtPr>
      <w:sdtEndPr>
        <w:rPr>
          <w:rFonts w:hint="eastAsia"/>
          <w:color w:val="000000" w:themeColor="text1"/>
          <w14:textFill>
            <w14:solidFill>
              <w14:schemeClr w14:val="tx1"/>
            </w14:solidFill>
          </w14:textFill>
        </w:rPr>
      </w:sdtEndPr>
      <w:sdtContent>
        <w:p w14:paraId="20637234">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38AAA8">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货币资金"/>
          <w:tag w:val="_GBC_fbefd7cb6bcc4b278e8eafe562f64817"/>
          <w:id w:val="1474822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货币资金"/>
          <w:tag w:val="_GBC_c76577cdfdc64a9abb84903fd74497a4"/>
          <w:id w:val="1474672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438"/>
        <w:gridCol w:w="2892"/>
        <w:gridCol w:w="2729"/>
      </w:tblGrid>
      <w:tr w14:paraId="5B01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c298b96ff42b4ec08ce0bc2e7ff09d9d"/>
            <w:id w:val="147479475"/>
          </w:sdtPr>
          <w:sdtContent>
            <w:tc>
              <w:tcPr>
                <w:tcW w:w="1897" w:type="pct"/>
                <w:vAlign w:val="center"/>
              </w:tcPr>
              <w:p w14:paraId="4DF9DA85">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10d387a5f404c958f8ba18c816ca023"/>
            <w:id w:val="147451590"/>
          </w:sdtPr>
          <w:sdtContent>
            <w:tc>
              <w:tcPr>
                <w:tcW w:w="1596" w:type="pct"/>
                <w:vAlign w:val="center"/>
              </w:tcPr>
              <w:p w14:paraId="5EE898CA">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4102c94e9134fa683ae3d0eac53465c"/>
            <w:id w:val="147466333"/>
          </w:sdtPr>
          <w:sdtContent>
            <w:tc>
              <w:tcPr>
                <w:tcW w:w="1506" w:type="pct"/>
                <w:vAlign w:val="center"/>
              </w:tcPr>
              <w:p w14:paraId="73EA55E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761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67DF6ED6">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库存现金</w:t>
            </w:r>
          </w:p>
        </w:tc>
        <w:tc>
          <w:tcPr>
            <w:tcW w:w="1596" w:type="pct"/>
            <w:vAlign w:val="center"/>
          </w:tcPr>
          <w:p w14:paraId="07EACD40">
            <w:pPr>
              <w:jc w:val="right"/>
              <w:textAlignment w:val="bottom"/>
              <w:rPr>
                <w:rFonts w:cs="Times New Roman"/>
              </w:rPr>
            </w:pPr>
            <w:r>
              <w:rPr>
                <w:rFonts w:cs="Times New Roman"/>
                <w:color w:val="000000"/>
              </w:rPr>
              <w:t>18,011.50</w:t>
            </w:r>
          </w:p>
        </w:tc>
        <w:tc>
          <w:tcPr>
            <w:tcW w:w="1506" w:type="pct"/>
            <w:vAlign w:val="center"/>
          </w:tcPr>
          <w:p w14:paraId="0595817B">
            <w:pPr>
              <w:jc w:val="right"/>
              <w:textAlignment w:val="bottom"/>
              <w:rPr>
                <w:rFonts w:cs="Times New Roman"/>
              </w:rPr>
            </w:pPr>
            <w:r>
              <w:rPr>
                <w:rFonts w:cs="Times New Roman"/>
                <w:color w:val="000000"/>
              </w:rPr>
              <w:t>10,209.00</w:t>
            </w:r>
          </w:p>
        </w:tc>
      </w:tr>
      <w:tr w14:paraId="24F2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451671FA">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银行存款</w:t>
            </w:r>
          </w:p>
        </w:tc>
        <w:tc>
          <w:tcPr>
            <w:tcW w:w="1596" w:type="pct"/>
            <w:vAlign w:val="center"/>
          </w:tcPr>
          <w:p w14:paraId="601A31ED">
            <w:pPr>
              <w:jc w:val="right"/>
              <w:textAlignment w:val="bottom"/>
              <w:rPr>
                <w:rFonts w:cs="Times New Roman"/>
              </w:rPr>
            </w:pPr>
            <w:r>
              <w:rPr>
                <w:rFonts w:cs="Times New Roman"/>
                <w:color w:val="000000"/>
              </w:rPr>
              <w:t>1,476,649,623.90</w:t>
            </w:r>
          </w:p>
        </w:tc>
        <w:tc>
          <w:tcPr>
            <w:tcW w:w="1506" w:type="pct"/>
            <w:vAlign w:val="center"/>
          </w:tcPr>
          <w:p w14:paraId="10BA29F6">
            <w:pPr>
              <w:jc w:val="right"/>
              <w:textAlignment w:val="bottom"/>
              <w:rPr>
                <w:rFonts w:cs="Times New Roman"/>
              </w:rPr>
            </w:pPr>
            <w:r>
              <w:rPr>
                <w:rFonts w:cs="Times New Roman"/>
                <w:color w:val="000000"/>
              </w:rPr>
              <w:t>2,009,412,921.46</w:t>
            </w:r>
          </w:p>
        </w:tc>
      </w:tr>
      <w:tr w14:paraId="5B48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070C7A36">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其他货币资金</w:t>
            </w:r>
          </w:p>
        </w:tc>
        <w:tc>
          <w:tcPr>
            <w:tcW w:w="1596" w:type="pct"/>
            <w:vAlign w:val="center"/>
          </w:tcPr>
          <w:p w14:paraId="7ABB2A37">
            <w:pPr>
              <w:jc w:val="right"/>
              <w:textAlignment w:val="bottom"/>
              <w:rPr>
                <w:rFonts w:cs="Times New Roman"/>
              </w:rPr>
            </w:pPr>
            <w:r>
              <w:rPr>
                <w:rFonts w:cs="Times New Roman"/>
                <w:color w:val="000000"/>
              </w:rPr>
              <w:t>179,492,863.56</w:t>
            </w:r>
          </w:p>
        </w:tc>
        <w:tc>
          <w:tcPr>
            <w:tcW w:w="1506" w:type="pct"/>
            <w:vAlign w:val="center"/>
          </w:tcPr>
          <w:p w14:paraId="2AE5AE15">
            <w:pPr>
              <w:jc w:val="right"/>
              <w:textAlignment w:val="bottom"/>
              <w:rPr>
                <w:rFonts w:cs="Times New Roman"/>
              </w:rPr>
            </w:pPr>
            <w:r>
              <w:rPr>
                <w:rFonts w:cs="Times New Roman"/>
                <w:color w:val="000000"/>
              </w:rPr>
              <w:t>245,041,253.26</w:t>
            </w:r>
          </w:p>
        </w:tc>
      </w:tr>
      <w:tr w14:paraId="09FF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6F87DD0B">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存放财务公司存款</w:t>
            </w:r>
          </w:p>
        </w:tc>
        <w:tc>
          <w:tcPr>
            <w:tcW w:w="1596" w:type="pct"/>
            <w:vAlign w:val="center"/>
          </w:tcPr>
          <w:p w14:paraId="7401E0E5">
            <w:pPr>
              <w:jc w:val="right"/>
              <w:textAlignment w:val="bottom"/>
              <w:rPr>
                <w:rFonts w:cs="Times New Roman"/>
              </w:rPr>
            </w:pPr>
            <w:r>
              <w:rPr>
                <w:rFonts w:cs="Times New Roman"/>
                <w:color w:val="000000"/>
              </w:rPr>
              <w:t>4,370,960,573.16</w:t>
            </w:r>
          </w:p>
        </w:tc>
        <w:tc>
          <w:tcPr>
            <w:tcW w:w="1506" w:type="pct"/>
            <w:vAlign w:val="center"/>
          </w:tcPr>
          <w:p w14:paraId="56C13AA9">
            <w:pPr>
              <w:jc w:val="right"/>
              <w:textAlignment w:val="bottom"/>
              <w:rPr>
                <w:rFonts w:cs="Times New Roman"/>
              </w:rPr>
            </w:pPr>
            <w:r>
              <w:rPr>
                <w:rFonts w:cs="Times New Roman"/>
                <w:color w:val="000000"/>
              </w:rPr>
              <w:t>3,351,736,657.29</w:t>
            </w:r>
          </w:p>
        </w:tc>
      </w:tr>
      <w:tr w14:paraId="7DC9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vAlign w:val="center"/>
          </w:tcPr>
          <w:p w14:paraId="079930EC">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96" w:type="pct"/>
            <w:vAlign w:val="center"/>
          </w:tcPr>
          <w:p w14:paraId="3AB897E1">
            <w:pPr>
              <w:jc w:val="right"/>
              <w:textAlignment w:val="bottom"/>
              <w:rPr>
                <w:rFonts w:cs="Times New Roman"/>
              </w:rPr>
            </w:pPr>
            <w:r>
              <w:rPr>
                <w:rFonts w:cs="Times New Roman"/>
                <w:color w:val="000000"/>
              </w:rPr>
              <w:t>6,027,121,072.12</w:t>
            </w:r>
          </w:p>
        </w:tc>
        <w:tc>
          <w:tcPr>
            <w:tcW w:w="1506" w:type="pct"/>
            <w:vAlign w:val="center"/>
          </w:tcPr>
          <w:p w14:paraId="4AAB7140">
            <w:pPr>
              <w:jc w:val="right"/>
              <w:textAlignment w:val="bottom"/>
              <w:rPr>
                <w:rFonts w:cs="Times New Roman"/>
              </w:rPr>
            </w:pPr>
            <w:r>
              <w:rPr>
                <w:rFonts w:cs="Times New Roman"/>
                <w:color w:val="000000"/>
              </w:rPr>
              <w:t>5,606,201,041.01</w:t>
            </w:r>
          </w:p>
        </w:tc>
      </w:tr>
      <w:tr w14:paraId="5CE9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50F7AB8D">
            <w:pPr>
              <w:autoSpaceDE w:val="0"/>
              <w:autoSpaceDN w:val="0"/>
              <w:adjustRightInd w:val="0"/>
              <w:snapToGrid w:val="0"/>
              <w:spacing w:line="240" w:lineRule="atLeast"/>
              <w:ind w:firstLine="210" w:firstLineChars="1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其中：存放在境外的款项总额</w:t>
            </w:r>
          </w:p>
        </w:tc>
        <w:tc>
          <w:tcPr>
            <w:tcW w:w="1596" w:type="pct"/>
            <w:vAlign w:val="center"/>
          </w:tcPr>
          <w:p w14:paraId="28330F97">
            <w:pPr>
              <w:jc w:val="right"/>
              <w:textAlignment w:val="bottom"/>
              <w:rPr>
                <w:rFonts w:cs="Times New Roman"/>
              </w:rPr>
            </w:pPr>
            <w:r>
              <w:rPr>
                <w:rFonts w:cs="Times New Roman"/>
                <w:color w:val="000000"/>
              </w:rPr>
              <w:t>42,948,633.26</w:t>
            </w:r>
          </w:p>
        </w:tc>
        <w:tc>
          <w:tcPr>
            <w:tcW w:w="1506" w:type="pct"/>
            <w:vAlign w:val="center"/>
          </w:tcPr>
          <w:p w14:paraId="5384E936">
            <w:pPr>
              <w:jc w:val="right"/>
              <w:textAlignment w:val="bottom"/>
              <w:rPr>
                <w:rFonts w:cs="Times New Roman"/>
              </w:rPr>
            </w:pPr>
            <w:r>
              <w:rPr>
                <w:rFonts w:cs="Times New Roman"/>
                <w:color w:val="000000"/>
              </w:rPr>
              <w:t>42,679,515.87</w:t>
            </w:r>
          </w:p>
        </w:tc>
      </w:tr>
    </w:tbl>
    <w:p w14:paraId="49D81F29">
      <w:pPr>
        <w:rPr>
          <w:color w:val="000000" w:themeColor="text1"/>
          <w14:textFill>
            <w14:solidFill>
              <w14:schemeClr w14:val="tx1"/>
            </w14:solidFill>
          </w14:textFill>
        </w:rPr>
      </w:pPr>
    </w:p>
    <w:p w14:paraId="6DFF750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货币资金的说明"/>
        <w:tag w:val="_GBC_2938fcf8616141aca7cb2bc277476b5d"/>
        <w:id w:val="147452217"/>
        <w:placeholder>
          <w:docPart w:val="GBC22222222222222222222222222222"/>
        </w:placeholder>
      </w:sdtPr>
      <w:sdtEndPr>
        <w:rPr>
          <w:color w:val="000000" w:themeColor="text1"/>
          <w14:textFill>
            <w14:solidFill>
              <w14:schemeClr w14:val="tx1"/>
            </w14:solidFill>
          </w14:textFill>
        </w:rPr>
      </w:sdtEndPr>
      <w:sdtContent>
        <w:p w14:paraId="1051C6C8">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其中受限制的货币资金明细如下：</w:t>
          </w:r>
        </w:p>
        <w:p w14:paraId="4E41C958">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货币资金"/>
              <w:tag w:val="_GBC_fbefd7cb6bcc4b278e8eafe562f64817"/>
              <w:id w:val="147477366"/>
              <w:placeholder>
                <w:docPart w:val="{e8052cd7-3ff4-4ee4-8671-f5758410817c}"/>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货币资金"/>
              <w:tag w:val="_GBC_c76577cdfdc64a9abb84903fd74497a4"/>
              <w:id w:val="147454362"/>
              <w:placeholder>
                <w:docPart w:val="{e8052cd7-3ff4-4ee4-8671-f5758410817c}"/>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438"/>
            <w:gridCol w:w="2892"/>
            <w:gridCol w:w="2729"/>
          </w:tblGrid>
          <w:tr w14:paraId="4C45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blHeader/>
            </w:trPr>
            <w:sdt>
              <w:sdtPr>
                <w:rPr>
                  <w:rFonts w:cs="Times New Roman"/>
                </w:rPr>
                <w:tag w:val="_PLD_c298b96ff42b4ec08ce0bc2e7ff09d9d"/>
                <w:id w:val="147473332"/>
              </w:sdtPr>
              <w:sdtEndPr>
                <w:rPr>
                  <w:rFonts w:cs="Times New Roman"/>
                </w:rPr>
              </w:sdtEndPr>
              <w:sdtContent>
                <w:tc>
                  <w:tcPr>
                    <w:tcW w:w="1897" w:type="pct"/>
                    <w:vAlign w:val="center"/>
                  </w:tcPr>
                  <w:p w14:paraId="5C9AA7CD">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410d387a5f404c958f8ba18c816ca023"/>
                <w:id w:val="147478375"/>
              </w:sdtPr>
              <w:sdtEndPr>
                <w:rPr>
                  <w:rFonts w:cs="Times New Roman"/>
                </w:rPr>
              </w:sdtEndPr>
              <w:sdtContent>
                <w:tc>
                  <w:tcPr>
                    <w:tcW w:w="1596" w:type="pct"/>
                    <w:vAlign w:val="center"/>
                  </w:tcPr>
                  <w:p w14:paraId="11E79CFF">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04102c94e9134fa683ae3d0eac53465c"/>
                <w:id w:val="147459992"/>
              </w:sdtPr>
              <w:sdtEndPr>
                <w:rPr>
                  <w:rFonts w:cs="Times New Roman"/>
                </w:rPr>
              </w:sdtEndPr>
              <w:sdtContent>
                <w:tc>
                  <w:tcPr>
                    <w:tcW w:w="1506" w:type="pct"/>
                    <w:vAlign w:val="center"/>
                  </w:tcPr>
                  <w:p w14:paraId="591BD4E2">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722E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40F2AC6A">
                <w:pPr>
                  <w:textAlignment w:val="top"/>
                  <w:rPr>
                    <w:rFonts w:cs="Times New Roman"/>
                    <w:color w:val="000000" w:themeColor="text1"/>
                    <w14:textFill>
                      <w14:solidFill>
                        <w14:schemeClr w14:val="tx1"/>
                      </w14:solidFill>
                    </w14:textFill>
                  </w:rPr>
                </w:pPr>
                <w:r>
                  <w:rPr>
                    <w:rFonts w:cs="Times New Roman"/>
                    <w:color w:val="000000"/>
                    <w:lang w:bidi="ar"/>
                  </w:rPr>
                  <w:t>银行承兑汇票保证金</w:t>
                </w:r>
              </w:p>
            </w:tc>
            <w:tc>
              <w:tcPr>
                <w:tcW w:w="1596" w:type="pct"/>
                <w:vAlign w:val="bottom"/>
              </w:tcPr>
              <w:p w14:paraId="0F03C719">
                <w:pPr>
                  <w:jc w:val="right"/>
                  <w:textAlignment w:val="bottom"/>
                  <w:rPr>
                    <w:rFonts w:cs="Times New Roman"/>
                  </w:rPr>
                </w:pPr>
                <w:r>
                  <w:rPr>
                    <w:rFonts w:eastAsia="Arial Narrow" w:cs="Times New Roman"/>
                    <w:color w:val="000000"/>
                    <w:lang w:bidi="ar"/>
                  </w:rPr>
                  <w:t>93,390,161.57</w:t>
                </w:r>
              </w:p>
            </w:tc>
            <w:tc>
              <w:tcPr>
                <w:tcW w:w="1506" w:type="pct"/>
                <w:vAlign w:val="bottom"/>
              </w:tcPr>
              <w:p w14:paraId="5A84E275">
                <w:pPr>
                  <w:jc w:val="right"/>
                  <w:textAlignment w:val="bottom"/>
                  <w:rPr>
                    <w:rFonts w:cs="Times New Roman"/>
                  </w:rPr>
                </w:pPr>
                <w:r>
                  <w:rPr>
                    <w:rFonts w:cs="Times New Roman"/>
                    <w:color w:val="000000"/>
                  </w:rPr>
                  <w:t>148,807,304.77</w:t>
                </w:r>
              </w:p>
            </w:tc>
          </w:tr>
          <w:tr w14:paraId="1C34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3836B3E7">
                <w:pPr>
                  <w:textAlignment w:val="top"/>
                  <w:rPr>
                    <w:rFonts w:cs="Times New Roman"/>
                    <w:color w:val="000000" w:themeColor="text1"/>
                    <w14:textFill>
                      <w14:solidFill>
                        <w14:schemeClr w14:val="tx1"/>
                      </w14:solidFill>
                    </w14:textFill>
                  </w:rPr>
                </w:pPr>
                <w:r>
                  <w:rPr>
                    <w:rFonts w:cs="Times New Roman"/>
                    <w:color w:val="000000"/>
                    <w:lang w:bidi="ar"/>
                  </w:rPr>
                  <w:t>保函保证金</w:t>
                </w:r>
              </w:p>
            </w:tc>
            <w:tc>
              <w:tcPr>
                <w:tcW w:w="1596" w:type="pct"/>
                <w:vAlign w:val="bottom"/>
              </w:tcPr>
              <w:p w14:paraId="0AD3B489">
                <w:pPr>
                  <w:jc w:val="right"/>
                  <w:textAlignment w:val="bottom"/>
                  <w:rPr>
                    <w:rFonts w:cs="Times New Roman"/>
                  </w:rPr>
                </w:pPr>
                <w:r>
                  <w:rPr>
                    <w:rFonts w:eastAsia="Arial Narrow" w:cs="Times New Roman"/>
                    <w:color w:val="000000"/>
                    <w:lang w:bidi="ar"/>
                  </w:rPr>
                  <w:t>83,269,968.52</w:t>
                </w:r>
              </w:p>
            </w:tc>
            <w:tc>
              <w:tcPr>
                <w:tcW w:w="1506" w:type="pct"/>
                <w:vAlign w:val="bottom"/>
              </w:tcPr>
              <w:p w14:paraId="4219BB5A">
                <w:pPr>
                  <w:jc w:val="right"/>
                  <w:textAlignment w:val="bottom"/>
                  <w:rPr>
                    <w:rFonts w:cs="Times New Roman"/>
                  </w:rPr>
                </w:pPr>
                <w:r>
                  <w:rPr>
                    <w:rFonts w:cs="Times New Roman"/>
                    <w:color w:val="000000"/>
                  </w:rPr>
                  <w:t>82,590,826.27</w:t>
                </w:r>
              </w:p>
            </w:tc>
          </w:tr>
          <w:tr w14:paraId="5A36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50ABB9D0">
                <w:pPr>
                  <w:textAlignment w:val="top"/>
                  <w:rPr>
                    <w:rFonts w:cs="Times New Roman"/>
                    <w:color w:val="000000" w:themeColor="text1"/>
                    <w14:textFill>
                      <w14:solidFill>
                        <w14:schemeClr w14:val="tx1"/>
                      </w14:solidFill>
                    </w14:textFill>
                  </w:rPr>
                </w:pPr>
                <w:r>
                  <w:rPr>
                    <w:rFonts w:cs="Times New Roman"/>
                    <w:color w:val="000000"/>
                    <w:lang w:bidi="ar"/>
                  </w:rPr>
                  <w:t>住房维修基金</w:t>
                </w:r>
              </w:p>
            </w:tc>
            <w:tc>
              <w:tcPr>
                <w:tcW w:w="1596" w:type="pct"/>
                <w:vAlign w:val="bottom"/>
              </w:tcPr>
              <w:p w14:paraId="6A67402E">
                <w:pPr>
                  <w:jc w:val="right"/>
                  <w:textAlignment w:val="bottom"/>
                  <w:rPr>
                    <w:rFonts w:cs="Times New Roman"/>
                  </w:rPr>
                </w:pPr>
                <w:r>
                  <w:rPr>
                    <w:rFonts w:eastAsia="Arial Narrow" w:cs="Times New Roman"/>
                    <w:color w:val="000000"/>
                    <w:lang w:bidi="ar"/>
                  </w:rPr>
                  <w:t>1,732,935.26</w:t>
                </w:r>
              </w:p>
            </w:tc>
            <w:tc>
              <w:tcPr>
                <w:tcW w:w="1506" w:type="pct"/>
                <w:vAlign w:val="bottom"/>
              </w:tcPr>
              <w:p w14:paraId="3005D470">
                <w:pPr>
                  <w:jc w:val="right"/>
                  <w:textAlignment w:val="bottom"/>
                  <w:rPr>
                    <w:rFonts w:cs="Times New Roman"/>
                  </w:rPr>
                </w:pPr>
                <w:r>
                  <w:rPr>
                    <w:rFonts w:cs="Times New Roman"/>
                    <w:color w:val="000000"/>
                  </w:rPr>
                  <w:t>1,353,459.06</w:t>
                </w:r>
              </w:p>
            </w:tc>
          </w:tr>
          <w:tr w14:paraId="35FD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39E80267">
                <w:pPr>
                  <w:textAlignment w:val="top"/>
                  <w:rPr>
                    <w:rFonts w:cs="Times New Roman"/>
                    <w:color w:val="000000" w:themeColor="text1"/>
                    <w14:textFill>
                      <w14:solidFill>
                        <w14:schemeClr w14:val="tx1"/>
                      </w14:solidFill>
                    </w14:textFill>
                  </w:rPr>
                </w:pPr>
                <w:r>
                  <w:rPr>
                    <w:rFonts w:cs="Times New Roman"/>
                    <w:color w:val="000000"/>
                    <w:lang w:bidi="ar"/>
                  </w:rPr>
                  <w:t>冻结的银行存款</w:t>
                </w:r>
              </w:p>
            </w:tc>
            <w:tc>
              <w:tcPr>
                <w:tcW w:w="1596" w:type="pct"/>
                <w:vAlign w:val="bottom"/>
              </w:tcPr>
              <w:p w14:paraId="20EE06F9">
                <w:pPr>
                  <w:jc w:val="right"/>
                  <w:textAlignment w:val="bottom"/>
                  <w:rPr>
                    <w:rFonts w:cs="Times New Roman"/>
                  </w:rPr>
                </w:pPr>
                <w:r>
                  <w:rPr>
                    <w:rFonts w:eastAsia="Arial Narrow" w:cs="Times New Roman"/>
                    <w:color w:val="000000"/>
                    <w:lang w:bidi="ar"/>
                  </w:rPr>
                  <w:t>3,976,415.88</w:t>
                </w:r>
              </w:p>
            </w:tc>
            <w:tc>
              <w:tcPr>
                <w:tcW w:w="1506" w:type="pct"/>
                <w:vAlign w:val="bottom"/>
              </w:tcPr>
              <w:p w14:paraId="45F06168">
                <w:pPr>
                  <w:jc w:val="right"/>
                  <w:textAlignment w:val="bottom"/>
                  <w:rPr>
                    <w:rFonts w:cs="Times New Roman"/>
                  </w:rPr>
                </w:pPr>
                <w:r>
                  <w:rPr>
                    <w:rFonts w:cs="Times New Roman"/>
                    <w:color w:val="000000"/>
                  </w:rPr>
                  <w:t>5,435,998.49</w:t>
                </w:r>
              </w:p>
            </w:tc>
          </w:tr>
          <w:tr w14:paraId="1708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0FB75A2C">
                <w:pPr>
                  <w:textAlignment w:val="top"/>
                  <w:rPr>
                    <w:rFonts w:cs="Times New Roman"/>
                    <w:color w:val="000000" w:themeColor="text1"/>
                    <w14:textFill>
                      <w14:solidFill>
                        <w14:schemeClr w14:val="tx1"/>
                      </w14:solidFill>
                    </w14:textFill>
                  </w:rPr>
                </w:pPr>
                <w:r>
                  <w:rPr>
                    <w:rFonts w:cs="Times New Roman"/>
                    <w:color w:val="000000"/>
                    <w:lang w:bidi="ar"/>
                  </w:rPr>
                  <w:t>其他</w:t>
                </w:r>
              </w:p>
            </w:tc>
            <w:tc>
              <w:tcPr>
                <w:tcW w:w="1596" w:type="pct"/>
                <w:vAlign w:val="bottom"/>
              </w:tcPr>
              <w:p w14:paraId="3C5F5D6D">
                <w:pPr>
                  <w:jc w:val="right"/>
                  <w:textAlignment w:val="bottom"/>
                  <w:rPr>
                    <w:rFonts w:cs="Times New Roman"/>
                  </w:rPr>
                </w:pPr>
                <w:r>
                  <w:rPr>
                    <w:rFonts w:eastAsia="Arial Narrow" w:cs="Times New Roman"/>
                    <w:color w:val="000000"/>
                    <w:lang w:bidi="ar"/>
                  </w:rPr>
                  <w:t>1,580,593.09</w:t>
                </w:r>
              </w:p>
            </w:tc>
            <w:tc>
              <w:tcPr>
                <w:tcW w:w="1506" w:type="pct"/>
                <w:vAlign w:val="bottom"/>
              </w:tcPr>
              <w:p w14:paraId="477017F5">
                <w:pPr>
                  <w:jc w:val="right"/>
                  <w:textAlignment w:val="bottom"/>
                  <w:rPr>
                    <w:rFonts w:cs="Times New Roman"/>
                  </w:rPr>
                </w:pPr>
                <w:r>
                  <w:rPr>
                    <w:rFonts w:cs="Times New Roman"/>
                    <w:color w:val="000000"/>
                  </w:rPr>
                  <w:t>2,469,850.05</w:t>
                </w:r>
              </w:p>
            </w:tc>
          </w:tr>
          <w:tr w14:paraId="2D0A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897" w:type="pct"/>
              </w:tcPr>
              <w:p w14:paraId="04C0DD1D">
                <w:pPr>
                  <w:textAlignment w:val="top"/>
                  <w:rPr>
                    <w:rFonts w:cs="Times New Roman"/>
                    <w:color w:val="000000" w:themeColor="text1"/>
                    <w14:textFill>
                      <w14:solidFill>
                        <w14:schemeClr w14:val="tx1"/>
                      </w14:solidFill>
                    </w14:textFill>
                  </w:rPr>
                </w:pPr>
                <w:r>
                  <w:rPr>
                    <w:rFonts w:cs="Times New Roman"/>
                    <w:color w:val="000000"/>
                    <w:lang w:bidi="ar"/>
                  </w:rPr>
                  <w:t>合计</w:t>
                </w:r>
              </w:p>
            </w:tc>
            <w:tc>
              <w:tcPr>
                <w:tcW w:w="1596" w:type="pct"/>
                <w:vAlign w:val="bottom"/>
              </w:tcPr>
              <w:p w14:paraId="00BB2A71">
                <w:pPr>
                  <w:jc w:val="right"/>
                  <w:textAlignment w:val="bottom"/>
                  <w:rPr>
                    <w:rFonts w:cs="Times New Roman"/>
                  </w:rPr>
                </w:pPr>
                <w:r>
                  <w:rPr>
                    <w:rFonts w:eastAsia="Arial Narrow" w:cs="Times New Roman"/>
                    <w:color w:val="000000"/>
                    <w:lang w:bidi="ar"/>
                  </w:rPr>
                  <w:t>183,950,074.32</w:t>
                </w:r>
              </w:p>
            </w:tc>
            <w:tc>
              <w:tcPr>
                <w:tcW w:w="1506" w:type="pct"/>
                <w:vAlign w:val="bottom"/>
              </w:tcPr>
              <w:p w14:paraId="4DC7968C">
                <w:pPr>
                  <w:jc w:val="right"/>
                  <w:textAlignment w:val="bottom"/>
                  <w:rPr>
                    <w:rFonts w:cs="Times New Roman"/>
                  </w:rPr>
                </w:pPr>
                <w:r>
                  <w:rPr>
                    <w:rFonts w:cs="Times New Roman"/>
                    <w:color w:val="000000"/>
                  </w:rPr>
                  <w:t>240,657,438.64</w:t>
                </w:r>
              </w:p>
            </w:tc>
          </w:tr>
        </w:tbl>
        <w:p w14:paraId="764FA411">
          <w:pPr>
            <w:rPr>
              <w:color w:val="000000" w:themeColor="text1"/>
              <w14:textFill>
                <w14:solidFill>
                  <w14:schemeClr w14:val="tx1"/>
                </w14:solidFill>
              </w14:textFill>
            </w:rPr>
          </w:pPr>
        </w:p>
      </w:sdtContent>
    </w:sdt>
    <w:bookmarkEnd w:id="189"/>
    <w:p w14:paraId="6DA6BB4B">
      <w:pPr>
        <w:snapToGrid w:val="0"/>
        <w:spacing w:line="240" w:lineRule="atLeast"/>
        <w:ind w:right="25" w:rightChars="12"/>
        <w:rPr>
          <w:color w:val="000000" w:themeColor="text1"/>
          <w14:textFill>
            <w14:solidFill>
              <w14:schemeClr w14:val="tx1"/>
            </w14:solidFill>
          </w14:textFill>
        </w:rPr>
      </w:pPr>
    </w:p>
    <w:p w14:paraId="3853D7E1">
      <w:pPr>
        <w:pStyle w:val="57"/>
        <w:numPr>
          <w:ilvl w:val="0"/>
          <w:numId w:val="54"/>
        </w:numPr>
        <w:rPr>
          <w:color w:val="000000" w:themeColor="text1"/>
          <w:szCs w:val="21"/>
          <w14:textFill>
            <w14:solidFill>
              <w14:schemeClr w14:val="tx1"/>
            </w14:solidFill>
          </w14:textFill>
        </w:rPr>
      </w:pPr>
      <w:bookmarkStart w:id="190" w:name="_Hlk167884670"/>
      <w:r>
        <w:rPr>
          <w:color w:val="000000" w:themeColor="text1"/>
          <w:szCs w:val="21"/>
          <w14:textFill>
            <w14:solidFill>
              <w14:schemeClr w14:val="tx1"/>
            </w14:solidFill>
          </w14:textFill>
        </w:rPr>
        <w:t>交易性金融资产</w:t>
      </w:r>
    </w:p>
    <w:sdt>
      <w:sdtPr>
        <w:rPr>
          <w:color w:val="000000" w:themeColor="text1"/>
          <w14:textFill>
            <w14:solidFill>
              <w14:schemeClr w14:val="tx1"/>
            </w14:solidFill>
          </w14:textFill>
        </w:rPr>
        <w:alias w:val="是否适用：交易性金融资产[双击切换]"/>
        <w:tag w:val="_GBC_814e9c37d6a143e79b3faaee7ef0a917"/>
        <w:id w:val="147472781"/>
        <w:placeholder>
          <w:docPart w:val="GBC22222222222222222222222222222"/>
        </w:placeholder>
      </w:sdtPr>
      <w:sdtEndPr>
        <w:rPr>
          <w:color w:val="000000" w:themeColor="text1"/>
          <w14:textFill>
            <w14:solidFill>
              <w14:schemeClr w14:val="tx1"/>
            </w14:solidFill>
          </w14:textFill>
        </w:rPr>
      </w:sdtEndPr>
      <w:sdtContent>
        <w:p w14:paraId="54A797E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AC2C972">
      <w:pPr>
        <w:ind w:left="420" w:right="44"/>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交易性金融资产"/>
          <w:tag w:val="_GBC_0b6d7aa5ef9b4e3f96bbacf50472e8a9"/>
          <w:id w:val="1474533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交易性金融资产"/>
          <w:tag w:val="_GBC_c0e55c4dc6c240cbb4249fb399e1f183"/>
          <w:id w:val="1474634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6"/>
        <w:gridCol w:w="2069"/>
        <w:gridCol w:w="2087"/>
        <w:gridCol w:w="2087"/>
      </w:tblGrid>
      <w:tr w14:paraId="2451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bfc974108f748739d6b36c0d00be15d"/>
            <w:id w:val="147457070"/>
          </w:sdtPr>
          <w:sdtEndPr>
            <w:rPr>
              <w:rFonts w:cs="Times New Roman"/>
            </w:rPr>
          </w:sdtEndPr>
          <w:sdtContent>
            <w:tc>
              <w:tcPr>
                <w:tcW w:w="1551" w:type="pct"/>
                <w:vAlign w:val="center"/>
              </w:tcPr>
              <w:p w14:paraId="6A315B7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4ab18d4bde12445fb3b33042ee039a79"/>
            <w:id w:val="147454312"/>
          </w:sdtPr>
          <w:sdtEndPr>
            <w:rPr>
              <w:rFonts w:cs="Times New Roman"/>
            </w:rPr>
          </w:sdtEndPr>
          <w:sdtContent>
            <w:tc>
              <w:tcPr>
                <w:tcW w:w="1143" w:type="pct"/>
                <w:vAlign w:val="center"/>
              </w:tcPr>
              <w:p w14:paraId="6AC987AD">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ba01bb51e04644ee9a12073e90767e0a"/>
            <w:id w:val="147459451"/>
          </w:sdtPr>
          <w:sdtEndPr>
            <w:rPr>
              <w:rFonts w:cs="Times New Roman"/>
            </w:rPr>
          </w:sdtEndPr>
          <w:sdtContent>
            <w:tc>
              <w:tcPr>
                <w:tcW w:w="1153" w:type="pct"/>
                <w:vAlign w:val="center"/>
              </w:tcPr>
              <w:p w14:paraId="3B97B305">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c>
          <w:tcPr>
            <w:tcW w:w="1152" w:type="pct"/>
          </w:tcPr>
          <w:sdt>
            <w:sdtPr>
              <w:rPr>
                <w:rFonts w:cs="Times New Roman"/>
              </w:rPr>
              <w:tag w:val="_PLD_5ca45b30c40c4d908efaf8db8546b8af"/>
              <w:id w:val="147480908"/>
            </w:sdtPr>
            <w:sdtEndPr>
              <w:rPr>
                <w:rFonts w:cs="Times New Roman"/>
              </w:rPr>
            </w:sdtEndPr>
            <w:sdtContent>
              <w:p w14:paraId="08FED231">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指定理由和依据</w:t>
                </w:r>
              </w:p>
            </w:sdtContent>
          </w:sdt>
        </w:tc>
      </w:tr>
      <w:tr w14:paraId="5AB0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pct"/>
          </w:tcPr>
          <w:p w14:paraId="2FC12DCC">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以公允价值计量且其变动计入当期损益的金融资产</w:t>
            </w:r>
          </w:p>
        </w:tc>
        <w:tc>
          <w:tcPr>
            <w:tcW w:w="1143" w:type="pct"/>
            <w:vAlign w:val="center"/>
          </w:tcPr>
          <w:p w14:paraId="4A33F4DA">
            <w:pPr>
              <w:jc w:val="right"/>
              <w:textAlignment w:val="bottom"/>
              <w:rPr>
                <w:rFonts w:cs="Times New Roman"/>
              </w:rPr>
            </w:pPr>
            <w:r>
              <w:rPr>
                <w:rFonts w:eastAsia="Arial Narrow" w:cs="Times New Roman"/>
                <w:color w:val="000000"/>
                <w:lang w:bidi="ar"/>
              </w:rPr>
              <w:t>630,009.80</w:t>
            </w:r>
          </w:p>
        </w:tc>
        <w:tc>
          <w:tcPr>
            <w:tcW w:w="1153" w:type="pct"/>
            <w:vAlign w:val="center"/>
          </w:tcPr>
          <w:p w14:paraId="7D83C51D">
            <w:pPr>
              <w:jc w:val="right"/>
              <w:textAlignment w:val="bottom"/>
              <w:rPr>
                <w:rFonts w:cs="Times New Roman"/>
              </w:rPr>
            </w:pPr>
            <w:r>
              <w:rPr>
                <w:rFonts w:eastAsia="Arial Narrow" w:cs="Times New Roman"/>
                <w:color w:val="000000"/>
                <w:lang w:bidi="ar"/>
              </w:rPr>
              <w:t>630,009.80</w:t>
            </w:r>
          </w:p>
        </w:tc>
        <w:tc>
          <w:tcPr>
            <w:tcW w:w="1152" w:type="pct"/>
            <w:vAlign w:val="center"/>
          </w:tcPr>
          <w:p w14:paraId="3E6375AF">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r w14:paraId="1C38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ced5983f34d54e1499a5d77f9b552502"/>
            <w:id w:val="147469263"/>
          </w:sdtPr>
          <w:sdtEndPr>
            <w:rPr>
              <w:rFonts w:cs="Times New Roman"/>
            </w:rPr>
          </w:sdtEndPr>
          <w:sdtContent>
            <w:tc>
              <w:tcPr>
                <w:tcW w:w="5000" w:type="pct"/>
                <w:gridSpan w:val="4"/>
                <w:vAlign w:val="center"/>
              </w:tcPr>
              <w:p w14:paraId="3B3EEF5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p>
            </w:tc>
          </w:sdtContent>
        </w:sdt>
      </w:tr>
      <w:tr w14:paraId="5341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pct"/>
          </w:tcPr>
          <w:p w14:paraId="797F3D97">
            <w:pPr>
              <w:ind w:firstLine="420" w:firstLineChars="200"/>
              <w:textAlignment w:val="top"/>
              <w:rPr>
                <w:rFonts w:cs="Times New Roman"/>
              </w:rPr>
            </w:pPr>
            <w:r>
              <w:rPr>
                <w:rFonts w:cs="Times New Roman"/>
                <w:color w:val="000000"/>
                <w:lang w:bidi="ar"/>
              </w:rPr>
              <w:t>权益工具投资</w:t>
            </w:r>
          </w:p>
        </w:tc>
        <w:tc>
          <w:tcPr>
            <w:tcW w:w="1143" w:type="pct"/>
            <w:vAlign w:val="center"/>
          </w:tcPr>
          <w:p w14:paraId="47ABE9E4">
            <w:pPr>
              <w:jc w:val="right"/>
              <w:textAlignment w:val="bottom"/>
              <w:rPr>
                <w:rFonts w:cs="Times New Roman"/>
              </w:rPr>
            </w:pPr>
            <w:r>
              <w:rPr>
                <w:rFonts w:eastAsia="Arial Narrow" w:cs="Times New Roman"/>
                <w:color w:val="000000"/>
                <w:lang w:bidi="ar"/>
              </w:rPr>
              <w:t>630,009.80</w:t>
            </w:r>
          </w:p>
        </w:tc>
        <w:tc>
          <w:tcPr>
            <w:tcW w:w="1153" w:type="pct"/>
            <w:vAlign w:val="center"/>
          </w:tcPr>
          <w:p w14:paraId="121F331D">
            <w:pPr>
              <w:jc w:val="right"/>
              <w:textAlignment w:val="bottom"/>
              <w:rPr>
                <w:rFonts w:cs="Times New Roman"/>
              </w:rPr>
            </w:pPr>
            <w:r>
              <w:rPr>
                <w:rFonts w:eastAsia="Arial Narrow" w:cs="Times New Roman"/>
                <w:color w:val="000000"/>
                <w:lang w:bidi="ar"/>
              </w:rPr>
              <w:t>630,009.80</w:t>
            </w:r>
          </w:p>
        </w:tc>
        <w:tc>
          <w:tcPr>
            <w:tcW w:w="1152" w:type="pct"/>
            <w:vAlign w:val="center"/>
          </w:tcPr>
          <w:p w14:paraId="29557578">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r w14:paraId="2EC8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pct"/>
            <w:vAlign w:val="center"/>
          </w:tcPr>
          <w:p w14:paraId="1BB24E1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069" w:type="dxa"/>
            <w:vAlign w:val="center"/>
          </w:tcPr>
          <w:p w14:paraId="0EE82951">
            <w:pPr>
              <w:jc w:val="right"/>
              <w:textAlignment w:val="bottom"/>
              <w:rPr>
                <w:rFonts w:cs="Times New Roman"/>
              </w:rPr>
            </w:pPr>
            <w:r>
              <w:rPr>
                <w:rFonts w:eastAsia="Arial Narrow" w:cs="Times New Roman"/>
                <w:color w:val="000000"/>
                <w:lang w:bidi="ar"/>
              </w:rPr>
              <w:t>630,009.80</w:t>
            </w:r>
          </w:p>
        </w:tc>
        <w:tc>
          <w:tcPr>
            <w:tcW w:w="2087" w:type="dxa"/>
            <w:vAlign w:val="center"/>
          </w:tcPr>
          <w:p w14:paraId="08E6D8F5">
            <w:pPr>
              <w:jc w:val="right"/>
              <w:textAlignment w:val="bottom"/>
              <w:rPr>
                <w:rFonts w:cs="Times New Roman"/>
              </w:rPr>
            </w:pPr>
            <w:r>
              <w:rPr>
                <w:rFonts w:eastAsia="Arial Narrow" w:cs="Times New Roman"/>
                <w:color w:val="000000"/>
                <w:lang w:bidi="ar"/>
              </w:rPr>
              <w:t>630,009.80</w:t>
            </w:r>
          </w:p>
        </w:tc>
        <w:tc>
          <w:tcPr>
            <w:tcW w:w="1152" w:type="pct"/>
            <w:vAlign w:val="center"/>
          </w:tcPr>
          <w:p w14:paraId="43F50307">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68C02BD2">
      <w:pPr>
        <w:rPr>
          <w:color w:val="000000" w:themeColor="text1"/>
          <w14:textFill>
            <w14:solidFill>
              <w14:schemeClr w14:val="tx1"/>
            </w14:solidFill>
          </w14:textFill>
        </w:rPr>
      </w:pPr>
    </w:p>
    <w:p w14:paraId="320D242A">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交易性金融资产的说明[双击切换]"/>
        <w:tag w:val="_GBC_ef40892aa2074eaea951740a9358033e"/>
        <w:id w:val="147462194"/>
        <w:placeholder>
          <w:docPart w:val="GBC22222222222222222222222222222"/>
        </w:placeholder>
      </w:sdtPr>
      <w:sdtEndPr>
        <w:rPr>
          <w:color w:val="000000" w:themeColor="text1"/>
          <w14:textFill>
            <w14:solidFill>
              <w14:schemeClr w14:val="tx1"/>
            </w14:solidFill>
          </w14:textFill>
        </w:rPr>
      </w:sdtEndPr>
      <w:sdtContent>
        <w:p w14:paraId="516C492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FFC5909">
      <w:pPr>
        <w:rPr>
          <w:color w:val="000000" w:themeColor="text1"/>
          <w14:textFill>
            <w14:solidFill>
              <w14:schemeClr w14:val="tx1"/>
            </w14:solidFill>
          </w14:textFill>
        </w:rPr>
      </w:pPr>
    </w:p>
    <w:bookmarkEnd w:id="190"/>
    <w:p w14:paraId="498E1FEA">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衍生金融资产</w:t>
      </w:r>
    </w:p>
    <w:sdt>
      <w:sdtPr>
        <w:rPr>
          <w:color w:val="000000" w:themeColor="text1"/>
          <w14:textFill>
            <w14:solidFill>
              <w14:schemeClr w14:val="tx1"/>
            </w14:solidFill>
          </w14:textFill>
        </w:rPr>
        <w:alias w:val="是否适用：衍生金融资产[双击切换]"/>
        <w:tag w:val="_GBC_7f1559f8ac9a442b81c5479563d9e8bb"/>
        <w:id w:val="147473882"/>
        <w:placeholder>
          <w:docPart w:val="GBC22222222222222222222222222222"/>
        </w:placeholder>
      </w:sdtPr>
      <w:sdtEndPr>
        <w:rPr>
          <w:color w:val="000000" w:themeColor="text1"/>
          <w14:textFill>
            <w14:solidFill>
              <w14:schemeClr w14:val="tx1"/>
            </w14:solidFill>
          </w14:textFill>
        </w:rPr>
      </w:sdtEndPr>
      <w:sdtContent>
        <w:p w14:paraId="356325B5">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C9F610">
      <w:pPr>
        <w:snapToGrid w:val="0"/>
        <w:spacing w:line="240" w:lineRule="atLeast"/>
        <w:ind w:right="25" w:rightChars="12"/>
        <w:rPr>
          <w:color w:val="000000" w:themeColor="text1"/>
          <w14:textFill>
            <w14:solidFill>
              <w14:schemeClr w14:val="tx1"/>
            </w14:solidFill>
          </w14:textFill>
        </w:rPr>
      </w:pPr>
    </w:p>
    <w:p w14:paraId="74FA029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应收票据</w:t>
      </w:r>
    </w:p>
    <w:p w14:paraId="0EB701B0">
      <w:pPr>
        <w:pStyle w:val="58"/>
        <w:numPr>
          <w:ilvl w:val="3"/>
          <w:numId w:val="5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应收票据分类列示</w:t>
      </w:r>
    </w:p>
    <w:sdt>
      <w:sdtPr>
        <w:rPr>
          <w:color w:val="000000" w:themeColor="text1"/>
          <w14:textFill>
            <w14:solidFill>
              <w14:schemeClr w14:val="tx1"/>
            </w14:solidFill>
          </w14:textFill>
        </w:rPr>
        <w:alias w:val="是否适用：应收票据分类列示[双击切换]"/>
        <w:tag w:val="_GBC_3c32a2809ab3476a93b88a8155fb0be8"/>
        <w:id w:val="147454425"/>
        <w:placeholder>
          <w:docPart w:val="GBC22222222222222222222222222222"/>
        </w:placeholder>
      </w:sdtPr>
      <w:sdtEndPr>
        <w:rPr>
          <w:color w:val="000000" w:themeColor="text1"/>
          <w14:textFill>
            <w14:solidFill>
              <w14:schemeClr w14:val="tx1"/>
            </w14:solidFill>
          </w14:textFill>
        </w:rPr>
      </w:sdtEndPr>
      <w:sdtContent>
        <w:p w14:paraId="79453ED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3E59D94">
      <w:pPr>
        <w:snapToGrid w:val="0"/>
        <w:spacing w:line="240" w:lineRule="atLeast"/>
        <w:jc w:val="right"/>
        <w:rPr>
          <w:color w:val="000000" w:themeColor="text1"/>
          <w14:textFill>
            <w14:solidFill>
              <w14:schemeClr w14:val="tx1"/>
            </w14:solidFill>
          </w14:textFill>
        </w:rPr>
      </w:pPr>
    </w:p>
    <w:p w14:paraId="06C48B2D">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收票据分类"/>
          <w:tag w:val="_GBC_21d6ba5a9ccb41d7aee707ba343741db"/>
          <w:id w:val="1474600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票据分类"/>
          <w:tag w:val="_GBC_08bc82a26735413f8516c3d080579822"/>
          <w:id w:val="1474725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62" w:type="pct"/>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62"/>
        <w:gridCol w:w="3146"/>
        <w:gridCol w:w="2895"/>
      </w:tblGrid>
      <w:tr w14:paraId="7115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rPr>
              <w:rFonts w:cs="Times New Roman"/>
            </w:rPr>
            <w:tag w:val="_PLD_a48e9b652e5b48b08b05dc5f5dba5744"/>
            <w:id w:val="147453313"/>
          </w:sdtPr>
          <w:sdtEndPr>
            <w:rPr>
              <w:rFonts w:cs="Times New Roman"/>
            </w:rPr>
          </w:sdtEndPr>
          <w:sdtContent>
            <w:tc>
              <w:tcPr>
                <w:tcW w:w="1645" w:type="pct"/>
                <w:vAlign w:val="center"/>
              </w:tcPr>
              <w:p w14:paraId="3BEB336C">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c6664062fcf84681af8b24fee4722ae5"/>
            <w:id w:val="147454281"/>
          </w:sdtPr>
          <w:sdtEndPr>
            <w:rPr>
              <w:rFonts w:cs="Times New Roman"/>
            </w:rPr>
          </w:sdtEndPr>
          <w:sdtContent>
            <w:tc>
              <w:tcPr>
                <w:tcW w:w="1747" w:type="pct"/>
                <w:vAlign w:val="center"/>
              </w:tcPr>
              <w:p w14:paraId="40AA1D9C">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7d93c99ec70e48ac985c37b2b3046178"/>
            <w:id w:val="147481318"/>
          </w:sdtPr>
          <w:sdtEndPr>
            <w:rPr>
              <w:rFonts w:cs="Times New Roman"/>
            </w:rPr>
          </w:sdtEndPr>
          <w:sdtContent>
            <w:tc>
              <w:tcPr>
                <w:tcW w:w="1608" w:type="pct"/>
                <w:vAlign w:val="center"/>
              </w:tcPr>
              <w:p w14:paraId="6259C412">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17CD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5" w:type="pct"/>
          </w:tcPr>
          <w:p w14:paraId="164DB995">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银行承兑票据</w:t>
            </w:r>
          </w:p>
        </w:tc>
        <w:tc>
          <w:tcPr>
            <w:tcW w:w="1747" w:type="pct"/>
            <w:vAlign w:val="bottom"/>
          </w:tcPr>
          <w:p w14:paraId="6A0E4C2D">
            <w:pPr>
              <w:jc w:val="right"/>
              <w:textAlignment w:val="bottom"/>
              <w:rPr>
                <w:rFonts w:cs="Times New Roman"/>
              </w:rPr>
            </w:pPr>
            <w:r>
              <w:rPr>
                <w:rFonts w:cs="Times New Roman"/>
                <w:color w:val="000000"/>
              </w:rPr>
              <w:t>34,206,345.87</w:t>
            </w:r>
          </w:p>
        </w:tc>
        <w:tc>
          <w:tcPr>
            <w:tcW w:w="1608" w:type="pct"/>
            <w:vAlign w:val="bottom"/>
          </w:tcPr>
          <w:p w14:paraId="1C600C3A">
            <w:pPr>
              <w:jc w:val="right"/>
              <w:textAlignment w:val="bottom"/>
              <w:rPr>
                <w:rFonts w:cs="Times New Roman"/>
              </w:rPr>
            </w:pPr>
            <w:r>
              <w:rPr>
                <w:rFonts w:cs="Times New Roman"/>
                <w:color w:val="000000"/>
              </w:rPr>
              <w:t>38,018,663.35</w:t>
            </w:r>
          </w:p>
        </w:tc>
      </w:tr>
      <w:tr w14:paraId="402C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5" w:type="pct"/>
          </w:tcPr>
          <w:p w14:paraId="5ABF5992">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商业承兑票据</w:t>
            </w:r>
          </w:p>
        </w:tc>
        <w:tc>
          <w:tcPr>
            <w:tcW w:w="1747" w:type="pct"/>
            <w:vAlign w:val="bottom"/>
          </w:tcPr>
          <w:p w14:paraId="7C55060A">
            <w:pPr>
              <w:jc w:val="right"/>
              <w:textAlignment w:val="bottom"/>
              <w:rPr>
                <w:rFonts w:cs="Times New Roman"/>
              </w:rPr>
            </w:pPr>
            <w:r>
              <w:rPr>
                <w:rFonts w:cs="Times New Roman"/>
                <w:color w:val="000000"/>
              </w:rPr>
              <w:t>13,486,765.28</w:t>
            </w:r>
          </w:p>
        </w:tc>
        <w:tc>
          <w:tcPr>
            <w:tcW w:w="1608" w:type="pct"/>
            <w:vAlign w:val="bottom"/>
          </w:tcPr>
          <w:p w14:paraId="4B7FFD7C">
            <w:pPr>
              <w:jc w:val="right"/>
              <w:textAlignment w:val="bottom"/>
              <w:rPr>
                <w:rFonts w:cs="Times New Roman"/>
              </w:rPr>
            </w:pPr>
            <w:r>
              <w:rPr>
                <w:rFonts w:cs="Times New Roman"/>
                <w:color w:val="000000"/>
              </w:rPr>
              <w:t>26,645,948.48</w:t>
            </w:r>
          </w:p>
        </w:tc>
      </w:tr>
      <w:tr w14:paraId="4CB7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5" w:type="pct"/>
          </w:tcPr>
          <w:p w14:paraId="7AD665EC">
            <w:pPr>
              <w:autoSpaceDE w:val="0"/>
              <w:autoSpaceDN w:val="0"/>
              <w:adjustRightInd w:val="0"/>
              <w:snapToGrid w:val="0"/>
              <w:spacing w:line="240" w:lineRule="atLeast"/>
              <w:rPr>
                <w:rFonts w:cs="Times New Roman"/>
              </w:rPr>
            </w:pPr>
            <w:r>
              <w:rPr>
                <w:rFonts w:cs="Times New Roman"/>
              </w:rPr>
              <w:t>财务公司承兑票据</w:t>
            </w:r>
          </w:p>
        </w:tc>
        <w:tc>
          <w:tcPr>
            <w:tcW w:w="1747" w:type="pct"/>
            <w:vAlign w:val="bottom"/>
          </w:tcPr>
          <w:p w14:paraId="57E87D06">
            <w:pPr>
              <w:jc w:val="right"/>
              <w:textAlignment w:val="bottom"/>
              <w:rPr>
                <w:rFonts w:cs="Times New Roman"/>
              </w:rPr>
            </w:pPr>
            <w:r>
              <w:rPr>
                <w:rFonts w:cs="Times New Roman"/>
                <w:color w:val="000000"/>
              </w:rPr>
              <w:t>1,637,341.88</w:t>
            </w:r>
          </w:p>
        </w:tc>
        <w:tc>
          <w:tcPr>
            <w:tcW w:w="1608" w:type="pct"/>
            <w:vAlign w:val="bottom"/>
          </w:tcPr>
          <w:p w14:paraId="0E97E647">
            <w:pPr>
              <w:jc w:val="right"/>
              <w:textAlignment w:val="bottom"/>
              <w:rPr>
                <w:rFonts w:cs="Times New Roman"/>
              </w:rPr>
            </w:pPr>
            <w:r>
              <w:rPr>
                <w:rFonts w:cs="Times New Roman"/>
                <w:color w:val="000000"/>
              </w:rPr>
              <w:t>323,570.02</w:t>
            </w:r>
          </w:p>
        </w:tc>
      </w:tr>
      <w:tr w14:paraId="2F98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5" w:type="pct"/>
            <w:vAlign w:val="center"/>
          </w:tcPr>
          <w:p w14:paraId="347B534D">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747" w:type="pct"/>
            <w:vAlign w:val="bottom"/>
          </w:tcPr>
          <w:p w14:paraId="41F42B83">
            <w:pPr>
              <w:jc w:val="right"/>
              <w:textAlignment w:val="bottom"/>
              <w:rPr>
                <w:rFonts w:cs="Times New Roman"/>
              </w:rPr>
            </w:pPr>
            <w:r>
              <w:rPr>
                <w:rFonts w:cs="Times New Roman"/>
                <w:color w:val="000000"/>
              </w:rPr>
              <w:t>49,330,453.03</w:t>
            </w:r>
          </w:p>
        </w:tc>
        <w:tc>
          <w:tcPr>
            <w:tcW w:w="1608" w:type="pct"/>
            <w:vAlign w:val="bottom"/>
          </w:tcPr>
          <w:p w14:paraId="23C802F0">
            <w:pPr>
              <w:jc w:val="right"/>
              <w:textAlignment w:val="bottom"/>
              <w:rPr>
                <w:rFonts w:cs="Times New Roman"/>
              </w:rPr>
            </w:pPr>
            <w:r>
              <w:rPr>
                <w:rFonts w:cs="Times New Roman"/>
                <w:color w:val="000000"/>
              </w:rPr>
              <w:t>64,988,181.85</w:t>
            </w:r>
          </w:p>
        </w:tc>
      </w:tr>
    </w:tbl>
    <w:p w14:paraId="438EC7C5">
      <w:pPr>
        <w:rPr>
          <w:color w:val="000000" w:themeColor="text1"/>
          <w14:textFill>
            <w14:solidFill>
              <w14:schemeClr w14:val="tx1"/>
            </w14:solidFill>
          </w14:textFill>
        </w:rPr>
      </w:pPr>
    </w:p>
    <w:p w14:paraId="489B80C9">
      <w:pPr>
        <w:pStyle w:val="58"/>
        <w:numPr>
          <w:ilvl w:val="3"/>
          <w:numId w:val="5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期末公司已质押的应收票据</w:t>
      </w:r>
    </w:p>
    <w:sdt>
      <w:sdtPr>
        <w:rPr>
          <w:color w:val="000000" w:themeColor="text1"/>
          <w14:textFill>
            <w14:solidFill>
              <w14:schemeClr w14:val="tx1"/>
            </w14:solidFill>
          </w14:textFill>
        </w:rPr>
        <w:alias w:val="是否适用：期末公司已质押的应收票据[双击切换]"/>
        <w:tag w:val="_GBC_3440ef2908e64e51a440106bfa389257"/>
        <w:id w:val="147451907"/>
        <w:placeholder>
          <w:docPart w:val="GBC22222222222222222222222222222"/>
        </w:placeholder>
      </w:sdtPr>
      <w:sdtEndPr>
        <w:rPr>
          <w:color w:val="000000" w:themeColor="text1"/>
          <w14:textFill>
            <w14:solidFill>
              <w14:schemeClr w14:val="tx1"/>
            </w14:solidFill>
          </w14:textFill>
        </w:rPr>
      </w:sdtEndPr>
      <w:sdtContent>
        <w:p w14:paraId="0E48D9E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966EFC">
      <w:pPr>
        <w:rPr>
          <w:color w:val="000000" w:themeColor="text1"/>
          <w14:textFill>
            <w14:solidFill>
              <w14:schemeClr w14:val="tx1"/>
            </w14:solidFill>
          </w14:textFill>
        </w:rPr>
      </w:pPr>
    </w:p>
    <w:p w14:paraId="5A61EF94">
      <w:pPr>
        <w:pStyle w:val="58"/>
        <w:numPr>
          <w:ilvl w:val="3"/>
          <w:numId w:val="55"/>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期末公司已背书或贴现且在资产负债表日尚未到期的应收票据</w:t>
      </w:r>
    </w:p>
    <w:sdt>
      <w:sdtPr>
        <w:rPr>
          <w:color w:val="000000" w:themeColor="text1"/>
          <w14:textFill>
            <w14:solidFill>
              <w14:schemeClr w14:val="tx1"/>
            </w14:solidFill>
          </w14:textFill>
        </w:rPr>
        <w:alias w:val="是否适用：期末公司已背书或贴现且在资产负债表日尚未到期的应收票据[双击切换]"/>
        <w:tag w:val="_GBC_d04f4c30d18f498d986ce6c934ec761c"/>
        <w:id w:val="814307258"/>
      </w:sdtPr>
      <w:sdtEndPr>
        <w:rPr>
          <w:color w:val="000000" w:themeColor="text1"/>
          <w14:textFill>
            <w14:solidFill>
              <w14:schemeClr w14:val="tx1"/>
            </w14:solidFill>
          </w14:textFill>
        </w:rPr>
      </w:sdtEndPr>
      <w:sdtContent>
        <w:p w14:paraId="6CF85B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49AE051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期末公司已背书或贴现且在资产负债表日尚未到期的应收票据"/>
          <w:tag w:val="_GBC_1a006471fd2344fca1e27a6484895b0f"/>
          <w:id w:val="-957868581"/>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期末公司已背书或贴现且在资产负债表日尚未到期的应收票据"/>
          <w:tag w:val="_GBC_394a26f35e05433d88a516241a51f5ba"/>
          <w:id w:val="-78033023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3050"/>
        <w:gridCol w:w="3123"/>
      </w:tblGrid>
      <w:tr w14:paraId="1EF6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7f8eb653a3a24ed29cc795bb9a08fb8e"/>
            <w:id w:val="-1537964054"/>
          </w:sdtPr>
          <w:sdtEndPr>
            <w:rPr>
              <w:rFonts w:cs="Times New Roman"/>
            </w:rPr>
          </w:sdtEndPr>
          <w:sdtContent>
            <w:tc>
              <w:tcPr>
                <w:tcW w:w="1589" w:type="pct"/>
                <w:vAlign w:val="center"/>
              </w:tcPr>
              <w:p w14:paraId="3316316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96af9fcfe145402ea8d401a1f6c0d081"/>
            <w:id w:val="1819455217"/>
          </w:sdtPr>
          <w:sdtEndPr>
            <w:rPr>
              <w:rFonts w:cs="Times New Roman"/>
            </w:rPr>
          </w:sdtEndPr>
          <w:sdtContent>
            <w:tc>
              <w:tcPr>
                <w:tcW w:w="1685" w:type="pct"/>
                <w:vAlign w:val="center"/>
              </w:tcPr>
              <w:p w14:paraId="29F18A4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期末终止确认金额</w:t>
                </w:r>
              </w:p>
            </w:tc>
          </w:sdtContent>
        </w:sdt>
        <w:sdt>
          <w:sdtPr>
            <w:rPr>
              <w:rFonts w:cs="Times New Roman"/>
            </w:rPr>
            <w:tag w:val="_PLD_2efea7e570304a7e9fb54f87b3247807"/>
            <w:id w:val="-993565084"/>
          </w:sdtPr>
          <w:sdtEndPr>
            <w:rPr>
              <w:rFonts w:cs="Times New Roman"/>
            </w:rPr>
          </w:sdtEndPr>
          <w:sdtContent>
            <w:tc>
              <w:tcPr>
                <w:tcW w:w="1725" w:type="pct"/>
                <w:vAlign w:val="center"/>
              </w:tcPr>
              <w:p w14:paraId="7DB9000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期末未终止确认金额</w:t>
                </w:r>
              </w:p>
            </w:tc>
          </w:sdtContent>
        </w:sdt>
      </w:tr>
      <w:tr w14:paraId="05C8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cac37b72ff744837a73dde57c7667850"/>
            <w:id w:val="1673759432"/>
          </w:sdtPr>
          <w:sdtEndPr>
            <w:rPr>
              <w:rFonts w:cs="Times New Roman"/>
            </w:rPr>
          </w:sdtEndPr>
          <w:sdtContent>
            <w:tc>
              <w:tcPr>
                <w:tcW w:w="1589" w:type="pct"/>
              </w:tcPr>
              <w:p w14:paraId="30FC1F9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银行承兑票据</w:t>
                </w:r>
              </w:p>
            </w:tc>
          </w:sdtContent>
        </w:sdt>
        <w:tc>
          <w:tcPr>
            <w:tcW w:w="1685" w:type="pct"/>
            <w:vAlign w:val="bottom"/>
          </w:tcPr>
          <w:p w14:paraId="7D95CD99">
            <w:pPr>
              <w:jc w:val="right"/>
              <w:rPr>
                <w:rFonts w:cs="Times New Roman"/>
              </w:rPr>
            </w:pPr>
            <w:r>
              <w:rPr>
                <w:rFonts w:cs="Times New Roman"/>
              </w:rPr>
              <w:t>69,529,172.24</w:t>
            </w:r>
          </w:p>
        </w:tc>
        <w:tc>
          <w:tcPr>
            <w:tcW w:w="1725" w:type="pct"/>
          </w:tcPr>
          <w:p w14:paraId="6C51505A">
            <w:pPr>
              <w:jc w:val="right"/>
              <w:rPr>
                <w:rFonts w:cs="Times New Roman"/>
              </w:rPr>
            </w:pPr>
          </w:p>
        </w:tc>
      </w:tr>
      <w:tr w14:paraId="5E73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57056e05394444c786935252d8a3c35e"/>
            <w:id w:val="1799336690"/>
          </w:sdtPr>
          <w:sdtEndPr>
            <w:rPr>
              <w:rFonts w:cs="Times New Roman"/>
            </w:rPr>
          </w:sdtEndPr>
          <w:sdtContent>
            <w:tc>
              <w:tcPr>
                <w:tcW w:w="1589" w:type="pct"/>
              </w:tcPr>
              <w:p w14:paraId="24E0BF9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商业承兑票据</w:t>
                </w:r>
              </w:p>
            </w:tc>
          </w:sdtContent>
        </w:sdt>
        <w:tc>
          <w:tcPr>
            <w:tcW w:w="1685" w:type="pct"/>
          </w:tcPr>
          <w:p w14:paraId="63CCE958">
            <w:pPr>
              <w:jc w:val="right"/>
              <w:rPr>
                <w:rFonts w:cs="Times New Roman"/>
              </w:rPr>
            </w:pPr>
          </w:p>
        </w:tc>
        <w:tc>
          <w:tcPr>
            <w:tcW w:w="1725" w:type="pct"/>
            <w:vAlign w:val="bottom"/>
          </w:tcPr>
          <w:p w14:paraId="0773F331">
            <w:pPr>
              <w:jc w:val="right"/>
              <w:rPr>
                <w:rFonts w:cs="Times New Roman"/>
              </w:rPr>
            </w:pPr>
            <w:r>
              <w:rPr>
                <w:rFonts w:cs="Times New Roman"/>
              </w:rPr>
              <w:t>140,000.00</w:t>
            </w:r>
          </w:p>
        </w:tc>
      </w:tr>
      <w:sdt>
        <w:sdtPr>
          <w:rPr>
            <w:rFonts w:cs="Times New Roman"/>
            <w:color w:val="000000" w:themeColor="text1"/>
            <w14:textFill>
              <w14:solidFill>
                <w14:schemeClr w14:val="tx1"/>
              </w14:solidFill>
            </w14:textFill>
          </w:rPr>
          <w:alias w:val="公司已背书或贴现且在资产负债表日尚未到期的应收票据明细"/>
          <w:tag w:val="_GBC_144521bcfdae44859a355694514eb920"/>
          <w:id w:val="1555894110"/>
          <w:placeholder>
            <w:docPart w:val="{81cd5e11-2568-4bb7-ba75-1405636d41fb}"/>
          </w:placeholder>
        </w:sdtPr>
        <w:sdtEndPr>
          <w:rPr>
            <w:rFonts w:cs="Times New Roman"/>
            <w:color w:val="000000" w:themeColor="text1"/>
            <w14:textFill>
              <w14:solidFill>
                <w14:schemeClr w14:val="tx1"/>
              </w14:solidFill>
            </w14:textFill>
          </w:rPr>
        </w:sdtEndPr>
        <w:sdtContent>
          <w:tr w14:paraId="657C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4775F248">
                <w:pPr>
                  <w:rPr>
                    <w:rFonts w:cs="Times New Roman"/>
                  </w:rPr>
                </w:pPr>
                <w:r>
                  <w:rPr>
                    <w:rFonts w:cs="Times New Roman"/>
                  </w:rPr>
                  <w:t>财务公司承兑票据</w:t>
                </w:r>
              </w:p>
            </w:tc>
            <w:tc>
              <w:tcPr>
                <w:tcW w:w="1685" w:type="pct"/>
                <w:vAlign w:val="bottom"/>
              </w:tcPr>
              <w:p w14:paraId="60F2F767">
                <w:pPr>
                  <w:jc w:val="right"/>
                  <w:rPr>
                    <w:rFonts w:cs="Times New Roman"/>
                  </w:rPr>
                </w:pPr>
                <w:r>
                  <w:rPr>
                    <w:rFonts w:cs="Times New Roman"/>
                  </w:rPr>
                  <w:t>15,433,311.96</w:t>
                </w:r>
              </w:p>
            </w:tc>
            <w:tc>
              <w:tcPr>
                <w:tcW w:w="1725" w:type="pct"/>
              </w:tcPr>
              <w:p w14:paraId="0F0F232F">
                <w:pPr>
                  <w:jc w:val="right"/>
                  <w:rPr>
                    <w:rFonts w:cs="Times New Roman"/>
                  </w:rPr>
                </w:pPr>
              </w:p>
            </w:tc>
          </w:tr>
        </w:sdtContent>
      </w:sdt>
      <w:sdt>
        <w:sdtPr>
          <w:rPr>
            <w:rFonts w:cs="Times New Roman"/>
          </w:rPr>
          <w:alias w:val="公司已背书或贴现且在资产负债表日尚未到期的应收票据明细"/>
          <w:tag w:val="_GBC_144521bcfdae44859a355694514eb920"/>
          <w:id w:val="1711763917"/>
          <w:placeholder>
            <w:docPart w:val="{81cd5e11-2568-4bb7-ba75-1405636d41fb}"/>
          </w:placeholder>
        </w:sdtPr>
        <w:sdtEndPr>
          <w:rPr>
            <w:rFonts w:cs="Times New Roman"/>
          </w:rPr>
        </w:sdtEndPr>
        <w:sdtContent>
          <w:tr w14:paraId="1365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fe9a2327d66e4c329946796965b1c500"/>
                <w:id w:val="-699776505"/>
              </w:sdtPr>
              <w:sdtEndPr>
                <w:rPr>
                  <w:rFonts w:cs="Times New Roman"/>
                </w:rPr>
              </w:sdtEndPr>
              <w:sdtContent>
                <w:tc>
                  <w:tcPr>
                    <w:tcW w:w="1589" w:type="pct"/>
                    <w:vAlign w:val="center"/>
                  </w:tcPr>
                  <w:p w14:paraId="2A1293B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85" w:type="pct"/>
                <w:vAlign w:val="bottom"/>
              </w:tcPr>
              <w:p w14:paraId="41EAFBA5">
                <w:pPr>
                  <w:jc w:val="right"/>
                  <w:rPr>
                    <w:rFonts w:cs="Times New Roman"/>
                  </w:rPr>
                </w:pPr>
                <w:r>
                  <w:rPr>
                    <w:rFonts w:cs="Times New Roman"/>
                  </w:rPr>
                  <w:t>84,962,484.20</w:t>
                </w:r>
              </w:p>
            </w:tc>
            <w:tc>
              <w:tcPr>
                <w:tcW w:w="1725" w:type="pct"/>
                <w:vAlign w:val="bottom"/>
              </w:tcPr>
              <w:p w14:paraId="3AE36308">
                <w:pPr>
                  <w:jc w:val="right"/>
                  <w:rPr>
                    <w:rFonts w:cs="Times New Roman"/>
                  </w:rPr>
                </w:pPr>
                <w:r>
                  <w:rPr>
                    <w:rFonts w:cs="Times New Roman"/>
                  </w:rPr>
                  <w:t>140,000.00</w:t>
                </w:r>
              </w:p>
            </w:tc>
          </w:tr>
        </w:sdtContent>
      </w:sdt>
    </w:tbl>
    <w:p w14:paraId="0B5AC427">
      <w:pPr>
        <w:rPr>
          <w:rFonts w:cs="Times New Roman"/>
          <w:color w:val="000000" w:themeColor="text1"/>
          <w:kern w:val="2"/>
          <w14:textFill>
            <w14:solidFill>
              <w14:schemeClr w14:val="tx1"/>
            </w14:solidFill>
          </w14:textFill>
        </w:rPr>
      </w:pPr>
    </w:p>
    <w:p w14:paraId="00D09618">
      <w:pPr>
        <w:pStyle w:val="58"/>
        <w:numPr>
          <w:ilvl w:val="3"/>
          <w:numId w:val="55"/>
        </w:numPr>
        <w:rPr>
          <w:rFonts w:ascii="宋体" w:hAnsi="宋体"/>
          <w:color w:val="000000" w:themeColor="text1"/>
          <w14:textFill>
            <w14:solidFill>
              <w14:schemeClr w14:val="tx1"/>
            </w14:solidFill>
          </w14:textFill>
        </w:rPr>
      </w:pPr>
      <w:bookmarkStart w:id="191" w:name="_Hlk10466572"/>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应收票据按坏账计提方法分类披露[双击切换]"/>
        <w:tag w:val="_GBC_064ae6cf552d47d6abf4ad2b5c55d254"/>
        <w:id w:val="147467360"/>
        <w:placeholder>
          <w:docPart w:val="GBC22222222222222222222222222222"/>
        </w:placeholder>
      </w:sdtPr>
      <w:sdtEndPr>
        <w:rPr>
          <w:color w:val="000000" w:themeColor="text1"/>
          <w14:textFill>
            <w14:solidFill>
              <w14:schemeClr w14:val="tx1"/>
            </w14:solidFill>
          </w14:textFill>
        </w:rPr>
      </w:sdtEndPr>
      <w:sdtContent>
        <w:p w14:paraId="26346D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01A4BA">
      <w:pPr>
        <w:rPr>
          <w:color w:val="000000" w:themeColor="text1"/>
          <w14:textFill>
            <w14:solidFill>
              <w14:schemeClr w14:val="tx1"/>
            </w14:solidFill>
          </w14:textFill>
        </w:rPr>
      </w:pPr>
      <w:bookmarkStart w:id="192" w:name="_Hlk533511527"/>
    </w:p>
    <w:bookmarkEnd w:id="191"/>
    <w:bookmarkEnd w:id="192"/>
    <w:p w14:paraId="46DFD2BF">
      <w:pPr>
        <w:rPr>
          <w:color w:val="000000" w:themeColor="text1"/>
          <w14:textFill>
            <w14:solidFill>
              <w14:schemeClr w14:val="tx1"/>
            </w14:solidFill>
          </w14:textFill>
        </w:rPr>
      </w:pPr>
      <w:bookmarkStart w:id="193" w:name="_Hlk10466593"/>
      <w:bookmarkStart w:id="194" w:name="_Hlk10466603"/>
      <w:r>
        <w:rPr>
          <w:rFonts w:hint="eastAsia"/>
          <w:color w:val="000000" w:themeColor="text1"/>
          <w14:textFill>
            <w14:solidFill>
              <w14:schemeClr w14:val="tx1"/>
            </w14:solidFill>
          </w14:textFill>
        </w:rPr>
        <w:t>按单项计提坏账准备：</w:t>
      </w:r>
      <w:bookmarkEnd w:id="193"/>
    </w:p>
    <w:sdt>
      <w:sdtPr>
        <w:rPr>
          <w:rFonts w:hint="eastAsia"/>
          <w:color w:val="000000" w:themeColor="text1"/>
          <w14:textFill>
            <w14:solidFill>
              <w14:schemeClr w14:val="tx1"/>
            </w14:solidFill>
          </w14:textFill>
        </w:rPr>
        <w:alias w:val="是否适用：按单项计提坏账准备的应收票据详细情况[双击切换]"/>
        <w:tag w:val="_GBC_90335c20d2434e43b63dbeddbebca5f6"/>
        <w:id w:val="147478504"/>
        <w:placeholder>
          <w:docPart w:val="GBC22222222222222222222222222222"/>
        </w:placeholder>
      </w:sdtPr>
      <w:sdtEndPr>
        <w:rPr>
          <w:rFonts w:hint="eastAsia"/>
          <w:color w:val="000000" w:themeColor="text1"/>
          <w14:textFill>
            <w14:solidFill>
              <w14:schemeClr w14:val="tx1"/>
            </w14:solidFill>
          </w14:textFill>
        </w:rPr>
      </w:sdtEndPr>
      <w:sdtContent>
        <w:p w14:paraId="617AE32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352AB95">
      <w:pPr>
        <w:ind w:right="210"/>
        <w:rPr>
          <w:color w:val="000000" w:themeColor="text1"/>
          <w14:textFill>
            <w14:solidFill>
              <w14:schemeClr w14:val="tx1"/>
            </w14:solidFill>
          </w14:textFill>
        </w:rPr>
      </w:pPr>
      <w:bookmarkStart w:id="195" w:name="_Hlk533597423"/>
    </w:p>
    <w:bookmarkEnd w:id="194"/>
    <w:bookmarkEnd w:id="195"/>
    <w:p w14:paraId="48CFE4ED">
      <w:pPr>
        <w:rPr>
          <w:rFonts w:cstheme="minorBidi"/>
          <w:bCs w:val="0"/>
          <w:color w:val="000000" w:themeColor="text1"/>
          <w:szCs w:val="22"/>
          <w14:textFill>
            <w14:solidFill>
              <w14:schemeClr w14:val="tx1"/>
            </w14:solidFill>
          </w14:textFill>
        </w:rPr>
      </w:pPr>
      <w:bookmarkStart w:id="196" w:name="_Hlk10466625"/>
      <w:bookmarkStart w:id="197" w:name="_Hlk10466636"/>
      <w:r>
        <w:rPr>
          <w:rFonts w:hint="eastAsia" w:cstheme="minorBidi"/>
          <w:color w:val="000000" w:themeColor="text1"/>
          <w:szCs w:val="22"/>
          <w14:textFill>
            <w14:solidFill>
              <w14:schemeClr w14:val="tx1"/>
            </w14:solidFill>
          </w14:textFill>
        </w:rPr>
        <w:t>按组合计提坏账准备：</w:t>
      </w:r>
      <w:bookmarkEnd w:id="196"/>
    </w:p>
    <w:sdt>
      <w:sdtPr>
        <w:rPr>
          <w:rFonts w:hint="eastAsia" w:cstheme="minorBidi"/>
          <w:bCs w:val="0"/>
          <w:color w:val="000000" w:themeColor="text1"/>
          <w:szCs w:val="22"/>
          <w14:textFill>
            <w14:solidFill>
              <w14:schemeClr w14:val="tx1"/>
            </w14:solidFill>
          </w14:textFill>
        </w:rPr>
        <w:alias w:val="是否适用：按组合计提坏账准备的应收票据详细情况[双击切换]"/>
        <w:tag w:val="_GBC_2b00fe7228b14b11bdb374e735777f02"/>
        <w:id w:val="147460917"/>
        <w:placeholder>
          <w:docPart w:val="GBC22222222222222222222222222222"/>
        </w:placeholder>
      </w:sdtPr>
      <w:sdtEndPr>
        <w:rPr>
          <w:rFonts w:hint="eastAsia" w:cstheme="minorBidi"/>
          <w:bCs w:val="0"/>
          <w:color w:val="000000" w:themeColor="text1"/>
          <w:szCs w:val="22"/>
          <w14:textFill>
            <w14:solidFill>
              <w14:schemeClr w14:val="tx1"/>
            </w14:solidFill>
          </w14:textFill>
        </w:rPr>
      </w:sdtEndPr>
      <w:sdtContent>
        <w:p w14:paraId="5ED13F30">
          <w:pPr>
            <w:rPr>
              <w:color w:val="000000" w:themeColor="text1"/>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bookmarkEnd w:id="197"/>
    <w:p w14:paraId="577E03DD">
      <w:pPr>
        <w:rPr>
          <w:rFonts w:cstheme="minorBidi"/>
          <w:bCs w:val="0"/>
          <w:color w:val="000000" w:themeColor="text1"/>
          <w:szCs w:val="22"/>
          <w14:textFill>
            <w14:solidFill>
              <w14:schemeClr w14:val="tx1"/>
            </w14:solidFill>
          </w14:textFill>
        </w:rPr>
      </w:pPr>
      <w:bookmarkStart w:id="198" w:name="_Hlk533601037"/>
      <w:bookmarkEnd w:id="198"/>
    </w:p>
    <w:p w14:paraId="43B6CE03">
      <w:pPr>
        <w:rPr>
          <w:rFonts w:cstheme="minorBidi"/>
          <w:bCs w:val="0"/>
          <w:color w:val="000000" w:themeColor="text1"/>
          <w:szCs w:val="22"/>
          <w14:textFill>
            <w14:solidFill>
              <w14:schemeClr w14:val="tx1"/>
            </w14:solidFill>
          </w14:textFill>
        </w:rPr>
      </w:pPr>
      <w:bookmarkStart w:id="199" w:name="_Hlk167884917"/>
      <w:bookmarkStart w:id="200" w:name="_Hlk153356892"/>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843d776745f34ed8a0f1956fcb3af042"/>
        <w:id w:val="147454195"/>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14AC35E0">
          <w:pPr>
            <w:autoSpaceDE w:val="0"/>
            <w:autoSpaceDN w:val="0"/>
            <w:adjustRightInd w:val="0"/>
            <w:ind w:right="105" w:rightChars="50"/>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6FB257F2">
      <w:pPr>
        <w:autoSpaceDE w:val="0"/>
        <w:autoSpaceDN w:val="0"/>
        <w:adjustRightInd w:val="0"/>
        <w:ind w:right="105" w:rightChars="50"/>
        <w:rPr>
          <w:rFonts w:cstheme="minorBidi"/>
          <w:bCs w:val="0"/>
          <w:color w:val="000000" w:themeColor="text1"/>
          <w:szCs w:val="22"/>
          <w14:textFill>
            <w14:solidFill>
              <w14:schemeClr w14:val="tx1"/>
            </w14:solidFill>
          </w14:textFill>
        </w:rPr>
      </w:pPr>
    </w:p>
    <w:p w14:paraId="16D9A578">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0c92b3ffc361499bb76814db60f3df97"/>
        <w:id w:val="147463554"/>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5DA738CD">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14:paraId="66EA7C41">
      <w:pPr>
        <w:rPr>
          <w:rFonts w:asciiTheme="minorHAnsi" w:hAnsiTheme="minorHAnsi" w:cstheme="minorBidi"/>
          <w:b/>
          <w:bCs w:val="0"/>
          <w:color w:val="000000" w:themeColor="text1"/>
          <w:szCs w:val="22"/>
          <w14:textFill>
            <w14:solidFill>
              <w14:schemeClr w14:val="tx1"/>
            </w14:solidFill>
          </w14:textFill>
        </w:rPr>
      </w:pPr>
    </w:p>
    <w:p w14:paraId="00A0C99E">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对本期发生损失准备变动的应收票据账面余额显著变动的情况说明：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58cb241b61cd42d1a0d769cec83b1516"/>
        <w:id w:val="147452667"/>
        <w:placeholder>
          <w:docPart w:val="GBC22222222222222222222222222222"/>
        </w:placeholder>
      </w:sdtPr>
      <w:sdtEndPr>
        <w:rPr>
          <w:color w:val="000000" w:themeColor="text1"/>
          <w14:textFill>
            <w14:solidFill>
              <w14:schemeClr w14:val="tx1"/>
            </w14:solidFill>
          </w14:textFill>
        </w:rPr>
      </w:sdtEndPr>
      <w:sdtContent>
        <w:p w14:paraId="08EC2E8A">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99"/>
    <w:bookmarkEnd w:id="200"/>
    <w:p w14:paraId="45474A0F">
      <w:pPr>
        <w:ind w:right="210"/>
        <w:rPr>
          <w:color w:val="000000" w:themeColor="text1"/>
          <w14:textFill>
            <w14:solidFill>
              <w14:schemeClr w14:val="tx1"/>
            </w14:solidFill>
          </w14:textFill>
        </w:rPr>
      </w:pPr>
    </w:p>
    <w:p w14:paraId="207DB1EF">
      <w:pPr>
        <w:pStyle w:val="58"/>
        <w:numPr>
          <w:ilvl w:val="3"/>
          <w:numId w:val="55"/>
        </w:numPr>
        <w:rPr>
          <w:rFonts w:ascii="宋体" w:hAnsi="宋体"/>
          <w:color w:val="000000" w:themeColor="text1"/>
          <w14:textFill>
            <w14:solidFill>
              <w14:schemeClr w14:val="tx1"/>
            </w14:solidFill>
          </w14:textFill>
        </w:rPr>
      </w:pPr>
      <w:bookmarkStart w:id="201" w:name="_Hlk167885031"/>
      <w:bookmarkStart w:id="202" w:name="_Hlk532980547"/>
      <w:bookmarkStart w:id="203" w:name="_Hlk154148795"/>
      <w:r>
        <w:rPr>
          <w:rFonts w:hint="eastAsia" w:ascii="宋体" w:hAnsi="宋体"/>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应收票据坏账准备情况[双击切换]"/>
        <w:tag w:val="_GBC_168f3e2065e34239828a1cf025c3d9ad"/>
        <w:id w:val="147478179"/>
        <w:placeholder>
          <w:docPart w:val="GBC22222222222222222222222222222"/>
        </w:placeholder>
      </w:sdtPr>
      <w:sdtEndPr>
        <w:rPr>
          <w:color w:val="000000" w:themeColor="text1"/>
          <w14:textFill>
            <w14:solidFill>
              <w14:schemeClr w14:val="tx1"/>
            </w14:solidFill>
          </w14:textFill>
        </w:rPr>
      </w:sdtEndPr>
      <w:sdtContent>
        <w:p w14:paraId="0050BE4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BB0D3CC">
      <w:pPr>
        <w:rPr>
          <w:color w:val="000000" w:themeColor="text1"/>
          <w14:textFill>
            <w14:solidFill>
              <w14:schemeClr w14:val="tx1"/>
            </w14:solidFill>
          </w14:textFill>
        </w:rPr>
      </w:pPr>
    </w:p>
    <w:p w14:paraId="6CF333F6">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rFonts w:hint="eastAsia"/>
          <w:color w:val="000000" w:themeColor="text1"/>
          <w14:textFill>
            <w14:solidFill>
              <w14:schemeClr w14:val="tx1"/>
            </w14:solidFill>
          </w14:textFill>
        </w:rPr>
        <w:alias w:val="是否适用：应收票据本期坏账准备收回或转回金额重要的[双击切换]"/>
        <w:tag w:val="_GBC_ebd5833e36984f6f9c7dc0fec90cccc0"/>
        <w:id w:val="147460230"/>
        <w:placeholder>
          <w:docPart w:val="GBC22222222222222222222222222222"/>
        </w:placeholder>
      </w:sdtPr>
      <w:sdtEndPr>
        <w:rPr>
          <w:rFonts w:hint="eastAsia"/>
          <w:color w:val="000000" w:themeColor="text1"/>
          <w14:textFill>
            <w14:solidFill>
              <w14:schemeClr w14:val="tx1"/>
            </w14:solidFill>
          </w14:textFill>
        </w:rPr>
      </w:sdtEndPr>
      <w:sdtContent>
        <w:p w14:paraId="76CB60F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CB3146">
      <w:pPr>
        <w:rPr>
          <w:color w:val="000000" w:themeColor="text1"/>
          <w14:textFill>
            <w14:solidFill>
              <w14:schemeClr w14:val="tx1"/>
            </w14:solidFill>
          </w14:textFill>
        </w:rPr>
      </w:pPr>
    </w:p>
    <w:p w14:paraId="12D6B81B">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cstheme="minorBidi"/>
          <w:bCs w:val="0"/>
          <w:color w:val="000000" w:themeColor="text1"/>
          <w:szCs w:val="22"/>
          <w14:textFill>
            <w14:solidFill>
              <w14:schemeClr w14:val="tx1"/>
            </w14:solidFill>
          </w14:textFill>
        </w:rPr>
        <w:alias w:val="应收票据坏账准备的其他说明"/>
        <w:tag w:val="_GBC_06a2eec03f574dd1baa82ec8987eaf65"/>
        <w:id w:val="147472662"/>
        <w:placeholder>
          <w:docPart w:val="GBC22222222222222222222222222222"/>
        </w:placeholder>
      </w:sdtPr>
      <w:sdtEndPr>
        <w:rPr>
          <w:rFonts w:asciiTheme="minorHAnsi" w:hAnsiTheme="minorHAnsi" w:cstheme="minorBidi"/>
          <w:bCs w:val="0"/>
          <w:color w:val="000000" w:themeColor="text1"/>
          <w:szCs w:val="22"/>
          <w14:textFill>
            <w14:solidFill>
              <w14:schemeClr w14:val="tx1"/>
            </w14:solidFill>
          </w14:textFill>
        </w:rPr>
      </w:sdtEndPr>
      <w:sdtContent>
        <w:p w14:paraId="0F3758BE">
          <w:pPr>
            <w:rPr>
              <w:rFonts w:asciiTheme="minorHAnsi" w:hAnsiTheme="minorHAnsi" w:cstheme="minorBidi"/>
              <w:bCs w:val="0"/>
              <w:color w:val="000000" w:themeColor="text1"/>
              <w:szCs w:val="22"/>
              <w14:textFill>
                <w14:solidFill>
                  <w14:schemeClr w14:val="tx1"/>
                </w14:solidFill>
              </w14:textFill>
            </w:rPr>
          </w:pPr>
          <w:r>
            <w:rPr>
              <w:rFonts w:hint="eastAsia" w:cstheme="minorBidi"/>
              <w:bCs w:val="0"/>
              <w:color w:val="000000" w:themeColor="text1"/>
              <w:szCs w:val="22"/>
              <w14:textFill>
                <w14:solidFill>
                  <w14:schemeClr w14:val="tx1"/>
                </w14:solidFill>
              </w14:textFill>
            </w:rPr>
            <w:t>无</w:t>
          </w:r>
        </w:p>
      </w:sdtContent>
    </w:sdt>
    <w:p w14:paraId="28946832">
      <w:pPr>
        <w:rPr>
          <w:rFonts w:asciiTheme="minorHAnsi" w:hAnsiTheme="minorHAnsi" w:cstheme="minorBidi"/>
          <w:bCs w:val="0"/>
          <w:color w:val="000000" w:themeColor="text1"/>
          <w:szCs w:val="22"/>
          <w14:textFill>
            <w14:solidFill>
              <w14:schemeClr w14:val="tx1"/>
            </w14:solidFill>
          </w14:textFill>
        </w:rPr>
      </w:pPr>
    </w:p>
    <w:bookmarkEnd w:id="201"/>
    <w:bookmarkEnd w:id="202"/>
    <w:bookmarkEnd w:id="203"/>
    <w:p w14:paraId="5A808920">
      <w:pPr>
        <w:pStyle w:val="58"/>
        <w:numPr>
          <w:ilvl w:val="3"/>
          <w:numId w:val="55"/>
        </w:numPr>
        <w:rPr>
          <w:rFonts w:ascii="宋体" w:hAnsi="宋体"/>
          <w:color w:val="000000" w:themeColor="text1"/>
          <w14:textFill>
            <w14:solidFill>
              <w14:schemeClr w14:val="tx1"/>
            </w14:solidFill>
          </w14:textFill>
        </w:rPr>
      </w:pPr>
      <w:bookmarkStart w:id="204" w:name="_Hlk10466841"/>
      <w:bookmarkStart w:id="205" w:name="_Hlk10466853"/>
      <w:r>
        <w:rPr>
          <w:rFonts w:hint="eastAsia" w:ascii="宋体" w:hAnsi="宋体"/>
          <w:color w:val="000000" w:themeColor="text1"/>
          <w14:textFill>
            <w14:solidFill>
              <w14:schemeClr w14:val="tx1"/>
            </w14:solidFill>
          </w14:textFill>
        </w:rPr>
        <w:t>本期实际核销的应收票据情况</w:t>
      </w:r>
      <w:bookmarkEnd w:id="204"/>
    </w:p>
    <w:sdt>
      <w:sdtPr>
        <w:rPr>
          <w:color w:val="000000" w:themeColor="text1"/>
          <w14:textFill>
            <w14:solidFill>
              <w14:schemeClr w14:val="tx1"/>
            </w14:solidFill>
          </w14:textFill>
        </w:rPr>
        <w:alias w:val="是否适用：实际核销的应收票据[双击切换]"/>
        <w:tag w:val="_GBC_d0dcbb36ec68469bb29eac25b4a7af19"/>
        <w:id w:val="147467853"/>
        <w:placeholder>
          <w:docPart w:val="GBC22222222222222222222222222222"/>
        </w:placeholder>
      </w:sdtPr>
      <w:sdtEndPr>
        <w:rPr>
          <w:color w:val="000000" w:themeColor="text1"/>
          <w14:textFill>
            <w14:solidFill>
              <w14:schemeClr w14:val="tx1"/>
            </w14:solidFill>
          </w14:textFill>
        </w:rPr>
      </w:sdtEndPr>
      <w:sdtContent>
        <w:p w14:paraId="0947C80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342C5A">
      <w:pPr>
        <w:rPr>
          <w:color w:val="000000" w:themeColor="text1"/>
          <w14:textFill>
            <w14:solidFill>
              <w14:schemeClr w14:val="tx1"/>
            </w14:solidFill>
          </w14:textFill>
        </w:rPr>
      </w:pPr>
    </w:p>
    <w:p w14:paraId="01D3576E">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其中重要的应收票据核销情况：</w:t>
      </w:r>
    </w:p>
    <w:sdt>
      <w:sdtPr>
        <w:rPr>
          <w:color w:val="000000" w:themeColor="text1"/>
          <w14:textFill>
            <w14:solidFill>
              <w14:schemeClr w14:val="tx1"/>
            </w14:solidFill>
          </w14:textFill>
        </w:rPr>
        <w:alias w:val="是否适用：重要的应收票据核销[双击切换]"/>
        <w:tag w:val="_GBC_e2717d0c54ea4f5eb5b1671a3c798609"/>
        <w:id w:val="147479882"/>
        <w:placeholder>
          <w:docPart w:val="GBC22222222222222222222222222222"/>
        </w:placeholder>
      </w:sdtPr>
      <w:sdtEndPr>
        <w:rPr>
          <w:color w:val="000000" w:themeColor="text1"/>
          <w14:textFill>
            <w14:solidFill>
              <w14:schemeClr w14:val="tx1"/>
            </w14:solidFill>
          </w14:textFill>
        </w:rPr>
      </w:sdtEndPr>
      <w:sdtContent>
        <w:p w14:paraId="24A9886A">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DA6D349">
      <w:pPr>
        <w:snapToGrid w:val="0"/>
        <w:spacing w:line="240" w:lineRule="atLeast"/>
        <w:rPr>
          <w:color w:val="000000" w:themeColor="text1"/>
          <w14:textFill>
            <w14:solidFill>
              <w14:schemeClr w14:val="tx1"/>
            </w14:solidFill>
          </w14:textFill>
        </w:rPr>
      </w:pPr>
    </w:p>
    <w:p w14:paraId="40C5AA1D">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应收票据核销说明：</w:t>
      </w:r>
    </w:p>
    <w:sdt>
      <w:sdtPr>
        <w:rPr>
          <w:rFonts w:cstheme="minorBidi"/>
          <w:bCs w:val="0"/>
          <w:color w:val="000000" w:themeColor="text1"/>
          <w:szCs w:val="22"/>
          <w14:textFill>
            <w14:solidFill>
              <w14:schemeClr w14:val="tx1"/>
            </w14:solidFill>
          </w14:textFill>
        </w:rPr>
        <w:alias w:val="是否适用：应收票据核销说明[双击切换]"/>
        <w:tag w:val="_GBC_60d1268fdde049f1971e1a68d97580f2"/>
        <w:id w:val="147477116"/>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30DD0FCC">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46287410">
      <w:pPr>
        <w:ind w:right="210"/>
        <w:rPr>
          <w:color w:val="000000" w:themeColor="text1"/>
          <w14:textFill>
            <w14:solidFill>
              <w14:schemeClr w14:val="tx1"/>
            </w14:solidFill>
          </w14:textFill>
        </w:rPr>
      </w:pPr>
    </w:p>
    <w:bookmarkEnd w:id="205"/>
    <w:p w14:paraId="08A2F7A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收票据的说明[双击切换]"/>
        <w:tag w:val="_GBC_704e24e70b65463883e10335ce93a1ac"/>
        <w:id w:val="147454521"/>
        <w:placeholder>
          <w:docPart w:val="GBC22222222222222222222222222222"/>
        </w:placeholder>
      </w:sdtPr>
      <w:sdtEndPr>
        <w:rPr>
          <w:color w:val="000000" w:themeColor="text1"/>
          <w14:textFill>
            <w14:solidFill>
              <w14:schemeClr w14:val="tx1"/>
            </w14:solidFill>
          </w14:textFill>
        </w:rPr>
      </w:sdtEndPr>
      <w:sdtContent>
        <w:p w14:paraId="4DE770A8">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FADC73">
      <w:pPr>
        <w:rPr>
          <w:color w:val="000000" w:themeColor="text1"/>
          <w14:textFill>
            <w14:solidFill>
              <w14:schemeClr w14:val="tx1"/>
            </w14:solidFill>
          </w14:textFill>
        </w:rPr>
      </w:pPr>
    </w:p>
    <w:p w14:paraId="343A2526">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应收账款</w:t>
      </w:r>
    </w:p>
    <w:p w14:paraId="6499F844">
      <w:pPr>
        <w:pStyle w:val="58"/>
        <w:numPr>
          <w:ilvl w:val="3"/>
          <w:numId w:val="56"/>
        </w:numPr>
        <w:ind w:left="426" w:hanging="426"/>
        <w:rPr>
          <w:color w:val="000000" w:themeColor="text1"/>
          <w14:textFill>
            <w14:solidFill>
              <w14:schemeClr w14:val="tx1"/>
            </w14:solidFill>
          </w14:textFill>
        </w:rPr>
      </w:pPr>
      <w:bookmarkStart w:id="206" w:name="_Hlk167885161"/>
      <w:r>
        <w:rPr>
          <w:rFonts w:hint="eastAsia"/>
          <w:color w:val="000000" w:themeColor="text1"/>
          <w14:textFill>
            <w14:solidFill>
              <w14:schemeClr w14:val="tx1"/>
            </w14:solidFill>
          </w14:textFill>
        </w:rPr>
        <w:t>按账龄披露</w:t>
      </w:r>
    </w:p>
    <w:sdt>
      <w:sdtPr>
        <w:rPr>
          <w:rFonts w:hint="eastAsia"/>
          <w:color w:val="000000" w:themeColor="text1"/>
          <w14:textFill>
            <w14:solidFill>
              <w14:schemeClr w14:val="tx1"/>
            </w14:solidFill>
          </w14:textFill>
        </w:rPr>
        <w:alias w:val="是否适用：组合中，按账龄分析法计提坏账准备的应收账款[双击切换]"/>
        <w:tag w:val="_GBC_0cb5a49c5db74995bd3018603d9e51bd"/>
        <w:id w:val="594758831"/>
      </w:sdtPr>
      <w:sdtEndPr>
        <w:rPr>
          <w:rFonts w:hint="eastAsia"/>
          <w:color w:val="000000" w:themeColor="text1"/>
          <w14:textFill>
            <w14:solidFill>
              <w14:schemeClr w14:val="tx1"/>
            </w14:solidFill>
          </w14:textFill>
        </w:rPr>
      </w:sdtEndPr>
      <w:sdtContent>
        <w:p w14:paraId="381A445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FE24EE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单项金额不重大但按信用风险特征组合后该组合的风险较大的应收账款"/>
          <w:tag w:val="_GBC_265ded289d9549b48b782b655857ce0f"/>
          <w:id w:val="617187994"/>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单项金额不重大但按信用风险特征组合后该组合的风险较大的应收账款"/>
          <w:tag w:val="_GBC_180ea8d33f6444f78eff9694acd980ae"/>
          <w:id w:val="-150311878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5"/>
        <w:gridCol w:w="3051"/>
        <w:gridCol w:w="3053"/>
      </w:tblGrid>
      <w:tr w14:paraId="1071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213499a1ef1849a6bacc47a55e2a94f7"/>
            <w:id w:val="-2011591033"/>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vAlign w:val="center"/>
              </w:tcPr>
              <w:p w14:paraId="22A7736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账龄</w:t>
                </w:r>
              </w:p>
            </w:tc>
          </w:sdtContent>
        </w:sdt>
        <w:sdt>
          <w:sdtPr>
            <w:rPr>
              <w:rFonts w:cs="Times New Roman"/>
            </w:rPr>
            <w:tag w:val="_PLD_80e3ddf3d703438d9bc59aba1626c89f"/>
            <w:id w:val="913982872"/>
          </w:sdtPr>
          <w:sdtEndPr>
            <w:rPr>
              <w:rFonts w:cs="Times New Roman"/>
            </w:rPr>
          </w:sdtEndPr>
          <w:sdtContent>
            <w:tc>
              <w:tcPr>
                <w:tcW w:w="1685" w:type="pct"/>
                <w:tcBorders>
                  <w:top w:val="single" w:color="auto" w:sz="4" w:space="0"/>
                  <w:left w:val="single" w:color="auto" w:sz="4" w:space="0"/>
                  <w:bottom w:val="single" w:color="auto" w:sz="4" w:space="0"/>
                  <w:right w:val="single" w:color="auto" w:sz="4" w:space="0"/>
                </w:tcBorders>
                <w:vAlign w:val="center"/>
              </w:tcPr>
              <w:p w14:paraId="71A27B3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期末账面余额</w:t>
                </w:r>
              </w:p>
            </w:tc>
          </w:sdtContent>
        </w:sdt>
        <w:sdt>
          <w:sdtPr>
            <w:rPr>
              <w:rFonts w:cs="Times New Roman"/>
            </w:rPr>
            <w:tag w:val="_PLD_4acf836dd5254d2ba9d541e7076daad6"/>
            <w:id w:val="554430911"/>
          </w:sdtPr>
          <w:sdtEndPr>
            <w:rPr>
              <w:rFonts w:cs="Times New Roman"/>
            </w:rPr>
          </w:sdtEndPr>
          <w:sdtContent>
            <w:tc>
              <w:tcPr>
                <w:tcW w:w="1686" w:type="pct"/>
                <w:tcBorders>
                  <w:top w:val="single" w:color="auto" w:sz="4" w:space="0"/>
                  <w:left w:val="single" w:color="auto" w:sz="4" w:space="0"/>
                  <w:bottom w:val="single" w:color="auto" w:sz="4" w:space="0"/>
                  <w:right w:val="single" w:color="auto" w:sz="4" w:space="0"/>
                </w:tcBorders>
              </w:tcPr>
              <w:p w14:paraId="2D044B4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期初账面余额</w:t>
                </w:r>
              </w:p>
            </w:tc>
          </w:sdtContent>
        </w:sdt>
      </w:tr>
      <w:tr w14:paraId="7F5F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5bc01539a61d4760afe0df8c78a4db96"/>
            <w:id w:val="-1406292232"/>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0BD63F9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1年以内（含1年）</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3D3C66CE">
            <w:pPr>
              <w:jc w:val="right"/>
              <w:rPr>
                <w:rFonts w:cs="Times New Roman"/>
              </w:rPr>
            </w:pPr>
            <w:r>
              <w:rPr>
                <w:rFonts w:cs="Times New Roman"/>
              </w:rPr>
              <w:t>2,817,187,311.94</w:t>
            </w:r>
          </w:p>
        </w:tc>
        <w:tc>
          <w:tcPr>
            <w:tcW w:w="1686" w:type="pct"/>
            <w:tcBorders>
              <w:top w:val="single" w:color="auto" w:sz="4" w:space="0"/>
              <w:left w:val="single" w:color="auto" w:sz="4" w:space="0"/>
              <w:bottom w:val="single" w:color="auto" w:sz="4" w:space="0"/>
              <w:right w:val="single" w:color="auto" w:sz="4" w:space="0"/>
            </w:tcBorders>
            <w:vAlign w:val="bottom"/>
          </w:tcPr>
          <w:p w14:paraId="48338259">
            <w:pPr>
              <w:jc w:val="right"/>
              <w:rPr>
                <w:rFonts w:cs="Times New Roman"/>
              </w:rPr>
            </w:pPr>
            <w:r>
              <w:rPr>
                <w:rFonts w:cs="Times New Roman"/>
              </w:rPr>
              <w:t>2,612,277,017.66</w:t>
            </w:r>
          </w:p>
        </w:tc>
      </w:tr>
      <w:sdt>
        <w:sdtPr>
          <w:rPr>
            <w:rFonts w:cs="Times New Roman"/>
            <w:color w:val="000000" w:themeColor="text1"/>
            <w14:textFill>
              <w14:solidFill>
                <w14:schemeClr w14:val="tx1"/>
              </w14:solidFill>
            </w14:textFill>
          </w:rPr>
          <w:alias w:val="一年以内应收账款金额明细"/>
          <w:tag w:val="_TUP_bca6d6994d9e44ba914a297bbdc33d79"/>
          <w:id w:val="-978532237"/>
          <w:placeholder>
            <w:docPart w:val="{fe68423a-b750-454a-984c-30d8cbaec379}"/>
          </w:placeholder>
        </w:sdtPr>
        <w:sdtEndPr>
          <w:rPr>
            <w:rFonts w:cs="Times New Roman"/>
            <w:color w:val="000000" w:themeColor="text1"/>
            <w14:textFill>
              <w14:solidFill>
                <w14:schemeClr w14:val="tx1"/>
              </w14:solidFill>
            </w14:textFill>
          </w:rPr>
        </w:sdtEndPr>
        <w:sdtContent>
          <w:tr w14:paraId="06CF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7" w:type="pct"/>
                <w:tcBorders>
                  <w:top w:val="single" w:color="auto" w:sz="4" w:space="0"/>
                  <w:left w:val="single" w:color="auto" w:sz="4" w:space="0"/>
                  <w:bottom w:val="single" w:color="auto" w:sz="4" w:space="0"/>
                  <w:right w:val="single" w:color="auto" w:sz="4" w:space="0"/>
                </w:tcBorders>
              </w:tcPr>
              <w:p w14:paraId="57EBD053">
                <w:pPr>
                  <w:rPr>
                    <w:rFonts w:cs="Times New Roman"/>
                  </w:rPr>
                </w:pPr>
                <w:r>
                  <w:rPr>
                    <w:rFonts w:cs="Times New Roman"/>
                  </w:rPr>
                  <w:t>1年以内小计</w:t>
                </w:r>
              </w:p>
            </w:tc>
            <w:tc>
              <w:tcPr>
                <w:tcW w:w="1685" w:type="pct"/>
                <w:tcBorders>
                  <w:top w:val="single" w:color="auto" w:sz="4" w:space="0"/>
                  <w:left w:val="single" w:color="auto" w:sz="4" w:space="0"/>
                  <w:bottom w:val="single" w:color="auto" w:sz="4" w:space="0"/>
                  <w:right w:val="single" w:color="auto" w:sz="4" w:space="0"/>
                </w:tcBorders>
                <w:vAlign w:val="bottom"/>
              </w:tcPr>
              <w:p w14:paraId="492C0E39">
                <w:pPr>
                  <w:jc w:val="right"/>
                  <w:rPr>
                    <w:rFonts w:cs="Times New Roman"/>
                  </w:rPr>
                </w:pPr>
                <w:r>
                  <w:rPr>
                    <w:rFonts w:cs="Times New Roman"/>
                  </w:rPr>
                  <w:t>2,817,187,311.94</w:t>
                </w:r>
              </w:p>
            </w:tc>
            <w:tc>
              <w:tcPr>
                <w:tcW w:w="1686" w:type="pct"/>
                <w:tcBorders>
                  <w:top w:val="single" w:color="auto" w:sz="4" w:space="0"/>
                  <w:left w:val="single" w:color="auto" w:sz="4" w:space="0"/>
                  <w:bottom w:val="single" w:color="auto" w:sz="4" w:space="0"/>
                  <w:right w:val="single" w:color="auto" w:sz="4" w:space="0"/>
                </w:tcBorders>
                <w:vAlign w:val="bottom"/>
              </w:tcPr>
              <w:p w14:paraId="4C17E5EA">
                <w:pPr>
                  <w:jc w:val="right"/>
                  <w:rPr>
                    <w:rFonts w:cs="Times New Roman"/>
                  </w:rPr>
                </w:pPr>
                <w:r>
                  <w:rPr>
                    <w:rFonts w:cs="Times New Roman"/>
                  </w:rPr>
                  <w:t>2,612,277,017.66</w:t>
                </w:r>
              </w:p>
            </w:tc>
          </w:tr>
        </w:sdtContent>
      </w:sdt>
      <w:sdt>
        <w:sdtPr>
          <w:rPr>
            <w:rFonts w:cs="Times New Roman"/>
          </w:rPr>
          <w:alias w:val="一年以内应收账款金额明细"/>
          <w:tag w:val="_TUP_bca6d6994d9e44ba914a297bbdc33d79"/>
          <w:id w:val="-1826123600"/>
          <w:placeholder>
            <w:docPart w:val="{fe68423a-b750-454a-984c-30d8cbaec379}"/>
          </w:placeholder>
        </w:sdtPr>
        <w:sdtEndPr>
          <w:rPr>
            <w:rFonts w:cs="Times New Roman"/>
          </w:rPr>
        </w:sdtEndPr>
        <w:sdtContent>
          <w:tr w14:paraId="2D76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28cf7d0365724ddfadd3fb9429db1e63"/>
                <w:id w:val="1129435307"/>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78C3460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1至2年</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5FE251F4">
                <w:pPr>
                  <w:jc w:val="right"/>
                  <w:rPr>
                    <w:rFonts w:cs="Times New Roman"/>
                  </w:rPr>
                </w:pPr>
                <w:r>
                  <w:rPr>
                    <w:rFonts w:cs="Times New Roman"/>
                  </w:rPr>
                  <w:t>197,127,944.17</w:t>
                </w:r>
              </w:p>
            </w:tc>
            <w:tc>
              <w:tcPr>
                <w:tcW w:w="1686" w:type="pct"/>
                <w:tcBorders>
                  <w:top w:val="single" w:color="auto" w:sz="4" w:space="0"/>
                  <w:left w:val="single" w:color="auto" w:sz="4" w:space="0"/>
                  <w:bottom w:val="single" w:color="auto" w:sz="4" w:space="0"/>
                  <w:right w:val="single" w:color="auto" w:sz="4" w:space="0"/>
                </w:tcBorders>
                <w:vAlign w:val="bottom"/>
              </w:tcPr>
              <w:p w14:paraId="1DE7E9D5">
                <w:pPr>
                  <w:jc w:val="right"/>
                  <w:rPr>
                    <w:rFonts w:cs="Times New Roman"/>
                  </w:rPr>
                </w:pPr>
                <w:r>
                  <w:rPr>
                    <w:rFonts w:cs="Times New Roman"/>
                  </w:rPr>
                  <w:t>270,775,378.42</w:t>
                </w:r>
              </w:p>
            </w:tc>
          </w:tr>
        </w:sdtContent>
      </w:sdt>
      <w:tr w14:paraId="7657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598a76c4ef484ca5b69df3d252fcee02"/>
            <w:id w:val="107633176"/>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6D34B0A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2至3年</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58490B60">
            <w:pPr>
              <w:jc w:val="right"/>
              <w:rPr>
                <w:rFonts w:cs="Times New Roman"/>
              </w:rPr>
            </w:pPr>
            <w:r>
              <w:rPr>
                <w:rFonts w:cs="Times New Roman"/>
              </w:rPr>
              <w:t>101,356,061.74</w:t>
            </w:r>
          </w:p>
        </w:tc>
        <w:tc>
          <w:tcPr>
            <w:tcW w:w="1686" w:type="pct"/>
            <w:tcBorders>
              <w:top w:val="single" w:color="auto" w:sz="4" w:space="0"/>
              <w:left w:val="single" w:color="auto" w:sz="4" w:space="0"/>
              <w:bottom w:val="single" w:color="auto" w:sz="4" w:space="0"/>
              <w:right w:val="single" w:color="auto" w:sz="4" w:space="0"/>
            </w:tcBorders>
            <w:vAlign w:val="bottom"/>
          </w:tcPr>
          <w:p w14:paraId="78277399">
            <w:pPr>
              <w:jc w:val="right"/>
              <w:rPr>
                <w:rFonts w:cs="Times New Roman"/>
              </w:rPr>
            </w:pPr>
            <w:r>
              <w:rPr>
                <w:rFonts w:cs="Times New Roman"/>
              </w:rPr>
              <w:t>101,372,233.13</w:t>
            </w:r>
          </w:p>
        </w:tc>
      </w:tr>
      <w:tr w14:paraId="2AE7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9cb0cd4ee6d24ba8a710b5d97fd02ab2"/>
            <w:id w:val="-1458095733"/>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58EE87C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3至4年</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51E54A99">
            <w:pPr>
              <w:jc w:val="right"/>
              <w:rPr>
                <w:rFonts w:cs="Times New Roman"/>
              </w:rPr>
            </w:pPr>
            <w:r>
              <w:rPr>
                <w:rFonts w:cs="Times New Roman"/>
              </w:rPr>
              <w:t>73,812,342.37</w:t>
            </w:r>
          </w:p>
        </w:tc>
        <w:tc>
          <w:tcPr>
            <w:tcW w:w="1686" w:type="pct"/>
            <w:tcBorders>
              <w:top w:val="single" w:color="auto" w:sz="4" w:space="0"/>
              <w:left w:val="single" w:color="auto" w:sz="4" w:space="0"/>
              <w:bottom w:val="single" w:color="auto" w:sz="4" w:space="0"/>
              <w:right w:val="single" w:color="auto" w:sz="4" w:space="0"/>
            </w:tcBorders>
            <w:vAlign w:val="bottom"/>
          </w:tcPr>
          <w:p w14:paraId="5F7030B0">
            <w:pPr>
              <w:jc w:val="right"/>
              <w:rPr>
                <w:rFonts w:cs="Times New Roman"/>
              </w:rPr>
            </w:pPr>
            <w:r>
              <w:rPr>
                <w:rFonts w:cs="Times New Roman"/>
              </w:rPr>
              <w:t>70,036,773.82</w:t>
            </w:r>
          </w:p>
        </w:tc>
      </w:tr>
      <w:tr w14:paraId="1746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613fd0b8cea947b387327813e3cd1ceb"/>
            <w:id w:val="-831976843"/>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1660FD7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4至5年</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4D2A5BC0">
            <w:pPr>
              <w:jc w:val="right"/>
              <w:rPr>
                <w:rFonts w:cs="Times New Roman"/>
              </w:rPr>
            </w:pPr>
            <w:r>
              <w:rPr>
                <w:rFonts w:cs="Times New Roman"/>
              </w:rPr>
              <w:t>70,758,281.35</w:t>
            </w:r>
          </w:p>
        </w:tc>
        <w:tc>
          <w:tcPr>
            <w:tcW w:w="1686" w:type="pct"/>
            <w:tcBorders>
              <w:top w:val="single" w:color="auto" w:sz="4" w:space="0"/>
              <w:left w:val="single" w:color="auto" w:sz="4" w:space="0"/>
              <w:bottom w:val="single" w:color="auto" w:sz="4" w:space="0"/>
              <w:right w:val="single" w:color="auto" w:sz="4" w:space="0"/>
            </w:tcBorders>
            <w:vAlign w:val="bottom"/>
          </w:tcPr>
          <w:p w14:paraId="4A9ACCFC">
            <w:pPr>
              <w:jc w:val="right"/>
              <w:rPr>
                <w:rFonts w:cs="Times New Roman"/>
              </w:rPr>
            </w:pPr>
            <w:r>
              <w:rPr>
                <w:rFonts w:cs="Times New Roman"/>
              </w:rPr>
              <w:t>73,980,933.70</w:t>
            </w:r>
          </w:p>
        </w:tc>
      </w:tr>
      <w:tr w14:paraId="1180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caf5642be9184188b47e246465b4d8bb"/>
            <w:id w:val="1796180395"/>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5433126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5年以上</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66500D47">
            <w:pPr>
              <w:jc w:val="right"/>
              <w:rPr>
                <w:rFonts w:cs="Times New Roman"/>
              </w:rPr>
            </w:pPr>
            <w:r>
              <w:rPr>
                <w:rFonts w:cs="Times New Roman"/>
              </w:rPr>
              <w:t>305,520,291.96</w:t>
            </w:r>
          </w:p>
        </w:tc>
        <w:tc>
          <w:tcPr>
            <w:tcW w:w="1686" w:type="pct"/>
            <w:tcBorders>
              <w:top w:val="single" w:color="auto" w:sz="4" w:space="0"/>
              <w:left w:val="single" w:color="auto" w:sz="4" w:space="0"/>
              <w:bottom w:val="single" w:color="auto" w:sz="4" w:space="0"/>
              <w:right w:val="single" w:color="auto" w:sz="4" w:space="0"/>
            </w:tcBorders>
            <w:vAlign w:val="bottom"/>
          </w:tcPr>
          <w:p w14:paraId="3C64F8B9">
            <w:pPr>
              <w:jc w:val="right"/>
              <w:rPr>
                <w:rFonts w:cs="Times New Roman"/>
              </w:rPr>
            </w:pPr>
            <w:r>
              <w:rPr>
                <w:rFonts w:cs="Times New Roman"/>
              </w:rPr>
              <w:t>302,724,615.31</w:t>
            </w:r>
          </w:p>
        </w:tc>
      </w:tr>
      <w:sdt>
        <w:sdtPr>
          <w:rPr>
            <w:rFonts w:cs="Times New Roman"/>
          </w:rPr>
          <w:alias w:val="按账龄分析法计提坏账准备的应收账款明细"/>
          <w:tag w:val="_TUP_e876bf1443714bc486008647001f4990"/>
          <w:id w:val="576258957"/>
          <w:placeholder>
            <w:docPart w:val="{fe68423a-b750-454a-984c-30d8cbaec379}"/>
          </w:placeholder>
        </w:sdtPr>
        <w:sdtEndPr>
          <w:rPr>
            <w:rFonts w:cs="Times New Roman"/>
          </w:rPr>
        </w:sdtEndPr>
        <w:sdtContent>
          <w:sdt>
            <w:sdtPr>
              <w:rPr>
                <w:rFonts w:cs="Times New Roman"/>
              </w:rPr>
              <w:alias w:val="按账龄分析法计提坏账准备的应收账款明细"/>
              <w:tag w:val="_TUP_e876bf1443714bc486008647001f4990"/>
              <w:id w:val="1949122097"/>
              <w:placeholder>
                <w:docPart w:val="{fe68423a-b750-454a-984c-30d8cbaec379}"/>
              </w:placeholder>
            </w:sdtPr>
            <w:sdtEndPr>
              <w:rPr>
                <w:rFonts w:cs="Times New Roman"/>
              </w:rPr>
            </w:sdtEndPr>
            <w:sdtContent>
              <w:tr w14:paraId="6F3F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25df2b31249d4ffa9769a427ce2f1b33"/>
                    <w:id w:val="-1322349960"/>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vAlign w:val="center"/>
                      </w:tcPr>
                      <w:p w14:paraId="0D56653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85" w:type="pct"/>
                    <w:tcBorders>
                      <w:top w:val="single" w:color="auto" w:sz="4" w:space="0"/>
                      <w:left w:val="single" w:color="auto" w:sz="4" w:space="0"/>
                      <w:bottom w:val="single" w:color="auto" w:sz="4" w:space="0"/>
                      <w:right w:val="single" w:color="auto" w:sz="4" w:space="0"/>
                    </w:tcBorders>
                    <w:vAlign w:val="bottom"/>
                  </w:tcPr>
                  <w:p w14:paraId="2FAB0CBF">
                    <w:pPr>
                      <w:jc w:val="right"/>
                      <w:rPr>
                        <w:rFonts w:cs="Times New Roman"/>
                      </w:rPr>
                    </w:pPr>
                    <w:r>
                      <w:rPr>
                        <w:rFonts w:cs="Times New Roman"/>
                      </w:rPr>
                      <w:t>3,565,762,233.53</w:t>
                    </w:r>
                  </w:p>
                </w:tc>
                <w:tc>
                  <w:tcPr>
                    <w:tcW w:w="1686" w:type="pct"/>
                    <w:tcBorders>
                      <w:top w:val="single" w:color="auto" w:sz="4" w:space="0"/>
                      <w:left w:val="single" w:color="auto" w:sz="4" w:space="0"/>
                      <w:bottom w:val="single" w:color="auto" w:sz="4" w:space="0"/>
                      <w:right w:val="single" w:color="auto" w:sz="4" w:space="0"/>
                    </w:tcBorders>
                    <w:vAlign w:val="bottom"/>
                  </w:tcPr>
                  <w:p w14:paraId="60932687">
                    <w:pPr>
                      <w:jc w:val="right"/>
                      <w:rPr>
                        <w:rFonts w:cs="Times New Roman"/>
                      </w:rPr>
                    </w:pPr>
                    <w:r>
                      <w:rPr>
                        <w:rFonts w:cs="Times New Roman"/>
                      </w:rPr>
                      <w:t>3,431,166,952.04</w:t>
                    </w:r>
                  </w:p>
                </w:tc>
              </w:tr>
            </w:sdtContent>
          </w:sdt>
        </w:sdtContent>
      </w:sdt>
    </w:tbl>
    <w:p w14:paraId="7B5F8324">
      <w:pPr>
        <w:pStyle w:val="55"/>
      </w:pPr>
    </w:p>
    <w:p w14:paraId="0FDFFDAD">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97DD126">
      <w:pPr>
        <w:rPr>
          <w:color w:val="000000" w:themeColor="text1"/>
          <w14:textFill>
            <w14:solidFill>
              <w14:schemeClr w14:val="tx1"/>
            </w14:solidFill>
          </w14:textFill>
        </w:rPr>
      </w:pPr>
    </w:p>
    <w:bookmarkEnd w:id="206"/>
    <w:p w14:paraId="7D5E3204">
      <w:pPr>
        <w:pStyle w:val="58"/>
        <w:numPr>
          <w:ilvl w:val="3"/>
          <w:numId w:val="56"/>
        </w:numPr>
        <w:ind w:left="426" w:hanging="426"/>
        <w:rPr>
          <w:color w:val="000000" w:themeColor="text1"/>
          <w14:textFill>
            <w14:solidFill>
              <w14:schemeClr w14:val="tx1"/>
            </w14:solidFill>
          </w14:textFill>
        </w:rPr>
      </w:pPr>
      <w:bookmarkStart w:id="207" w:name="_Hlk10467162"/>
      <w:r>
        <w:rPr>
          <w:rFonts w:hint="eastAsia"/>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应收账款分类披露[双击切换]"/>
        <w:tag w:val="_GBC_fc55e6778e08412caa3e7b9e7a1a0f85"/>
        <w:id w:val="147458808"/>
        <w:lock w:val="contentLocked"/>
        <w:placeholder>
          <w:docPart w:val="GBC22222222222222222222222222222"/>
        </w:placeholder>
      </w:sdtPr>
      <w:sdtEndPr>
        <w:rPr>
          <w:color w:val="000000" w:themeColor="text1"/>
          <w14:textFill>
            <w14:solidFill>
              <w14:schemeClr w14:val="tx1"/>
            </w14:solidFill>
          </w14:textFill>
        </w:rPr>
      </w:sdtEndPr>
      <w:sdtContent>
        <w:p w14:paraId="7255EAC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2BD31CF">
      <w:pPr>
        <w:pStyle w:val="63"/>
        <w:autoSpaceDE w:val="0"/>
        <w:autoSpaceDN w:val="0"/>
        <w:adjustRightInd w:val="0"/>
        <w:ind w:left="425" w:right="10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应收账款按种类披露"/>
          <w:tag w:val="_GBC_13874a7a2d5642bc9d06df2e53ad133f"/>
          <w:id w:val="1474785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应收账款按种类披露"/>
          <w:tag w:val="_GBC_a7c9ba83409d4f5ebb3a7b0903842485"/>
          <w:id w:val="1474660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561"/>
        <w:gridCol w:w="1566"/>
        <w:gridCol w:w="713"/>
        <w:gridCol w:w="1282"/>
        <w:gridCol w:w="713"/>
        <w:gridCol w:w="1424"/>
        <w:gridCol w:w="1424"/>
        <w:gridCol w:w="713"/>
        <w:gridCol w:w="1425"/>
        <w:gridCol w:w="703"/>
        <w:gridCol w:w="1411"/>
      </w:tblGrid>
      <w:tr w14:paraId="0426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rPr>
              <w:rFonts w:cs="Times New Roman"/>
            </w:rPr>
            <w:tag w:val="_PLD_a2143754c0e847e9a8bbb40d4548066c"/>
            <w:id w:val="147456785"/>
          </w:sdtPr>
          <w:sdtEndPr>
            <w:rPr>
              <w:rFonts w:cs="Times New Roman"/>
            </w:rPr>
          </w:sdtEndPr>
          <w:sdtContent>
            <w:tc>
              <w:tcPr>
                <w:tcW w:w="919" w:type="pct"/>
                <w:vMerge w:val="restart"/>
                <w:tcBorders>
                  <w:top w:val="single" w:color="auto" w:sz="4" w:space="0"/>
                  <w:left w:val="single" w:color="auto" w:sz="4" w:space="0"/>
                  <w:right w:val="single" w:color="auto" w:sz="4" w:space="0"/>
                </w:tcBorders>
                <w:vAlign w:val="center"/>
              </w:tcPr>
              <w:p w14:paraId="256E75C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sdtContent>
        </w:sdt>
        <w:sdt>
          <w:sdtPr>
            <w:rPr>
              <w:rFonts w:cs="Times New Roman"/>
            </w:rPr>
            <w:tag w:val="_PLD_25d42b68a0be4b6c9079bb6f0b9688f1"/>
            <w:id w:val="147458877"/>
          </w:sdtPr>
          <w:sdtEndPr>
            <w:rPr>
              <w:rFonts w:cs="Times New Roman"/>
            </w:rPr>
          </w:sdtEndPr>
          <w:sdtContent>
            <w:tc>
              <w:tcPr>
                <w:tcW w:w="2045" w:type="pct"/>
                <w:gridSpan w:val="5"/>
                <w:tcBorders>
                  <w:top w:val="single" w:color="auto" w:sz="4" w:space="0"/>
                  <w:left w:val="single" w:color="auto" w:sz="4" w:space="0"/>
                  <w:right w:val="single" w:color="auto" w:sz="4" w:space="0"/>
                </w:tcBorders>
                <w:vAlign w:val="center"/>
              </w:tcPr>
              <w:p w14:paraId="5D9D5084">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7ebf4817a5864c42bb0897c8ddd0cd9c"/>
            <w:id w:val="147454683"/>
          </w:sdtPr>
          <w:sdtEndPr>
            <w:rPr>
              <w:rFonts w:cs="Times New Roman"/>
            </w:rPr>
          </w:sdtEndPr>
          <w:sdtContent>
            <w:tc>
              <w:tcPr>
                <w:tcW w:w="2036" w:type="pct"/>
                <w:gridSpan w:val="5"/>
                <w:tcBorders>
                  <w:top w:val="single" w:color="auto" w:sz="4" w:space="0"/>
                  <w:left w:val="single" w:color="auto" w:sz="4" w:space="0"/>
                  <w:right w:val="single" w:color="auto" w:sz="4" w:space="0"/>
                </w:tcBorders>
                <w:vAlign w:val="center"/>
              </w:tcPr>
              <w:p w14:paraId="74483ACC">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58CF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919" w:type="pct"/>
            <w:vMerge w:val="continue"/>
            <w:tcBorders>
              <w:left w:val="single" w:color="auto" w:sz="4" w:space="0"/>
              <w:right w:val="single" w:color="auto" w:sz="4" w:space="0"/>
            </w:tcBorders>
            <w:vAlign w:val="center"/>
          </w:tcPr>
          <w:p w14:paraId="57678A38">
            <w:pPr>
              <w:rPr>
                <w:rFonts w:cs="Times New Roman"/>
                <w:color w:val="000000" w:themeColor="text1"/>
                <w14:textFill>
                  <w14:solidFill>
                    <w14:schemeClr w14:val="tx1"/>
                  </w14:solidFill>
                </w14:textFill>
              </w:rPr>
            </w:pPr>
          </w:p>
        </w:tc>
        <w:sdt>
          <w:sdtPr>
            <w:rPr>
              <w:rFonts w:cs="Times New Roman"/>
            </w:rPr>
            <w:tag w:val="_PLD_fd64cffe158d4ef48a5ff569de778464"/>
            <w:id w:val="147473771"/>
          </w:sdtPr>
          <w:sdtEndPr>
            <w:rPr>
              <w:rFonts w:cs="Times New Roman"/>
            </w:rPr>
          </w:sdtEndPr>
          <w:sdtContent>
            <w:tc>
              <w:tcPr>
                <w:tcW w:w="818" w:type="pct"/>
                <w:gridSpan w:val="2"/>
                <w:tcBorders>
                  <w:top w:val="single" w:color="auto" w:sz="4" w:space="0"/>
                  <w:left w:val="single" w:color="auto" w:sz="4" w:space="0"/>
                  <w:bottom w:val="single" w:color="auto" w:sz="4" w:space="0"/>
                  <w:right w:val="single" w:color="auto" w:sz="4" w:space="0"/>
                </w:tcBorders>
                <w:vAlign w:val="center"/>
              </w:tcPr>
              <w:p w14:paraId="7D6CEB4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f0f4adcb95c44cfa884ef7d853d6b134"/>
            <w:id w:val="147451254"/>
          </w:sdtPr>
          <w:sdtEndPr>
            <w:rPr>
              <w:rFonts w:cs="Times New Roman"/>
            </w:rPr>
          </w:sdtEndPr>
          <w:sdtContent>
            <w:tc>
              <w:tcPr>
                <w:tcW w:w="716" w:type="pct"/>
                <w:gridSpan w:val="2"/>
                <w:tcBorders>
                  <w:top w:val="single" w:color="auto" w:sz="4" w:space="0"/>
                  <w:left w:val="single" w:color="auto" w:sz="4" w:space="0"/>
                  <w:bottom w:val="single" w:color="auto" w:sz="4" w:space="0"/>
                  <w:right w:val="single" w:color="auto" w:sz="4" w:space="0"/>
                </w:tcBorders>
                <w:vAlign w:val="center"/>
              </w:tcPr>
              <w:p w14:paraId="1E1D30E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4c122527ed0743b8905d9f19514f4328"/>
            <w:id w:val="147456085"/>
          </w:sdtPr>
          <w:sdtEndPr>
            <w:rPr>
              <w:rFonts w:cs="Times New Roman"/>
            </w:rPr>
          </w:sdtEndPr>
          <w:sdtContent>
            <w:tc>
              <w:tcPr>
                <w:tcW w:w="511" w:type="pct"/>
                <w:vMerge w:val="restart"/>
                <w:tcBorders>
                  <w:top w:val="single" w:color="auto" w:sz="4" w:space="0"/>
                  <w:left w:val="single" w:color="auto" w:sz="4" w:space="0"/>
                  <w:right w:val="single" w:color="auto" w:sz="4" w:space="0"/>
                </w:tcBorders>
                <w:vAlign w:val="center"/>
              </w:tcPr>
              <w:p w14:paraId="5F58EE9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w:t>
                </w:r>
              </w:p>
              <w:p w14:paraId="4FFAB98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价值</w:t>
                </w:r>
              </w:p>
            </w:tc>
          </w:sdtContent>
        </w:sdt>
        <w:sdt>
          <w:sdtPr>
            <w:rPr>
              <w:rFonts w:cs="Times New Roman"/>
            </w:rPr>
            <w:tag w:val="_PLD_fa758d9eb4ae426faef8e328262241b4"/>
            <w:id w:val="147479890"/>
          </w:sdtPr>
          <w:sdtEndPr>
            <w:rPr>
              <w:rFonts w:cs="Times New Roman"/>
            </w:rPr>
          </w:sdtEndPr>
          <w:sdtContent>
            <w:tc>
              <w:tcPr>
                <w:tcW w:w="767" w:type="pct"/>
                <w:gridSpan w:val="2"/>
                <w:tcBorders>
                  <w:top w:val="single" w:color="auto" w:sz="4" w:space="0"/>
                  <w:left w:val="single" w:color="auto" w:sz="4" w:space="0"/>
                  <w:right w:val="single" w:color="auto" w:sz="4" w:space="0"/>
                </w:tcBorders>
                <w:vAlign w:val="center"/>
              </w:tcPr>
              <w:p w14:paraId="10422FF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58080bac137d4831ab65bc2f8ca82429"/>
            <w:id w:val="147455266"/>
          </w:sdtPr>
          <w:sdtEndPr>
            <w:rPr>
              <w:rFonts w:cs="Times New Roman"/>
            </w:rPr>
          </w:sdtEndPr>
          <w:sdtContent>
            <w:tc>
              <w:tcPr>
                <w:tcW w:w="763" w:type="pct"/>
                <w:gridSpan w:val="2"/>
                <w:tcBorders>
                  <w:top w:val="single" w:color="auto" w:sz="4" w:space="0"/>
                  <w:left w:val="single" w:color="auto" w:sz="4" w:space="0"/>
                  <w:right w:val="single" w:color="auto" w:sz="4" w:space="0"/>
                </w:tcBorders>
                <w:vAlign w:val="center"/>
              </w:tcPr>
              <w:p w14:paraId="2A1269F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c015e43e7b384b6ab9bf259155579fa4"/>
            <w:id w:val="147477167"/>
          </w:sdtPr>
          <w:sdtEndPr>
            <w:rPr>
              <w:rFonts w:cs="Times New Roman"/>
            </w:rPr>
          </w:sdtEndPr>
          <w:sdtContent>
            <w:tc>
              <w:tcPr>
                <w:tcW w:w="506" w:type="pct"/>
                <w:vMerge w:val="restart"/>
                <w:tcBorders>
                  <w:top w:val="single" w:color="auto" w:sz="4" w:space="0"/>
                  <w:left w:val="single" w:color="auto" w:sz="4" w:space="0"/>
                  <w:right w:val="single" w:color="auto" w:sz="4" w:space="0"/>
                </w:tcBorders>
                <w:vAlign w:val="center"/>
              </w:tcPr>
              <w:p w14:paraId="1702C1E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w:t>
                </w:r>
              </w:p>
              <w:p w14:paraId="4EB79D1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价值</w:t>
                </w:r>
              </w:p>
            </w:tc>
          </w:sdtContent>
        </w:sdt>
      </w:tr>
      <w:tr w14:paraId="31AA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919" w:type="pct"/>
            <w:vMerge w:val="continue"/>
            <w:tcBorders>
              <w:left w:val="single" w:color="auto" w:sz="4" w:space="0"/>
              <w:bottom w:val="single" w:color="auto" w:sz="4" w:space="0"/>
              <w:right w:val="single" w:color="auto" w:sz="4" w:space="0"/>
            </w:tcBorders>
            <w:vAlign w:val="center"/>
          </w:tcPr>
          <w:p w14:paraId="488AD5E3">
            <w:pPr>
              <w:rPr>
                <w:rFonts w:cs="Times New Roman"/>
                <w:color w:val="000000" w:themeColor="text1"/>
                <w14:textFill>
                  <w14:solidFill>
                    <w14:schemeClr w14:val="tx1"/>
                  </w14:solidFill>
                </w14:textFill>
              </w:rPr>
            </w:pPr>
          </w:p>
        </w:tc>
        <w:sdt>
          <w:sdtPr>
            <w:rPr>
              <w:rFonts w:cs="Times New Roman"/>
            </w:rPr>
            <w:tag w:val="_PLD_2a622138bde346ccae812608989b472d"/>
            <w:id w:val="147482397"/>
          </w:sdtPr>
          <w:sdtEndPr>
            <w:rPr>
              <w:rFonts w:cs="Times New Roman"/>
            </w:rPr>
          </w:sdtEndPr>
          <w:sdtContent>
            <w:tc>
              <w:tcPr>
                <w:tcW w:w="562" w:type="pct"/>
                <w:tcBorders>
                  <w:left w:val="single" w:color="auto" w:sz="4" w:space="0"/>
                  <w:bottom w:val="single" w:color="auto" w:sz="4" w:space="0"/>
                  <w:right w:val="single" w:color="auto" w:sz="4" w:space="0"/>
                </w:tcBorders>
                <w:vAlign w:val="center"/>
              </w:tcPr>
              <w:p w14:paraId="77799C3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abd0e3a320c240aeb85b1414af26aa00"/>
            <w:id w:val="147459681"/>
          </w:sdtPr>
          <w:sdtEndPr>
            <w:rPr>
              <w:rFonts w:cs="Times New Roman"/>
            </w:rPr>
          </w:sdtEndPr>
          <w:sdtContent>
            <w:tc>
              <w:tcPr>
                <w:tcW w:w="256" w:type="pct"/>
                <w:tcBorders>
                  <w:left w:val="single" w:color="auto" w:sz="4" w:space="0"/>
                  <w:bottom w:val="single" w:color="auto" w:sz="4" w:space="0"/>
                  <w:right w:val="single" w:color="auto" w:sz="4" w:space="0"/>
                </w:tcBorders>
                <w:vAlign w:val="center"/>
              </w:tcPr>
              <w:p w14:paraId="2EAF5DE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比例(%)</w:t>
                </w:r>
              </w:p>
            </w:tc>
          </w:sdtContent>
        </w:sdt>
        <w:sdt>
          <w:sdtPr>
            <w:rPr>
              <w:rFonts w:cs="Times New Roman"/>
            </w:rPr>
            <w:tag w:val="_PLD_d60468b4e5934fb9af3ebf3b3ca06a6b"/>
            <w:id w:val="147472257"/>
          </w:sdtPr>
          <w:sdtEndPr>
            <w:rPr>
              <w:rFonts w:cs="Times New Roman"/>
            </w:rPr>
          </w:sdtEndPr>
          <w:sdtContent>
            <w:tc>
              <w:tcPr>
                <w:tcW w:w="460" w:type="pct"/>
                <w:tcBorders>
                  <w:left w:val="single" w:color="auto" w:sz="4" w:space="0"/>
                  <w:bottom w:val="single" w:color="auto" w:sz="4" w:space="0"/>
                  <w:right w:val="single" w:color="auto" w:sz="4" w:space="0"/>
                </w:tcBorders>
                <w:vAlign w:val="center"/>
              </w:tcPr>
              <w:p w14:paraId="086051B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743ca215156149608b4d9149bc142cc3"/>
            <w:id w:val="147454379"/>
          </w:sdtPr>
          <w:sdtEndPr>
            <w:rPr>
              <w:rFonts w:cs="Times New Roman"/>
            </w:rPr>
          </w:sdtEndPr>
          <w:sdtContent>
            <w:tc>
              <w:tcPr>
                <w:tcW w:w="256" w:type="pct"/>
                <w:tcBorders>
                  <w:left w:val="single" w:color="auto" w:sz="4" w:space="0"/>
                  <w:bottom w:val="single" w:color="auto" w:sz="4" w:space="0"/>
                  <w:right w:val="single" w:color="auto" w:sz="4" w:space="0"/>
                </w:tcBorders>
                <w:vAlign w:val="center"/>
              </w:tcPr>
              <w:p w14:paraId="27CC6B3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c>
          <w:tcPr>
            <w:tcW w:w="511" w:type="pct"/>
            <w:vMerge w:val="continue"/>
            <w:tcBorders>
              <w:left w:val="single" w:color="auto" w:sz="4" w:space="0"/>
              <w:bottom w:val="single" w:color="auto" w:sz="4" w:space="0"/>
              <w:right w:val="single" w:color="auto" w:sz="4" w:space="0"/>
            </w:tcBorders>
            <w:vAlign w:val="center"/>
          </w:tcPr>
          <w:p w14:paraId="02FAAB03">
            <w:pPr>
              <w:jc w:val="center"/>
              <w:rPr>
                <w:rFonts w:cs="Times New Roman"/>
                <w:color w:val="000000" w:themeColor="text1"/>
                <w14:textFill>
                  <w14:solidFill>
                    <w14:schemeClr w14:val="tx1"/>
                  </w14:solidFill>
                </w14:textFill>
              </w:rPr>
            </w:pPr>
          </w:p>
        </w:tc>
        <w:sdt>
          <w:sdtPr>
            <w:rPr>
              <w:rFonts w:cs="Times New Roman"/>
            </w:rPr>
            <w:tag w:val="_PLD_88061469e7574f3d93ff9dc8f7c03e2d"/>
            <w:id w:val="147479451"/>
          </w:sdtPr>
          <w:sdtEndPr>
            <w:rPr>
              <w:rFonts w:cs="Times New Roman"/>
            </w:rPr>
          </w:sdtEndPr>
          <w:sdtContent>
            <w:tc>
              <w:tcPr>
                <w:tcW w:w="511" w:type="pct"/>
                <w:tcBorders>
                  <w:left w:val="single" w:color="auto" w:sz="4" w:space="0"/>
                  <w:bottom w:val="single" w:color="auto" w:sz="4" w:space="0"/>
                  <w:right w:val="single" w:color="auto" w:sz="4" w:space="0"/>
                </w:tcBorders>
                <w:vAlign w:val="center"/>
              </w:tcPr>
              <w:p w14:paraId="26D70B6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c2b4bd19b5284f3481bdd6a3becafce0"/>
            <w:id w:val="147478862"/>
          </w:sdtPr>
          <w:sdtEndPr>
            <w:rPr>
              <w:rFonts w:cs="Times New Roman"/>
            </w:rPr>
          </w:sdtEndPr>
          <w:sdtContent>
            <w:tc>
              <w:tcPr>
                <w:tcW w:w="256" w:type="pct"/>
                <w:tcBorders>
                  <w:left w:val="single" w:color="auto" w:sz="4" w:space="0"/>
                  <w:bottom w:val="single" w:color="auto" w:sz="4" w:space="0"/>
                  <w:right w:val="single" w:color="auto" w:sz="4" w:space="0"/>
                </w:tcBorders>
                <w:vAlign w:val="center"/>
              </w:tcPr>
              <w:p w14:paraId="363FC74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比例(%)</w:t>
                </w:r>
              </w:p>
            </w:tc>
          </w:sdtContent>
        </w:sdt>
        <w:sdt>
          <w:sdtPr>
            <w:rPr>
              <w:rFonts w:cs="Times New Roman"/>
            </w:rPr>
            <w:tag w:val="_PLD_c6874c65e4ac43019002d5903e4b46d6"/>
            <w:id w:val="147470140"/>
          </w:sdtPr>
          <w:sdtEndPr>
            <w:rPr>
              <w:rFonts w:cs="Times New Roman"/>
            </w:rPr>
          </w:sdtEndPr>
          <w:sdtContent>
            <w:tc>
              <w:tcPr>
                <w:tcW w:w="511" w:type="pct"/>
                <w:tcBorders>
                  <w:left w:val="single" w:color="auto" w:sz="4" w:space="0"/>
                  <w:bottom w:val="single" w:color="auto" w:sz="4" w:space="0"/>
                  <w:right w:val="single" w:color="auto" w:sz="4" w:space="0"/>
                </w:tcBorders>
                <w:vAlign w:val="center"/>
              </w:tcPr>
              <w:p w14:paraId="6E213A9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0596fb5f4bb147b48d9ab2f32535e71f"/>
            <w:id w:val="147461038"/>
          </w:sdtPr>
          <w:sdtEndPr>
            <w:rPr>
              <w:rFonts w:cs="Times New Roman"/>
            </w:rPr>
          </w:sdtEndPr>
          <w:sdtContent>
            <w:tc>
              <w:tcPr>
                <w:tcW w:w="252" w:type="pct"/>
                <w:tcBorders>
                  <w:left w:val="single" w:color="auto" w:sz="4" w:space="0"/>
                  <w:bottom w:val="single" w:color="auto" w:sz="4" w:space="0"/>
                  <w:right w:val="single" w:color="auto" w:sz="4" w:space="0"/>
                </w:tcBorders>
                <w:vAlign w:val="center"/>
              </w:tcPr>
              <w:p w14:paraId="760742C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c>
          <w:tcPr>
            <w:tcW w:w="506" w:type="pct"/>
            <w:vMerge w:val="continue"/>
            <w:tcBorders>
              <w:left w:val="single" w:color="auto" w:sz="4" w:space="0"/>
              <w:bottom w:val="single" w:color="auto" w:sz="4" w:space="0"/>
              <w:right w:val="single" w:color="auto" w:sz="4" w:space="0"/>
            </w:tcBorders>
          </w:tcPr>
          <w:p w14:paraId="419859FD">
            <w:pPr>
              <w:jc w:val="center"/>
              <w:rPr>
                <w:rFonts w:cs="Times New Roman"/>
                <w:color w:val="000000" w:themeColor="text1"/>
                <w14:textFill>
                  <w14:solidFill>
                    <w14:schemeClr w14:val="tx1"/>
                  </w14:solidFill>
                </w14:textFill>
              </w:rPr>
            </w:pPr>
          </w:p>
        </w:tc>
      </w:tr>
      <w:tr w14:paraId="4994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919" w:type="pct"/>
            <w:tcBorders>
              <w:top w:val="single" w:color="auto" w:sz="4" w:space="0"/>
              <w:left w:val="single" w:color="auto" w:sz="4" w:space="0"/>
              <w:bottom w:val="single" w:color="auto" w:sz="4" w:space="0"/>
              <w:right w:val="single" w:color="auto" w:sz="4" w:space="0"/>
            </w:tcBorders>
          </w:tcPr>
          <w:p w14:paraId="34AFC510">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按单项计提坏账准备</w:t>
            </w:r>
          </w:p>
        </w:tc>
        <w:tc>
          <w:tcPr>
            <w:tcW w:w="562" w:type="pct"/>
            <w:tcBorders>
              <w:top w:val="single" w:color="auto" w:sz="4" w:space="0"/>
              <w:left w:val="single" w:color="auto" w:sz="4" w:space="0"/>
              <w:bottom w:val="single" w:color="auto" w:sz="4" w:space="0"/>
              <w:right w:val="single" w:color="auto" w:sz="4" w:space="0"/>
            </w:tcBorders>
            <w:vAlign w:val="center"/>
          </w:tcPr>
          <w:p w14:paraId="6C8CDA28">
            <w:pPr>
              <w:jc w:val="right"/>
              <w:textAlignment w:val="bottom"/>
              <w:rPr>
                <w:rFonts w:cs="Times New Roman"/>
                <w:sz w:val="18"/>
                <w:szCs w:val="18"/>
              </w:rPr>
            </w:pPr>
            <w:r>
              <w:rPr>
                <w:rFonts w:cs="Times New Roman"/>
                <w:color w:val="000000"/>
                <w:sz w:val="18"/>
                <w:szCs w:val="18"/>
              </w:rPr>
              <w:t>215,729,691.76</w:t>
            </w:r>
          </w:p>
        </w:tc>
        <w:tc>
          <w:tcPr>
            <w:tcW w:w="256" w:type="pct"/>
            <w:tcBorders>
              <w:top w:val="single" w:color="auto" w:sz="4" w:space="0"/>
              <w:left w:val="single" w:color="auto" w:sz="4" w:space="0"/>
              <w:bottom w:val="single" w:color="auto" w:sz="4" w:space="0"/>
              <w:right w:val="single" w:color="auto" w:sz="4" w:space="0"/>
            </w:tcBorders>
            <w:vAlign w:val="center"/>
          </w:tcPr>
          <w:p w14:paraId="5CFDEBA2">
            <w:pPr>
              <w:jc w:val="right"/>
              <w:textAlignment w:val="bottom"/>
              <w:rPr>
                <w:rFonts w:cs="Times New Roman"/>
                <w:sz w:val="18"/>
                <w:szCs w:val="18"/>
              </w:rPr>
            </w:pPr>
            <w:r>
              <w:rPr>
                <w:rFonts w:cs="Times New Roman"/>
                <w:color w:val="000000"/>
                <w:sz w:val="18"/>
                <w:szCs w:val="18"/>
              </w:rPr>
              <w:t>6.05</w:t>
            </w:r>
          </w:p>
        </w:tc>
        <w:tc>
          <w:tcPr>
            <w:tcW w:w="460" w:type="pct"/>
            <w:tcBorders>
              <w:top w:val="single" w:color="auto" w:sz="4" w:space="0"/>
              <w:left w:val="single" w:color="auto" w:sz="4" w:space="0"/>
              <w:bottom w:val="single" w:color="auto" w:sz="4" w:space="0"/>
              <w:right w:val="single" w:color="auto" w:sz="4" w:space="0"/>
            </w:tcBorders>
            <w:vAlign w:val="center"/>
          </w:tcPr>
          <w:p w14:paraId="3F837669">
            <w:pPr>
              <w:jc w:val="right"/>
              <w:textAlignment w:val="bottom"/>
              <w:rPr>
                <w:rFonts w:cs="Times New Roman"/>
                <w:sz w:val="18"/>
                <w:szCs w:val="18"/>
              </w:rPr>
            </w:pPr>
            <w:r>
              <w:rPr>
                <w:rFonts w:cs="Times New Roman"/>
                <w:color w:val="000000"/>
                <w:sz w:val="18"/>
                <w:szCs w:val="18"/>
              </w:rPr>
              <w:t>204,759,407.76</w:t>
            </w:r>
          </w:p>
        </w:tc>
        <w:tc>
          <w:tcPr>
            <w:tcW w:w="256" w:type="pct"/>
            <w:tcBorders>
              <w:top w:val="single" w:color="auto" w:sz="4" w:space="0"/>
              <w:left w:val="single" w:color="auto" w:sz="4" w:space="0"/>
              <w:bottom w:val="single" w:color="auto" w:sz="4" w:space="0"/>
              <w:right w:val="single" w:color="auto" w:sz="4" w:space="0"/>
            </w:tcBorders>
            <w:vAlign w:val="center"/>
          </w:tcPr>
          <w:p w14:paraId="0372F2B1">
            <w:pPr>
              <w:jc w:val="right"/>
              <w:textAlignment w:val="bottom"/>
              <w:rPr>
                <w:rFonts w:cs="Times New Roman"/>
                <w:sz w:val="18"/>
                <w:szCs w:val="18"/>
              </w:rPr>
            </w:pPr>
            <w:r>
              <w:rPr>
                <w:rFonts w:cs="Times New Roman"/>
                <w:color w:val="000000"/>
                <w:sz w:val="18"/>
                <w:szCs w:val="18"/>
              </w:rPr>
              <w:t>94.91</w:t>
            </w:r>
          </w:p>
        </w:tc>
        <w:tc>
          <w:tcPr>
            <w:tcW w:w="511" w:type="pct"/>
            <w:tcBorders>
              <w:top w:val="single" w:color="auto" w:sz="4" w:space="0"/>
              <w:left w:val="single" w:color="auto" w:sz="4" w:space="0"/>
              <w:bottom w:val="single" w:color="auto" w:sz="4" w:space="0"/>
              <w:right w:val="single" w:color="auto" w:sz="4" w:space="0"/>
            </w:tcBorders>
            <w:vAlign w:val="center"/>
          </w:tcPr>
          <w:p w14:paraId="71422FAB">
            <w:pPr>
              <w:jc w:val="right"/>
              <w:textAlignment w:val="bottom"/>
              <w:rPr>
                <w:rFonts w:cs="Times New Roman"/>
                <w:sz w:val="18"/>
                <w:szCs w:val="18"/>
              </w:rPr>
            </w:pPr>
            <w:r>
              <w:rPr>
                <w:rFonts w:cs="Times New Roman"/>
                <w:color w:val="000000"/>
                <w:sz w:val="18"/>
                <w:szCs w:val="18"/>
              </w:rPr>
              <w:t>10,970,284.00</w:t>
            </w:r>
          </w:p>
        </w:tc>
        <w:tc>
          <w:tcPr>
            <w:tcW w:w="511" w:type="pct"/>
            <w:tcBorders>
              <w:top w:val="single" w:color="auto" w:sz="4" w:space="0"/>
              <w:left w:val="single" w:color="auto" w:sz="4" w:space="0"/>
              <w:bottom w:val="single" w:color="auto" w:sz="4" w:space="0"/>
              <w:right w:val="single" w:color="auto" w:sz="4" w:space="0"/>
            </w:tcBorders>
            <w:vAlign w:val="center"/>
          </w:tcPr>
          <w:p w14:paraId="417292F4">
            <w:pPr>
              <w:jc w:val="right"/>
              <w:textAlignment w:val="bottom"/>
              <w:rPr>
                <w:rFonts w:cs="Times New Roman"/>
                <w:sz w:val="18"/>
                <w:szCs w:val="18"/>
              </w:rPr>
            </w:pPr>
            <w:r>
              <w:rPr>
                <w:rFonts w:cs="Times New Roman"/>
                <w:color w:val="000000"/>
                <w:sz w:val="18"/>
                <w:szCs w:val="18"/>
              </w:rPr>
              <w:t>215,314,102.91</w:t>
            </w:r>
          </w:p>
        </w:tc>
        <w:tc>
          <w:tcPr>
            <w:tcW w:w="256" w:type="pct"/>
            <w:tcBorders>
              <w:top w:val="single" w:color="auto" w:sz="4" w:space="0"/>
              <w:left w:val="single" w:color="auto" w:sz="4" w:space="0"/>
              <w:bottom w:val="single" w:color="auto" w:sz="4" w:space="0"/>
              <w:right w:val="single" w:color="auto" w:sz="4" w:space="0"/>
            </w:tcBorders>
            <w:vAlign w:val="center"/>
          </w:tcPr>
          <w:p w14:paraId="6E0C7CF7">
            <w:pPr>
              <w:jc w:val="right"/>
              <w:textAlignment w:val="bottom"/>
              <w:rPr>
                <w:rFonts w:cs="Times New Roman"/>
                <w:sz w:val="18"/>
                <w:szCs w:val="18"/>
              </w:rPr>
            </w:pPr>
            <w:r>
              <w:rPr>
                <w:rFonts w:cs="Times New Roman"/>
                <w:color w:val="000000"/>
                <w:sz w:val="18"/>
                <w:szCs w:val="18"/>
              </w:rPr>
              <w:t>6.28</w:t>
            </w:r>
          </w:p>
        </w:tc>
        <w:tc>
          <w:tcPr>
            <w:tcW w:w="511" w:type="pct"/>
            <w:tcBorders>
              <w:top w:val="single" w:color="auto" w:sz="4" w:space="0"/>
              <w:left w:val="single" w:color="auto" w:sz="4" w:space="0"/>
              <w:bottom w:val="single" w:color="auto" w:sz="4" w:space="0"/>
              <w:right w:val="single" w:color="auto" w:sz="4" w:space="0"/>
            </w:tcBorders>
            <w:vAlign w:val="center"/>
          </w:tcPr>
          <w:p w14:paraId="0F28749D">
            <w:pPr>
              <w:jc w:val="right"/>
              <w:textAlignment w:val="bottom"/>
              <w:rPr>
                <w:rFonts w:cs="Times New Roman"/>
                <w:sz w:val="18"/>
                <w:szCs w:val="18"/>
              </w:rPr>
            </w:pPr>
            <w:r>
              <w:rPr>
                <w:rFonts w:cs="Times New Roman"/>
                <w:color w:val="000000"/>
                <w:sz w:val="18"/>
                <w:szCs w:val="18"/>
              </w:rPr>
              <w:t>204,343,818.91</w:t>
            </w:r>
          </w:p>
        </w:tc>
        <w:tc>
          <w:tcPr>
            <w:tcW w:w="252" w:type="pct"/>
            <w:tcBorders>
              <w:top w:val="single" w:color="auto" w:sz="4" w:space="0"/>
              <w:left w:val="single" w:color="auto" w:sz="4" w:space="0"/>
              <w:bottom w:val="single" w:color="auto" w:sz="4" w:space="0"/>
              <w:right w:val="single" w:color="auto" w:sz="4" w:space="0"/>
            </w:tcBorders>
            <w:vAlign w:val="center"/>
          </w:tcPr>
          <w:p w14:paraId="32DE59C7">
            <w:pPr>
              <w:jc w:val="right"/>
              <w:textAlignment w:val="bottom"/>
              <w:rPr>
                <w:rFonts w:cs="Times New Roman"/>
                <w:sz w:val="18"/>
                <w:szCs w:val="18"/>
              </w:rPr>
            </w:pPr>
            <w:r>
              <w:rPr>
                <w:rFonts w:cs="Times New Roman"/>
                <w:color w:val="000000"/>
                <w:sz w:val="18"/>
                <w:szCs w:val="18"/>
              </w:rPr>
              <w:t>94.90</w:t>
            </w:r>
          </w:p>
        </w:tc>
        <w:tc>
          <w:tcPr>
            <w:tcW w:w="506" w:type="pct"/>
            <w:tcBorders>
              <w:top w:val="single" w:color="auto" w:sz="4" w:space="0"/>
              <w:left w:val="single" w:color="auto" w:sz="4" w:space="0"/>
              <w:bottom w:val="single" w:color="auto" w:sz="4" w:space="0"/>
              <w:right w:val="single" w:color="auto" w:sz="4" w:space="0"/>
            </w:tcBorders>
            <w:vAlign w:val="center"/>
          </w:tcPr>
          <w:p w14:paraId="2DEC8221">
            <w:pPr>
              <w:jc w:val="right"/>
              <w:textAlignment w:val="bottom"/>
              <w:rPr>
                <w:rFonts w:cs="Times New Roman"/>
                <w:sz w:val="18"/>
                <w:szCs w:val="18"/>
              </w:rPr>
            </w:pPr>
            <w:r>
              <w:rPr>
                <w:rFonts w:cs="Times New Roman"/>
                <w:color w:val="000000"/>
                <w:sz w:val="18"/>
                <w:szCs w:val="18"/>
              </w:rPr>
              <w:t>10,970,284.00</w:t>
            </w:r>
          </w:p>
        </w:tc>
      </w:tr>
      <w:tr w14:paraId="3985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a3793487a0154f9a85b0e94e01b6ddbe"/>
            <w:id w:val="147483060"/>
          </w:sdtPr>
          <w:sdtEndPr>
            <w:rPr>
              <w:rFonts w:cs="Times New Roman"/>
              <w:sz w:val="18"/>
              <w:szCs w:val="18"/>
            </w:rPr>
          </w:sdtEndPr>
          <w:sdtContent>
            <w:tc>
              <w:tcPr>
                <w:tcW w:w="5000" w:type="pct"/>
                <w:gridSpan w:val="11"/>
                <w:tcBorders>
                  <w:top w:val="single" w:color="auto" w:sz="4" w:space="0"/>
                  <w:left w:val="single" w:color="auto" w:sz="4" w:space="0"/>
                  <w:bottom w:val="single" w:color="auto" w:sz="4" w:space="0"/>
                  <w:right w:val="single" w:color="auto" w:sz="4" w:space="0"/>
                </w:tcBorders>
                <w:vAlign w:val="center"/>
              </w:tcPr>
              <w:p w14:paraId="7B227A2E">
                <w:pPr>
                  <w:rPr>
                    <w:rFonts w:cs="Times New Roman"/>
                    <w:color w:val="000000" w:themeColor="text1"/>
                    <w:sz w:val="18"/>
                    <w:szCs w:val="18"/>
                    <w14:textFill>
                      <w14:solidFill>
                        <w14:schemeClr w14:val="tx1"/>
                      </w14:solidFill>
                    </w14:textFill>
                  </w:rPr>
                </w:pPr>
                <w:r>
                  <w:rPr>
                    <w:rFonts w:cs="Times New Roman"/>
                    <w:color w:val="000000" w:themeColor="text1"/>
                    <w14:textFill>
                      <w14:solidFill>
                        <w14:schemeClr w14:val="tx1"/>
                      </w14:solidFill>
                    </w14:textFill>
                  </w:rPr>
                  <w:t>其中：</w:t>
                </w:r>
              </w:p>
            </w:tc>
          </w:sdtContent>
        </w:sdt>
      </w:tr>
      <w:tr w14:paraId="5C8D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919" w:type="pct"/>
            <w:tcBorders>
              <w:top w:val="single" w:color="auto" w:sz="4" w:space="0"/>
              <w:left w:val="single" w:color="auto" w:sz="4" w:space="0"/>
              <w:bottom w:val="single" w:color="auto" w:sz="4" w:space="0"/>
              <w:right w:val="single" w:color="auto" w:sz="4" w:space="0"/>
            </w:tcBorders>
          </w:tcPr>
          <w:p w14:paraId="61430D78">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按组合计提坏账准备</w:t>
            </w:r>
          </w:p>
        </w:tc>
        <w:tc>
          <w:tcPr>
            <w:tcW w:w="562" w:type="pct"/>
            <w:tcBorders>
              <w:top w:val="single" w:color="auto" w:sz="4" w:space="0"/>
              <w:left w:val="single" w:color="auto" w:sz="4" w:space="0"/>
              <w:bottom w:val="single" w:color="auto" w:sz="4" w:space="0"/>
              <w:right w:val="single" w:color="auto" w:sz="4" w:space="0"/>
            </w:tcBorders>
            <w:vAlign w:val="center"/>
          </w:tcPr>
          <w:p w14:paraId="19B61F91">
            <w:pPr>
              <w:jc w:val="right"/>
              <w:textAlignment w:val="bottom"/>
              <w:rPr>
                <w:rFonts w:cs="Times New Roman"/>
                <w:sz w:val="18"/>
                <w:szCs w:val="18"/>
              </w:rPr>
            </w:pPr>
            <w:r>
              <w:rPr>
                <w:rFonts w:cs="Times New Roman"/>
                <w:color w:val="000000"/>
                <w:sz w:val="18"/>
                <w:szCs w:val="18"/>
              </w:rPr>
              <w:t>3,350,032,541.77</w:t>
            </w:r>
          </w:p>
        </w:tc>
        <w:tc>
          <w:tcPr>
            <w:tcW w:w="256" w:type="pct"/>
            <w:tcBorders>
              <w:top w:val="single" w:color="auto" w:sz="4" w:space="0"/>
              <w:left w:val="single" w:color="auto" w:sz="4" w:space="0"/>
              <w:bottom w:val="single" w:color="auto" w:sz="4" w:space="0"/>
              <w:right w:val="single" w:color="auto" w:sz="4" w:space="0"/>
            </w:tcBorders>
            <w:vAlign w:val="center"/>
          </w:tcPr>
          <w:p w14:paraId="27BA6ABB">
            <w:pPr>
              <w:jc w:val="right"/>
              <w:textAlignment w:val="bottom"/>
              <w:rPr>
                <w:rFonts w:cs="Times New Roman"/>
                <w:sz w:val="18"/>
                <w:szCs w:val="18"/>
              </w:rPr>
            </w:pPr>
            <w:r>
              <w:rPr>
                <w:rFonts w:cs="Times New Roman"/>
                <w:color w:val="000000"/>
                <w:sz w:val="18"/>
                <w:szCs w:val="18"/>
              </w:rPr>
              <w:t>93.95</w:t>
            </w:r>
          </w:p>
        </w:tc>
        <w:tc>
          <w:tcPr>
            <w:tcW w:w="460" w:type="pct"/>
            <w:tcBorders>
              <w:top w:val="single" w:color="auto" w:sz="4" w:space="0"/>
              <w:left w:val="single" w:color="auto" w:sz="4" w:space="0"/>
              <w:bottom w:val="single" w:color="auto" w:sz="4" w:space="0"/>
              <w:right w:val="single" w:color="auto" w:sz="4" w:space="0"/>
            </w:tcBorders>
            <w:vAlign w:val="center"/>
          </w:tcPr>
          <w:p w14:paraId="0A120ACA">
            <w:pPr>
              <w:jc w:val="right"/>
              <w:textAlignment w:val="bottom"/>
              <w:rPr>
                <w:rFonts w:cs="Times New Roman"/>
                <w:sz w:val="18"/>
                <w:szCs w:val="18"/>
              </w:rPr>
            </w:pPr>
            <w:r>
              <w:rPr>
                <w:rFonts w:cs="Times New Roman"/>
                <w:color w:val="000000"/>
                <w:sz w:val="18"/>
                <w:szCs w:val="18"/>
              </w:rPr>
              <w:t>303,490,593.94</w:t>
            </w:r>
          </w:p>
        </w:tc>
        <w:tc>
          <w:tcPr>
            <w:tcW w:w="256" w:type="pct"/>
            <w:tcBorders>
              <w:top w:val="single" w:color="auto" w:sz="4" w:space="0"/>
              <w:left w:val="single" w:color="auto" w:sz="4" w:space="0"/>
              <w:bottom w:val="single" w:color="auto" w:sz="4" w:space="0"/>
              <w:right w:val="single" w:color="auto" w:sz="4" w:space="0"/>
            </w:tcBorders>
            <w:vAlign w:val="center"/>
          </w:tcPr>
          <w:p w14:paraId="6F76310E">
            <w:pPr>
              <w:jc w:val="right"/>
              <w:textAlignment w:val="bottom"/>
              <w:rPr>
                <w:rFonts w:cs="Times New Roman"/>
                <w:sz w:val="18"/>
                <w:szCs w:val="18"/>
              </w:rPr>
            </w:pPr>
            <w:r>
              <w:rPr>
                <w:rFonts w:cs="Times New Roman"/>
                <w:color w:val="000000"/>
                <w:sz w:val="18"/>
                <w:szCs w:val="18"/>
              </w:rPr>
              <w:t>9.06</w:t>
            </w:r>
          </w:p>
        </w:tc>
        <w:tc>
          <w:tcPr>
            <w:tcW w:w="511" w:type="pct"/>
            <w:tcBorders>
              <w:top w:val="single" w:color="auto" w:sz="4" w:space="0"/>
              <w:left w:val="single" w:color="auto" w:sz="4" w:space="0"/>
              <w:bottom w:val="single" w:color="auto" w:sz="4" w:space="0"/>
              <w:right w:val="single" w:color="auto" w:sz="4" w:space="0"/>
            </w:tcBorders>
            <w:vAlign w:val="center"/>
          </w:tcPr>
          <w:p w14:paraId="2F6A890C">
            <w:pPr>
              <w:jc w:val="right"/>
              <w:textAlignment w:val="bottom"/>
              <w:rPr>
                <w:rFonts w:cs="Times New Roman"/>
                <w:sz w:val="18"/>
                <w:szCs w:val="18"/>
              </w:rPr>
            </w:pPr>
            <w:r>
              <w:rPr>
                <w:rFonts w:cs="Times New Roman"/>
                <w:color w:val="000000"/>
                <w:sz w:val="18"/>
                <w:szCs w:val="18"/>
              </w:rPr>
              <w:t>3,046,541,947.83</w:t>
            </w:r>
          </w:p>
        </w:tc>
        <w:tc>
          <w:tcPr>
            <w:tcW w:w="511" w:type="pct"/>
            <w:tcBorders>
              <w:top w:val="single" w:color="auto" w:sz="4" w:space="0"/>
              <w:left w:val="single" w:color="auto" w:sz="4" w:space="0"/>
              <w:bottom w:val="single" w:color="auto" w:sz="4" w:space="0"/>
              <w:right w:val="single" w:color="auto" w:sz="4" w:space="0"/>
            </w:tcBorders>
            <w:vAlign w:val="center"/>
          </w:tcPr>
          <w:p w14:paraId="20988FDC">
            <w:pPr>
              <w:jc w:val="right"/>
              <w:textAlignment w:val="bottom"/>
              <w:rPr>
                <w:rFonts w:cs="Times New Roman"/>
                <w:sz w:val="18"/>
                <w:szCs w:val="18"/>
              </w:rPr>
            </w:pPr>
            <w:r>
              <w:rPr>
                <w:rFonts w:cs="Times New Roman"/>
                <w:color w:val="000000"/>
                <w:sz w:val="18"/>
                <w:szCs w:val="18"/>
              </w:rPr>
              <w:t>3,215,852,849.13</w:t>
            </w:r>
          </w:p>
        </w:tc>
        <w:tc>
          <w:tcPr>
            <w:tcW w:w="256" w:type="pct"/>
            <w:tcBorders>
              <w:top w:val="single" w:color="auto" w:sz="4" w:space="0"/>
              <w:left w:val="single" w:color="auto" w:sz="4" w:space="0"/>
              <w:bottom w:val="single" w:color="auto" w:sz="4" w:space="0"/>
              <w:right w:val="single" w:color="auto" w:sz="4" w:space="0"/>
            </w:tcBorders>
            <w:vAlign w:val="center"/>
          </w:tcPr>
          <w:p w14:paraId="058367DC">
            <w:pPr>
              <w:jc w:val="right"/>
              <w:textAlignment w:val="bottom"/>
              <w:rPr>
                <w:rFonts w:cs="Times New Roman"/>
                <w:sz w:val="18"/>
                <w:szCs w:val="18"/>
              </w:rPr>
            </w:pPr>
            <w:r>
              <w:rPr>
                <w:rFonts w:cs="Times New Roman"/>
                <w:color w:val="000000"/>
                <w:sz w:val="18"/>
                <w:szCs w:val="18"/>
              </w:rPr>
              <w:t>93.72</w:t>
            </w:r>
          </w:p>
        </w:tc>
        <w:tc>
          <w:tcPr>
            <w:tcW w:w="511" w:type="pct"/>
            <w:tcBorders>
              <w:top w:val="single" w:color="auto" w:sz="4" w:space="0"/>
              <w:left w:val="single" w:color="auto" w:sz="4" w:space="0"/>
              <w:bottom w:val="single" w:color="auto" w:sz="4" w:space="0"/>
              <w:right w:val="single" w:color="auto" w:sz="4" w:space="0"/>
            </w:tcBorders>
            <w:vAlign w:val="center"/>
          </w:tcPr>
          <w:p w14:paraId="45F88B9A">
            <w:pPr>
              <w:jc w:val="right"/>
              <w:textAlignment w:val="bottom"/>
              <w:rPr>
                <w:rFonts w:cs="Times New Roman"/>
                <w:sz w:val="18"/>
                <w:szCs w:val="18"/>
              </w:rPr>
            </w:pPr>
            <w:r>
              <w:rPr>
                <w:rFonts w:cs="Times New Roman"/>
                <w:color w:val="000000"/>
                <w:sz w:val="18"/>
                <w:szCs w:val="18"/>
              </w:rPr>
              <w:t>306,158,655.66</w:t>
            </w:r>
          </w:p>
        </w:tc>
        <w:tc>
          <w:tcPr>
            <w:tcW w:w="252" w:type="pct"/>
            <w:tcBorders>
              <w:top w:val="single" w:color="auto" w:sz="4" w:space="0"/>
              <w:left w:val="single" w:color="auto" w:sz="4" w:space="0"/>
              <w:bottom w:val="single" w:color="auto" w:sz="4" w:space="0"/>
              <w:right w:val="single" w:color="auto" w:sz="4" w:space="0"/>
            </w:tcBorders>
            <w:vAlign w:val="center"/>
          </w:tcPr>
          <w:p w14:paraId="58A3483F">
            <w:pPr>
              <w:jc w:val="right"/>
              <w:textAlignment w:val="bottom"/>
              <w:rPr>
                <w:rFonts w:cs="Times New Roman"/>
                <w:sz w:val="18"/>
                <w:szCs w:val="18"/>
              </w:rPr>
            </w:pPr>
            <w:r>
              <w:rPr>
                <w:rFonts w:cs="Times New Roman"/>
                <w:color w:val="000000"/>
                <w:sz w:val="18"/>
                <w:szCs w:val="18"/>
              </w:rPr>
              <w:t>9.52</w:t>
            </w:r>
          </w:p>
        </w:tc>
        <w:tc>
          <w:tcPr>
            <w:tcW w:w="506" w:type="pct"/>
            <w:tcBorders>
              <w:top w:val="single" w:color="auto" w:sz="4" w:space="0"/>
              <w:left w:val="single" w:color="auto" w:sz="4" w:space="0"/>
              <w:bottom w:val="single" w:color="auto" w:sz="4" w:space="0"/>
              <w:right w:val="single" w:color="auto" w:sz="4" w:space="0"/>
            </w:tcBorders>
            <w:vAlign w:val="center"/>
          </w:tcPr>
          <w:p w14:paraId="7C2D592D">
            <w:pPr>
              <w:jc w:val="right"/>
              <w:textAlignment w:val="bottom"/>
              <w:rPr>
                <w:rFonts w:cs="Times New Roman"/>
                <w:sz w:val="18"/>
                <w:szCs w:val="18"/>
              </w:rPr>
            </w:pPr>
            <w:r>
              <w:rPr>
                <w:rFonts w:cs="Times New Roman"/>
                <w:color w:val="000000"/>
                <w:sz w:val="18"/>
                <w:szCs w:val="18"/>
              </w:rPr>
              <w:t>2,909,694,193.47</w:t>
            </w:r>
          </w:p>
        </w:tc>
      </w:tr>
      <w:tr w14:paraId="1487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55a01fc28b044e40bd4e4399252665c0"/>
            <w:id w:val="147454816"/>
          </w:sdtPr>
          <w:sdtEndPr>
            <w:rPr>
              <w:rFonts w:cs="Times New Roman"/>
            </w:rPr>
          </w:sdtEndPr>
          <w:sdtContent>
            <w:tc>
              <w:tcPr>
                <w:tcW w:w="5000" w:type="pct"/>
                <w:gridSpan w:val="11"/>
                <w:tcBorders>
                  <w:top w:val="single" w:color="auto" w:sz="4" w:space="0"/>
                  <w:left w:val="single" w:color="auto" w:sz="4" w:space="0"/>
                  <w:bottom w:val="single" w:color="auto" w:sz="4" w:space="0"/>
                  <w:right w:val="single" w:color="auto" w:sz="4" w:space="0"/>
                </w:tcBorders>
              </w:tcPr>
              <w:p w14:paraId="0031D9C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p>
            </w:tc>
          </w:sdtContent>
        </w:sdt>
      </w:tr>
      <w:tr w14:paraId="155A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color w:val="000000" w:themeColor="text1"/>
              <w14:textFill>
                <w14:solidFill>
                  <w14:schemeClr w14:val="tx1"/>
                </w14:solidFill>
              </w14:textFill>
            </w:rPr>
            <w:alias w:val="按组合计提坏账准备的应收账款明细-组合名称"/>
            <w:tag w:val="_GBC_c5f1817705f34c9782f585b3ed10e2db"/>
            <w:id w:val="147474867"/>
          </w:sdtPr>
          <w:sdtEndPr>
            <w:rPr>
              <w:rFonts w:cs="Times New Roman"/>
              <w:color w:val="000000" w:themeColor="text1"/>
              <w14:textFill>
                <w14:solidFill>
                  <w14:schemeClr w14:val="tx1"/>
                </w14:solidFill>
              </w14:textFill>
            </w:rPr>
          </w:sdtEndPr>
          <w:sdtContent>
            <w:tc>
              <w:tcPr>
                <w:tcW w:w="919" w:type="pct"/>
                <w:tcBorders>
                  <w:top w:val="single" w:color="auto" w:sz="4" w:space="0"/>
                  <w:left w:val="single" w:color="auto" w:sz="4" w:space="0"/>
                  <w:bottom w:val="single" w:color="auto" w:sz="4" w:space="0"/>
                  <w:right w:val="single" w:color="auto" w:sz="4" w:space="0"/>
                </w:tcBorders>
              </w:tcPr>
              <w:p w14:paraId="0886EC7F">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组合1军方、警方、政府职能部门等高信用水平单位应收账款组合</w:t>
                </w:r>
              </w:p>
            </w:tc>
          </w:sdtContent>
        </w:sdt>
        <w:tc>
          <w:tcPr>
            <w:tcW w:w="562" w:type="pct"/>
            <w:tcBorders>
              <w:top w:val="single" w:color="auto" w:sz="4" w:space="0"/>
              <w:left w:val="single" w:color="auto" w:sz="4" w:space="0"/>
              <w:bottom w:val="single" w:color="auto" w:sz="4" w:space="0"/>
              <w:right w:val="single" w:color="auto" w:sz="4" w:space="0"/>
            </w:tcBorders>
            <w:vAlign w:val="center"/>
          </w:tcPr>
          <w:p w14:paraId="36A12A3C">
            <w:pPr>
              <w:jc w:val="right"/>
              <w:textAlignment w:val="bottom"/>
              <w:rPr>
                <w:rFonts w:cs="Times New Roman"/>
                <w:sz w:val="18"/>
                <w:szCs w:val="18"/>
              </w:rPr>
            </w:pPr>
            <w:r>
              <w:rPr>
                <w:rFonts w:cs="Times New Roman"/>
                <w:color w:val="000000"/>
                <w:sz w:val="18"/>
                <w:szCs w:val="18"/>
              </w:rPr>
              <w:t>1,630,025,236.98</w:t>
            </w:r>
          </w:p>
        </w:tc>
        <w:tc>
          <w:tcPr>
            <w:tcW w:w="256" w:type="pct"/>
            <w:tcBorders>
              <w:top w:val="single" w:color="auto" w:sz="4" w:space="0"/>
              <w:left w:val="single" w:color="auto" w:sz="4" w:space="0"/>
              <w:bottom w:val="single" w:color="auto" w:sz="4" w:space="0"/>
              <w:right w:val="single" w:color="auto" w:sz="4" w:space="0"/>
            </w:tcBorders>
            <w:vAlign w:val="center"/>
          </w:tcPr>
          <w:p w14:paraId="36A76C2F">
            <w:pPr>
              <w:jc w:val="right"/>
              <w:textAlignment w:val="bottom"/>
              <w:rPr>
                <w:rFonts w:cs="Times New Roman"/>
                <w:sz w:val="18"/>
                <w:szCs w:val="18"/>
              </w:rPr>
            </w:pPr>
            <w:r>
              <w:rPr>
                <w:rFonts w:cs="Times New Roman"/>
                <w:color w:val="000000"/>
                <w:sz w:val="18"/>
                <w:szCs w:val="18"/>
              </w:rPr>
              <w:t>45.72</w:t>
            </w:r>
          </w:p>
        </w:tc>
        <w:tc>
          <w:tcPr>
            <w:tcW w:w="460" w:type="pct"/>
            <w:tcBorders>
              <w:top w:val="single" w:color="auto" w:sz="4" w:space="0"/>
              <w:left w:val="single" w:color="auto" w:sz="4" w:space="0"/>
              <w:bottom w:val="single" w:color="auto" w:sz="4" w:space="0"/>
              <w:right w:val="single" w:color="auto" w:sz="4" w:space="0"/>
            </w:tcBorders>
            <w:vAlign w:val="center"/>
          </w:tcPr>
          <w:p w14:paraId="5BC3E51E">
            <w:pPr>
              <w:jc w:val="right"/>
              <w:textAlignment w:val="bottom"/>
              <w:rPr>
                <w:rFonts w:cs="Times New Roman"/>
                <w:sz w:val="18"/>
                <w:szCs w:val="18"/>
              </w:rPr>
            </w:pPr>
            <w:r>
              <w:rPr>
                <w:rFonts w:cs="Times New Roman"/>
                <w:color w:val="000000"/>
                <w:sz w:val="18"/>
                <w:szCs w:val="18"/>
              </w:rPr>
              <w:t>20,021,045.75</w:t>
            </w:r>
          </w:p>
        </w:tc>
        <w:tc>
          <w:tcPr>
            <w:tcW w:w="256" w:type="pct"/>
            <w:tcBorders>
              <w:top w:val="single" w:color="auto" w:sz="4" w:space="0"/>
              <w:left w:val="single" w:color="auto" w:sz="4" w:space="0"/>
              <w:bottom w:val="single" w:color="auto" w:sz="4" w:space="0"/>
              <w:right w:val="single" w:color="auto" w:sz="4" w:space="0"/>
            </w:tcBorders>
            <w:vAlign w:val="center"/>
          </w:tcPr>
          <w:p w14:paraId="36907A58">
            <w:pPr>
              <w:jc w:val="right"/>
              <w:textAlignment w:val="bottom"/>
              <w:rPr>
                <w:rFonts w:cs="Times New Roman"/>
                <w:sz w:val="18"/>
                <w:szCs w:val="18"/>
              </w:rPr>
            </w:pPr>
            <w:r>
              <w:rPr>
                <w:rFonts w:cs="Times New Roman"/>
                <w:color w:val="000000"/>
                <w:sz w:val="18"/>
                <w:szCs w:val="18"/>
              </w:rPr>
              <w:t>1.23</w:t>
            </w:r>
          </w:p>
        </w:tc>
        <w:tc>
          <w:tcPr>
            <w:tcW w:w="511" w:type="pct"/>
            <w:tcBorders>
              <w:top w:val="single" w:color="auto" w:sz="4" w:space="0"/>
              <w:left w:val="single" w:color="auto" w:sz="4" w:space="0"/>
              <w:bottom w:val="single" w:color="auto" w:sz="4" w:space="0"/>
              <w:right w:val="single" w:color="auto" w:sz="4" w:space="0"/>
            </w:tcBorders>
            <w:vAlign w:val="center"/>
          </w:tcPr>
          <w:p w14:paraId="4276FE4F">
            <w:pPr>
              <w:jc w:val="right"/>
              <w:textAlignment w:val="bottom"/>
              <w:rPr>
                <w:rFonts w:cs="Times New Roman"/>
                <w:sz w:val="18"/>
                <w:szCs w:val="18"/>
              </w:rPr>
            </w:pPr>
            <w:r>
              <w:rPr>
                <w:rFonts w:cs="Times New Roman"/>
                <w:color w:val="000000"/>
                <w:sz w:val="18"/>
                <w:szCs w:val="18"/>
              </w:rPr>
              <w:t>1,610,004,191.23</w:t>
            </w:r>
          </w:p>
        </w:tc>
        <w:tc>
          <w:tcPr>
            <w:tcW w:w="511" w:type="pct"/>
            <w:tcBorders>
              <w:top w:val="single" w:color="auto" w:sz="4" w:space="0"/>
              <w:left w:val="single" w:color="auto" w:sz="4" w:space="0"/>
              <w:bottom w:val="single" w:color="auto" w:sz="4" w:space="0"/>
              <w:right w:val="single" w:color="auto" w:sz="4" w:space="0"/>
            </w:tcBorders>
            <w:vAlign w:val="center"/>
          </w:tcPr>
          <w:p w14:paraId="0E30AD21">
            <w:pPr>
              <w:jc w:val="right"/>
              <w:textAlignment w:val="bottom"/>
              <w:rPr>
                <w:rFonts w:cs="Times New Roman"/>
                <w:sz w:val="18"/>
                <w:szCs w:val="18"/>
              </w:rPr>
            </w:pPr>
            <w:r>
              <w:rPr>
                <w:rFonts w:cs="Times New Roman"/>
                <w:color w:val="000000"/>
                <w:sz w:val="18"/>
                <w:szCs w:val="18"/>
              </w:rPr>
              <w:t>1,591,332,946.10</w:t>
            </w:r>
          </w:p>
        </w:tc>
        <w:tc>
          <w:tcPr>
            <w:tcW w:w="256" w:type="pct"/>
            <w:tcBorders>
              <w:top w:val="single" w:color="auto" w:sz="4" w:space="0"/>
              <w:left w:val="single" w:color="auto" w:sz="4" w:space="0"/>
              <w:bottom w:val="single" w:color="auto" w:sz="4" w:space="0"/>
              <w:right w:val="single" w:color="auto" w:sz="4" w:space="0"/>
            </w:tcBorders>
            <w:vAlign w:val="center"/>
          </w:tcPr>
          <w:p w14:paraId="29BDE040">
            <w:pPr>
              <w:jc w:val="right"/>
              <w:textAlignment w:val="bottom"/>
              <w:rPr>
                <w:rFonts w:cs="Times New Roman"/>
                <w:sz w:val="18"/>
                <w:szCs w:val="18"/>
              </w:rPr>
            </w:pPr>
            <w:r>
              <w:rPr>
                <w:rFonts w:cs="Times New Roman"/>
                <w:color w:val="000000"/>
                <w:sz w:val="18"/>
                <w:szCs w:val="18"/>
              </w:rPr>
              <w:t>46.37</w:t>
            </w:r>
          </w:p>
        </w:tc>
        <w:tc>
          <w:tcPr>
            <w:tcW w:w="511" w:type="pct"/>
            <w:tcBorders>
              <w:top w:val="single" w:color="auto" w:sz="4" w:space="0"/>
              <w:left w:val="single" w:color="auto" w:sz="4" w:space="0"/>
              <w:bottom w:val="single" w:color="auto" w:sz="4" w:space="0"/>
              <w:right w:val="single" w:color="auto" w:sz="4" w:space="0"/>
            </w:tcBorders>
            <w:vAlign w:val="center"/>
          </w:tcPr>
          <w:p w14:paraId="013BEC76">
            <w:pPr>
              <w:jc w:val="right"/>
              <w:textAlignment w:val="bottom"/>
              <w:rPr>
                <w:rFonts w:cs="Times New Roman"/>
                <w:sz w:val="18"/>
                <w:szCs w:val="18"/>
              </w:rPr>
            </w:pPr>
            <w:r>
              <w:rPr>
                <w:rFonts w:cs="Times New Roman"/>
                <w:color w:val="000000"/>
                <w:sz w:val="18"/>
                <w:szCs w:val="18"/>
              </w:rPr>
              <w:t>21,400,358.60</w:t>
            </w:r>
          </w:p>
        </w:tc>
        <w:tc>
          <w:tcPr>
            <w:tcW w:w="252" w:type="pct"/>
            <w:tcBorders>
              <w:top w:val="single" w:color="auto" w:sz="4" w:space="0"/>
              <w:left w:val="single" w:color="auto" w:sz="4" w:space="0"/>
              <w:bottom w:val="single" w:color="auto" w:sz="4" w:space="0"/>
              <w:right w:val="single" w:color="auto" w:sz="4" w:space="0"/>
            </w:tcBorders>
            <w:vAlign w:val="center"/>
          </w:tcPr>
          <w:p w14:paraId="08423EC3">
            <w:pPr>
              <w:jc w:val="right"/>
              <w:textAlignment w:val="bottom"/>
              <w:rPr>
                <w:rFonts w:cs="Times New Roman"/>
                <w:sz w:val="18"/>
                <w:szCs w:val="18"/>
              </w:rPr>
            </w:pPr>
            <w:r>
              <w:rPr>
                <w:rFonts w:cs="Times New Roman"/>
                <w:color w:val="000000"/>
                <w:sz w:val="18"/>
                <w:szCs w:val="18"/>
              </w:rPr>
              <w:t>1.34</w:t>
            </w:r>
          </w:p>
        </w:tc>
        <w:tc>
          <w:tcPr>
            <w:tcW w:w="506" w:type="pct"/>
            <w:tcBorders>
              <w:top w:val="single" w:color="auto" w:sz="4" w:space="0"/>
              <w:left w:val="single" w:color="auto" w:sz="4" w:space="0"/>
              <w:bottom w:val="single" w:color="auto" w:sz="4" w:space="0"/>
              <w:right w:val="single" w:color="auto" w:sz="4" w:space="0"/>
            </w:tcBorders>
            <w:vAlign w:val="center"/>
          </w:tcPr>
          <w:p w14:paraId="6BFDF959">
            <w:pPr>
              <w:jc w:val="right"/>
              <w:textAlignment w:val="bottom"/>
              <w:rPr>
                <w:rFonts w:cs="Times New Roman"/>
                <w:sz w:val="18"/>
                <w:szCs w:val="18"/>
              </w:rPr>
            </w:pPr>
            <w:r>
              <w:rPr>
                <w:rFonts w:cs="Times New Roman"/>
                <w:color w:val="000000"/>
                <w:sz w:val="18"/>
                <w:szCs w:val="18"/>
              </w:rPr>
              <w:t>1,569,932,587.50</w:t>
            </w:r>
          </w:p>
        </w:tc>
      </w:tr>
      <w:tr w14:paraId="77EB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color w:val="000000" w:themeColor="text1"/>
              <w14:textFill>
                <w14:solidFill>
                  <w14:schemeClr w14:val="tx1"/>
                </w14:solidFill>
              </w14:textFill>
            </w:rPr>
            <w:alias w:val="按组合计提坏账准备的应收账款明细-组合名称"/>
            <w:tag w:val="_GBC_c5f1817705f34c9782f585b3ed10e2db"/>
            <w:id w:val="147451682"/>
          </w:sdtPr>
          <w:sdtEndPr>
            <w:rPr>
              <w:rFonts w:cs="Times New Roman"/>
              <w:color w:val="000000" w:themeColor="text1"/>
              <w14:textFill>
                <w14:solidFill>
                  <w14:schemeClr w14:val="tx1"/>
                </w14:solidFill>
              </w14:textFill>
            </w:rPr>
          </w:sdtEndPr>
          <w:sdtContent>
            <w:tc>
              <w:tcPr>
                <w:tcW w:w="919" w:type="pct"/>
                <w:tcBorders>
                  <w:top w:val="single" w:color="auto" w:sz="4" w:space="0"/>
                  <w:left w:val="single" w:color="auto" w:sz="4" w:space="0"/>
                  <w:bottom w:val="single" w:color="auto" w:sz="4" w:space="0"/>
                  <w:right w:val="single" w:color="auto" w:sz="4" w:space="0"/>
                </w:tcBorders>
              </w:tcPr>
              <w:p w14:paraId="63E5164C">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组合2关联方组合</w:t>
                </w:r>
              </w:p>
            </w:tc>
          </w:sdtContent>
        </w:sdt>
        <w:tc>
          <w:tcPr>
            <w:tcW w:w="562" w:type="pct"/>
            <w:tcBorders>
              <w:top w:val="single" w:color="auto" w:sz="4" w:space="0"/>
              <w:left w:val="single" w:color="auto" w:sz="4" w:space="0"/>
              <w:bottom w:val="single" w:color="auto" w:sz="4" w:space="0"/>
              <w:right w:val="single" w:color="auto" w:sz="4" w:space="0"/>
            </w:tcBorders>
            <w:vAlign w:val="center"/>
          </w:tcPr>
          <w:p w14:paraId="1E024C51">
            <w:pPr>
              <w:jc w:val="right"/>
              <w:textAlignment w:val="bottom"/>
              <w:rPr>
                <w:rFonts w:cs="Times New Roman"/>
                <w:sz w:val="18"/>
                <w:szCs w:val="18"/>
              </w:rPr>
            </w:pPr>
            <w:r>
              <w:rPr>
                <w:rFonts w:cs="Times New Roman"/>
                <w:color w:val="000000"/>
                <w:sz w:val="18"/>
                <w:szCs w:val="18"/>
              </w:rPr>
              <w:t>76,804,627.57</w:t>
            </w:r>
          </w:p>
        </w:tc>
        <w:tc>
          <w:tcPr>
            <w:tcW w:w="256" w:type="pct"/>
            <w:tcBorders>
              <w:top w:val="single" w:color="auto" w:sz="4" w:space="0"/>
              <w:left w:val="single" w:color="auto" w:sz="4" w:space="0"/>
              <w:bottom w:val="single" w:color="auto" w:sz="4" w:space="0"/>
              <w:right w:val="single" w:color="auto" w:sz="4" w:space="0"/>
            </w:tcBorders>
            <w:vAlign w:val="center"/>
          </w:tcPr>
          <w:p w14:paraId="1999264C">
            <w:pPr>
              <w:jc w:val="right"/>
              <w:textAlignment w:val="bottom"/>
              <w:rPr>
                <w:rFonts w:cs="Times New Roman"/>
                <w:sz w:val="18"/>
                <w:szCs w:val="18"/>
              </w:rPr>
            </w:pPr>
            <w:r>
              <w:rPr>
                <w:rFonts w:cs="Times New Roman"/>
                <w:color w:val="000000"/>
                <w:sz w:val="18"/>
                <w:szCs w:val="18"/>
              </w:rPr>
              <w:t>2.15</w:t>
            </w:r>
          </w:p>
        </w:tc>
        <w:tc>
          <w:tcPr>
            <w:tcW w:w="460" w:type="pct"/>
            <w:tcBorders>
              <w:top w:val="single" w:color="auto" w:sz="4" w:space="0"/>
              <w:left w:val="single" w:color="auto" w:sz="4" w:space="0"/>
              <w:bottom w:val="single" w:color="auto" w:sz="4" w:space="0"/>
              <w:right w:val="single" w:color="auto" w:sz="4" w:space="0"/>
            </w:tcBorders>
            <w:vAlign w:val="center"/>
          </w:tcPr>
          <w:p w14:paraId="12BAF0A1">
            <w:pPr>
              <w:jc w:val="right"/>
              <w:textAlignment w:val="bottom"/>
              <w:rPr>
                <w:rFonts w:cs="Times New Roman"/>
                <w:sz w:val="18"/>
                <w:szCs w:val="18"/>
              </w:rPr>
            </w:pPr>
            <w:r>
              <w:rPr>
                <w:rFonts w:cs="Times New Roman"/>
                <w:color w:val="000000"/>
                <w:sz w:val="18"/>
                <w:szCs w:val="18"/>
              </w:rPr>
              <w:t>9,914,781.84</w:t>
            </w:r>
          </w:p>
        </w:tc>
        <w:tc>
          <w:tcPr>
            <w:tcW w:w="256" w:type="pct"/>
            <w:tcBorders>
              <w:top w:val="single" w:color="auto" w:sz="4" w:space="0"/>
              <w:left w:val="single" w:color="auto" w:sz="4" w:space="0"/>
              <w:bottom w:val="single" w:color="auto" w:sz="4" w:space="0"/>
              <w:right w:val="single" w:color="auto" w:sz="4" w:space="0"/>
            </w:tcBorders>
            <w:vAlign w:val="center"/>
          </w:tcPr>
          <w:p w14:paraId="3EE512F3">
            <w:pPr>
              <w:jc w:val="right"/>
              <w:textAlignment w:val="bottom"/>
              <w:rPr>
                <w:rFonts w:cs="Times New Roman"/>
                <w:sz w:val="18"/>
                <w:szCs w:val="18"/>
              </w:rPr>
            </w:pPr>
            <w:r>
              <w:rPr>
                <w:rFonts w:cs="Times New Roman"/>
                <w:color w:val="000000"/>
                <w:sz w:val="18"/>
                <w:szCs w:val="18"/>
              </w:rPr>
              <w:t>12.91</w:t>
            </w:r>
          </w:p>
        </w:tc>
        <w:tc>
          <w:tcPr>
            <w:tcW w:w="511" w:type="pct"/>
            <w:tcBorders>
              <w:top w:val="single" w:color="auto" w:sz="4" w:space="0"/>
              <w:left w:val="single" w:color="auto" w:sz="4" w:space="0"/>
              <w:bottom w:val="single" w:color="auto" w:sz="4" w:space="0"/>
              <w:right w:val="single" w:color="auto" w:sz="4" w:space="0"/>
            </w:tcBorders>
            <w:vAlign w:val="center"/>
          </w:tcPr>
          <w:p w14:paraId="39D67C84">
            <w:pPr>
              <w:jc w:val="right"/>
              <w:textAlignment w:val="bottom"/>
              <w:rPr>
                <w:rFonts w:cs="Times New Roman"/>
                <w:sz w:val="18"/>
                <w:szCs w:val="18"/>
              </w:rPr>
            </w:pPr>
            <w:r>
              <w:rPr>
                <w:rFonts w:cs="Times New Roman"/>
                <w:color w:val="000000"/>
                <w:sz w:val="18"/>
                <w:szCs w:val="18"/>
              </w:rPr>
              <w:t>66,889,845.73</w:t>
            </w:r>
          </w:p>
        </w:tc>
        <w:tc>
          <w:tcPr>
            <w:tcW w:w="511" w:type="pct"/>
            <w:tcBorders>
              <w:top w:val="single" w:color="auto" w:sz="4" w:space="0"/>
              <w:left w:val="single" w:color="auto" w:sz="4" w:space="0"/>
              <w:bottom w:val="single" w:color="auto" w:sz="4" w:space="0"/>
              <w:right w:val="single" w:color="auto" w:sz="4" w:space="0"/>
            </w:tcBorders>
            <w:vAlign w:val="center"/>
          </w:tcPr>
          <w:p w14:paraId="0FC72DA4">
            <w:pPr>
              <w:jc w:val="right"/>
              <w:textAlignment w:val="bottom"/>
              <w:rPr>
                <w:rFonts w:cs="Times New Roman"/>
                <w:sz w:val="18"/>
                <w:szCs w:val="18"/>
              </w:rPr>
            </w:pPr>
            <w:r>
              <w:rPr>
                <w:rFonts w:cs="Times New Roman"/>
                <w:color w:val="000000"/>
                <w:sz w:val="18"/>
                <w:szCs w:val="18"/>
              </w:rPr>
              <w:t>67,457,180.97</w:t>
            </w:r>
          </w:p>
        </w:tc>
        <w:tc>
          <w:tcPr>
            <w:tcW w:w="256" w:type="pct"/>
            <w:tcBorders>
              <w:top w:val="single" w:color="auto" w:sz="4" w:space="0"/>
              <w:left w:val="single" w:color="auto" w:sz="4" w:space="0"/>
              <w:bottom w:val="single" w:color="auto" w:sz="4" w:space="0"/>
              <w:right w:val="single" w:color="auto" w:sz="4" w:space="0"/>
            </w:tcBorders>
            <w:vAlign w:val="center"/>
          </w:tcPr>
          <w:p w14:paraId="09C24E23">
            <w:pPr>
              <w:jc w:val="right"/>
              <w:textAlignment w:val="bottom"/>
              <w:rPr>
                <w:rFonts w:cs="Times New Roman"/>
                <w:sz w:val="18"/>
                <w:szCs w:val="18"/>
              </w:rPr>
            </w:pPr>
            <w:r>
              <w:rPr>
                <w:rFonts w:cs="Times New Roman"/>
                <w:color w:val="000000"/>
                <w:sz w:val="18"/>
                <w:szCs w:val="18"/>
              </w:rPr>
              <w:t>1.97</w:t>
            </w:r>
          </w:p>
        </w:tc>
        <w:tc>
          <w:tcPr>
            <w:tcW w:w="511" w:type="pct"/>
            <w:tcBorders>
              <w:top w:val="single" w:color="auto" w:sz="4" w:space="0"/>
              <w:left w:val="single" w:color="auto" w:sz="4" w:space="0"/>
              <w:bottom w:val="single" w:color="auto" w:sz="4" w:space="0"/>
              <w:right w:val="single" w:color="auto" w:sz="4" w:space="0"/>
            </w:tcBorders>
            <w:vAlign w:val="center"/>
          </w:tcPr>
          <w:p w14:paraId="6B5EB6A4">
            <w:pPr>
              <w:jc w:val="right"/>
              <w:textAlignment w:val="bottom"/>
              <w:rPr>
                <w:rFonts w:cs="Times New Roman"/>
                <w:sz w:val="18"/>
                <w:szCs w:val="18"/>
              </w:rPr>
            </w:pPr>
            <w:r>
              <w:rPr>
                <w:rFonts w:cs="Times New Roman"/>
                <w:color w:val="000000"/>
                <w:sz w:val="18"/>
                <w:szCs w:val="18"/>
              </w:rPr>
              <w:t>10,094,254.87</w:t>
            </w:r>
          </w:p>
        </w:tc>
        <w:tc>
          <w:tcPr>
            <w:tcW w:w="252" w:type="pct"/>
            <w:tcBorders>
              <w:top w:val="single" w:color="auto" w:sz="4" w:space="0"/>
              <w:left w:val="single" w:color="auto" w:sz="4" w:space="0"/>
              <w:bottom w:val="single" w:color="auto" w:sz="4" w:space="0"/>
              <w:right w:val="single" w:color="auto" w:sz="4" w:space="0"/>
            </w:tcBorders>
            <w:vAlign w:val="center"/>
          </w:tcPr>
          <w:p w14:paraId="463C1A51">
            <w:pPr>
              <w:jc w:val="right"/>
              <w:textAlignment w:val="bottom"/>
              <w:rPr>
                <w:rFonts w:cs="Times New Roman"/>
                <w:sz w:val="18"/>
                <w:szCs w:val="18"/>
              </w:rPr>
            </w:pPr>
            <w:r>
              <w:rPr>
                <w:rFonts w:cs="Times New Roman"/>
                <w:color w:val="000000"/>
                <w:sz w:val="18"/>
                <w:szCs w:val="18"/>
              </w:rPr>
              <w:t>14.96</w:t>
            </w:r>
          </w:p>
        </w:tc>
        <w:tc>
          <w:tcPr>
            <w:tcW w:w="506" w:type="pct"/>
            <w:tcBorders>
              <w:top w:val="single" w:color="auto" w:sz="4" w:space="0"/>
              <w:left w:val="single" w:color="auto" w:sz="4" w:space="0"/>
              <w:bottom w:val="single" w:color="auto" w:sz="4" w:space="0"/>
              <w:right w:val="single" w:color="auto" w:sz="4" w:space="0"/>
            </w:tcBorders>
            <w:vAlign w:val="center"/>
          </w:tcPr>
          <w:p w14:paraId="4FB46DC1">
            <w:pPr>
              <w:jc w:val="right"/>
              <w:textAlignment w:val="bottom"/>
              <w:rPr>
                <w:rFonts w:cs="Times New Roman"/>
                <w:sz w:val="18"/>
                <w:szCs w:val="18"/>
              </w:rPr>
            </w:pPr>
            <w:r>
              <w:rPr>
                <w:rFonts w:cs="Times New Roman"/>
                <w:color w:val="000000"/>
                <w:sz w:val="18"/>
                <w:szCs w:val="18"/>
              </w:rPr>
              <w:t>57,362,926.10</w:t>
            </w:r>
          </w:p>
        </w:tc>
      </w:tr>
      <w:tr w14:paraId="582A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color w:val="000000" w:themeColor="text1"/>
              <w14:textFill>
                <w14:solidFill>
                  <w14:schemeClr w14:val="tx1"/>
                </w14:solidFill>
              </w14:textFill>
            </w:rPr>
            <w:alias w:val="按组合计提坏账准备的应收账款明细-组合名称"/>
            <w:tag w:val="_GBC_c5f1817705f34c9782f585b3ed10e2db"/>
            <w:id w:val="147457878"/>
          </w:sdtPr>
          <w:sdtEndPr>
            <w:rPr>
              <w:rFonts w:cs="Times New Roman"/>
              <w:color w:val="000000" w:themeColor="text1"/>
              <w14:textFill>
                <w14:solidFill>
                  <w14:schemeClr w14:val="tx1"/>
                </w14:solidFill>
              </w14:textFill>
            </w:rPr>
          </w:sdtEndPr>
          <w:sdtContent>
            <w:tc>
              <w:tcPr>
                <w:tcW w:w="919" w:type="pct"/>
                <w:tcBorders>
                  <w:top w:val="single" w:color="auto" w:sz="4" w:space="0"/>
                  <w:left w:val="single" w:color="auto" w:sz="4" w:space="0"/>
                  <w:bottom w:val="single" w:color="auto" w:sz="4" w:space="0"/>
                  <w:right w:val="single" w:color="auto" w:sz="4" w:space="0"/>
                </w:tcBorders>
              </w:tcPr>
              <w:p w14:paraId="6C517223">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组合3账龄组合</w:t>
                </w:r>
              </w:p>
            </w:tc>
          </w:sdtContent>
        </w:sdt>
        <w:tc>
          <w:tcPr>
            <w:tcW w:w="562" w:type="pct"/>
            <w:tcBorders>
              <w:top w:val="single" w:color="auto" w:sz="4" w:space="0"/>
              <w:left w:val="single" w:color="auto" w:sz="4" w:space="0"/>
              <w:bottom w:val="single" w:color="auto" w:sz="4" w:space="0"/>
              <w:right w:val="single" w:color="auto" w:sz="4" w:space="0"/>
            </w:tcBorders>
            <w:vAlign w:val="center"/>
          </w:tcPr>
          <w:p w14:paraId="5DE81352">
            <w:pPr>
              <w:jc w:val="right"/>
              <w:textAlignment w:val="bottom"/>
              <w:rPr>
                <w:rFonts w:cs="Times New Roman"/>
                <w:sz w:val="18"/>
                <w:szCs w:val="18"/>
              </w:rPr>
            </w:pPr>
            <w:r>
              <w:rPr>
                <w:rFonts w:cs="Times New Roman"/>
                <w:color w:val="000000"/>
                <w:sz w:val="18"/>
                <w:szCs w:val="18"/>
              </w:rPr>
              <w:t>1,643,202,677.22</w:t>
            </w:r>
          </w:p>
        </w:tc>
        <w:tc>
          <w:tcPr>
            <w:tcW w:w="256" w:type="pct"/>
            <w:tcBorders>
              <w:top w:val="single" w:color="auto" w:sz="4" w:space="0"/>
              <w:left w:val="single" w:color="auto" w:sz="4" w:space="0"/>
              <w:bottom w:val="single" w:color="auto" w:sz="4" w:space="0"/>
              <w:right w:val="single" w:color="auto" w:sz="4" w:space="0"/>
            </w:tcBorders>
            <w:vAlign w:val="center"/>
          </w:tcPr>
          <w:p w14:paraId="466DFC8E">
            <w:pPr>
              <w:jc w:val="right"/>
              <w:textAlignment w:val="bottom"/>
              <w:rPr>
                <w:rFonts w:cs="Times New Roman"/>
                <w:sz w:val="18"/>
                <w:szCs w:val="18"/>
              </w:rPr>
            </w:pPr>
            <w:r>
              <w:rPr>
                <w:rFonts w:cs="Times New Roman"/>
                <w:color w:val="000000"/>
                <w:sz w:val="18"/>
                <w:szCs w:val="18"/>
              </w:rPr>
              <w:t>46.08</w:t>
            </w:r>
          </w:p>
        </w:tc>
        <w:tc>
          <w:tcPr>
            <w:tcW w:w="460" w:type="pct"/>
            <w:tcBorders>
              <w:top w:val="single" w:color="auto" w:sz="4" w:space="0"/>
              <w:left w:val="single" w:color="auto" w:sz="4" w:space="0"/>
              <w:bottom w:val="single" w:color="auto" w:sz="4" w:space="0"/>
              <w:right w:val="single" w:color="auto" w:sz="4" w:space="0"/>
            </w:tcBorders>
            <w:vAlign w:val="center"/>
          </w:tcPr>
          <w:p w14:paraId="1B7CFF4B">
            <w:pPr>
              <w:jc w:val="right"/>
              <w:textAlignment w:val="bottom"/>
              <w:rPr>
                <w:rFonts w:cs="Times New Roman"/>
                <w:sz w:val="18"/>
                <w:szCs w:val="18"/>
              </w:rPr>
            </w:pPr>
            <w:r>
              <w:rPr>
                <w:rFonts w:cs="Times New Roman"/>
                <w:color w:val="000000"/>
                <w:sz w:val="18"/>
                <w:szCs w:val="18"/>
              </w:rPr>
              <w:t>273,554,766.35</w:t>
            </w:r>
          </w:p>
        </w:tc>
        <w:tc>
          <w:tcPr>
            <w:tcW w:w="256" w:type="pct"/>
            <w:tcBorders>
              <w:top w:val="single" w:color="auto" w:sz="4" w:space="0"/>
              <w:left w:val="single" w:color="auto" w:sz="4" w:space="0"/>
              <w:bottom w:val="single" w:color="auto" w:sz="4" w:space="0"/>
              <w:right w:val="single" w:color="auto" w:sz="4" w:space="0"/>
            </w:tcBorders>
            <w:vAlign w:val="center"/>
          </w:tcPr>
          <w:p w14:paraId="1164E96A">
            <w:pPr>
              <w:jc w:val="right"/>
              <w:textAlignment w:val="bottom"/>
              <w:rPr>
                <w:rFonts w:cs="Times New Roman"/>
                <w:sz w:val="18"/>
                <w:szCs w:val="18"/>
              </w:rPr>
            </w:pPr>
            <w:r>
              <w:rPr>
                <w:rFonts w:cs="Times New Roman"/>
                <w:color w:val="000000"/>
                <w:sz w:val="18"/>
                <w:szCs w:val="18"/>
              </w:rPr>
              <w:t>16.65</w:t>
            </w:r>
          </w:p>
        </w:tc>
        <w:tc>
          <w:tcPr>
            <w:tcW w:w="511" w:type="pct"/>
            <w:tcBorders>
              <w:top w:val="single" w:color="auto" w:sz="4" w:space="0"/>
              <w:left w:val="single" w:color="auto" w:sz="4" w:space="0"/>
              <w:bottom w:val="single" w:color="auto" w:sz="4" w:space="0"/>
              <w:right w:val="single" w:color="auto" w:sz="4" w:space="0"/>
            </w:tcBorders>
            <w:vAlign w:val="center"/>
          </w:tcPr>
          <w:p w14:paraId="624710B3">
            <w:pPr>
              <w:jc w:val="right"/>
              <w:textAlignment w:val="bottom"/>
              <w:rPr>
                <w:rFonts w:cs="Times New Roman"/>
                <w:sz w:val="18"/>
                <w:szCs w:val="18"/>
              </w:rPr>
            </w:pPr>
            <w:r>
              <w:rPr>
                <w:rFonts w:cs="Times New Roman"/>
                <w:color w:val="000000"/>
                <w:sz w:val="18"/>
                <w:szCs w:val="18"/>
              </w:rPr>
              <w:t>1,369,647,910.87</w:t>
            </w:r>
          </w:p>
        </w:tc>
        <w:tc>
          <w:tcPr>
            <w:tcW w:w="511" w:type="pct"/>
            <w:tcBorders>
              <w:top w:val="single" w:color="auto" w:sz="4" w:space="0"/>
              <w:left w:val="single" w:color="auto" w:sz="4" w:space="0"/>
              <w:bottom w:val="single" w:color="auto" w:sz="4" w:space="0"/>
              <w:right w:val="single" w:color="auto" w:sz="4" w:space="0"/>
            </w:tcBorders>
            <w:vAlign w:val="center"/>
          </w:tcPr>
          <w:p w14:paraId="337B076C">
            <w:pPr>
              <w:jc w:val="right"/>
              <w:textAlignment w:val="bottom"/>
              <w:rPr>
                <w:rFonts w:cs="Times New Roman"/>
                <w:sz w:val="18"/>
                <w:szCs w:val="18"/>
              </w:rPr>
            </w:pPr>
            <w:r>
              <w:rPr>
                <w:rFonts w:cs="Times New Roman"/>
                <w:color w:val="000000"/>
                <w:sz w:val="18"/>
                <w:szCs w:val="18"/>
              </w:rPr>
              <w:t>1,557,062,722.06</w:t>
            </w:r>
          </w:p>
        </w:tc>
        <w:tc>
          <w:tcPr>
            <w:tcW w:w="256" w:type="pct"/>
            <w:tcBorders>
              <w:top w:val="single" w:color="auto" w:sz="4" w:space="0"/>
              <w:left w:val="single" w:color="auto" w:sz="4" w:space="0"/>
              <w:bottom w:val="single" w:color="auto" w:sz="4" w:space="0"/>
              <w:right w:val="single" w:color="auto" w:sz="4" w:space="0"/>
            </w:tcBorders>
            <w:vAlign w:val="center"/>
          </w:tcPr>
          <w:p w14:paraId="7AA1F878">
            <w:pPr>
              <w:jc w:val="right"/>
              <w:textAlignment w:val="bottom"/>
              <w:rPr>
                <w:rFonts w:cs="Times New Roman"/>
                <w:sz w:val="18"/>
                <w:szCs w:val="18"/>
              </w:rPr>
            </w:pPr>
            <w:r>
              <w:rPr>
                <w:rFonts w:cs="Times New Roman"/>
                <w:color w:val="000000"/>
                <w:sz w:val="18"/>
                <w:szCs w:val="18"/>
              </w:rPr>
              <w:t>45.38</w:t>
            </w:r>
          </w:p>
        </w:tc>
        <w:tc>
          <w:tcPr>
            <w:tcW w:w="511" w:type="pct"/>
            <w:tcBorders>
              <w:top w:val="single" w:color="auto" w:sz="4" w:space="0"/>
              <w:left w:val="single" w:color="auto" w:sz="4" w:space="0"/>
              <w:bottom w:val="single" w:color="auto" w:sz="4" w:space="0"/>
              <w:right w:val="single" w:color="auto" w:sz="4" w:space="0"/>
            </w:tcBorders>
            <w:vAlign w:val="center"/>
          </w:tcPr>
          <w:p w14:paraId="3F48258A">
            <w:pPr>
              <w:jc w:val="right"/>
              <w:textAlignment w:val="bottom"/>
              <w:rPr>
                <w:rFonts w:cs="Times New Roman"/>
                <w:sz w:val="18"/>
                <w:szCs w:val="18"/>
              </w:rPr>
            </w:pPr>
            <w:r>
              <w:rPr>
                <w:rFonts w:cs="Times New Roman"/>
                <w:color w:val="000000"/>
                <w:sz w:val="18"/>
                <w:szCs w:val="18"/>
              </w:rPr>
              <w:t>274,664,042.19</w:t>
            </w:r>
          </w:p>
        </w:tc>
        <w:tc>
          <w:tcPr>
            <w:tcW w:w="252" w:type="pct"/>
            <w:tcBorders>
              <w:top w:val="single" w:color="auto" w:sz="4" w:space="0"/>
              <w:left w:val="single" w:color="auto" w:sz="4" w:space="0"/>
              <w:bottom w:val="single" w:color="auto" w:sz="4" w:space="0"/>
              <w:right w:val="single" w:color="auto" w:sz="4" w:space="0"/>
            </w:tcBorders>
            <w:vAlign w:val="center"/>
          </w:tcPr>
          <w:p w14:paraId="0760384F">
            <w:pPr>
              <w:jc w:val="right"/>
              <w:textAlignment w:val="bottom"/>
              <w:rPr>
                <w:rFonts w:cs="Times New Roman"/>
                <w:sz w:val="18"/>
                <w:szCs w:val="18"/>
              </w:rPr>
            </w:pPr>
            <w:r>
              <w:rPr>
                <w:rFonts w:cs="Times New Roman"/>
                <w:color w:val="000000"/>
                <w:sz w:val="18"/>
                <w:szCs w:val="18"/>
              </w:rPr>
              <w:t>17.64</w:t>
            </w:r>
          </w:p>
        </w:tc>
        <w:tc>
          <w:tcPr>
            <w:tcW w:w="506" w:type="pct"/>
            <w:tcBorders>
              <w:top w:val="single" w:color="auto" w:sz="4" w:space="0"/>
              <w:left w:val="single" w:color="auto" w:sz="4" w:space="0"/>
              <w:bottom w:val="single" w:color="auto" w:sz="4" w:space="0"/>
              <w:right w:val="single" w:color="auto" w:sz="4" w:space="0"/>
            </w:tcBorders>
            <w:vAlign w:val="center"/>
          </w:tcPr>
          <w:p w14:paraId="059A3A20">
            <w:pPr>
              <w:jc w:val="right"/>
              <w:textAlignment w:val="bottom"/>
              <w:rPr>
                <w:rFonts w:cs="Times New Roman"/>
                <w:sz w:val="18"/>
                <w:szCs w:val="18"/>
              </w:rPr>
            </w:pPr>
            <w:r>
              <w:rPr>
                <w:rFonts w:cs="Times New Roman"/>
                <w:color w:val="000000"/>
                <w:sz w:val="18"/>
                <w:szCs w:val="18"/>
              </w:rPr>
              <w:t>1,282,398,679.87</w:t>
            </w:r>
          </w:p>
        </w:tc>
      </w:tr>
      <w:tr w14:paraId="6E52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919" w:type="pct"/>
            <w:tcBorders>
              <w:top w:val="single" w:color="auto" w:sz="4" w:space="0"/>
              <w:left w:val="single" w:color="auto" w:sz="4" w:space="0"/>
              <w:bottom w:val="single" w:color="auto" w:sz="4" w:space="0"/>
              <w:right w:val="single" w:color="auto" w:sz="4" w:space="0"/>
            </w:tcBorders>
            <w:vAlign w:val="center"/>
          </w:tcPr>
          <w:p w14:paraId="5691D9E4">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562" w:type="pct"/>
            <w:tcBorders>
              <w:top w:val="single" w:color="auto" w:sz="4" w:space="0"/>
              <w:left w:val="single" w:color="auto" w:sz="4" w:space="0"/>
              <w:bottom w:val="single" w:color="auto" w:sz="4" w:space="0"/>
              <w:right w:val="single" w:color="auto" w:sz="4" w:space="0"/>
            </w:tcBorders>
            <w:vAlign w:val="center"/>
          </w:tcPr>
          <w:p w14:paraId="552FB3DB">
            <w:pPr>
              <w:jc w:val="right"/>
              <w:textAlignment w:val="bottom"/>
              <w:rPr>
                <w:rFonts w:cs="Times New Roman"/>
                <w:sz w:val="18"/>
                <w:szCs w:val="18"/>
              </w:rPr>
            </w:pPr>
            <w:r>
              <w:rPr>
                <w:rFonts w:cs="Times New Roman"/>
                <w:color w:val="000000"/>
                <w:sz w:val="18"/>
                <w:szCs w:val="18"/>
              </w:rPr>
              <w:t>3,565,762,233.53</w:t>
            </w:r>
          </w:p>
        </w:tc>
        <w:tc>
          <w:tcPr>
            <w:tcW w:w="256" w:type="pct"/>
            <w:tcBorders>
              <w:top w:val="single" w:color="auto" w:sz="4" w:space="0"/>
              <w:left w:val="single" w:color="auto" w:sz="4" w:space="0"/>
              <w:bottom w:val="single" w:color="auto" w:sz="4" w:space="0"/>
              <w:right w:val="single" w:color="auto" w:sz="4" w:space="0"/>
            </w:tcBorders>
            <w:vAlign w:val="center"/>
          </w:tcPr>
          <w:p w14:paraId="66F15F5B">
            <w:pPr>
              <w:jc w:val="right"/>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460" w:type="pct"/>
            <w:tcBorders>
              <w:top w:val="single" w:color="auto" w:sz="4" w:space="0"/>
              <w:left w:val="single" w:color="auto" w:sz="4" w:space="0"/>
              <w:bottom w:val="single" w:color="auto" w:sz="4" w:space="0"/>
              <w:right w:val="single" w:color="auto" w:sz="4" w:space="0"/>
            </w:tcBorders>
            <w:vAlign w:val="center"/>
          </w:tcPr>
          <w:p w14:paraId="2CCDDCEC">
            <w:pPr>
              <w:jc w:val="right"/>
              <w:textAlignment w:val="bottom"/>
              <w:rPr>
                <w:rFonts w:cs="Times New Roman"/>
                <w:sz w:val="18"/>
                <w:szCs w:val="18"/>
              </w:rPr>
            </w:pPr>
            <w:r>
              <w:rPr>
                <w:rFonts w:cs="Times New Roman"/>
                <w:color w:val="000000"/>
                <w:sz w:val="18"/>
                <w:szCs w:val="18"/>
              </w:rPr>
              <w:t>508,250,001.70</w:t>
            </w:r>
          </w:p>
        </w:tc>
        <w:tc>
          <w:tcPr>
            <w:tcW w:w="256" w:type="pct"/>
            <w:tcBorders>
              <w:top w:val="single" w:color="auto" w:sz="4" w:space="0"/>
              <w:left w:val="single" w:color="auto" w:sz="4" w:space="0"/>
              <w:bottom w:val="single" w:color="auto" w:sz="4" w:space="0"/>
              <w:right w:val="single" w:color="auto" w:sz="4" w:space="0"/>
            </w:tcBorders>
            <w:vAlign w:val="center"/>
          </w:tcPr>
          <w:p w14:paraId="36B02814">
            <w:pPr>
              <w:jc w:val="right"/>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511" w:type="pct"/>
            <w:tcBorders>
              <w:top w:val="single" w:color="auto" w:sz="4" w:space="0"/>
              <w:left w:val="single" w:color="auto" w:sz="4" w:space="0"/>
              <w:bottom w:val="single" w:color="auto" w:sz="4" w:space="0"/>
              <w:right w:val="single" w:color="auto" w:sz="4" w:space="0"/>
            </w:tcBorders>
            <w:vAlign w:val="center"/>
          </w:tcPr>
          <w:p w14:paraId="2E76EC9F">
            <w:pPr>
              <w:jc w:val="right"/>
              <w:textAlignment w:val="bottom"/>
              <w:rPr>
                <w:rFonts w:cs="Times New Roman"/>
                <w:sz w:val="18"/>
                <w:szCs w:val="18"/>
              </w:rPr>
            </w:pPr>
            <w:r>
              <w:rPr>
                <w:rFonts w:cs="Times New Roman"/>
                <w:color w:val="000000"/>
                <w:sz w:val="18"/>
                <w:szCs w:val="18"/>
              </w:rPr>
              <w:t>3,057,512,231.83</w:t>
            </w:r>
          </w:p>
        </w:tc>
        <w:tc>
          <w:tcPr>
            <w:tcW w:w="511" w:type="pct"/>
            <w:tcBorders>
              <w:top w:val="single" w:color="auto" w:sz="4" w:space="0"/>
              <w:left w:val="single" w:color="auto" w:sz="4" w:space="0"/>
              <w:bottom w:val="single" w:color="auto" w:sz="4" w:space="0"/>
              <w:right w:val="single" w:color="auto" w:sz="4" w:space="0"/>
            </w:tcBorders>
            <w:vAlign w:val="center"/>
          </w:tcPr>
          <w:p w14:paraId="03B0AC14">
            <w:pPr>
              <w:jc w:val="right"/>
              <w:textAlignment w:val="bottom"/>
              <w:rPr>
                <w:rFonts w:cs="Times New Roman"/>
                <w:sz w:val="18"/>
                <w:szCs w:val="18"/>
              </w:rPr>
            </w:pPr>
            <w:r>
              <w:rPr>
                <w:rFonts w:cs="Times New Roman"/>
                <w:color w:val="000000"/>
                <w:sz w:val="18"/>
                <w:szCs w:val="18"/>
              </w:rPr>
              <w:t>3,431,166,952.04</w:t>
            </w:r>
          </w:p>
        </w:tc>
        <w:tc>
          <w:tcPr>
            <w:tcW w:w="256" w:type="pct"/>
            <w:tcBorders>
              <w:top w:val="single" w:color="auto" w:sz="4" w:space="0"/>
              <w:left w:val="single" w:color="auto" w:sz="4" w:space="0"/>
              <w:bottom w:val="single" w:color="auto" w:sz="4" w:space="0"/>
              <w:right w:val="single" w:color="auto" w:sz="4" w:space="0"/>
            </w:tcBorders>
            <w:vAlign w:val="center"/>
          </w:tcPr>
          <w:p w14:paraId="55758F6F">
            <w:pPr>
              <w:jc w:val="right"/>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511" w:type="pct"/>
            <w:tcBorders>
              <w:top w:val="single" w:color="auto" w:sz="4" w:space="0"/>
              <w:left w:val="single" w:color="auto" w:sz="4" w:space="0"/>
              <w:bottom w:val="single" w:color="auto" w:sz="4" w:space="0"/>
              <w:right w:val="single" w:color="auto" w:sz="4" w:space="0"/>
            </w:tcBorders>
            <w:vAlign w:val="center"/>
          </w:tcPr>
          <w:p w14:paraId="57803B41">
            <w:pPr>
              <w:jc w:val="right"/>
              <w:textAlignment w:val="bottom"/>
              <w:rPr>
                <w:rFonts w:cs="Times New Roman"/>
                <w:sz w:val="18"/>
                <w:szCs w:val="18"/>
              </w:rPr>
            </w:pPr>
            <w:r>
              <w:rPr>
                <w:rFonts w:cs="Times New Roman"/>
                <w:color w:val="000000"/>
                <w:sz w:val="18"/>
                <w:szCs w:val="18"/>
              </w:rPr>
              <w:t>510,502,474.57</w:t>
            </w:r>
          </w:p>
        </w:tc>
        <w:tc>
          <w:tcPr>
            <w:tcW w:w="252" w:type="pct"/>
            <w:tcBorders>
              <w:top w:val="single" w:color="auto" w:sz="4" w:space="0"/>
              <w:left w:val="single" w:color="auto" w:sz="4" w:space="0"/>
              <w:bottom w:val="single" w:color="auto" w:sz="4" w:space="0"/>
              <w:right w:val="single" w:color="auto" w:sz="4" w:space="0"/>
            </w:tcBorders>
            <w:vAlign w:val="center"/>
          </w:tcPr>
          <w:p w14:paraId="701D394E">
            <w:pPr>
              <w:jc w:val="right"/>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506" w:type="pct"/>
            <w:tcBorders>
              <w:top w:val="single" w:color="auto" w:sz="4" w:space="0"/>
              <w:left w:val="single" w:color="auto" w:sz="4" w:space="0"/>
              <w:bottom w:val="single" w:color="auto" w:sz="4" w:space="0"/>
              <w:right w:val="single" w:color="auto" w:sz="4" w:space="0"/>
            </w:tcBorders>
            <w:vAlign w:val="center"/>
          </w:tcPr>
          <w:p w14:paraId="3CF4E03E">
            <w:pPr>
              <w:jc w:val="right"/>
              <w:textAlignment w:val="bottom"/>
              <w:rPr>
                <w:rFonts w:cs="Times New Roman"/>
                <w:sz w:val="18"/>
                <w:szCs w:val="18"/>
              </w:rPr>
            </w:pPr>
            <w:r>
              <w:rPr>
                <w:rFonts w:cs="Times New Roman"/>
                <w:color w:val="000000"/>
                <w:sz w:val="18"/>
                <w:szCs w:val="18"/>
              </w:rPr>
              <w:t>2,920,664,477.47</w:t>
            </w:r>
          </w:p>
        </w:tc>
      </w:tr>
    </w:tbl>
    <w:p w14:paraId="340372B4">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bookmarkEnd w:id="207"/>
    <w:p w14:paraId="1DBF3537">
      <w:pPr>
        <w:rPr>
          <w:color w:val="000000" w:themeColor="text1"/>
          <w14:textFill>
            <w14:solidFill>
              <w14:schemeClr w14:val="tx1"/>
            </w14:solidFill>
          </w14:textFill>
        </w:rPr>
      </w:pPr>
      <w:bookmarkStart w:id="208" w:name="_Hlk10467200"/>
    </w:p>
    <w:p w14:paraId="115B76AF">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rFonts w:hint="eastAsia"/>
          <w:color w:val="000000" w:themeColor="text1"/>
          <w14:textFill>
            <w14:solidFill>
              <w14:schemeClr w14:val="tx1"/>
            </w14:solidFill>
          </w14:textFill>
        </w:rPr>
        <w:alias w:val="是否适用：按单项计提坏账准备的应收账款详细情况[双击切换]"/>
        <w:tag w:val="_GBC_e07c01cfb2fe4b05a2bb603b7f914946"/>
        <w:id w:val="1970076892"/>
      </w:sdtPr>
      <w:sdtEndPr>
        <w:rPr>
          <w:rFonts w:hint="eastAsia"/>
          <w:color w:val="000000" w:themeColor="text1"/>
          <w14:textFill>
            <w14:solidFill>
              <w14:schemeClr w14:val="tx1"/>
            </w14:solidFill>
          </w14:textFill>
        </w:rPr>
      </w:sdtEndPr>
      <w:sdtContent>
        <w:p w14:paraId="039D4D5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2DD8D2B9">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单项计提坏账准备的应收账款详细情况"/>
          <w:tag w:val="_GBC_5737c621553040588c35a299b21bda52"/>
          <w:id w:val="-158000205"/>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单项计提坏账准备的应收账款详细情况"/>
          <w:tag w:val="_GBC_b6cb9fb35a4a4033912355f7cb997afb"/>
          <w:id w:val="10580237"/>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3"/>
        <w:gridCol w:w="1668"/>
        <w:gridCol w:w="1638"/>
        <w:gridCol w:w="961"/>
        <w:gridCol w:w="1739"/>
      </w:tblGrid>
      <w:tr w14:paraId="4D9E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886503527dee421ca2c31b493a41ab31"/>
            <w:id w:val="1492369115"/>
          </w:sdtPr>
          <w:sdtEndPr>
            <w:rPr>
              <w:rFonts w:cs="Times New Roman"/>
            </w:rPr>
          </w:sdtEndPr>
          <w:sdtContent>
            <w:tc>
              <w:tcPr>
                <w:tcW w:w="1681" w:type="pct"/>
                <w:vMerge w:val="restart"/>
                <w:vAlign w:val="center"/>
              </w:tcPr>
              <w:p w14:paraId="203247C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sdtContent>
        </w:sdt>
        <w:sdt>
          <w:sdtPr>
            <w:rPr>
              <w:rFonts w:cs="Times New Roman"/>
            </w:rPr>
            <w:tag w:val="_PLD_e08f6e696f224538a07af6226cb97b93"/>
            <w:id w:val="845204821"/>
          </w:sdtPr>
          <w:sdtEndPr>
            <w:rPr>
              <w:rFonts w:cs="Times New Roman"/>
            </w:rPr>
          </w:sdtEndPr>
          <w:sdtContent>
            <w:tc>
              <w:tcPr>
                <w:tcW w:w="3318" w:type="pct"/>
                <w:gridSpan w:val="4"/>
                <w:vAlign w:val="center"/>
              </w:tcPr>
              <w:p w14:paraId="1BC36B6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1009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Merge w:val="continue"/>
          </w:tcPr>
          <w:p w14:paraId="71D552BE">
            <w:pPr>
              <w:jc w:val="center"/>
              <w:rPr>
                <w:rFonts w:cs="Times New Roman"/>
                <w:color w:val="000000" w:themeColor="text1"/>
                <w14:textFill>
                  <w14:solidFill>
                    <w14:schemeClr w14:val="tx1"/>
                  </w14:solidFill>
                </w14:textFill>
              </w:rPr>
            </w:pPr>
          </w:p>
        </w:tc>
        <w:sdt>
          <w:sdtPr>
            <w:rPr>
              <w:rFonts w:cs="Times New Roman"/>
            </w:rPr>
            <w:tag w:val="_PLD_464a1be46d05424da4883a8442e8eecd"/>
            <w:id w:val="-1756276858"/>
          </w:sdtPr>
          <w:sdtEndPr>
            <w:rPr>
              <w:rFonts w:cs="Times New Roman"/>
            </w:rPr>
          </w:sdtEndPr>
          <w:sdtContent>
            <w:tc>
              <w:tcPr>
                <w:tcW w:w="921" w:type="pct"/>
                <w:vAlign w:val="center"/>
              </w:tcPr>
              <w:p w14:paraId="05407D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3d0d70541d9a48beb1c29f819592f107"/>
            <w:id w:val="177464428"/>
          </w:sdtPr>
          <w:sdtEndPr>
            <w:rPr>
              <w:rFonts w:cs="Times New Roman"/>
            </w:rPr>
          </w:sdtEndPr>
          <w:sdtContent>
            <w:tc>
              <w:tcPr>
                <w:tcW w:w="905" w:type="pct"/>
                <w:vAlign w:val="center"/>
              </w:tcPr>
              <w:p w14:paraId="4327C35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76393245336e41aa891aec8c50271105"/>
            <w:id w:val="-2139561591"/>
          </w:sdtPr>
          <w:sdtEndPr>
            <w:rPr>
              <w:rFonts w:cs="Times New Roman"/>
            </w:rPr>
          </w:sdtEndPr>
          <w:sdtContent>
            <w:tc>
              <w:tcPr>
                <w:tcW w:w="531" w:type="pct"/>
                <w:vAlign w:val="center"/>
              </w:tcPr>
              <w:p w14:paraId="4165F1C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sdt>
          <w:sdtPr>
            <w:rPr>
              <w:rFonts w:cs="Times New Roman"/>
            </w:rPr>
            <w:tag w:val="_PLD_950e8014be3245d1a45783884c32208d"/>
            <w:id w:val="-1461798879"/>
          </w:sdtPr>
          <w:sdtEndPr>
            <w:rPr>
              <w:rFonts w:cs="Times New Roman"/>
            </w:rPr>
          </w:sdtEndPr>
          <w:sdtContent>
            <w:tc>
              <w:tcPr>
                <w:tcW w:w="959" w:type="pct"/>
                <w:vAlign w:val="center"/>
              </w:tcPr>
              <w:p w14:paraId="37200F6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计提理由</w:t>
                </w:r>
              </w:p>
            </w:tc>
          </w:sdtContent>
        </w:sdt>
      </w:tr>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631753940"/>
          <w:placeholder>
            <w:docPart w:val="{a301e795-e998-4deb-8684-a6910ffe556f}"/>
          </w:placeholder>
        </w:sdtPr>
        <w:sdtEndPr>
          <w:rPr>
            <w:rFonts w:cs="Times New Roman"/>
            <w:color w:val="000000" w:themeColor="text1"/>
            <w14:textFill>
              <w14:solidFill>
                <w14:schemeClr w14:val="tx1"/>
              </w14:solidFill>
            </w14:textFill>
          </w:rPr>
        </w:sdtEndPr>
        <w:sdtContent>
          <w:tr w14:paraId="6BF4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6558556D">
                <w:pPr>
                  <w:jc w:val="both"/>
                  <w:rPr>
                    <w:rFonts w:cs="Times New Roman"/>
                  </w:rPr>
                </w:pPr>
                <w:r>
                  <w:rPr>
                    <w:rFonts w:cs="Times New Roman"/>
                  </w:rPr>
                  <w:t>湖南启明鞋业有限公司</w:t>
                </w:r>
              </w:p>
            </w:tc>
            <w:tc>
              <w:tcPr>
                <w:tcW w:w="921" w:type="pct"/>
                <w:vAlign w:val="center"/>
              </w:tcPr>
              <w:p w14:paraId="55F4FBAC">
                <w:pPr>
                  <w:jc w:val="right"/>
                  <w:rPr>
                    <w:rFonts w:cs="Times New Roman"/>
                  </w:rPr>
                </w:pPr>
                <w:r>
                  <w:rPr>
                    <w:rFonts w:cs="Times New Roman"/>
                  </w:rPr>
                  <w:t>40,030,029.66</w:t>
                </w:r>
              </w:p>
            </w:tc>
            <w:tc>
              <w:tcPr>
                <w:tcW w:w="905" w:type="pct"/>
                <w:vAlign w:val="center"/>
              </w:tcPr>
              <w:p w14:paraId="231952B9">
                <w:pPr>
                  <w:jc w:val="right"/>
                  <w:rPr>
                    <w:rFonts w:cs="Times New Roman"/>
                  </w:rPr>
                </w:pPr>
                <w:r>
                  <w:rPr>
                    <w:rFonts w:cs="Times New Roman"/>
                  </w:rPr>
                  <w:t>40,030,029.66</w:t>
                </w:r>
              </w:p>
            </w:tc>
            <w:tc>
              <w:tcPr>
                <w:tcW w:w="531" w:type="pct"/>
                <w:vAlign w:val="center"/>
              </w:tcPr>
              <w:p w14:paraId="73CB34D0">
                <w:pPr>
                  <w:jc w:val="right"/>
                  <w:rPr>
                    <w:rFonts w:cs="Times New Roman"/>
                  </w:rPr>
                </w:pPr>
                <w:r>
                  <w:rPr>
                    <w:rFonts w:hint="eastAsia" w:cs="Times New Roman"/>
                  </w:rPr>
                  <w:t>100.00</w:t>
                </w:r>
              </w:p>
            </w:tc>
            <w:tc>
              <w:tcPr>
                <w:tcW w:w="959" w:type="pct"/>
                <w:vAlign w:val="center"/>
              </w:tcPr>
              <w:p w14:paraId="0BFC56E2">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971794025"/>
          <w:placeholder>
            <w:docPart w:val="{a301e795-e998-4deb-8684-a6910ffe556f}"/>
          </w:placeholder>
        </w:sdtPr>
        <w:sdtEndPr>
          <w:rPr>
            <w:rFonts w:cs="Times New Roman"/>
            <w:color w:val="000000" w:themeColor="text1"/>
            <w14:textFill>
              <w14:solidFill>
                <w14:schemeClr w14:val="tx1"/>
              </w14:solidFill>
            </w14:textFill>
          </w:rPr>
        </w:sdtEndPr>
        <w:sdtContent>
          <w:tr w14:paraId="15E3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3B71383E">
                <w:pPr>
                  <w:jc w:val="both"/>
                  <w:rPr>
                    <w:rFonts w:cs="Times New Roman"/>
                  </w:rPr>
                </w:pPr>
                <w:r>
                  <w:rPr>
                    <w:rFonts w:cs="Times New Roman"/>
                  </w:rPr>
                  <w:t>恩施山寨皮革有限公司</w:t>
                </w:r>
              </w:p>
            </w:tc>
            <w:tc>
              <w:tcPr>
                <w:tcW w:w="921" w:type="pct"/>
                <w:vAlign w:val="center"/>
              </w:tcPr>
              <w:p w14:paraId="1FE5597E">
                <w:pPr>
                  <w:jc w:val="right"/>
                  <w:rPr>
                    <w:rFonts w:cs="Times New Roman"/>
                  </w:rPr>
                </w:pPr>
                <w:r>
                  <w:rPr>
                    <w:rFonts w:cs="Times New Roman"/>
                  </w:rPr>
                  <w:t>34,920,943.50</w:t>
                </w:r>
              </w:p>
            </w:tc>
            <w:tc>
              <w:tcPr>
                <w:tcW w:w="905" w:type="pct"/>
                <w:vAlign w:val="center"/>
              </w:tcPr>
              <w:p w14:paraId="4C7DE1DF">
                <w:pPr>
                  <w:jc w:val="right"/>
                  <w:rPr>
                    <w:rFonts w:cs="Times New Roman"/>
                  </w:rPr>
                </w:pPr>
                <w:r>
                  <w:rPr>
                    <w:rFonts w:cs="Times New Roman"/>
                  </w:rPr>
                  <w:t>34,920,943.50</w:t>
                </w:r>
              </w:p>
            </w:tc>
            <w:tc>
              <w:tcPr>
                <w:tcW w:w="531" w:type="pct"/>
                <w:vAlign w:val="center"/>
              </w:tcPr>
              <w:p w14:paraId="05355293">
                <w:pPr>
                  <w:jc w:val="right"/>
                  <w:rPr>
                    <w:rFonts w:cs="Times New Roman"/>
                  </w:rPr>
                </w:pPr>
                <w:r>
                  <w:rPr>
                    <w:rFonts w:cs="Times New Roman"/>
                  </w:rPr>
                  <w:t>100.00</w:t>
                </w:r>
              </w:p>
            </w:tc>
            <w:tc>
              <w:tcPr>
                <w:tcW w:w="959" w:type="pct"/>
                <w:vAlign w:val="center"/>
              </w:tcPr>
              <w:p w14:paraId="010546E1">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664980512"/>
          <w:placeholder>
            <w:docPart w:val="{a301e795-e998-4deb-8684-a6910ffe556f}"/>
          </w:placeholder>
        </w:sdtPr>
        <w:sdtEndPr>
          <w:rPr>
            <w:rFonts w:cs="Times New Roman"/>
            <w:color w:val="000000" w:themeColor="text1"/>
            <w14:textFill>
              <w14:solidFill>
                <w14:schemeClr w14:val="tx1"/>
              </w14:solidFill>
            </w14:textFill>
          </w:rPr>
        </w:sdtEndPr>
        <w:sdtContent>
          <w:tr w14:paraId="5BDD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10D7C355">
                <w:pPr>
                  <w:jc w:val="both"/>
                  <w:rPr>
                    <w:rFonts w:cs="Times New Roman"/>
                  </w:rPr>
                </w:pPr>
                <w:r>
                  <w:rPr>
                    <w:rFonts w:cs="Times New Roman"/>
                  </w:rPr>
                  <w:t>福建裕兴纺织原料有限公司</w:t>
                </w:r>
              </w:p>
            </w:tc>
            <w:tc>
              <w:tcPr>
                <w:tcW w:w="921" w:type="pct"/>
                <w:vAlign w:val="center"/>
              </w:tcPr>
              <w:p w14:paraId="58B7F2A4">
                <w:pPr>
                  <w:jc w:val="right"/>
                  <w:rPr>
                    <w:rFonts w:cs="Times New Roman"/>
                  </w:rPr>
                </w:pPr>
                <w:r>
                  <w:rPr>
                    <w:rFonts w:cs="Times New Roman"/>
                  </w:rPr>
                  <w:t>24,668,987.46</w:t>
                </w:r>
              </w:p>
            </w:tc>
            <w:tc>
              <w:tcPr>
                <w:tcW w:w="905" w:type="pct"/>
                <w:vAlign w:val="center"/>
              </w:tcPr>
              <w:p w14:paraId="4F79DA9C">
                <w:pPr>
                  <w:jc w:val="right"/>
                  <w:rPr>
                    <w:rFonts w:cs="Times New Roman"/>
                  </w:rPr>
                </w:pPr>
                <w:r>
                  <w:rPr>
                    <w:rFonts w:cs="Times New Roman"/>
                  </w:rPr>
                  <w:t>24,668,987.46</w:t>
                </w:r>
              </w:p>
            </w:tc>
            <w:tc>
              <w:tcPr>
                <w:tcW w:w="531" w:type="pct"/>
                <w:vAlign w:val="center"/>
              </w:tcPr>
              <w:p w14:paraId="7FAC0543">
                <w:pPr>
                  <w:jc w:val="right"/>
                  <w:rPr>
                    <w:rFonts w:cs="Times New Roman"/>
                  </w:rPr>
                </w:pPr>
                <w:r>
                  <w:rPr>
                    <w:rFonts w:cs="Times New Roman"/>
                  </w:rPr>
                  <w:t>100.00</w:t>
                </w:r>
              </w:p>
            </w:tc>
            <w:tc>
              <w:tcPr>
                <w:tcW w:w="959" w:type="pct"/>
                <w:vAlign w:val="center"/>
              </w:tcPr>
              <w:p w14:paraId="7A39336E">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1552504642"/>
          <w:placeholder>
            <w:docPart w:val="{a301e795-e998-4deb-8684-a6910ffe556f}"/>
          </w:placeholder>
        </w:sdtPr>
        <w:sdtEndPr>
          <w:rPr>
            <w:rFonts w:cs="Times New Roman"/>
            <w:color w:val="000000" w:themeColor="text1"/>
            <w14:textFill>
              <w14:solidFill>
                <w14:schemeClr w14:val="tx1"/>
              </w14:solidFill>
            </w14:textFill>
          </w:rPr>
        </w:sdtEndPr>
        <w:sdtContent>
          <w:tr w14:paraId="2CC8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4CE019F4">
                <w:pPr>
                  <w:jc w:val="both"/>
                  <w:rPr>
                    <w:rFonts w:cs="Times New Roman"/>
                  </w:rPr>
                </w:pPr>
                <w:r>
                  <w:rPr>
                    <w:rFonts w:cs="Times New Roman"/>
                  </w:rPr>
                  <w:t>湖北炳彰科技有限公司</w:t>
                </w:r>
              </w:p>
            </w:tc>
            <w:tc>
              <w:tcPr>
                <w:tcW w:w="921" w:type="pct"/>
                <w:vAlign w:val="center"/>
              </w:tcPr>
              <w:p w14:paraId="3309FBD3">
                <w:pPr>
                  <w:jc w:val="right"/>
                  <w:rPr>
                    <w:rFonts w:cs="Times New Roman"/>
                  </w:rPr>
                </w:pPr>
                <w:r>
                  <w:rPr>
                    <w:rFonts w:cs="Times New Roman"/>
                  </w:rPr>
                  <w:t>22,551,283.04</w:t>
                </w:r>
              </w:p>
            </w:tc>
            <w:tc>
              <w:tcPr>
                <w:tcW w:w="905" w:type="pct"/>
                <w:vAlign w:val="center"/>
              </w:tcPr>
              <w:p w14:paraId="415BEBDE">
                <w:pPr>
                  <w:jc w:val="right"/>
                  <w:rPr>
                    <w:rFonts w:cs="Times New Roman"/>
                  </w:rPr>
                </w:pPr>
                <w:r>
                  <w:rPr>
                    <w:rFonts w:cs="Times New Roman"/>
                  </w:rPr>
                  <w:t>11,580,999.04</w:t>
                </w:r>
              </w:p>
            </w:tc>
            <w:tc>
              <w:tcPr>
                <w:tcW w:w="531" w:type="pct"/>
                <w:vAlign w:val="center"/>
              </w:tcPr>
              <w:p w14:paraId="4E9D99F0">
                <w:pPr>
                  <w:jc w:val="right"/>
                  <w:rPr>
                    <w:rFonts w:cs="Times New Roman"/>
                  </w:rPr>
                </w:pPr>
                <w:r>
                  <w:rPr>
                    <w:rFonts w:cs="Times New Roman"/>
                  </w:rPr>
                  <w:t>51.35</w:t>
                </w:r>
              </w:p>
            </w:tc>
            <w:tc>
              <w:tcPr>
                <w:tcW w:w="959" w:type="pct"/>
                <w:vAlign w:val="center"/>
              </w:tcPr>
              <w:p w14:paraId="41541F3F">
                <w:pPr>
                  <w:rPr>
                    <w:rFonts w:cs="Times New Roman"/>
                  </w:rPr>
                </w:pPr>
                <w:r>
                  <w:rPr>
                    <w:rFonts w:cs="Times New Roman"/>
                  </w:rPr>
                  <w:t>抵押资产现值不能完全覆盖账面价值</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835456006"/>
          <w:placeholder>
            <w:docPart w:val="{a301e795-e998-4deb-8684-a6910ffe556f}"/>
          </w:placeholder>
        </w:sdtPr>
        <w:sdtEndPr>
          <w:rPr>
            <w:rFonts w:cs="Times New Roman"/>
            <w:color w:val="000000" w:themeColor="text1"/>
            <w14:textFill>
              <w14:solidFill>
                <w14:schemeClr w14:val="tx1"/>
              </w14:solidFill>
            </w14:textFill>
          </w:rPr>
        </w:sdtEndPr>
        <w:sdtContent>
          <w:tr w14:paraId="322D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5F3D78CF">
                <w:pPr>
                  <w:jc w:val="both"/>
                  <w:rPr>
                    <w:rFonts w:cs="Times New Roman"/>
                  </w:rPr>
                </w:pPr>
                <w:r>
                  <w:rPr>
                    <w:rFonts w:cs="Times New Roman"/>
                  </w:rPr>
                  <w:t>肃宁卓尔纺织制品有限公司</w:t>
                </w:r>
              </w:p>
            </w:tc>
            <w:tc>
              <w:tcPr>
                <w:tcW w:w="921" w:type="pct"/>
                <w:vAlign w:val="center"/>
              </w:tcPr>
              <w:p w14:paraId="57F81EEE">
                <w:pPr>
                  <w:jc w:val="right"/>
                  <w:rPr>
                    <w:rFonts w:cs="Times New Roman"/>
                  </w:rPr>
                </w:pPr>
                <w:r>
                  <w:rPr>
                    <w:rFonts w:cs="Times New Roman"/>
                  </w:rPr>
                  <w:t>20,111,937.62</w:t>
                </w:r>
              </w:p>
            </w:tc>
            <w:tc>
              <w:tcPr>
                <w:tcW w:w="905" w:type="pct"/>
                <w:vAlign w:val="center"/>
              </w:tcPr>
              <w:p w14:paraId="72EF1F8E">
                <w:pPr>
                  <w:jc w:val="right"/>
                  <w:rPr>
                    <w:rFonts w:cs="Times New Roman"/>
                  </w:rPr>
                </w:pPr>
                <w:r>
                  <w:rPr>
                    <w:rFonts w:cs="Times New Roman"/>
                  </w:rPr>
                  <w:t>20,111,937.62</w:t>
                </w:r>
              </w:p>
            </w:tc>
            <w:tc>
              <w:tcPr>
                <w:tcW w:w="531" w:type="pct"/>
                <w:vAlign w:val="center"/>
              </w:tcPr>
              <w:p w14:paraId="4D32A643">
                <w:pPr>
                  <w:jc w:val="right"/>
                  <w:rPr>
                    <w:rFonts w:cs="Times New Roman"/>
                  </w:rPr>
                </w:pPr>
                <w:r>
                  <w:rPr>
                    <w:rFonts w:cs="Times New Roman"/>
                  </w:rPr>
                  <w:t>100.00</w:t>
                </w:r>
              </w:p>
            </w:tc>
            <w:tc>
              <w:tcPr>
                <w:tcW w:w="959" w:type="pct"/>
                <w:vAlign w:val="center"/>
              </w:tcPr>
              <w:p w14:paraId="4EFF6F18">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807594458"/>
          <w:placeholder>
            <w:docPart w:val="{a301e795-e998-4deb-8684-a6910ffe556f}"/>
          </w:placeholder>
        </w:sdtPr>
        <w:sdtEndPr>
          <w:rPr>
            <w:rFonts w:cs="Times New Roman"/>
            <w:color w:val="000000" w:themeColor="text1"/>
            <w14:textFill>
              <w14:solidFill>
                <w14:schemeClr w14:val="tx1"/>
              </w14:solidFill>
            </w14:textFill>
          </w:rPr>
        </w:sdtEndPr>
        <w:sdtContent>
          <w:tr w14:paraId="66C8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7784C950">
                <w:pPr>
                  <w:jc w:val="both"/>
                  <w:rPr>
                    <w:rFonts w:cs="Times New Roman"/>
                  </w:rPr>
                </w:pPr>
                <w:r>
                  <w:rPr>
                    <w:rFonts w:cs="Times New Roman"/>
                  </w:rPr>
                  <w:t>际华（芜湖）农业科技发展有限责任公司</w:t>
                </w:r>
              </w:p>
            </w:tc>
            <w:tc>
              <w:tcPr>
                <w:tcW w:w="921" w:type="pct"/>
                <w:vAlign w:val="center"/>
              </w:tcPr>
              <w:p w14:paraId="656E645C">
                <w:pPr>
                  <w:jc w:val="right"/>
                  <w:rPr>
                    <w:rFonts w:cs="Times New Roman"/>
                  </w:rPr>
                </w:pPr>
                <w:r>
                  <w:rPr>
                    <w:rFonts w:cs="Times New Roman"/>
                  </w:rPr>
                  <w:t>11,528,801.00</w:t>
                </w:r>
              </w:p>
            </w:tc>
            <w:tc>
              <w:tcPr>
                <w:tcW w:w="905" w:type="pct"/>
                <w:vAlign w:val="center"/>
              </w:tcPr>
              <w:p w14:paraId="00932C65">
                <w:pPr>
                  <w:jc w:val="right"/>
                  <w:rPr>
                    <w:rFonts w:cs="Times New Roman"/>
                  </w:rPr>
                </w:pPr>
                <w:r>
                  <w:rPr>
                    <w:rFonts w:cs="Times New Roman"/>
                  </w:rPr>
                  <w:t>11,528,801.00</w:t>
                </w:r>
              </w:p>
            </w:tc>
            <w:tc>
              <w:tcPr>
                <w:tcW w:w="531" w:type="pct"/>
                <w:vAlign w:val="center"/>
              </w:tcPr>
              <w:p w14:paraId="5A9E5382">
                <w:pPr>
                  <w:jc w:val="right"/>
                  <w:rPr>
                    <w:rFonts w:cs="Times New Roman"/>
                  </w:rPr>
                </w:pPr>
                <w:r>
                  <w:rPr>
                    <w:rFonts w:cs="Times New Roman"/>
                  </w:rPr>
                  <w:t>100.00</w:t>
                </w:r>
              </w:p>
            </w:tc>
            <w:tc>
              <w:tcPr>
                <w:tcW w:w="959" w:type="pct"/>
                <w:vAlign w:val="center"/>
              </w:tcPr>
              <w:p w14:paraId="330084A7">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1056323047"/>
          <w:placeholder>
            <w:docPart w:val="{a301e795-e998-4deb-8684-a6910ffe556f}"/>
          </w:placeholder>
        </w:sdtPr>
        <w:sdtEndPr>
          <w:rPr>
            <w:rFonts w:cs="Times New Roman"/>
            <w:color w:val="000000" w:themeColor="text1"/>
            <w14:textFill>
              <w14:solidFill>
                <w14:schemeClr w14:val="tx1"/>
              </w14:solidFill>
            </w14:textFill>
          </w:rPr>
        </w:sdtEndPr>
        <w:sdtContent>
          <w:tr w14:paraId="7F01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422C2437">
                <w:pPr>
                  <w:jc w:val="both"/>
                  <w:rPr>
                    <w:rFonts w:cs="Times New Roman"/>
                  </w:rPr>
                </w:pPr>
                <w:r>
                  <w:rPr>
                    <w:rFonts w:cs="Times New Roman"/>
                  </w:rPr>
                  <w:t>江苏久德能源有限公司</w:t>
                </w:r>
              </w:p>
            </w:tc>
            <w:tc>
              <w:tcPr>
                <w:tcW w:w="921" w:type="pct"/>
                <w:vAlign w:val="center"/>
              </w:tcPr>
              <w:p w14:paraId="22F0B1C7">
                <w:pPr>
                  <w:jc w:val="right"/>
                  <w:rPr>
                    <w:rFonts w:cs="Times New Roman"/>
                  </w:rPr>
                </w:pPr>
                <w:r>
                  <w:rPr>
                    <w:rFonts w:cs="Times New Roman"/>
                  </w:rPr>
                  <w:t>7,711,980.50</w:t>
                </w:r>
              </w:p>
            </w:tc>
            <w:tc>
              <w:tcPr>
                <w:tcW w:w="905" w:type="pct"/>
                <w:vAlign w:val="center"/>
              </w:tcPr>
              <w:p w14:paraId="22C5D64C">
                <w:pPr>
                  <w:jc w:val="right"/>
                  <w:rPr>
                    <w:rFonts w:cs="Times New Roman"/>
                  </w:rPr>
                </w:pPr>
                <w:r>
                  <w:rPr>
                    <w:rFonts w:cs="Times New Roman"/>
                  </w:rPr>
                  <w:t>7,711,980.50</w:t>
                </w:r>
              </w:p>
            </w:tc>
            <w:tc>
              <w:tcPr>
                <w:tcW w:w="531" w:type="pct"/>
                <w:vAlign w:val="center"/>
              </w:tcPr>
              <w:p w14:paraId="7F96FA1A">
                <w:pPr>
                  <w:jc w:val="right"/>
                  <w:rPr>
                    <w:rFonts w:cs="Times New Roman"/>
                  </w:rPr>
                </w:pPr>
                <w:r>
                  <w:rPr>
                    <w:rFonts w:cs="Times New Roman"/>
                  </w:rPr>
                  <w:t>100.00</w:t>
                </w:r>
              </w:p>
            </w:tc>
            <w:tc>
              <w:tcPr>
                <w:tcW w:w="959" w:type="pct"/>
                <w:vAlign w:val="center"/>
              </w:tcPr>
              <w:p w14:paraId="12CC8E0D">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1964875917"/>
          <w:placeholder>
            <w:docPart w:val="{a301e795-e998-4deb-8684-a6910ffe556f}"/>
          </w:placeholder>
        </w:sdtPr>
        <w:sdtEndPr>
          <w:rPr>
            <w:rFonts w:cs="Times New Roman"/>
            <w:color w:val="000000" w:themeColor="text1"/>
            <w14:textFill>
              <w14:solidFill>
                <w14:schemeClr w14:val="tx1"/>
              </w14:solidFill>
            </w14:textFill>
          </w:rPr>
        </w:sdtEndPr>
        <w:sdtContent>
          <w:tr w14:paraId="669D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08A9AB36">
                <w:pPr>
                  <w:jc w:val="both"/>
                  <w:rPr>
                    <w:rFonts w:cs="Times New Roman"/>
                  </w:rPr>
                </w:pPr>
                <w:r>
                  <w:rPr>
                    <w:rFonts w:cs="Times New Roman"/>
                  </w:rPr>
                  <w:t>秦皇岛睿港煤炭物流有限公司</w:t>
                </w:r>
              </w:p>
            </w:tc>
            <w:tc>
              <w:tcPr>
                <w:tcW w:w="921" w:type="pct"/>
                <w:vAlign w:val="center"/>
              </w:tcPr>
              <w:p w14:paraId="0E9D0889">
                <w:pPr>
                  <w:jc w:val="right"/>
                  <w:rPr>
                    <w:rFonts w:cs="Times New Roman"/>
                  </w:rPr>
                </w:pPr>
                <w:r>
                  <w:rPr>
                    <w:rFonts w:cs="Times New Roman"/>
                  </w:rPr>
                  <w:t>7,020,200.00</w:t>
                </w:r>
              </w:p>
            </w:tc>
            <w:tc>
              <w:tcPr>
                <w:tcW w:w="905" w:type="pct"/>
                <w:vAlign w:val="center"/>
              </w:tcPr>
              <w:p w14:paraId="03645559">
                <w:pPr>
                  <w:jc w:val="right"/>
                  <w:rPr>
                    <w:rFonts w:cs="Times New Roman"/>
                  </w:rPr>
                </w:pPr>
                <w:r>
                  <w:rPr>
                    <w:rFonts w:cs="Times New Roman"/>
                  </w:rPr>
                  <w:t>7,020,200.00</w:t>
                </w:r>
              </w:p>
            </w:tc>
            <w:tc>
              <w:tcPr>
                <w:tcW w:w="531" w:type="pct"/>
                <w:vAlign w:val="center"/>
              </w:tcPr>
              <w:p w14:paraId="430812E6">
                <w:pPr>
                  <w:jc w:val="right"/>
                  <w:rPr>
                    <w:rFonts w:cs="Times New Roman"/>
                  </w:rPr>
                </w:pPr>
                <w:r>
                  <w:rPr>
                    <w:rFonts w:cs="Times New Roman"/>
                  </w:rPr>
                  <w:t>100.00</w:t>
                </w:r>
              </w:p>
            </w:tc>
            <w:tc>
              <w:tcPr>
                <w:tcW w:w="959" w:type="pct"/>
                <w:vAlign w:val="center"/>
              </w:tcPr>
              <w:p w14:paraId="4114BF8B">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503259033"/>
          <w:placeholder>
            <w:docPart w:val="{a301e795-e998-4deb-8684-a6910ffe556f}"/>
          </w:placeholder>
        </w:sdtPr>
        <w:sdtEndPr>
          <w:rPr>
            <w:rFonts w:cs="Times New Roman"/>
            <w:color w:val="000000" w:themeColor="text1"/>
            <w14:textFill>
              <w14:solidFill>
                <w14:schemeClr w14:val="tx1"/>
              </w14:solidFill>
            </w14:textFill>
          </w:rPr>
        </w:sdtEndPr>
        <w:sdtContent>
          <w:tr w14:paraId="06A0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12E5B6C5">
                <w:pPr>
                  <w:jc w:val="both"/>
                  <w:rPr>
                    <w:rFonts w:cs="Times New Roman"/>
                  </w:rPr>
                </w:pPr>
                <w:r>
                  <w:rPr>
                    <w:rFonts w:cs="Times New Roman"/>
                  </w:rPr>
                  <w:t>山东中泰金属板材有限公司</w:t>
                </w:r>
              </w:p>
            </w:tc>
            <w:tc>
              <w:tcPr>
                <w:tcW w:w="921" w:type="pct"/>
                <w:vAlign w:val="center"/>
              </w:tcPr>
              <w:p w14:paraId="03C2B0A3">
                <w:pPr>
                  <w:jc w:val="right"/>
                  <w:rPr>
                    <w:rFonts w:cs="Times New Roman"/>
                  </w:rPr>
                </w:pPr>
                <w:r>
                  <w:rPr>
                    <w:rFonts w:cs="Times New Roman"/>
                  </w:rPr>
                  <w:t>6,797,050.86</w:t>
                </w:r>
              </w:p>
            </w:tc>
            <w:tc>
              <w:tcPr>
                <w:tcW w:w="905" w:type="pct"/>
                <w:vAlign w:val="center"/>
              </w:tcPr>
              <w:p w14:paraId="2B8DD97C">
                <w:pPr>
                  <w:jc w:val="right"/>
                  <w:rPr>
                    <w:rFonts w:cs="Times New Roman"/>
                  </w:rPr>
                </w:pPr>
                <w:r>
                  <w:rPr>
                    <w:rFonts w:cs="Times New Roman"/>
                  </w:rPr>
                  <w:t>6,797,050.86</w:t>
                </w:r>
              </w:p>
            </w:tc>
            <w:tc>
              <w:tcPr>
                <w:tcW w:w="531" w:type="pct"/>
                <w:vAlign w:val="center"/>
              </w:tcPr>
              <w:p w14:paraId="6476DF53">
                <w:pPr>
                  <w:jc w:val="right"/>
                  <w:rPr>
                    <w:rFonts w:cs="Times New Roman"/>
                  </w:rPr>
                </w:pPr>
                <w:r>
                  <w:rPr>
                    <w:rFonts w:cs="Times New Roman"/>
                  </w:rPr>
                  <w:t>100.00</w:t>
                </w:r>
              </w:p>
            </w:tc>
            <w:tc>
              <w:tcPr>
                <w:tcW w:w="959" w:type="pct"/>
                <w:vAlign w:val="center"/>
              </w:tcPr>
              <w:p w14:paraId="549925AD">
                <w:pPr>
                  <w:rPr>
                    <w:rFonts w:cs="Times New Roman"/>
                  </w:rPr>
                </w:pPr>
                <w:r>
                  <w:rPr>
                    <w:rFonts w:cs="Times New Roman"/>
                  </w:rPr>
                  <w:t>预计无法收回</w:t>
                </w:r>
              </w:p>
            </w:tc>
          </w:tr>
        </w:sdtContent>
      </w:sdt>
      <w:sdt>
        <w:sdtPr>
          <w:rPr>
            <w:rFonts w:cs="Times New Roman"/>
            <w:color w:val="000000" w:themeColor="text1"/>
            <w14:textFill>
              <w14:solidFill>
                <w14:schemeClr w14:val="tx1"/>
              </w14:solidFill>
            </w14:textFill>
          </w:rPr>
          <w:alias w:val="按单项计提坏账准备的应收账款详细名称明细"/>
          <w:tag w:val="_TUP_669c106056fb4de3b5f357a932630dad"/>
          <w:id w:val="1893768675"/>
          <w:placeholder>
            <w:docPart w:val="{a301e795-e998-4deb-8684-a6910ffe556f}"/>
          </w:placeholder>
        </w:sdtPr>
        <w:sdtEndPr>
          <w:rPr>
            <w:rFonts w:cs="Times New Roman"/>
            <w:color w:val="000000" w:themeColor="text1"/>
            <w14:textFill>
              <w14:solidFill>
                <w14:schemeClr w14:val="tx1"/>
              </w14:solidFill>
            </w14:textFill>
          </w:rPr>
        </w:sdtEndPr>
        <w:sdtContent>
          <w:tr w14:paraId="54D1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pct"/>
                <w:vAlign w:val="center"/>
              </w:tcPr>
              <w:p w14:paraId="5BAED960">
                <w:pPr>
                  <w:jc w:val="both"/>
                  <w:rPr>
                    <w:rFonts w:cs="Times New Roman"/>
                  </w:rPr>
                </w:pPr>
                <w:r>
                  <w:rPr>
                    <w:rFonts w:cs="Times New Roman"/>
                  </w:rPr>
                  <w:t>其他</w:t>
                </w:r>
              </w:p>
            </w:tc>
            <w:tc>
              <w:tcPr>
                <w:tcW w:w="921" w:type="pct"/>
                <w:vAlign w:val="center"/>
              </w:tcPr>
              <w:p w14:paraId="7852DEFF">
                <w:pPr>
                  <w:jc w:val="right"/>
                  <w:rPr>
                    <w:rFonts w:cs="Times New Roman"/>
                  </w:rPr>
                </w:pPr>
                <w:r>
                  <w:rPr>
                    <w:rFonts w:cs="Times New Roman"/>
                  </w:rPr>
                  <w:t>40,388,478.12</w:t>
                </w:r>
              </w:p>
            </w:tc>
            <w:tc>
              <w:tcPr>
                <w:tcW w:w="905" w:type="pct"/>
                <w:vAlign w:val="center"/>
              </w:tcPr>
              <w:p w14:paraId="79553368">
                <w:pPr>
                  <w:jc w:val="right"/>
                  <w:rPr>
                    <w:rFonts w:cs="Times New Roman"/>
                  </w:rPr>
                </w:pPr>
                <w:r>
                  <w:rPr>
                    <w:rFonts w:cs="Times New Roman"/>
                  </w:rPr>
                  <w:t>40,388,478.12</w:t>
                </w:r>
              </w:p>
            </w:tc>
            <w:tc>
              <w:tcPr>
                <w:tcW w:w="531" w:type="pct"/>
                <w:vAlign w:val="center"/>
              </w:tcPr>
              <w:p w14:paraId="6E89063D">
                <w:pPr>
                  <w:jc w:val="right"/>
                  <w:rPr>
                    <w:rFonts w:cs="Times New Roman"/>
                  </w:rPr>
                </w:pPr>
                <w:r>
                  <w:rPr>
                    <w:rFonts w:cs="Times New Roman"/>
                  </w:rPr>
                  <w:t>100.00</w:t>
                </w:r>
              </w:p>
            </w:tc>
            <w:tc>
              <w:tcPr>
                <w:tcW w:w="959" w:type="pct"/>
                <w:vAlign w:val="center"/>
              </w:tcPr>
              <w:p w14:paraId="2EFF223A">
                <w:pPr>
                  <w:rPr>
                    <w:rFonts w:cs="Times New Roman"/>
                  </w:rPr>
                </w:pPr>
                <w:r>
                  <w:rPr>
                    <w:rFonts w:cs="Times New Roman"/>
                  </w:rPr>
                  <w:t>预计无法收回</w:t>
                </w:r>
              </w:p>
            </w:tc>
          </w:tr>
        </w:sdtContent>
      </w:sdt>
      <w:tr w14:paraId="4588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9ee856e0edf24e449ccd22d8f0f07348"/>
            <w:id w:val="1536313845"/>
          </w:sdtPr>
          <w:sdtEndPr>
            <w:rPr>
              <w:rFonts w:cs="Times New Roman"/>
            </w:rPr>
          </w:sdtEndPr>
          <w:sdtContent>
            <w:tc>
              <w:tcPr>
                <w:tcW w:w="1681" w:type="pct"/>
                <w:vAlign w:val="center"/>
              </w:tcPr>
              <w:p w14:paraId="7644655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921" w:type="pct"/>
            <w:vAlign w:val="center"/>
          </w:tcPr>
          <w:p w14:paraId="00556D4F">
            <w:pPr>
              <w:jc w:val="right"/>
              <w:rPr>
                <w:rFonts w:cs="Times New Roman"/>
              </w:rPr>
            </w:pPr>
            <w:r>
              <w:rPr>
                <w:rFonts w:cs="Times New Roman"/>
              </w:rPr>
              <w:t>215,729,691.76</w:t>
            </w:r>
          </w:p>
        </w:tc>
        <w:tc>
          <w:tcPr>
            <w:tcW w:w="905" w:type="pct"/>
            <w:vAlign w:val="center"/>
          </w:tcPr>
          <w:p w14:paraId="32BCC00F">
            <w:pPr>
              <w:jc w:val="right"/>
              <w:rPr>
                <w:rFonts w:cs="Times New Roman"/>
              </w:rPr>
            </w:pPr>
            <w:r>
              <w:rPr>
                <w:rFonts w:cs="Times New Roman"/>
              </w:rPr>
              <w:t>204,759,407.76</w:t>
            </w:r>
          </w:p>
        </w:tc>
        <w:tc>
          <w:tcPr>
            <w:tcW w:w="531" w:type="pct"/>
            <w:vAlign w:val="center"/>
          </w:tcPr>
          <w:p w14:paraId="79E4B5FE">
            <w:pPr>
              <w:jc w:val="right"/>
              <w:rPr>
                <w:rFonts w:cs="Times New Roman"/>
              </w:rPr>
            </w:pPr>
            <w:r>
              <w:rPr>
                <w:rFonts w:cs="Times New Roman"/>
              </w:rPr>
              <w:t>94.91</w:t>
            </w:r>
          </w:p>
        </w:tc>
        <w:tc>
          <w:tcPr>
            <w:tcW w:w="959" w:type="pct"/>
            <w:vAlign w:val="center"/>
          </w:tcPr>
          <w:p w14:paraId="71A9B5D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0DC944AB">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应收账款说明[双击切换]"/>
        <w:tag w:val="_GBC_5058bdcf98524a1ba98e4618d094237d"/>
        <w:id w:val="-1657838953"/>
      </w:sdtPr>
      <w:sdtEndPr>
        <w:rPr>
          <w:color w:val="000000" w:themeColor="text1"/>
          <w14:textFill>
            <w14:solidFill>
              <w14:schemeClr w14:val="tx1"/>
            </w14:solidFill>
          </w14:textFill>
        </w:rPr>
      </w:sdtEndPr>
      <w:sdtContent>
        <w:p w14:paraId="184E79D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0FAD356">
      <w:pPr>
        <w:rPr>
          <w:color w:val="000000" w:themeColor="text1"/>
          <w14:textFill>
            <w14:solidFill>
              <w14:schemeClr w14:val="tx1"/>
            </w14:solidFill>
          </w14:textFill>
        </w:rPr>
      </w:pPr>
    </w:p>
    <w:p w14:paraId="0EF70A8C">
      <w:pPr>
        <w:rPr>
          <w:color w:val="000000" w:themeColor="text1"/>
          <w14:textFill>
            <w14:solidFill>
              <w14:schemeClr w14:val="tx1"/>
            </w14:solidFill>
          </w14:textFill>
        </w:rPr>
      </w:pPr>
    </w:p>
    <w:bookmarkEnd w:id="208"/>
    <w:p w14:paraId="6F9638BE">
      <w:pPr>
        <w:rPr>
          <w:color w:val="000000" w:themeColor="text1"/>
          <w14:textFill>
            <w14:solidFill>
              <w14:schemeClr w14:val="tx1"/>
            </w14:solidFill>
          </w14:textFill>
        </w:rPr>
      </w:pPr>
      <w:bookmarkStart w:id="209" w:name="_Hlk10467225"/>
      <w:r>
        <w:rPr>
          <w:rFonts w:hint="eastAsia"/>
          <w:color w:val="000000" w:themeColor="text1"/>
          <w14:textFill>
            <w14:solidFill>
              <w14:schemeClr w14:val="tx1"/>
            </w14:solidFill>
          </w14:textFill>
        </w:rPr>
        <w:t>按组合计提坏账准备：</w:t>
      </w:r>
    </w:p>
    <w:sdt>
      <w:sdtPr>
        <w:rPr>
          <w:rFonts w:hint="eastAsia"/>
          <w:color w:val="000000" w:themeColor="text1"/>
          <w14:textFill>
            <w14:solidFill>
              <w14:schemeClr w14:val="tx1"/>
            </w14:solidFill>
          </w14:textFill>
        </w:rPr>
        <w:alias w:val="是否适用：按组合计提坏账准备的应收账款详细情况[双击切换]"/>
        <w:tag w:val="_GBC_47a07baa9a4f4c5ea6de193ae7b87e74"/>
        <w:id w:val="147482318"/>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14:paraId="11835BC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D2509EE">
      <w:pPr>
        <w:rPr>
          <w:color w:val="000000" w:themeColor="text1"/>
          <w14:textFill>
            <w14:solidFill>
              <w14:schemeClr w14:val="tx1"/>
            </w14:solidFill>
          </w14:textFill>
        </w:rPr>
      </w:pPr>
      <w:bookmarkStart w:id="210" w:name="_Hlk533607573"/>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fec033684b6e412cabcd0e0ea1c6cb96"/>
          <w:id w:val="-1691368409"/>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组合1军方、警方、政府职能部门等高信用水平单位应收账款组合</w:t>
          </w:r>
        </w:sdtContent>
      </w:sdt>
    </w:p>
    <w:p w14:paraId="1BCEFF7D">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账款详细情况"/>
          <w:tag w:val="_GBC_ccac8c131a6748e699800a5f25e5efcf"/>
          <w:id w:val="-2135619431"/>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账款详细情况"/>
          <w:tag w:val="_GBC_f0296899749441bf8c33f5882df60a71"/>
          <w:id w:val="76472751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309"/>
        <w:gridCol w:w="2351"/>
        <w:gridCol w:w="2293"/>
      </w:tblGrid>
      <w:tr w14:paraId="67EC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31ca2a43a5247699c45fd6309aee7fd"/>
            <w:id w:val="1862924816"/>
          </w:sdtPr>
          <w:sdtEndPr>
            <w:rPr>
              <w:rFonts w:cs="Times New Roman"/>
            </w:rPr>
          </w:sdtEndPr>
          <w:sdtContent>
            <w:tc>
              <w:tcPr>
                <w:tcW w:w="1158" w:type="pct"/>
                <w:vMerge w:val="restart"/>
                <w:vAlign w:val="center"/>
              </w:tcPr>
              <w:p w14:paraId="5593851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sdtContent>
        </w:sdt>
        <w:sdt>
          <w:sdtPr>
            <w:rPr>
              <w:rFonts w:cs="Times New Roman"/>
            </w:rPr>
            <w:tag w:val="_PLD_271f4f470bff48e385b1a5d9080fde35"/>
            <w:id w:val="-1207567079"/>
          </w:sdtPr>
          <w:sdtEndPr>
            <w:rPr>
              <w:rFonts w:cs="Times New Roman"/>
            </w:rPr>
          </w:sdtEndPr>
          <w:sdtContent>
            <w:tc>
              <w:tcPr>
                <w:tcW w:w="3842" w:type="pct"/>
                <w:gridSpan w:val="3"/>
                <w:vAlign w:val="center"/>
              </w:tcPr>
              <w:p w14:paraId="37220E4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2FFB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18B620A4">
            <w:pPr>
              <w:jc w:val="center"/>
              <w:rPr>
                <w:rFonts w:cs="Times New Roman"/>
                <w:color w:val="000000" w:themeColor="text1"/>
                <w14:textFill>
                  <w14:solidFill>
                    <w14:schemeClr w14:val="tx1"/>
                  </w14:solidFill>
                </w14:textFill>
              </w:rPr>
            </w:pPr>
          </w:p>
        </w:tc>
        <w:sdt>
          <w:sdtPr>
            <w:rPr>
              <w:rFonts w:cs="Times New Roman"/>
            </w:rPr>
            <w:tag w:val="_PLD_e1c956de9b3b4544a5d0584eaaf6aea2"/>
            <w:id w:val="73563543"/>
          </w:sdtPr>
          <w:sdtEndPr>
            <w:rPr>
              <w:rFonts w:cs="Times New Roman"/>
            </w:rPr>
          </w:sdtEndPr>
          <w:sdtContent>
            <w:tc>
              <w:tcPr>
                <w:tcW w:w="1276" w:type="pct"/>
                <w:vAlign w:val="center"/>
              </w:tcPr>
              <w:p w14:paraId="137FC1B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0098acb8b7f640f29f65a14017e23f02"/>
            <w:id w:val="1944419116"/>
          </w:sdtPr>
          <w:sdtEndPr>
            <w:rPr>
              <w:rFonts w:cs="Times New Roman"/>
            </w:rPr>
          </w:sdtEndPr>
          <w:sdtContent>
            <w:tc>
              <w:tcPr>
                <w:tcW w:w="1299" w:type="pct"/>
                <w:vAlign w:val="center"/>
              </w:tcPr>
              <w:p w14:paraId="4CA66E9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290bbc3bde3c43c487996752ceb95160"/>
            <w:id w:val="-1679882164"/>
          </w:sdtPr>
          <w:sdtEndPr>
            <w:rPr>
              <w:rFonts w:cs="Times New Roman"/>
            </w:rPr>
          </w:sdtEndPr>
          <w:sdtContent>
            <w:tc>
              <w:tcPr>
                <w:tcW w:w="1267" w:type="pct"/>
                <w:vAlign w:val="center"/>
              </w:tcPr>
              <w:p w14:paraId="69493D3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r>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1752883121"/>
          <w:placeholder>
            <w:docPart w:val="{6aa2cdac-137b-457c-b997-7fd91eb72e14}"/>
          </w:placeholder>
        </w:sdtPr>
        <w:sdtEndPr>
          <w:rPr>
            <w:rFonts w:cs="Times New Roman"/>
            <w:color w:val="000000" w:themeColor="text1"/>
            <w14:textFill>
              <w14:solidFill>
                <w14:schemeClr w14:val="tx1"/>
              </w14:solidFill>
            </w14:textFill>
          </w:rPr>
        </w:sdtEndPr>
        <w:sdtContent>
          <w:tr w14:paraId="44F9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95A8114">
                <w:pPr>
                  <w:rPr>
                    <w:rFonts w:cs="Times New Roman"/>
                  </w:rPr>
                </w:pPr>
                <w:r>
                  <w:rPr>
                    <w:rFonts w:cs="Times New Roman"/>
                  </w:rPr>
                  <w:t>1年以内</w:t>
                </w:r>
              </w:p>
            </w:tc>
            <w:tc>
              <w:tcPr>
                <w:tcW w:w="1276" w:type="pct"/>
                <w:vAlign w:val="center"/>
              </w:tcPr>
              <w:p w14:paraId="5713E089">
                <w:pPr>
                  <w:jc w:val="right"/>
                  <w:rPr>
                    <w:rFonts w:cs="Times New Roman"/>
                  </w:rPr>
                </w:pPr>
                <w:r>
                  <w:rPr>
                    <w:rFonts w:cs="Times New Roman"/>
                  </w:rPr>
                  <w:t>1,497,689,301.99</w:t>
                </w:r>
              </w:p>
            </w:tc>
            <w:tc>
              <w:tcPr>
                <w:tcW w:w="1299" w:type="pct"/>
                <w:vAlign w:val="center"/>
              </w:tcPr>
              <w:p w14:paraId="4677F142">
                <w:pPr>
                  <w:jc w:val="right"/>
                  <w:rPr>
                    <w:rFonts w:cs="Times New Roman"/>
                  </w:rPr>
                </w:pPr>
                <w:r>
                  <w:rPr>
                    <w:rFonts w:cs="Times New Roman"/>
                  </w:rPr>
                  <w:t>3,722,906.60</w:t>
                </w:r>
              </w:p>
            </w:tc>
            <w:tc>
              <w:tcPr>
                <w:tcW w:w="1267" w:type="pct"/>
                <w:vAlign w:val="center"/>
              </w:tcPr>
              <w:p w14:paraId="2DEB2434">
                <w:pPr>
                  <w:jc w:val="right"/>
                  <w:rPr>
                    <w:rFonts w:cs="Times New Roman"/>
                  </w:rPr>
                </w:pPr>
                <w:r>
                  <w:rPr>
                    <w:rFonts w:cs="Times New Roman"/>
                  </w:rPr>
                  <w:t>0.25</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743260835"/>
          <w:placeholder>
            <w:docPart w:val="{6aa2cdac-137b-457c-b997-7fd91eb72e14}"/>
          </w:placeholder>
        </w:sdtPr>
        <w:sdtEndPr>
          <w:rPr>
            <w:rFonts w:cs="Times New Roman"/>
            <w:color w:val="000000" w:themeColor="text1"/>
            <w14:textFill>
              <w14:solidFill>
                <w14:schemeClr w14:val="tx1"/>
              </w14:solidFill>
            </w14:textFill>
          </w:rPr>
        </w:sdtEndPr>
        <w:sdtContent>
          <w:tr w14:paraId="2CB6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0644862">
                <w:pPr>
                  <w:rPr>
                    <w:rFonts w:cs="Times New Roman"/>
                  </w:rPr>
                </w:pPr>
                <w:r>
                  <w:rPr>
                    <w:rFonts w:cs="Times New Roman"/>
                  </w:rPr>
                  <w:t>1－2年</w:t>
                </w:r>
              </w:p>
            </w:tc>
            <w:tc>
              <w:tcPr>
                <w:tcW w:w="1276" w:type="pct"/>
                <w:vAlign w:val="center"/>
              </w:tcPr>
              <w:p w14:paraId="38946E3E">
                <w:pPr>
                  <w:jc w:val="right"/>
                  <w:rPr>
                    <w:rFonts w:cs="Times New Roman"/>
                  </w:rPr>
                </w:pPr>
                <w:r>
                  <w:rPr>
                    <w:rFonts w:cs="Times New Roman"/>
                  </w:rPr>
                  <w:t>57,994,689.42</w:t>
                </w:r>
              </w:p>
            </w:tc>
            <w:tc>
              <w:tcPr>
                <w:tcW w:w="1299" w:type="pct"/>
                <w:vAlign w:val="center"/>
              </w:tcPr>
              <w:p w14:paraId="6D8DED96">
                <w:pPr>
                  <w:jc w:val="right"/>
                  <w:rPr>
                    <w:rFonts w:cs="Times New Roman"/>
                  </w:rPr>
                </w:pPr>
                <w:r>
                  <w:rPr>
                    <w:rFonts w:cs="Times New Roman"/>
                  </w:rPr>
                  <w:t>1,727,594.44</w:t>
                </w:r>
              </w:p>
            </w:tc>
            <w:tc>
              <w:tcPr>
                <w:tcW w:w="1267" w:type="pct"/>
                <w:vAlign w:val="center"/>
              </w:tcPr>
              <w:p w14:paraId="77C3B785">
                <w:pPr>
                  <w:jc w:val="right"/>
                  <w:rPr>
                    <w:rFonts w:cs="Times New Roman"/>
                  </w:rPr>
                </w:pPr>
                <w:r>
                  <w:rPr>
                    <w:rFonts w:cs="Times New Roman"/>
                  </w:rPr>
                  <w:t>2.98</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71811975"/>
          <w:placeholder>
            <w:docPart w:val="{6aa2cdac-137b-457c-b997-7fd91eb72e14}"/>
          </w:placeholder>
        </w:sdtPr>
        <w:sdtEndPr>
          <w:rPr>
            <w:rFonts w:cs="Times New Roman"/>
            <w:color w:val="000000" w:themeColor="text1"/>
            <w14:textFill>
              <w14:solidFill>
                <w14:schemeClr w14:val="tx1"/>
              </w14:solidFill>
            </w14:textFill>
          </w:rPr>
        </w:sdtEndPr>
        <w:sdtContent>
          <w:tr w14:paraId="192C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102A1B1">
                <w:pPr>
                  <w:rPr>
                    <w:rFonts w:cs="Times New Roman"/>
                  </w:rPr>
                </w:pPr>
                <w:r>
                  <w:rPr>
                    <w:rFonts w:cs="Times New Roman"/>
                  </w:rPr>
                  <w:t>2－3年</w:t>
                </w:r>
              </w:p>
            </w:tc>
            <w:tc>
              <w:tcPr>
                <w:tcW w:w="1276" w:type="pct"/>
                <w:vAlign w:val="center"/>
              </w:tcPr>
              <w:p w14:paraId="2FECA800">
                <w:pPr>
                  <w:jc w:val="right"/>
                  <w:rPr>
                    <w:rFonts w:cs="Times New Roman"/>
                  </w:rPr>
                </w:pPr>
                <w:r>
                  <w:rPr>
                    <w:rFonts w:cs="Times New Roman"/>
                  </w:rPr>
                  <w:t>28,523,468.60</w:t>
                </w:r>
              </w:p>
            </w:tc>
            <w:tc>
              <w:tcPr>
                <w:tcW w:w="1299" w:type="pct"/>
                <w:vAlign w:val="center"/>
              </w:tcPr>
              <w:p w14:paraId="00D273F3">
                <w:pPr>
                  <w:jc w:val="right"/>
                  <w:rPr>
                    <w:rFonts w:cs="Times New Roman"/>
                  </w:rPr>
                </w:pPr>
                <w:r>
                  <w:rPr>
                    <w:rFonts w:cs="Times New Roman"/>
                  </w:rPr>
                  <w:t>2,095,440.44</w:t>
                </w:r>
              </w:p>
            </w:tc>
            <w:tc>
              <w:tcPr>
                <w:tcW w:w="1267" w:type="pct"/>
                <w:vAlign w:val="center"/>
              </w:tcPr>
              <w:p w14:paraId="1E7537CD">
                <w:pPr>
                  <w:jc w:val="right"/>
                  <w:rPr>
                    <w:rFonts w:cs="Times New Roman"/>
                  </w:rPr>
                </w:pPr>
                <w:r>
                  <w:rPr>
                    <w:rFonts w:cs="Times New Roman"/>
                  </w:rPr>
                  <w:t>7.35</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858780837"/>
          <w:placeholder>
            <w:docPart w:val="{6aa2cdac-137b-457c-b997-7fd91eb72e14}"/>
          </w:placeholder>
        </w:sdtPr>
        <w:sdtEndPr>
          <w:rPr>
            <w:rFonts w:cs="Times New Roman"/>
            <w:color w:val="000000" w:themeColor="text1"/>
            <w14:textFill>
              <w14:solidFill>
                <w14:schemeClr w14:val="tx1"/>
              </w14:solidFill>
            </w14:textFill>
          </w:rPr>
        </w:sdtEndPr>
        <w:sdtContent>
          <w:tr w14:paraId="513D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F1FF297">
                <w:pPr>
                  <w:rPr>
                    <w:rFonts w:cs="Times New Roman"/>
                  </w:rPr>
                </w:pPr>
                <w:r>
                  <w:rPr>
                    <w:rFonts w:cs="Times New Roman"/>
                  </w:rPr>
                  <w:t>3－4年</w:t>
                </w:r>
              </w:p>
            </w:tc>
            <w:tc>
              <w:tcPr>
                <w:tcW w:w="1276" w:type="pct"/>
                <w:vAlign w:val="center"/>
              </w:tcPr>
              <w:p w14:paraId="01B9B889">
                <w:pPr>
                  <w:jc w:val="right"/>
                  <w:rPr>
                    <w:rFonts w:cs="Times New Roman"/>
                  </w:rPr>
                </w:pPr>
                <w:r>
                  <w:rPr>
                    <w:rFonts w:cs="Times New Roman"/>
                  </w:rPr>
                  <w:t>33,971,742.64</w:t>
                </w:r>
              </w:p>
            </w:tc>
            <w:tc>
              <w:tcPr>
                <w:tcW w:w="1299" w:type="pct"/>
                <w:vAlign w:val="center"/>
              </w:tcPr>
              <w:p w14:paraId="18D6B2C0">
                <w:pPr>
                  <w:jc w:val="right"/>
                  <w:rPr>
                    <w:rFonts w:cs="Times New Roman"/>
                  </w:rPr>
                </w:pPr>
                <w:r>
                  <w:rPr>
                    <w:rFonts w:cs="Times New Roman"/>
                  </w:rPr>
                  <w:t>4,179,914.34</w:t>
                </w:r>
              </w:p>
            </w:tc>
            <w:tc>
              <w:tcPr>
                <w:tcW w:w="1267" w:type="pct"/>
                <w:vAlign w:val="center"/>
              </w:tcPr>
              <w:p w14:paraId="1D1336F0">
                <w:pPr>
                  <w:jc w:val="right"/>
                  <w:rPr>
                    <w:rFonts w:cs="Times New Roman"/>
                  </w:rPr>
                </w:pPr>
                <w:r>
                  <w:rPr>
                    <w:rFonts w:cs="Times New Roman"/>
                  </w:rPr>
                  <w:t>12.30</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1057614438"/>
          <w:placeholder>
            <w:docPart w:val="{6aa2cdac-137b-457c-b997-7fd91eb72e14}"/>
          </w:placeholder>
        </w:sdtPr>
        <w:sdtEndPr>
          <w:rPr>
            <w:rFonts w:cs="Times New Roman"/>
            <w:color w:val="000000" w:themeColor="text1"/>
            <w14:textFill>
              <w14:solidFill>
                <w14:schemeClr w14:val="tx1"/>
              </w14:solidFill>
            </w14:textFill>
          </w:rPr>
        </w:sdtEndPr>
        <w:sdtContent>
          <w:tr w14:paraId="2D16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50A4E01">
                <w:pPr>
                  <w:rPr>
                    <w:rFonts w:cs="Times New Roman"/>
                  </w:rPr>
                </w:pPr>
                <w:r>
                  <w:rPr>
                    <w:rFonts w:cs="Times New Roman"/>
                  </w:rPr>
                  <w:t>4－5年</w:t>
                </w:r>
              </w:p>
            </w:tc>
            <w:tc>
              <w:tcPr>
                <w:tcW w:w="1276" w:type="pct"/>
                <w:vAlign w:val="center"/>
              </w:tcPr>
              <w:p w14:paraId="4CA89BAF">
                <w:pPr>
                  <w:jc w:val="right"/>
                  <w:rPr>
                    <w:rFonts w:cs="Times New Roman"/>
                  </w:rPr>
                </w:pPr>
                <w:r>
                  <w:rPr>
                    <w:rFonts w:cs="Times New Roman"/>
                  </w:rPr>
                  <w:t>4,524,253.09</w:t>
                </w:r>
              </w:p>
            </w:tc>
            <w:tc>
              <w:tcPr>
                <w:tcW w:w="1299" w:type="pct"/>
                <w:vAlign w:val="center"/>
              </w:tcPr>
              <w:p w14:paraId="3AAD1C5E">
                <w:pPr>
                  <w:jc w:val="right"/>
                  <w:rPr>
                    <w:rFonts w:cs="Times New Roman"/>
                  </w:rPr>
                </w:pPr>
                <w:r>
                  <w:rPr>
                    <w:rFonts w:cs="Times New Roman"/>
                  </w:rPr>
                  <w:t>973,408.69</w:t>
                </w:r>
              </w:p>
            </w:tc>
            <w:tc>
              <w:tcPr>
                <w:tcW w:w="1267" w:type="pct"/>
                <w:vAlign w:val="center"/>
              </w:tcPr>
              <w:p w14:paraId="25F2F01F">
                <w:pPr>
                  <w:jc w:val="right"/>
                  <w:rPr>
                    <w:rFonts w:cs="Times New Roman"/>
                  </w:rPr>
                </w:pPr>
                <w:r>
                  <w:rPr>
                    <w:rFonts w:cs="Times New Roman"/>
                  </w:rPr>
                  <w:t>21.52</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9991660"/>
          <w:placeholder>
            <w:docPart w:val="{6aa2cdac-137b-457c-b997-7fd91eb72e14}"/>
          </w:placeholder>
        </w:sdtPr>
        <w:sdtEndPr>
          <w:rPr>
            <w:rFonts w:cs="Times New Roman"/>
            <w:color w:val="000000" w:themeColor="text1"/>
            <w14:textFill>
              <w14:solidFill>
                <w14:schemeClr w14:val="tx1"/>
              </w14:solidFill>
            </w14:textFill>
          </w:rPr>
        </w:sdtEndPr>
        <w:sdtContent>
          <w:tr w14:paraId="7A93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B638B5A">
                <w:pPr>
                  <w:rPr>
                    <w:rFonts w:cs="Times New Roman"/>
                  </w:rPr>
                </w:pPr>
                <w:r>
                  <w:rPr>
                    <w:rFonts w:cs="Times New Roman"/>
                  </w:rPr>
                  <w:t>5年以上</w:t>
                </w:r>
              </w:p>
            </w:tc>
            <w:tc>
              <w:tcPr>
                <w:tcW w:w="1276" w:type="pct"/>
                <w:vAlign w:val="center"/>
              </w:tcPr>
              <w:p w14:paraId="2DDFEACC">
                <w:pPr>
                  <w:jc w:val="right"/>
                  <w:rPr>
                    <w:rFonts w:cs="Times New Roman"/>
                  </w:rPr>
                </w:pPr>
                <w:r>
                  <w:rPr>
                    <w:rFonts w:cs="Times New Roman"/>
                  </w:rPr>
                  <w:t>7,321,781.24</w:t>
                </w:r>
              </w:p>
            </w:tc>
            <w:tc>
              <w:tcPr>
                <w:tcW w:w="1299" w:type="pct"/>
                <w:vAlign w:val="center"/>
              </w:tcPr>
              <w:p w14:paraId="368957E7">
                <w:pPr>
                  <w:jc w:val="right"/>
                  <w:rPr>
                    <w:rFonts w:cs="Times New Roman"/>
                  </w:rPr>
                </w:pPr>
                <w:r>
                  <w:rPr>
                    <w:rFonts w:cs="Times New Roman"/>
                  </w:rPr>
                  <w:t>7,321,781.24</w:t>
                </w:r>
              </w:p>
            </w:tc>
            <w:tc>
              <w:tcPr>
                <w:tcW w:w="1267" w:type="pct"/>
                <w:vAlign w:val="center"/>
              </w:tcPr>
              <w:p w14:paraId="13757E8A">
                <w:pPr>
                  <w:jc w:val="right"/>
                  <w:rPr>
                    <w:rFonts w:cs="Times New Roman"/>
                  </w:rPr>
                </w:pPr>
                <w:r>
                  <w:rPr>
                    <w:rFonts w:cs="Times New Roman"/>
                  </w:rPr>
                  <w:t>100.00</w:t>
                </w:r>
              </w:p>
            </w:tc>
          </w:tr>
        </w:sdtContent>
      </w:sdt>
      <w:tr w14:paraId="33EF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9a3bf225ae544565ad2cb49381fcaca1"/>
            <w:id w:val="2022128926"/>
          </w:sdtPr>
          <w:sdtEndPr>
            <w:rPr>
              <w:rFonts w:cs="Times New Roman"/>
            </w:rPr>
          </w:sdtEndPr>
          <w:sdtContent>
            <w:tc>
              <w:tcPr>
                <w:tcW w:w="1158" w:type="pct"/>
                <w:vAlign w:val="center"/>
              </w:tcPr>
              <w:p w14:paraId="380396A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276" w:type="pct"/>
            <w:vAlign w:val="center"/>
          </w:tcPr>
          <w:p w14:paraId="31B33B58">
            <w:pPr>
              <w:jc w:val="right"/>
              <w:rPr>
                <w:rFonts w:cs="Times New Roman"/>
              </w:rPr>
            </w:pPr>
            <w:r>
              <w:rPr>
                <w:rFonts w:cs="Times New Roman"/>
              </w:rPr>
              <w:t>1,630,025,236.98</w:t>
            </w:r>
          </w:p>
        </w:tc>
        <w:tc>
          <w:tcPr>
            <w:tcW w:w="1299" w:type="pct"/>
            <w:vAlign w:val="center"/>
          </w:tcPr>
          <w:p w14:paraId="296EF827">
            <w:pPr>
              <w:jc w:val="right"/>
              <w:rPr>
                <w:rFonts w:cs="Times New Roman"/>
              </w:rPr>
            </w:pPr>
            <w:r>
              <w:rPr>
                <w:rFonts w:cs="Times New Roman"/>
              </w:rPr>
              <w:t>20,021,045.75</w:t>
            </w:r>
          </w:p>
        </w:tc>
        <w:tc>
          <w:tcPr>
            <w:tcW w:w="1267" w:type="pct"/>
            <w:vAlign w:val="center"/>
          </w:tcPr>
          <w:p w14:paraId="087B8EE2">
            <w:pPr>
              <w:jc w:val="right"/>
              <w:rPr>
                <w:rFonts w:cs="Times New Roman"/>
              </w:rPr>
            </w:pPr>
            <w:r>
              <w:rPr>
                <w:rFonts w:cs="Times New Roman"/>
              </w:rPr>
              <w:t>1.23</w:t>
            </w:r>
          </w:p>
        </w:tc>
      </w:tr>
    </w:tbl>
    <w:p w14:paraId="42D3D55F">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账款确认标准[双击切换]"/>
        <w:tag w:val="_GBC_8361cfeb973b4073b7fdbd49a393b38c"/>
        <w:id w:val="17282062"/>
      </w:sdtPr>
      <w:sdtEndPr>
        <w:rPr>
          <w:color w:val="000000" w:themeColor="text1"/>
          <w14:textFill>
            <w14:solidFill>
              <w14:schemeClr w14:val="tx1"/>
            </w14:solidFill>
          </w14:textFill>
        </w:rPr>
      </w:sdtEndPr>
      <w:sdtContent>
        <w:p w14:paraId="6CB518C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92E9050">
      <w:pPr>
        <w:rPr>
          <w:color w:val="000000" w:themeColor="text1"/>
          <w14:textFill>
            <w14:solidFill>
              <w14:schemeClr w14:val="tx1"/>
            </w14:solidFill>
          </w14:textFill>
        </w:rPr>
      </w:pPr>
    </w:p>
    <w:p w14:paraId="48F6A832">
      <w:pPr>
        <w:rPr>
          <w:color w:val="000000" w:themeColor="text1"/>
          <w14:textFill>
            <w14:solidFill>
              <w14:schemeClr w14:val="tx1"/>
            </w14:solidFill>
          </w14:textFill>
        </w:rPr>
      </w:pPr>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fec033684b6e412cabcd0e0ea1c6cb96"/>
          <w:id w:val="-769085737"/>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组合2关联方组合</w:t>
          </w:r>
        </w:sdtContent>
      </w:sdt>
    </w:p>
    <w:p w14:paraId="3F6FCCDE">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账款详细情况"/>
          <w:tag w:val="_GBC_ccac8c131a6748e699800a5f25e5efcf"/>
          <w:id w:val="-603346530"/>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账款详细情况"/>
          <w:tag w:val="_GBC_f0296899749441bf8c33f5882df60a71"/>
          <w:id w:val="-213262346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309"/>
        <w:gridCol w:w="2351"/>
        <w:gridCol w:w="2293"/>
      </w:tblGrid>
      <w:tr w14:paraId="1AEC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cs="Times New Roman"/>
            </w:rPr>
            <w:tag w:val="_PLD_331ca2a43a5247699c45fd6309aee7fd"/>
            <w:id w:val="816227259"/>
          </w:sdtPr>
          <w:sdtEndPr>
            <w:rPr>
              <w:rFonts w:cs="Times New Roman"/>
            </w:rPr>
          </w:sdtEndPr>
          <w:sdtContent>
            <w:tc>
              <w:tcPr>
                <w:tcW w:w="1158" w:type="pct"/>
                <w:vMerge w:val="restart"/>
                <w:vAlign w:val="center"/>
              </w:tcPr>
              <w:p w14:paraId="49B8DD3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sdtContent>
        </w:sdt>
        <w:sdt>
          <w:sdtPr>
            <w:rPr>
              <w:rFonts w:cs="Times New Roman"/>
            </w:rPr>
            <w:tag w:val="_PLD_271f4f470bff48e385b1a5d9080fde35"/>
            <w:id w:val="-1751573312"/>
          </w:sdtPr>
          <w:sdtEndPr>
            <w:rPr>
              <w:rFonts w:cs="Times New Roman"/>
            </w:rPr>
          </w:sdtEndPr>
          <w:sdtContent>
            <w:tc>
              <w:tcPr>
                <w:tcW w:w="3842" w:type="pct"/>
                <w:gridSpan w:val="3"/>
                <w:vAlign w:val="center"/>
              </w:tcPr>
              <w:p w14:paraId="702BECD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3564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158" w:type="pct"/>
            <w:vMerge w:val="continue"/>
          </w:tcPr>
          <w:p w14:paraId="2AA246FB">
            <w:pPr>
              <w:jc w:val="center"/>
              <w:rPr>
                <w:rFonts w:cs="Times New Roman"/>
                <w:color w:val="000000" w:themeColor="text1"/>
                <w14:textFill>
                  <w14:solidFill>
                    <w14:schemeClr w14:val="tx1"/>
                  </w14:solidFill>
                </w14:textFill>
              </w:rPr>
            </w:pPr>
          </w:p>
        </w:tc>
        <w:sdt>
          <w:sdtPr>
            <w:rPr>
              <w:rFonts w:cs="Times New Roman"/>
            </w:rPr>
            <w:tag w:val="_PLD_e1c956de9b3b4544a5d0584eaaf6aea2"/>
            <w:id w:val="1348683979"/>
          </w:sdtPr>
          <w:sdtEndPr>
            <w:rPr>
              <w:rFonts w:cs="Times New Roman"/>
            </w:rPr>
          </w:sdtEndPr>
          <w:sdtContent>
            <w:tc>
              <w:tcPr>
                <w:tcW w:w="1276" w:type="pct"/>
                <w:vAlign w:val="center"/>
              </w:tcPr>
              <w:p w14:paraId="1C6D8AC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0098acb8b7f640f29f65a14017e23f02"/>
            <w:id w:val="-548147017"/>
          </w:sdtPr>
          <w:sdtEndPr>
            <w:rPr>
              <w:rFonts w:cs="Times New Roman"/>
            </w:rPr>
          </w:sdtEndPr>
          <w:sdtContent>
            <w:tc>
              <w:tcPr>
                <w:tcW w:w="1299" w:type="pct"/>
                <w:vAlign w:val="center"/>
              </w:tcPr>
              <w:p w14:paraId="619106C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290bbc3bde3c43c487996752ceb95160"/>
            <w:id w:val="-126004519"/>
          </w:sdtPr>
          <w:sdtEndPr>
            <w:rPr>
              <w:rFonts w:cs="Times New Roman"/>
            </w:rPr>
          </w:sdtEndPr>
          <w:sdtContent>
            <w:tc>
              <w:tcPr>
                <w:tcW w:w="1267" w:type="pct"/>
                <w:vAlign w:val="center"/>
              </w:tcPr>
              <w:p w14:paraId="33A7B32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r>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1505899912"/>
          <w:placeholder>
            <w:docPart w:val="{dcf70f01-c3ae-432d-86f7-4e2564dde453}"/>
          </w:placeholder>
        </w:sdtPr>
        <w:sdtEndPr>
          <w:rPr>
            <w:rFonts w:cs="Times New Roman"/>
            <w:color w:val="000000" w:themeColor="text1"/>
            <w14:textFill>
              <w14:solidFill>
                <w14:schemeClr w14:val="tx1"/>
              </w14:solidFill>
            </w14:textFill>
          </w:rPr>
        </w:sdtEndPr>
        <w:sdtContent>
          <w:tr w14:paraId="29C1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BFC53F7">
                <w:pPr>
                  <w:rPr>
                    <w:rFonts w:cs="Times New Roman"/>
                  </w:rPr>
                </w:pPr>
                <w:r>
                  <w:rPr>
                    <w:rFonts w:cs="Times New Roman"/>
                  </w:rPr>
                  <w:t>1年以内</w:t>
                </w:r>
              </w:p>
            </w:tc>
            <w:tc>
              <w:tcPr>
                <w:tcW w:w="1276" w:type="pct"/>
                <w:vAlign w:val="bottom"/>
              </w:tcPr>
              <w:p w14:paraId="3A9561BC">
                <w:pPr>
                  <w:jc w:val="right"/>
                  <w:rPr>
                    <w:rFonts w:cs="Times New Roman"/>
                  </w:rPr>
                </w:pPr>
                <w:r>
                  <w:rPr>
                    <w:rFonts w:cs="Times New Roman"/>
                  </w:rPr>
                  <w:t>50,285,126.82</w:t>
                </w:r>
              </w:p>
            </w:tc>
            <w:tc>
              <w:tcPr>
                <w:tcW w:w="1299" w:type="pct"/>
                <w:vAlign w:val="bottom"/>
              </w:tcPr>
              <w:p w14:paraId="7ADC4FCD">
                <w:pPr>
                  <w:jc w:val="right"/>
                  <w:rPr>
                    <w:rFonts w:cs="Times New Roman"/>
                  </w:rPr>
                </w:pPr>
                <w:r>
                  <w:rPr>
                    <w:rFonts w:cs="Times New Roman"/>
                  </w:rPr>
                  <w:t>2,037,451.27</w:t>
                </w:r>
              </w:p>
            </w:tc>
            <w:tc>
              <w:tcPr>
                <w:tcW w:w="1267" w:type="pct"/>
                <w:vAlign w:val="bottom"/>
              </w:tcPr>
              <w:p w14:paraId="0FE04E6C">
                <w:pPr>
                  <w:jc w:val="right"/>
                  <w:rPr>
                    <w:rFonts w:cs="Times New Roman"/>
                  </w:rPr>
                </w:pPr>
                <w:r>
                  <w:rPr>
                    <w:rFonts w:cs="Times New Roman"/>
                  </w:rPr>
                  <w:t>4.05</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1269687256"/>
          <w:placeholder>
            <w:docPart w:val="{dcf70f01-c3ae-432d-86f7-4e2564dde453}"/>
          </w:placeholder>
        </w:sdtPr>
        <w:sdtEndPr>
          <w:rPr>
            <w:rFonts w:cs="Times New Roman"/>
            <w:color w:val="000000" w:themeColor="text1"/>
            <w14:textFill>
              <w14:solidFill>
                <w14:schemeClr w14:val="tx1"/>
              </w14:solidFill>
            </w14:textFill>
          </w:rPr>
        </w:sdtEndPr>
        <w:sdtContent>
          <w:tr w14:paraId="15B2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CB5FD7E">
                <w:pPr>
                  <w:rPr>
                    <w:rFonts w:cs="Times New Roman"/>
                  </w:rPr>
                </w:pPr>
                <w:r>
                  <w:rPr>
                    <w:rFonts w:cs="Times New Roman"/>
                  </w:rPr>
                  <w:t>1－2年</w:t>
                </w:r>
              </w:p>
            </w:tc>
            <w:tc>
              <w:tcPr>
                <w:tcW w:w="1276" w:type="pct"/>
                <w:vAlign w:val="bottom"/>
              </w:tcPr>
              <w:p w14:paraId="4047C65A">
                <w:pPr>
                  <w:jc w:val="right"/>
                  <w:rPr>
                    <w:rFonts w:cs="Times New Roman"/>
                  </w:rPr>
                </w:pPr>
                <w:r>
                  <w:rPr>
                    <w:rFonts w:cs="Times New Roman"/>
                  </w:rPr>
                  <w:t>9,238,305.11</w:t>
                </w:r>
              </w:p>
            </w:tc>
            <w:tc>
              <w:tcPr>
                <w:tcW w:w="1299" w:type="pct"/>
                <w:vAlign w:val="bottom"/>
              </w:tcPr>
              <w:p w14:paraId="63516282">
                <w:pPr>
                  <w:jc w:val="right"/>
                  <w:rPr>
                    <w:rFonts w:cs="Times New Roman"/>
                  </w:rPr>
                </w:pPr>
                <w:r>
                  <w:rPr>
                    <w:rFonts w:cs="Times New Roman"/>
                  </w:rPr>
                  <w:t>1,690,543.35</w:t>
                </w:r>
              </w:p>
            </w:tc>
            <w:tc>
              <w:tcPr>
                <w:tcW w:w="1267" w:type="pct"/>
                <w:vAlign w:val="bottom"/>
              </w:tcPr>
              <w:p w14:paraId="0F23BAE1">
                <w:pPr>
                  <w:jc w:val="right"/>
                  <w:rPr>
                    <w:rFonts w:cs="Times New Roman"/>
                  </w:rPr>
                </w:pPr>
                <w:r>
                  <w:rPr>
                    <w:rFonts w:cs="Times New Roman"/>
                  </w:rPr>
                  <w:t>18.30</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2059739974"/>
          <w:placeholder>
            <w:docPart w:val="{dcf70f01-c3ae-432d-86f7-4e2564dde453}"/>
          </w:placeholder>
        </w:sdtPr>
        <w:sdtEndPr>
          <w:rPr>
            <w:rFonts w:cs="Times New Roman"/>
            <w:color w:val="000000" w:themeColor="text1"/>
            <w14:textFill>
              <w14:solidFill>
                <w14:schemeClr w14:val="tx1"/>
              </w14:solidFill>
            </w14:textFill>
          </w:rPr>
        </w:sdtEndPr>
        <w:sdtContent>
          <w:tr w14:paraId="4EA7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E9EDCE1">
                <w:pPr>
                  <w:rPr>
                    <w:rFonts w:cs="Times New Roman"/>
                  </w:rPr>
                </w:pPr>
                <w:r>
                  <w:rPr>
                    <w:rFonts w:cs="Times New Roman"/>
                  </w:rPr>
                  <w:t>2－3年</w:t>
                </w:r>
              </w:p>
            </w:tc>
            <w:tc>
              <w:tcPr>
                <w:tcW w:w="1276" w:type="pct"/>
                <w:vAlign w:val="bottom"/>
              </w:tcPr>
              <w:p w14:paraId="7C2C065D">
                <w:pPr>
                  <w:jc w:val="right"/>
                  <w:rPr>
                    <w:rFonts w:cs="Times New Roman"/>
                  </w:rPr>
                </w:pPr>
                <w:r>
                  <w:rPr>
                    <w:rFonts w:cs="Times New Roman"/>
                  </w:rPr>
                  <w:t>15,594,113.14</w:t>
                </w:r>
              </w:p>
            </w:tc>
            <w:tc>
              <w:tcPr>
                <w:tcW w:w="1299" w:type="pct"/>
                <w:vAlign w:val="bottom"/>
              </w:tcPr>
              <w:p w14:paraId="572E7ECA">
                <w:pPr>
                  <w:jc w:val="right"/>
                  <w:rPr>
                    <w:rFonts w:cs="Times New Roman"/>
                  </w:rPr>
                </w:pPr>
                <w:r>
                  <w:rPr>
                    <w:rFonts w:cs="Times New Roman"/>
                  </w:rPr>
                  <w:t>5,002,316.99</w:t>
                </w:r>
              </w:p>
            </w:tc>
            <w:tc>
              <w:tcPr>
                <w:tcW w:w="1267" w:type="pct"/>
                <w:vAlign w:val="bottom"/>
              </w:tcPr>
              <w:p w14:paraId="53BAE938">
                <w:pPr>
                  <w:jc w:val="right"/>
                  <w:rPr>
                    <w:rFonts w:cs="Times New Roman"/>
                  </w:rPr>
                </w:pPr>
                <w:r>
                  <w:rPr>
                    <w:rFonts w:cs="Times New Roman"/>
                  </w:rPr>
                  <w:t>32.08</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2109337317"/>
          <w:placeholder>
            <w:docPart w:val="{dcf70f01-c3ae-432d-86f7-4e2564dde453}"/>
          </w:placeholder>
        </w:sdtPr>
        <w:sdtEndPr>
          <w:rPr>
            <w:rFonts w:cs="Times New Roman"/>
            <w:color w:val="000000" w:themeColor="text1"/>
            <w14:textFill>
              <w14:solidFill>
                <w14:schemeClr w14:val="tx1"/>
              </w14:solidFill>
            </w14:textFill>
          </w:rPr>
        </w:sdtEndPr>
        <w:sdtContent>
          <w:tr w14:paraId="66C3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31F40A0">
                <w:pPr>
                  <w:rPr>
                    <w:rFonts w:cs="Times New Roman"/>
                  </w:rPr>
                </w:pPr>
                <w:r>
                  <w:rPr>
                    <w:rFonts w:cs="Times New Roman"/>
                  </w:rPr>
                  <w:t>3－4年</w:t>
                </w:r>
              </w:p>
            </w:tc>
            <w:tc>
              <w:tcPr>
                <w:tcW w:w="1276" w:type="pct"/>
                <w:vAlign w:val="bottom"/>
              </w:tcPr>
              <w:p w14:paraId="0CC340E2">
                <w:pPr>
                  <w:jc w:val="right"/>
                  <w:rPr>
                    <w:rFonts w:cs="Times New Roman"/>
                  </w:rPr>
                </w:pPr>
              </w:p>
            </w:tc>
            <w:tc>
              <w:tcPr>
                <w:tcW w:w="1299" w:type="pct"/>
                <w:vAlign w:val="bottom"/>
              </w:tcPr>
              <w:p w14:paraId="5E1249FC">
                <w:pPr>
                  <w:jc w:val="right"/>
                  <w:rPr>
                    <w:rFonts w:cs="Times New Roman"/>
                  </w:rPr>
                </w:pPr>
              </w:p>
            </w:tc>
            <w:tc>
              <w:tcPr>
                <w:tcW w:w="1267" w:type="pct"/>
                <w:vAlign w:val="bottom"/>
              </w:tcPr>
              <w:p w14:paraId="26396797">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2134361545"/>
          <w:placeholder>
            <w:docPart w:val="{dcf70f01-c3ae-432d-86f7-4e2564dde453}"/>
          </w:placeholder>
        </w:sdtPr>
        <w:sdtEndPr>
          <w:rPr>
            <w:rFonts w:cs="Times New Roman"/>
            <w:color w:val="000000" w:themeColor="text1"/>
            <w14:textFill>
              <w14:solidFill>
                <w14:schemeClr w14:val="tx1"/>
              </w14:solidFill>
            </w14:textFill>
          </w:rPr>
        </w:sdtEndPr>
        <w:sdtContent>
          <w:tr w14:paraId="179C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8" w:type="pct"/>
              </w:tcPr>
              <w:p w14:paraId="2A0ACF5D">
                <w:pPr>
                  <w:rPr>
                    <w:rFonts w:cs="Times New Roman"/>
                  </w:rPr>
                </w:pPr>
                <w:r>
                  <w:rPr>
                    <w:rFonts w:cs="Times New Roman"/>
                  </w:rPr>
                  <w:t>4－5年</w:t>
                </w:r>
              </w:p>
            </w:tc>
            <w:tc>
              <w:tcPr>
                <w:tcW w:w="1276" w:type="pct"/>
                <w:vAlign w:val="bottom"/>
              </w:tcPr>
              <w:p w14:paraId="177B1BD6">
                <w:pPr>
                  <w:jc w:val="right"/>
                  <w:rPr>
                    <w:rFonts w:cs="Times New Roman"/>
                  </w:rPr>
                </w:pPr>
                <w:r>
                  <w:rPr>
                    <w:rFonts w:cs="Times New Roman"/>
                  </w:rPr>
                  <w:t>1,122,927.65</w:t>
                </w:r>
              </w:p>
            </w:tc>
            <w:tc>
              <w:tcPr>
                <w:tcW w:w="1299" w:type="pct"/>
                <w:vAlign w:val="bottom"/>
              </w:tcPr>
              <w:p w14:paraId="73E0DE16">
                <w:pPr>
                  <w:jc w:val="right"/>
                  <w:rPr>
                    <w:rFonts w:cs="Times New Roman"/>
                  </w:rPr>
                </w:pPr>
                <w:r>
                  <w:rPr>
                    <w:rFonts w:cs="Times New Roman"/>
                  </w:rPr>
                  <w:t>620,315.38</w:t>
                </w:r>
              </w:p>
            </w:tc>
            <w:tc>
              <w:tcPr>
                <w:tcW w:w="1267" w:type="pct"/>
                <w:vAlign w:val="bottom"/>
              </w:tcPr>
              <w:p w14:paraId="78D67086">
                <w:pPr>
                  <w:jc w:val="right"/>
                  <w:rPr>
                    <w:rFonts w:cs="Times New Roman"/>
                  </w:rPr>
                </w:pPr>
                <w:r>
                  <w:rPr>
                    <w:rFonts w:cs="Times New Roman"/>
                  </w:rPr>
                  <w:t>55.24</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495932083"/>
          <w:placeholder>
            <w:docPart w:val="{dcf70f01-c3ae-432d-86f7-4e2564dde453}"/>
          </w:placeholder>
        </w:sdtPr>
        <w:sdtEndPr>
          <w:rPr>
            <w:rFonts w:cs="Times New Roman"/>
            <w:color w:val="000000" w:themeColor="text1"/>
            <w14:textFill>
              <w14:solidFill>
                <w14:schemeClr w14:val="tx1"/>
              </w14:solidFill>
            </w14:textFill>
          </w:rPr>
        </w:sdtEndPr>
        <w:sdtContent>
          <w:tr w14:paraId="6523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68355B84">
                <w:pPr>
                  <w:rPr>
                    <w:rFonts w:cs="Times New Roman"/>
                  </w:rPr>
                </w:pPr>
                <w:r>
                  <w:rPr>
                    <w:rFonts w:cs="Times New Roman"/>
                  </w:rPr>
                  <w:t>5年以上</w:t>
                </w:r>
              </w:p>
            </w:tc>
            <w:tc>
              <w:tcPr>
                <w:tcW w:w="1276" w:type="pct"/>
                <w:vAlign w:val="bottom"/>
              </w:tcPr>
              <w:p w14:paraId="3CBCB14F">
                <w:pPr>
                  <w:jc w:val="right"/>
                  <w:rPr>
                    <w:rFonts w:cs="Times New Roman"/>
                  </w:rPr>
                </w:pPr>
                <w:r>
                  <w:rPr>
                    <w:rFonts w:cs="Times New Roman"/>
                  </w:rPr>
                  <w:t>564,154.85</w:t>
                </w:r>
              </w:p>
            </w:tc>
            <w:tc>
              <w:tcPr>
                <w:tcW w:w="1299" w:type="pct"/>
                <w:vAlign w:val="bottom"/>
              </w:tcPr>
              <w:p w14:paraId="497451B6">
                <w:pPr>
                  <w:jc w:val="right"/>
                  <w:rPr>
                    <w:rFonts w:cs="Times New Roman"/>
                  </w:rPr>
                </w:pPr>
                <w:r>
                  <w:rPr>
                    <w:rFonts w:cs="Times New Roman"/>
                  </w:rPr>
                  <w:t>564,154.85</w:t>
                </w:r>
              </w:p>
            </w:tc>
            <w:tc>
              <w:tcPr>
                <w:tcW w:w="1267" w:type="pct"/>
                <w:vAlign w:val="bottom"/>
              </w:tcPr>
              <w:p w14:paraId="76D477BD">
                <w:pPr>
                  <w:jc w:val="right"/>
                  <w:rPr>
                    <w:rFonts w:cs="Times New Roman"/>
                  </w:rPr>
                </w:pPr>
                <w:r>
                  <w:rPr>
                    <w:rFonts w:cs="Times New Roman"/>
                  </w:rPr>
                  <w:t>100.00</w:t>
                </w:r>
              </w:p>
            </w:tc>
          </w:tr>
        </w:sdtContent>
      </w:sdt>
      <w:tr w14:paraId="6D84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9a3bf225ae544565ad2cb49381fcaca1"/>
            <w:id w:val="-298299813"/>
          </w:sdtPr>
          <w:sdtEndPr>
            <w:rPr>
              <w:rFonts w:cs="Times New Roman"/>
            </w:rPr>
          </w:sdtEndPr>
          <w:sdtContent>
            <w:tc>
              <w:tcPr>
                <w:tcW w:w="1158" w:type="pct"/>
                <w:vAlign w:val="center"/>
              </w:tcPr>
              <w:p w14:paraId="357C04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276" w:type="pct"/>
            <w:vAlign w:val="bottom"/>
          </w:tcPr>
          <w:p w14:paraId="6D349AE4">
            <w:pPr>
              <w:jc w:val="right"/>
              <w:rPr>
                <w:rFonts w:cs="Times New Roman"/>
              </w:rPr>
            </w:pPr>
            <w:r>
              <w:rPr>
                <w:rFonts w:cs="Times New Roman"/>
              </w:rPr>
              <w:t>76,804,627.57</w:t>
            </w:r>
          </w:p>
        </w:tc>
        <w:tc>
          <w:tcPr>
            <w:tcW w:w="1299" w:type="pct"/>
            <w:vAlign w:val="bottom"/>
          </w:tcPr>
          <w:p w14:paraId="75EC0E39">
            <w:pPr>
              <w:jc w:val="right"/>
              <w:rPr>
                <w:rFonts w:cs="Times New Roman"/>
              </w:rPr>
            </w:pPr>
            <w:r>
              <w:rPr>
                <w:rFonts w:cs="Times New Roman"/>
              </w:rPr>
              <w:t>9,914,781.84</w:t>
            </w:r>
          </w:p>
        </w:tc>
        <w:tc>
          <w:tcPr>
            <w:tcW w:w="1267" w:type="pct"/>
            <w:vAlign w:val="bottom"/>
          </w:tcPr>
          <w:p w14:paraId="6B83D433">
            <w:pPr>
              <w:jc w:val="right"/>
              <w:rPr>
                <w:rFonts w:cs="Times New Roman"/>
              </w:rPr>
            </w:pPr>
            <w:r>
              <w:rPr>
                <w:rFonts w:cs="Times New Roman"/>
              </w:rPr>
              <w:t>12.91</w:t>
            </w:r>
          </w:p>
        </w:tc>
      </w:tr>
    </w:tbl>
    <w:p w14:paraId="006F3425">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账款确认标准[双击切换]"/>
        <w:tag w:val="_GBC_8361cfeb973b4073b7fdbd49a393b38c"/>
        <w:id w:val="1217780189"/>
      </w:sdtPr>
      <w:sdtEndPr>
        <w:rPr>
          <w:color w:val="000000" w:themeColor="text1"/>
          <w14:textFill>
            <w14:solidFill>
              <w14:schemeClr w14:val="tx1"/>
            </w14:solidFill>
          </w14:textFill>
        </w:rPr>
      </w:sdtEndPr>
      <w:sdtContent>
        <w:p w14:paraId="3C32EBC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038B8DE">
      <w:pPr>
        <w:rPr>
          <w:color w:val="000000" w:themeColor="text1"/>
          <w14:textFill>
            <w14:solidFill>
              <w14:schemeClr w14:val="tx1"/>
            </w14:solidFill>
          </w14:textFill>
        </w:rPr>
      </w:pPr>
    </w:p>
    <w:p w14:paraId="0FC03DE7">
      <w:pPr>
        <w:rPr>
          <w:color w:val="000000" w:themeColor="text1"/>
          <w14:textFill>
            <w14:solidFill>
              <w14:schemeClr w14:val="tx1"/>
            </w14:solidFill>
          </w14:textFill>
        </w:rPr>
      </w:pPr>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fec033684b6e412cabcd0e0ea1c6cb96"/>
          <w:id w:val="1765880267"/>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组合3账龄组合</w:t>
          </w:r>
        </w:sdtContent>
      </w:sdt>
    </w:p>
    <w:p w14:paraId="1483613B">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账款详细情况"/>
          <w:tag w:val="_GBC_ccac8c131a6748e699800a5f25e5efcf"/>
          <w:id w:val="-2065477901"/>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账款详细情况"/>
          <w:tag w:val="_GBC_f0296899749441bf8c33f5882df60a71"/>
          <w:id w:val="13022773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309"/>
        <w:gridCol w:w="2351"/>
        <w:gridCol w:w="2293"/>
      </w:tblGrid>
      <w:tr w14:paraId="50FC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31ca2a43a5247699c45fd6309aee7fd"/>
            <w:id w:val="-1151901101"/>
          </w:sdtPr>
          <w:sdtEndPr>
            <w:rPr>
              <w:rFonts w:cs="Times New Roman"/>
            </w:rPr>
          </w:sdtEndPr>
          <w:sdtContent>
            <w:tc>
              <w:tcPr>
                <w:tcW w:w="1158" w:type="pct"/>
                <w:vMerge w:val="restart"/>
                <w:vAlign w:val="center"/>
              </w:tcPr>
              <w:p w14:paraId="3097450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sdtContent>
        </w:sdt>
        <w:sdt>
          <w:sdtPr>
            <w:rPr>
              <w:rFonts w:cs="Times New Roman"/>
            </w:rPr>
            <w:tag w:val="_PLD_271f4f470bff48e385b1a5d9080fde35"/>
            <w:id w:val="1700434922"/>
          </w:sdtPr>
          <w:sdtEndPr>
            <w:rPr>
              <w:rFonts w:cs="Times New Roman"/>
            </w:rPr>
          </w:sdtEndPr>
          <w:sdtContent>
            <w:tc>
              <w:tcPr>
                <w:tcW w:w="3842" w:type="pct"/>
                <w:gridSpan w:val="3"/>
                <w:vAlign w:val="center"/>
              </w:tcPr>
              <w:p w14:paraId="58AC741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6408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18FB4255">
            <w:pPr>
              <w:jc w:val="center"/>
              <w:rPr>
                <w:rFonts w:cs="Times New Roman"/>
                <w:color w:val="000000" w:themeColor="text1"/>
                <w14:textFill>
                  <w14:solidFill>
                    <w14:schemeClr w14:val="tx1"/>
                  </w14:solidFill>
                </w14:textFill>
              </w:rPr>
            </w:pPr>
          </w:p>
        </w:tc>
        <w:sdt>
          <w:sdtPr>
            <w:rPr>
              <w:rFonts w:cs="Times New Roman"/>
            </w:rPr>
            <w:tag w:val="_PLD_e1c956de9b3b4544a5d0584eaaf6aea2"/>
            <w:id w:val="-387183481"/>
          </w:sdtPr>
          <w:sdtEndPr>
            <w:rPr>
              <w:rFonts w:cs="Times New Roman"/>
            </w:rPr>
          </w:sdtEndPr>
          <w:sdtContent>
            <w:tc>
              <w:tcPr>
                <w:tcW w:w="1276" w:type="pct"/>
                <w:vAlign w:val="center"/>
              </w:tcPr>
              <w:p w14:paraId="5889005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0098acb8b7f640f29f65a14017e23f02"/>
            <w:id w:val="-724828158"/>
          </w:sdtPr>
          <w:sdtEndPr>
            <w:rPr>
              <w:rFonts w:cs="Times New Roman"/>
            </w:rPr>
          </w:sdtEndPr>
          <w:sdtContent>
            <w:tc>
              <w:tcPr>
                <w:tcW w:w="1299" w:type="pct"/>
                <w:vAlign w:val="center"/>
              </w:tcPr>
              <w:p w14:paraId="0AFAB0D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290bbc3bde3c43c487996752ceb95160"/>
            <w:id w:val="-1668483900"/>
          </w:sdtPr>
          <w:sdtEndPr>
            <w:rPr>
              <w:rFonts w:cs="Times New Roman"/>
            </w:rPr>
          </w:sdtEndPr>
          <w:sdtContent>
            <w:tc>
              <w:tcPr>
                <w:tcW w:w="1267" w:type="pct"/>
                <w:vAlign w:val="center"/>
              </w:tcPr>
              <w:p w14:paraId="752A5B2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r>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2056424677"/>
          <w:placeholder>
            <w:docPart w:val="{cd1c4de7-43a1-48e7-8225-68fe5757986f}"/>
          </w:placeholder>
        </w:sdtPr>
        <w:sdtEndPr>
          <w:rPr>
            <w:rFonts w:cs="Times New Roman"/>
            <w:color w:val="000000" w:themeColor="text1"/>
            <w14:textFill>
              <w14:solidFill>
                <w14:schemeClr w14:val="tx1"/>
              </w14:solidFill>
            </w14:textFill>
          </w:rPr>
        </w:sdtEndPr>
        <w:sdtContent>
          <w:tr w14:paraId="7AD2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BD2B4FD">
                <w:pPr>
                  <w:rPr>
                    <w:rFonts w:cs="Times New Roman"/>
                  </w:rPr>
                </w:pPr>
                <w:r>
                  <w:rPr>
                    <w:rFonts w:cs="Times New Roman"/>
                  </w:rPr>
                  <w:t>1年以内</w:t>
                </w:r>
              </w:p>
            </w:tc>
            <w:tc>
              <w:tcPr>
                <w:tcW w:w="1276" w:type="pct"/>
                <w:vAlign w:val="center"/>
              </w:tcPr>
              <w:p w14:paraId="7F759360">
                <w:pPr>
                  <w:jc w:val="right"/>
                  <w:rPr>
                    <w:rFonts w:cs="Times New Roman"/>
                  </w:rPr>
                </w:pPr>
                <w:r>
                  <w:rPr>
                    <w:rFonts w:cs="Times New Roman"/>
                  </w:rPr>
                  <w:t>1,259,447,761.35</w:t>
                </w:r>
              </w:p>
            </w:tc>
            <w:tc>
              <w:tcPr>
                <w:tcW w:w="1299" w:type="pct"/>
                <w:vAlign w:val="center"/>
              </w:tcPr>
              <w:p w14:paraId="77B57587">
                <w:pPr>
                  <w:jc w:val="right"/>
                  <w:rPr>
                    <w:rFonts w:cs="Times New Roman"/>
                  </w:rPr>
                </w:pPr>
              </w:p>
            </w:tc>
            <w:tc>
              <w:tcPr>
                <w:tcW w:w="1267" w:type="pct"/>
                <w:vAlign w:val="center"/>
              </w:tcPr>
              <w:p w14:paraId="54879A1B">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1704093457"/>
          <w:placeholder>
            <w:docPart w:val="{cd1c4de7-43a1-48e7-8225-68fe5757986f}"/>
          </w:placeholder>
        </w:sdtPr>
        <w:sdtEndPr>
          <w:rPr>
            <w:rFonts w:cs="Times New Roman"/>
            <w:color w:val="000000" w:themeColor="text1"/>
            <w14:textFill>
              <w14:solidFill>
                <w14:schemeClr w14:val="tx1"/>
              </w14:solidFill>
            </w14:textFill>
          </w:rPr>
        </w:sdtEndPr>
        <w:sdtContent>
          <w:tr w14:paraId="5C63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D30E70D">
                <w:pPr>
                  <w:rPr>
                    <w:rFonts w:cs="Times New Roman"/>
                  </w:rPr>
                </w:pPr>
                <w:r>
                  <w:rPr>
                    <w:rFonts w:cs="Times New Roman"/>
                  </w:rPr>
                  <w:t>1－2年</w:t>
                </w:r>
              </w:p>
            </w:tc>
            <w:tc>
              <w:tcPr>
                <w:tcW w:w="1276" w:type="pct"/>
                <w:vAlign w:val="center"/>
              </w:tcPr>
              <w:p w14:paraId="23BA09C4">
                <w:pPr>
                  <w:jc w:val="right"/>
                  <w:rPr>
                    <w:rFonts w:cs="Times New Roman"/>
                  </w:rPr>
                </w:pPr>
                <w:r>
                  <w:rPr>
                    <w:rFonts w:cs="Times New Roman"/>
                  </w:rPr>
                  <w:t>107,419,363.03</w:t>
                </w:r>
              </w:p>
            </w:tc>
            <w:tc>
              <w:tcPr>
                <w:tcW w:w="1299" w:type="pct"/>
                <w:vAlign w:val="center"/>
              </w:tcPr>
              <w:p w14:paraId="299F67F8">
                <w:pPr>
                  <w:jc w:val="right"/>
                  <w:rPr>
                    <w:rFonts w:cs="Times New Roman"/>
                  </w:rPr>
                </w:pPr>
                <w:r>
                  <w:rPr>
                    <w:rFonts w:cs="Times New Roman"/>
                  </w:rPr>
                  <w:t>21,483,872.61</w:t>
                </w:r>
              </w:p>
            </w:tc>
            <w:tc>
              <w:tcPr>
                <w:tcW w:w="1267" w:type="pct"/>
                <w:vAlign w:val="center"/>
              </w:tcPr>
              <w:p w14:paraId="0BD78FC2">
                <w:pPr>
                  <w:jc w:val="right"/>
                  <w:rPr>
                    <w:rFonts w:cs="Times New Roman"/>
                  </w:rPr>
                </w:pPr>
                <w:r>
                  <w:rPr>
                    <w:rFonts w:cs="Times New Roman"/>
                  </w:rPr>
                  <w:t>20.00</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2054807561"/>
          <w:placeholder>
            <w:docPart w:val="{cd1c4de7-43a1-48e7-8225-68fe5757986f}"/>
          </w:placeholder>
        </w:sdtPr>
        <w:sdtEndPr>
          <w:rPr>
            <w:rFonts w:cs="Times New Roman"/>
            <w:color w:val="000000" w:themeColor="text1"/>
            <w14:textFill>
              <w14:solidFill>
                <w14:schemeClr w14:val="tx1"/>
              </w14:solidFill>
            </w14:textFill>
          </w:rPr>
        </w:sdtEndPr>
        <w:sdtContent>
          <w:tr w14:paraId="015C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3629107">
                <w:pPr>
                  <w:rPr>
                    <w:rFonts w:cs="Times New Roman"/>
                  </w:rPr>
                </w:pPr>
                <w:r>
                  <w:rPr>
                    <w:rFonts w:cs="Times New Roman"/>
                  </w:rPr>
                  <w:t>2－3年</w:t>
                </w:r>
              </w:p>
            </w:tc>
            <w:tc>
              <w:tcPr>
                <w:tcW w:w="1276" w:type="pct"/>
                <w:vAlign w:val="center"/>
              </w:tcPr>
              <w:p w14:paraId="48B33BFB">
                <w:pPr>
                  <w:jc w:val="right"/>
                  <w:rPr>
                    <w:rFonts w:cs="Times New Roman"/>
                  </w:rPr>
                </w:pPr>
                <w:r>
                  <w:rPr>
                    <w:rFonts w:cs="Times New Roman"/>
                  </w:rPr>
                  <w:t>29,644,926.65</w:t>
                </w:r>
              </w:p>
            </w:tc>
            <w:tc>
              <w:tcPr>
                <w:tcW w:w="1299" w:type="pct"/>
                <w:vAlign w:val="center"/>
              </w:tcPr>
              <w:p w14:paraId="490523F2">
                <w:pPr>
                  <w:jc w:val="right"/>
                  <w:rPr>
                    <w:rFonts w:cs="Times New Roman"/>
                  </w:rPr>
                </w:pPr>
                <w:r>
                  <w:rPr>
                    <w:rFonts w:cs="Times New Roman"/>
                  </w:rPr>
                  <w:t>14,822,463.33</w:t>
                </w:r>
              </w:p>
            </w:tc>
            <w:tc>
              <w:tcPr>
                <w:tcW w:w="1267" w:type="pct"/>
                <w:vAlign w:val="center"/>
              </w:tcPr>
              <w:p w14:paraId="0FDCA0CD">
                <w:pPr>
                  <w:jc w:val="right"/>
                  <w:rPr>
                    <w:rFonts w:cs="Times New Roman"/>
                  </w:rPr>
                </w:pPr>
                <w:r>
                  <w:rPr>
                    <w:rFonts w:cs="Times New Roman"/>
                  </w:rPr>
                  <w:t>50.00</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669995927"/>
          <w:placeholder>
            <w:docPart w:val="{cd1c4de7-43a1-48e7-8225-68fe5757986f}"/>
          </w:placeholder>
        </w:sdtPr>
        <w:sdtEndPr>
          <w:rPr>
            <w:rFonts w:cs="Times New Roman"/>
            <w:color w:val="000000" w:themeColor="text1"/>
            <w14:textFill>
              <w14:solidFill>
                <w14:schemeClr w14:val="tx1"/>
              </w14:solidFill>
            </w14:textFill>
          </w:rPr>
        </w:sdtEndPr>
        <w:sdtContent>
          <w:tr w14:paraId="0A43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86BEC9E">
                <w:pPr>
                  <w:rPr>
                    <w:rFonts w:cs="Times New Roman"/>
                  </w:rPr>
                </w:pPr>
                <w:r>
                  <w:rPr>
                    <w:rFonts w:cs="Times New Roman"/>
                  </w:rPr>
                  <w:t>3－4年</w:t>
                </w:r>
              </w:p>
            </w:tc>
            <w:tc>
              <w:tcPr>
                <w:tcW w:w="1276" w:type="pct"/>
                <w:vAlign w:val="center"/>
              </w:tcPr>
              <w:p w14:paraId="23EDD1EC">
                <w:pPr>
                  <w:jc w:val="right"/>
                  <w:rPr>
                    <w:rFonts w:cs="Times New Roman"/>
                  </w:rPr>
                </w:pPr>
                <w:r>
                  <w:rPr>
                    <w:rFonts w:cs="Times New Roman"/>
                  </w:rPr>
                  <w:t>21,516,579.94</w:t>
                </w:r>
              </w:p>
            </w:tc>
            <w:tc>
              <w:tcPr>
                <w:tcW w:w="1299" w:type="pct"/>
                <w:vAlign w:val="center"/>
              </w:tcPr>
              <w:p w14:paraId="093C5B4E">
                <w:pPr>
                  <w:jc w:val="right"/>
                  <w:rPr>
                    <w:rFonts w:cs="Times New Roman"/>
                  </w:rPr>
                </w:pPr>
                <w:r>
                  <w:rPr>
                    <w:rFonts w:cs="Times New Roman"/>
                  </w:rPr>
                  <w:t>15,061,605.96</w:t>
                </w:r>
              </w:p>
            </w:tc>
            <w:tc>
              <w:tcPr>
                <w:tcW w:w="1267" w:type="pct"/>
                <w:vAlign w:val="center"/>
              </w:tcPr>
              <w:p w14:paraId="5B8D2DA8">
                <w:pPr>
                  <w:jc w:val="right"/>
                  <w:rPr>
                    <w:rFonts w:cs="Times New Roman"/>
                  </w:rPr>
                </w:pPr>
                <w:r>
                  <w:rPr>
                    <w:rFonts w:cs="Times New Roman"/>
                  </w:rPr>
                  <w:t>70.00</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319780207"/>
          <w:placeholder>
            <w:docPart w:val="{cd1c4de7-43a1-48e7-8225-68fe5757986f}"/>
          </w:placeholder>
        </w:sdtPr>
        <w:sdtEndPr>
          <w:rPr>
            <w:rFonts w:cs="Times New Roman"/>
            <w:color w:val="000000" w:themeColor="text1"/>
            <w14:textFill>
              <w14:solidFill>
                <w14:schemeClr w14:val="tx1"/>
              </w14:solidFill>
            </w14:textFill>
          </w:rPr>
        </w:sdtEndPr>
        <w:sdtContent>
          <w:tr w14:paraId="70FE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09D86D6">
                <w:pPr>
                  <w:rPr>
                    <w:rFonts w:cs="Times New Roman"/>
                  </w:rPr>
                </w:pPr>
                <w:r>
                  <w:rPr>
                    <w:rFonts w:cs="Times New Roman"/>
                  </w:rPr>
                  <w:t>4－5年</w:t>
                </w:r>
              </w:p>
            </w:tc>
            <w:tc>
              <w:tcPr>
                <w:tcW w:w="1276" w:type="pct"/>
                <w:vAlign w:val="center"/>
              </w:tcPr>
              <w:p w14:paraId="3560E5B6">
                <w:pPr>
                  <w:jc w:val="right"/>
                  <w:rPr>
                    <w:rFonts w:cs="Times New Roman"/>
                  </w:rPr>
                </w:pPr>
                <w:r>
                  <w:rPr>
                    <w:rFonts w:cs="Times New Roman"/>
                  </w:rPr>
                  <w:t>14,936,109.02</w:t>
                </w:r>
              </w:p>
            </w:tc>
            <w:tc>
              <w:tcPr>
                <w:tcW w:w="1299" w:type="pct"/>
                <w:vAlign w:val="center"/>
              </w:tcPr>
              <w:p w14:paraId="14AD4A54">
                <w:pPr>
                  <w:jc w:val="right"/>
                  <w:rPr>
                    <w:rFonts w:cs="Times New Roman"/>
                  </w:rPr>
                </w:pPr>
                <w:r>
                  <w:rPr>
                    <w:rFonts w:cs="Times New Roman"/>
                  </w:rPr>
                  <w:t>11,948,887.22</w:t>
                </w:r>
              </w:p>
            </w:tc>
            <w:tc>
              <w:tcPr>
                <w:tcW w:w="1267" w:type="pct"/>
                <w:vAlign w:val="center"/>
              </w:tcPr>
              <w:p w14:paraId="0058BCE6">
                <w:pPr>
                  <w:jc w:val="right"/>
                  <w:rPr>
                    <w:rFonts w:cs="Times New Roman"/>
                  </w:rPr>
                </w:pPr>
                <w:r>
                  <w:rPr>
                    <w:rFonts w:cs="Times New Roman"/>
                  </w:rPr>
                  <w:t>80.00</w:t>
                </w:r>
              </w:p>
            </w:tc>
          </w:tr>
        </w:sdtContent>
      </w:sdt>
      <w:sdt>
        <w:sdtPr>
          <w:rPr>
            <w:rFonts w:cs="Times New Roman"/>
            <w:color w:val="000000" w:themeColor="text1"/>
            <w14:textFill>
              <w14:solidFill>
                <w14:schemeClr w14:val="tx1"/>
              </w14:solidFill>
            </w14:textFill>
          </w:rPr>
          <w:alias w:val="按组合计提坏账准备的应收账款详细名称明细"/>
          <w:tag w:val="_TUP_787dccbb6b7545edb25916e256cf8697"/>
          <w:id w:val="1841048132"/>
          <w:placeholder>
            <w:docPart w:val="{cd1c4de7-43a1-48e7-8225-68fe5757986f}"/>
          </w:placeholder>
        </w:sdtPr>
        <w:sdtEndPr>
          <w:rPr>
            <w:rFonts w:cs="Times New Roman"/>
            <w:color w:val="000000" w:themeColor="text1"/>
            <w14:textFill>
              <w14:solidFill>
                <w14:schemeClr w14:val="tx1"/>
              </w14:solidFill>
            </w14:textFill>
          </w:rPr>
        </w:sdtEndPr>
        <w:sdtContent>
          <w:tr w14:paraId="3DC2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7BF0628">
                <w:pPr>
                  <w:rPr>
                    <w:rFonts w:cs="Times New Roman"/>
                  </w:rPr>
                </w:pPr>
                <w:r>
                  <w:rPr>
                    <w:rFonts w:cs="Times New Roman"/>
                  </w:rPr>
                  <w:t>5年以上</w:t>
                </w:r>
              </w:p>
            </w:tc>
            <w:tc>
              <w:tcPr>
                <w:tcW w:w="1276" w:type="pct"/>
                <w:vAlign w:val="center"/>
              </w:tcPr>
              <w:p w14:paraId="49522846">
                <w:pPr>
                  <w:jc w:val="right"/>
                  <w:rPr>
                    <w:rFonts w:cs="Times New Roman"/>
                  </w:rPr>
                </w:pPr>
                <w:r>
                  <w:rPr>
                    <w:rFonts w:cs="Times New Roman"/>
                  </w:rPr>
                  <w:t>210,237,937.23</w:t>
                </w:r>
              </w:p>
            </w:tc>
            <w:tc>
              <w:tcPr>
                <w:tcW w:w="1299" w:type="pct"/>
                <w:vAlign w:val="center"/>
              </w:tcPr>
              <w:p w14:paraId="69FB65E9">
                <w:pPr>
                  <w:jc w:val="right"/>
                  <w:rPr>
                    <w:rFonts w:cs="Times New Roman"/>
                  </w:rPr>
                </w:pPr>
                <w:r>
                  <w:rPr>
                    <w:rFonts w:cs="Times New Roman"/>
                  </w:rPr>
                  <w:t>210,237,937.23</w:t>
                </w:r>
              </w:p>
            </w:tc>
            <w:tc>
              <w:tcPr>
                <w:tcW w:w="1267" w:type="pct"/>
                <w:vAlign w:val="center"/>
              </w:tcPr>
              <w:p w14:paraId="7D6DAA9F">
                <w:pPr>
                  <w:jc w:val="right"/>
                  <w:rPr>
                    <w:rFonts w:cs="Times New Roman"/>
                  </w:rPr>
                </w:pPr>
                <w:r>
                  <w:rPr>
                    <w:rFonts w:cs="Times New Roman"/>
                  </w:rPr>
                  <w:t>100.00</w:t>
                </w:r>
              </w:p>
            </w:tc>
          </w:tr>
        </w:sdtContent>
      </w:sdt>
      <w:tr w14:paraId="0919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9a3bf225ae544565ad2cb49381fcaca1"/>
            <w:id w:val="-1194227993"/>
          </w:sdtPr>
          <w:sdtEndPr>
            <w:rPr>
              <w:rFonts w:cs="Times New Roman"/>
            </w:rPr>
          </w:sdtEndPr>
          <w:sdtContent>
            <w:tc>
              <w:tcPr>
                <w:tcW w:w="1158" w:type="pct"/>
                <w:vAlign w:val="center"/>
              </w:tcPr>
              <w:p w14:paraId="6670161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276" w:type="pct"/>
            <w:vAlign w:val="center"/>
          </w:tcPr>
          <w:p w14:paraId="7B9C346C">
            <w:pPr>
              <w:jc w:val="right"/>
              <w:rPr>
                <w:rFonts w:cs="Times New Roman"/>
              </w:rPr>
            </w:pPr>
            <w:r>
              <w:rPr>
                <w:rFonts w:cs="Times New Roman"/>
              </w:rPr>
              <w:t>1,643,202,677.22</w:t>
            </w:r>
          </w:p>
        </w:tc>
        <w:tc>
          <w:tcPr>
            <w:tcW w:w="1299" w:type="pct"/>
            <w:vAlign w:val="center"/>
          </w:tcPr>
          <w:p w14:paraId="46DB8A0D">
            <w:pPr>
              <w:jc w:val="right"/>
              <w:rPr>
                <w:rFonts w:cs="Times New Roman"/>
              </w:rPr>
            </w:pPr>
            <w:r>
              <w:rPr>
                <w:rFonts w:cs="Times New Roman"/>
              </w:rPr>
              <w:t>273,554,766.35</w:t>
            </w:r>
          </w:p>
        </w:tc>
        <w:tc>
          <w:tcPr>
            <w:tcW w:w="1267" w:type="pct"/>
            <w:vAlign w:val="center"/>
          </w:tcPr>
          <w:p w14:paraId="3FEA91EB">
            <w:pPr>
              <w:jc w:val="right"/>
              <w:rPr>
                <w:rFonts w:cs="Times New Roman"/>
              </w:rPr>
            </w:pPr>
            <w:r>
              <w:rPr>
                <w:rFonts w:cs="Times New Roman"/>
              </w:rPr>
              <w:t>16.65</w:t>
            </w:r>
          </w:p>
        </w:tc>
      </w:tr>
    </w:tbl>
    <w:p w14:paraId="24573D7B">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账款确认标准[双击切换]"/>
        <w:tag w:val="_GBC_8361cfeb973b4073b7fdbd49a393b38c"/>
        <w:id w:val="-1552529724"/>
      </w:sdtPr>
      <w:sdtEndPr>
        <w:rPr>
          <w:color w:val="000000" w:themeColor="text1"/>
          <w14:textFill>
            <w14:solidFill>
              <w14:schemeClr w14:val="tx1"/>
            </w14:solidFill>
          </w14:textFill>
        </w:rPr>
      </w:sdtEndPr>
      <w:sdtContent>
        <w:p w14:paraId="740764C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E43031F">
      <w:pPr>
        <w:rPr>
          <w:color w:val="000000" w:themeColor="text1"/>
          <w14:textFill>
            <w14:solidFill>
              <w14:schemeClr w14:val="tx1"/>
            </w14:solidFill>
          </w14:textFill>
        </w:rPr>
      </w:pPr>
    </w:p>
    <w:bookmarkEnd w:id="209"/>
    <w:bookmarkEnd w:id="210"/>
    <w:p w14:paraId="1BB106C8">
      <w:pPr>
        <w:rPr>
          <w:rFonts w:cstheme="minorBidi"/>
          <w:bCs w:val="0"/>
          <w:color w:val="000000" w:themeColor="text1"/>
          <w:szCs w:val="22"/>
          <w14:textFill>
            <w14:solidFill>
              <w14:schemeClr w14:val="tx1"/>
            </w14:solidFill>
          </w14:textFill>
        </w:rPr>
      </w:pPr>
      <w:bookmarkStart w:id="211" w:name="_Hlk153357523"/>
      <w:bookmarkStart w:id="212" w:name="_Hlk154134618"/>
      <w:bookmarkStart w:id="213" w:name="_Hlk167885281"/>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1d19b1b69e8344f18b14e15d329edea7"/>
        <w:id w:val="147481766"/>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7AF52A08">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1709B414">
      <w:pPr>
        <w:rPr>
          <w:color w:val="000000" w:themeColor="text1"/>
          <w14:textFill>
            <w14:solidFill>
              <w14:schemeClr w14:val="tx1"/>
            </w14:solidFill>
          </w14:textFill>
        </w:rPr>
      </w:pPr>
    </w:p>
    <w:p w14:paraId="369CD624">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d8e8411c0a8c4c56aa732db88b5aee2e"/>
        <w:id w:val="147457609"/>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67947A94">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具体内容详见五、13</w:t>
          </w:r>
        </w:p>
      </w:sdtContent>
    </w:sdt>
    <w:p w14:paraId="67FC9C29">
      <w:pPr>
        <w:rPr>
          <w:rFonts w:asciiTheme="minorHAnsi" w:hAnsiTheme="minorHAnsi" w:cstheme="minorBidi"/>
          <w:b/>
          <w:bCs w:val="0"/>
          <w:color w:val="000000" w:themeColor="text1"/>
          <w:szCs w:val="22"/>
          <w14:textFill>
            <w14:solidFill>
              <w14:schemeClr w14:val="tx1"/>
            </w14:solidFill>
          </w14:textFill>
        </w:rPr>
      </w:pPr>
    </w:p>
    <w:p w14:paraId="33FC5900">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对本期发生损失准备变动的应收账款账面余额显著变动的情况说明：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69f0a67a74b04da0bfa388cc3243da42"/>
        <w:id w:val="147477754"/>
        <w:placeholder>
          <w:docPart w:val="GBC22222222222222222222222222222"/>
        </w:placeholder>
      </w:sdtPr>
      <w:sdtEndPr>
        <w:rPr>
          <w:color w:val="000000" w:themeColor="text1"/>
          <w14:textFill>
            <w14:solidFill>
              <w14:schemeClr w14:val="tx1"/>
            </w14:solidFill>
          </w14:textFill>
        </w:rPr>
      </w:sdtEndPr>
      <w:sdtContent>
        <w:p w14:paraId="3A33B426">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5C14350">
      <w:pPr>
        <w:rPr>
          <w:rFonts w:asciiTheme="minorHAnsi" w:hAnsiTheme="minorHAnsi" w:cstheme="minorBidi"/>
          <w:b/>
          <w:bCs w:val="0"/>
          <w:color w:val="000000" w:themeColor="text1"/>
          <w:szCs w:val="22"/>
          <w14:textFill>
            <w14:solidFill>
              <w14:schemeClr w14:val="tx1"/>
            </w14:solidFill>
          </w14:textFill>
        </w:rPr>
      </w:pPr>
    </w:p>
    <w:bookmarkEnd w:id="211"/>
    <w:bookmarkEnd w:id="212"/>
    <w:bookmarkEnd w:id="213"/>
    <w:p w14:paraId="6972FA71">
      <w:pPr>
        <w:pStyle w:val="58"/>
        <w:numPr>
          <w:ilvl w:val="3"/>
          <w:numId w:val="56"/>
        </w:numPr>
        <w:ind w:left="426" w:hanging="426"/>
        <w:rPr>
          <w:color w:val="000000" w:themeColor="text1"/>
          <w14:textFill>
            <w14:solidFill>
              <w14:schemeClr w14:val="tx1"/>
            </w14:solidFill>
          </w14:textFill>
        </w:rPr>
      </w:pPr>
      <w:bookmarkStart w:id="214" w:name="_Hlk10467433"/>
      <w:r>
        <w:rPr>
          <w:rFonts w:hint="eastAsia"/>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应收账款坏账准备[双击切换]"/>
        <w:tag w:val="_GBC_fb482eb90dbc45c4a6420c45e8a46012"/>
        <w:id w:val="573091477"/>
      </w:sdtPr>
      <w:sdtEndPr>
        <w:rPr>
          <w:color w:val="000000" w:themeColor="text1"/>
          <w14:textFill>
            <w14:solidFill>
              <w14:schemeClr w14:val="tx1"/>
            </w14:solidFill>
          </w14:textFill>
        </w:rPr>
      </w:sdtEndPr>
      <w:sdtContent>
        <w:p w14:paraId="0ED86AF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02FC0A6">
      <w:pPr>
        <w:pStyle w:val="50"/>
        <w:snapToGrid w:val="0"/>
        <w:spacing w:line="240" w:lineRule="atLeast"/>
        <w:ind w:left="42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应收账款坏账准备"/>
          <w:tag w:val="_GBC_f681542ff42f497c9ed44328f301413f"/>
          <w:id w:val="-344477220"/>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应收账款坏账准备"/>
          <w:tag w:val="_GBC_79f82daaad1749fbb117cea0941b8667"/>
          <w:id w:val="-130337868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847"/>
        <w:gridCol w:w="1440"/>
        <w:gridCol w:w="1282"/>
        <w:gridCol w:w="1260"/>
        <w:gridCol w:w="1057"/>
        <w:gridCol w:w="744"/>
        <w:gridCol w:w="1429"/>
      </w:tblGrid>
      <w:tr w14:paraId="05AE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color w:val="000000" w:themeColor="text1"/>
              <w14:textFill>
                <w14:solidFill>
                  <w14:schemeClr w14:val="tx1"/>
                </w14:solidFill>
              </w14:textFill>
            </w:rPr>
            <w:tag w:val="_PLD_82b0419f5c784cbe8b363ff715cfd4eb"/>
            <w:id w:val="566922888"/>
          </w:sdtPr>
          <w:sdtEndPr>
            <w:rPr>
              <w:color w:val="000000" w:themeColor="text1"/>
              <w14:textFill>
                <w14:solidFill>
                  <w14:schemeClr w14:val="tx1"/>
                </w14:solidFill>
              </w14:textFill>
            </w:rPr>
          </w:sdtEndPr>
          <w:sdtContent>
            <w:tc>
              <w:tcPr>
                <w:tcW w:w="1019" w:type="pct"/>
                <w:vMerge w:val="restart"/>
                <w:shd w:val="clear" w:color="auto" w:fill="auto"/>
                <w:vAlign w:val="center"/>
              </w:tcPr>
              <w:p w14:paraId="575926F6">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rPr>
              <w:color w:val="000000" w:themeColor="text1"/>
              <w14:textFill>
                <w14:solidFill>
                  <w14:schemeClr w14:val="tx1"/>
                </w14:solidFill>
              </w14:textFill>
            </w:rPr>
            <w:tag w:val="_PLD_6cba2c33cb334541980e3e13a6ee357d"/>
            <w:id w:val="1235809889"/>
          </w:sdtPr>
          <w:sdtEndPr>
            <w:rPr>
              <w:color w:val="000000" w:themeColor="text1"/>
              <w14:textFill>
                <w14:solidFill>
                  <w14:schemeClr w14:val="tx1"/>
                </w14:solidFill>
              </w14:textFill>
            </w:rPr>
          </w:sdtEndPr>
          <w:sdtContent>
            <w:tc>
              <w:tcPr>
                <w:tcW w:w="794" w:type="pct"/>
                <w:vMerge w:val="restart"/>
                <w:shd w:val="clear" w:color="auto" w:fill="auto"/>
                <w:vAlign w:val="center"/>
              </w:tcPr>
              <w:p w14:paraId="53DF0B82">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rPr>
              <w:color w:val="000000" w:themeColor="text1"/>
              <w14:textFill>
                <w14:solidFill>
                  <w14:schemeClr w14:val="tx1"/>
                </w14:solidFill>
              </w14:textFill>
            </w:rPr>
            <w:tag w:val="_PLD_ec3d2e2cde2a4ba29c966861f9ca39c7"/>
            <w:id w:val="1336885162"/>
          </w:sdtPr>
          <w:sdtEndPr>
            <w:rPr>
              <w:color w:val="000000" w:themeColor="text1"/>
              <w14:textFill>
                <w14:solidFill>
                  <w14:schemeClr w14:val="tx1"/>
                </w14:solidFill>
              </w14:textFill>
            </w:rPr>
          </w:sdtEndPr>
          <w:sdtContent>
            <w:tc>
              <w:tcPr>
                <w:tcW w:w="2396" w:type="pct"/>
                <w:gridSpan w:val="4"/>
                <w:shd w:val="clear" w:color="auto" w:fill="auto"/>
                <w:vAlign w:val="center"/>
              </w:tcPr>
              <w:p w14:paraId="2BB6C98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9c167d6d72f94e22aecc39ba0e735a78"/>
            <w:id w:val="-1159307560"/>
          </w:sdtPr>
          <w:sdtContent>
            <w:tc>
              <w:tcPr>
                <w:tcW w:w="789" w:type="pct"/>
                <w:vMerge w:val="restart"/>
                <w:shd w:val="clear" w:color="auto" w:fill="auto"/>
                <w:vAlign w:val="center"/>
              </w:tcPr>
              <w:p w14:paraId="2831E839">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1249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19" w:type="pct"/>
            <w:vMerge w:val="continue"/>
            <w:shd w:val="clear" w:color="auto" w:fill="auto"/>
          </w:tcPr>
          <w:p w14:paraId="22293450">
            <w:pPr>
              <w:widowControl w:val="0"/>
              <w:jc w:val="center"/>
              <w:rPr>
                <w:color w:val="000000" w:themeColor="text1"/>
                <w14:textFill>
                  <w14:solidFill>
                    <w14:schemeClr w14:val="tx1"/>
                  </w14:solidFill>
                </w14:textFill>
              </w:rPr>
            </w:pPr>
          </w:p>
        </w:tc>
        <w:tc>
          <w:tcPr>
            <w:tcW w:w="794" w:type="pct"/>
            <w:vMerge w:val="continue"/>
            <w:shd w:val="clear" w:color="auto" w:fill="auto"/>
          </w:tcPr>
          <w:p w14:paraId="6FD8849C">
            <w:pPr>
              <w:widowControl w:val="0"/>
              <w:jc w:val="center"/>
              <w:rPr>
                <w:color w:val="000000" w:themeColor="text1"/>
                <w14:textFill>
                  <w14:solidFill>
                    <w14:schemeClr w14:val="tx1"/>
                  </w14:solidFill>
                </w14:textFill>
              </w:rPr>
            </w:pPr>
          </w:p>
        </w:tc>
        <w:sdt>
          <w:sdtPr>
            <w:rPr>
              <w:color w:val="000000" w:themeColor="text1"/>
              <w14:textFill>
                <w14:solidFill>
                  <w14:schemeClr w14:val="tx1"/>
                </w14:solidFill>
              </w14:textFill>
            </w:rPr>
            <w:tag w:val="_PLD_6cba23a5661e46c88bed469159b39a72"/>
            <w:id w:val="-765464885"/>
          </w:sdtPr>
          <w:sdtEndPr>
            <w:rPr>
              <w:color w:val="000000" w:themeColor="text1"/>
              <w14:textFill>
                <w14:solidFill>
                  <w14:schemeClr w14:val="tx1"/>
                </w14:solidFill>
              </w14:textFill>
            </w:rPr>
          </w:sdtEndPr>
          <w:sdtContent>
            <w:tc>
              <w:tcPr>
                <w:tcW w:w="707" w:type="pct"/>
                <w:shd w:val="clear" w:color="auto" w:fill="auto"/>
                <w:vAlign w:val="center"/>
              </w:tcPr>
              <w:p w14:paraId="4D27FCB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rPr>
              <w:color w:val="000000" w:themeColor="text1"/>
              <w14:textFill>
                <w14:solidFill>
                  <w14:schemeClr w14:val="tx1"/>
                </w14:solidFill>
              </w14:textFill>
            </w:rPr>
            <w:tag w:val="_PLD_eaa82901608843c6947a0e537e8e0700"/>
            <w:id w:val="1190730177"/>
          </w:sdtPr>
          <w:sdtEndPr>
            <w:rPr>
              <w:color w:val="000000" w:themeColor="text1"/>
              <w14:textFill>
                <w14:solidFill>
                  <w14:schemeClr w14:val="tx1"/>
                </w14:solidFill>
              </w14:textFill>
            </w:rPr>
          </w:sdtEndPr>
          <w:sdtContent>
            <w:tc>
              <w:tcPr>
                <w:tcW w:w="695" w:type="pct"/>
                <w:shd w:val="clear" w:color="auto" w:fill="auto"/>
                <w:vAlign w:val="center"/>
              </w:tcPr>
              <w:p w14:paraId="02ADE12A">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tc>
          <w:tcPr>
            <w:tcW w:w="583" w:type="pct"/>
            <w:shd w:val="clear" w:color="auto" w:fill="auto"/>
            <w:vAlign w:val="center"/>
          </w:tcPr>
          <w:sdt>
            <w:sdtPr>
              <w:rPr>
                <w:color w:val="000000" w:themeColor="text1"/>
                <w14:textFill>
                  <w14:solidFill>
                    <w14:schemeClr w14:val="tx1"/>
                  </w14:solidFill>
                </w14:textFill>
              </w:rPr>
              <w:tag w:val="_PLD_4232da6e7f4d498bb5fd03aa253dd7d4"/>
              <w:id w:val="1181166364"/>
            </w:sdtPr>
            <w:sdtEndPr>
              <w:rPr>
                <w:color w:val="000000" w:themeColor="text1"/>
                <w14:textFill>
                  <w14:solidFill>
                    <w14:schemeClr w14:val="tx1"/>
                  </w14:solidFill>
                </w14:textFill>
              </w:rPr>
            </w:sdtEndPr>
            <w:sdtContent>
              <w:p w14:paraId="3F66CC5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w:t>
                </w:r>
              </w:p>
              <w:p w14:paraId="74029A1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核销</w:t>
                </w:r>
              </w:p>
            </w:sdtContent>
          </w:sdt>
        </w:tc>
        <w:tc>
          <w:tcPr>
            <w:tcW w:w="410" w:type="pct"/>
            <w:shd w:val="clear" w:color="auto" w:fill="auto"/>
            <w:vAlign w:val="center"/>
          </w:tcPr>
          <w:sdt>
            <w:sdtPr>
              <w:rPr>
                <w:color w:val="000000" w:themeColor="text1"/>
                <w14:textFill>
                  <w14:solidFill>
                    <w14:schemeClr w14:val="tx1"/>
                  </w14:solidFill>
                </w14:textFill>
              </w:rPr>
              <w:tag w:val="_PLD_6a40df7ca60f4ded8af3453519948166"/>
              <w:id w:val="601228490"/>
            </w:sdtPr>
            <w:sdtEndPr>
              <w:rPr>
                <w:color w:val="000000" w:themeColor="text1"/>
                <w14:textFill>
                  <w14:solidFill>
                    <w14:schemeClr w14:val="tx1"/>
                  </w14:solidFill>
                </w14:textFill>
              </w:rPr>
            </w:sdtEndPr>
            <w:sdtContent>
              <w:p w14:paraId="53751F6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p w14:paraId="04FCD42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变动</w:t>
                </w:r>
              </w:p>
            </w:sdtContent>
          </w:sdt>
        </w:tc>
        <w:tc>
          <w:tcPr>
            <w:tcW w:w="789" w:type="pct"/>
            <w:vMerge w:val="continue"/>
            <w:shd w:val="clear" w:color="auto" w:fill="auto"/>
          </w:tcPr>
          <w:p w14:paraId="745352DF">
            <w:pPr>
              <w:widowControl w:val="0"/>
              <w:jc w:val="right"/>
              <w:rPr>
                <w:color w:val="000000" w:themeColor="text1"/>
                <w14:textFill>
                  <w14:solidFill>
                    <w14:schemeClr w14:val="tx1"/>
                  </w14:solidFill>
                </w14:textFill>
              </w:rPr>
            </w:pPr>
          </w:p>
        </w:tc>
      </w:tr>
      <w:tr w14:paraId="58DD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19" w:type="pct"/>
          </w:tcPr>
          <w:p w14:paraId="5FEF3946">
            <w:pPr>
              <w:widowControl w:val="0"/>
            </w:pPr>
            <w:r>
              <w:rPr>
                <w:rFonts w:hint="eastAsia"/>
              </w:rPr>
              <w:t>单项计提预期信用损失的应收账款</w:t>
            </w:r>
          </w:p>
        </w:tc>
        <w:tc>
          <w:tcPr>
            <w:tcW w:w="794" w:type="pct"/>
            <w:vAlign w:val="center"/>
          </w:tcPr>
          <w:p w14:paraId="36B95CAC">
            <w:pPr>
              <w:widowControl w:val="0"/>
              <w:jc w:val="right"/>
              <w:rPr>
                <w:sz w:val="18"/>
                <w:szCs w:val="18"/>
              </w:rPr>
            </w:pPr>
            <w:r>
              <w:rPr>
                <w:rFonts w:hint="eastAsia"/>
                <w:sz w:val="18"/>
                <w:szCs w:val="18"/>
              </w:rPr>
              <w:t>204,343,818.91</w:t>
            </w:r>
          </w:p>
        </w:tc>
        <w:tc>
          <w:tcPr>
            <w:tcW w:w="707" w:type="pct"/>
            <w:vAlign w:val="center"/>
          </w:tcPr>
          <w:p w14:paraId="06145F69">
            <w:pPr>
              <w:widowControl w:val="0"/>
              <w:jc w:val="right"/>
              <w:rPr>
                <w:sz w:val="18"/>
                <w:szCs w:val="18"/>
              </w:rPr>
            </w:pPr>
            <w:r>
              <w:rPr>
                <w:rFonts w:hint="eastAsia"/>
                <w:sz w:val="18"/>
                <w:szCs w:val="18"/>
              </w:rPr>
              <w:t>1,565,857.07</w:t>
            </w:r>
          </w:p>
        </w:tc>
        <w:tc>
          <w:tcPr>
            <w:tcW w:w="695" w:type="pct"/>
            <w:vAlign w:val="center"/>
          </w:tcPr>
          <w:p w14:paraId="7D6B830A">
            <w:pPr>
              <w:widowControl w:val="0"/>
              <w:jc w:val="right"/>
              <w:rPr>
                <w:sz w:val="18"/>
                <w:szCs w:val="18"/>
              </w:rPr>
            </w:pPr>
            <w:r>
              <w:rPr>
                <w:rFonts w:hint="eastAsia"/>
                <w:sz w:val="18"/>
                <w:szCs w:val="18"/>
              </w:rPr>
              <w:t>1,150,268.22</w:t>
            </w:r>
          </w:p>
        </w:tc>
        <w:tc>
          <w:tcPr>
            <w:tcW w:w="583" w:type="pct"/>
            <w:vAlign w:val="center"/>
          </w:tcPr>
          <w:p w14:paraId="0A47AF86">
            <w:pPr>
              <w:widowControl w:val="0"/>
              <w:jc w:val="right"/>
              <w:rPr>
                <w:sz w:val="18"/>
                <w:szCs w:val="18"/>
              </w:rPr>
            </w:pPr>
          </w:p>
        </w:tc>
        <w:tc>
          <w:tcPr>
            <w:tcW w:w="410" w:type="pct"/>
            <w:vAlign w:val="center"/>
          </w:tcPr>
          <w:p w14:paraId="1AF6785E">
            <w:pPr>
              <w:widowControl w:val="0"/>
              <w:jc w:val="right"/>
              <w:rPr>
                <w:sz w:val="18"/>
                <w:szCs w:val="18"/>
              </w:rPr>
            </w:pPr>
          </w:p>
        </w:tc>
        <w:tc>
          <w:tcPr>
            <w:tcW w:w="789" w:type="pct"/>
            <w:vAlign w:val="center"/>
          </w:tcPr>
          <w:p w14:paraId="56D1A98C">
            <w:pPr>
              <w:widowControl w:val="0"/>
              <w:jc w:val="right"/>
              <w:rPr>
                <w:sz w:val="18"/>
                <w:szCs w:val="18"/>
              </w:rPr>
            </w:pPr>
            <w:r>
              <w:rPr>
                <w:rFonts w:hint="eastAsia"/>
                <w:sz w:val="18"/>
                <w:szCs w:val="18"/>
              </w:rPr>
              <w:t>204,759,407.76</w:t>
            </w:r>
          </w:p>
        </w:tc>
      </w:tr>
      <w:sdt>
        <w:sdtPr>
          <w:rPr>
            <w:color w:val="000000" w:themeColor="text1"/>
            <w14:textFill>
              <w14:solidFill>
                <w14:schemeClr w14:val="tx1"/>
              </w14:solidFill>
            </w14:textFill>
          </w:rPr>
          <w:alias w:val="应收账款坏账准备明细"/>
          <w:tag w:val="_TUP_04277916d7e64096951ac7654a59b39a"/>
          <w:id w:val="-128786596"/>
          <w:placeholder>
            <w:docPart w:val="{5b714b37-0811-4c63-b97b-7224f2d7e8a0}"/>
          </w:placeholder>
        </w:sdtPr>
        <w:sdtEndPr>
          <w:rPr>
            <w:color w:val="000000" w:themeColor="text1"/>
            <w:sz w:val="18"/>
            <w:szCs w:val="18"/>
            <w14:textFill>
              <w14:solidFill>
                <w14:schemeClr w14:val="tx1"/>
              </w14:solidFill>
            </w14:textFill>
          </w:rPr>
        </w:sdtEndPr>
        <w:sdtContent>
          <w:tr w14:paraId="11BF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019" w:type="pct"/>
              </w:tcPr>
              <w:p w14:paraId="0BB1CD22">
                <w:pPr>
                  <w:widowControl w:val="0"/>
                </w:pPr>
                <w:r>
                  <w:rPr>
                    <w:rFonts w:hint="eastAsia"/>
                  </w:rPr>
                  <w:t>按组合计提预期信用损失的应收账款</w:t>
                </w:r>
              </w:p>
            </w:tc>
            <w:tc>
              <w:tcPr>
                <w:tcW w:w="794" w:type="pct"/>
                <w:vAlign w:val="center"/>
              </w:tcPr>
              <w:p w14:paraId="7B9B9262">
                <w:pPr>
                  <w:widowControl w:val="0"/>
                  <w:jc w:val="right"/>
                  <w:rPr>
                    <w:sz w:val="18"/>
                    <w:szCs w:val="18"/>
                  </w:rPr>
                </w:pPr>
                <w:r>
                  <w:rPr>
                    <w:rFonts w:hint="eastAsia"/>
                    <w:sz w:val="18"/>
                    <w:szCs w:val="18"/>
                  </w:rPr>
                  <w:t>306,158,655.66</w:t>
                </w:r>
              </w:p>
            </w:tc>
            <w:tc>
              <w:tcPr>
                <w:tcW w:w="707" w:type="pct"/>
                <w:vAlign w:val="center"/>
              </w:tcPr>
              <w:p w14:paraId="18BA5C3D">
                <w:pPr>
                  <w:widowControl w:val="0"/>
                  <w:jc w:val="right"/>
                  <w:rPr>
                    <w:sz w:val="18"/>
                    <w:szCs w:val="18"/>
                  </w:rPr>
                </w:pPr>
                <w:r>
                  <w:rPr>
                    <w:rFonts w:hint="eastAsia"/>
                    <w:sz w:val="18"/>
                    <w:szCs w:val="18"/>
                  </w:rPr>
                  <w:t>-2,637,799.19</w:t>
                </w:r>
              </w:p>
            </w:tc>
            <w:tc>
              <w:tcPr>
                <w:tcW w:w="695" w:type="pct"/>
                <w:vAlign w:val="center"/>
              </w:tcPr>
              <w:p w14:paraId="491786D5">
                <w:pPr>
                  <w:widowControl w:val="0"/>
                  <w:jc w:val="right"/>
                  <w:rPr>
                    <w:sz w:val="18"/>
                    <w:szCs w:val="18"/>
                  </w:rPr>
                </w:pPr>
              </w:p>
            </w:tc>
            <w:tc>
              <w:tcPr>
                <w:tcW w:w="583" w:type="pct"/>
                <w:vAlign w:val="center"/>
              </w:tcPr>
              <w:p w14:paraId="1FC3ECE0">
                <w:pPr>
                  <w:widowControl w:val="0"/>
                  <w:jc w:val="right"/>
                  <w:rPr>
                    <w:sz w:val="18"/>
                    <w:szCs w:val="18"/>
                  </w:rPr>
                </w:pPr>
                <w:r>
                  <w:rPr>
                    <w:rFonts w:hint="eastAsia"/>
                    <w:sz w:val="18"/>
                    <w:szCs w:val="18"/>
                  </w:rPr>
                  <w:t>30,262.53</w:t>
                </w:r>
              </w:p>
            </w:tc>
            <w:tc>
              <w:tcPr>
                <w:tcW w:w="410" w:type="pct"/>
                <w:vAlign w:val="center"/>
              </w:tcPr>
              <w:p w14:paraId="1820F4BE">
                <w:pPr>
                  <w:widowControl w:val="0"/>
                  <w:jc w:val="right"/>
                  <w:rPr>
                    <w:sz w:val="18"/>
                    <w:szCs w:val="18"/>
                  </w:rPr>
                </w:pPr>
              </w:p>
            </w:tc>
            <w:tc>
              <w:tcPr>
                <w:tcW w:w="789" w:type="pct"/>
                <w:vAlign w:val="center"/>
              </w:tcPr>
              <w:p w14:paraId="31DBBDEE">
                <w:pPr>
                  <w:widowControl w:val="0"/>
                  <w:jc w:val="right"/>
                  <w:rPr>
                    <w:sz w:val="18"/>
                    <w:szCs w:val="18"/>
                  </w:rPr>
                </w:pPr>
                <w:r>
                  <w:rPr>
                    <w:rFonts w:hint="eastAsia"/>
                    <w:sz w:val="18"/>
                    <w:szCs w:val="18"/>
                  </w:rPr>
                  <w:t>303,490,593.94</w:t>
                </w:r>
              </w:p>
            </w:tc>
          </w:tr>
        </w:sdtContent>
      </w:sdt>
      <w:tr w14:paraId="7C3C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8c958a5c94c1486e8139bef49c636c6d"/>
            <w:id w:val="723797107"/>
          </w:sdtPr>
          <w:sdtContent>
            <w:tc>
              <w:tcPr>
                <w:tcW w:w="1019" w:type="pct"/>
              </w:tcPr>
              <w:p w14:paraId="7356847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794" w:type="pct"/>
            <w:vAlign w:val="center"/>
          </w:tcPr>
          <w:p w14:paraId="4E8ED81D">
            <w:pPr>
              <w:widowControl w:val="0"/>
              <w:jc w:val="right"/>
              <w:rPr>
                <w:sz w:val="18"/>
                <w:szCs w:val="18"/>
              </w:rPr>
            </w:pPr>
            <w:r>
              <w:rPr>
                <w:rFonts w:hint="eastAsia"/>
                <w:sz w:val="18"/>
                <w:szCs w:val="18"/>
              </w:rPr>
              <w:t>510,502,474.57</w:t>
            </w:r>
          </w:p>
        </w:tc>
        <w:tc>
          <w:tcPr>
            <w:tcW w:w="707" w:type="pct"/>
            <w:vAlign w:val="center"/>
          </w:tcPr>
          <w:p w14:paraId="70AA6FB0">
            <w:pPr>
              <w:widowControl w:val="0"/>
              <w:jc w:val="right"/>
              <w:rPr>
                <w:sz w:val="18"/>
                <w:szCs w:val="18"/>
              </w:rPr>
            </w:pPr>
            <w:r>
              <w:rPr>
                <w:rFonts w:hint="eastAsia"/>
                <w:sz w:val="18"/>
                <w:szCs w:val="18"/>
              </w:rPr>
              <w:t>-1,071,942.12</w:t>
            </w:r>
          </w:p>
        </w:tc>
        <w:tc>
          <w:tcPr>
            <w:tcW w:w="695" w:type="pct"/>
            <w:vAlign w:val="center"/>
          </w:tcPr>
          <w:p w14:paraId="1B0301D2">
            <w:pPr>
              <w:widowControl w:val="0"/>
              <w:jc w:val="right"/>
              <w:rPr>
                <w:sz w:val="18"/>
                <w:szCs w:val="18"/>
              </w:rPr>
            </w:pPr>
            <w:r>
              <w:rPr>
                <w:rFonts w:hint="eastAsia"/>
                <w:sz w:val="18"/>
                <w:szCs w:val="18"/>
              </w:rPr>
              <w:t>1,150,268.22</w:t>
            </w:r>
          </w:p>
        </w:tc>
        <w:tc>
          <w:tcPr>
            <w:tcW w:w="583" w:type="pct"/>
            <w:vAlign w:val="center"/>
          </w:tcPr>
          <w:p w14:paraId="06449B4D">
            <w:pPr>
              <w:widowControl w:val="0"/>
              <w:jc w:val="right"/>
              <w:rPr>
                <w:sz w:val="18"/>
                <w:szCs w:val="18"/>
              </w:rPr>
            </w:pPr>
            <w:r>
              <w:rPr>
                <w:rFonts w:hint="eastAsia"/>
                <w:sz w:val="18"/>
                <w:szCs w:val="18"/>
              </w:rPr>
              <w:t>30,262.53</w:t>
            </w:r>
          </w:p>
        </w:tc>
        <w:tc>
          <w:tcPr>
            <w:tcW w:w="410" w:type="pct"/>
            <w:vAlign w:val="center"/>
          </w:tcPr>
          <w:p w14:paraId="4C7BE308">
            <w:pPr>
              <w:widowControl w:val="0"/>
              <w:jc w:val="right"/>
              <w:rPr>
                <w:sz w:val="18"/>
                <w:szCs w:val="18"/>
              </w:rPr>
            </w:pPr>
          </w:p>
        </w:tc>
        <w:tc>
          <w:tcPr>
            <w:tcW w:w="789" w:type="pct"/>
            <w:vAlign w:val="center"/>
          </w:tcPr>
          <w:p w14:paraId="0040B8A9">
            <w:pPr>
              <w:widowControl w:val="0"/>
              <w:jc w:val="right"/>
              <w:rPr>
                <w:sz w:val="18"/>
                <w:szCs w:val="18"/>
              </w:rPr>
            </w:pPr>
            <w:r>
              <w:rPr>
                <w:rFonts w:hint="eastAsia"/>
                <w:sz w:val="18"/>
                <w:szCs w:val="18"/>
              </w:rPr>
              <w:t>508,250,001.70</w:t>
            </w:r>
          </w:p>
        </w:tc>
      </w:tr>
    </w:tbl>
    <w:p w14:paraId="2182CE32">
      <w:pPr>
        <w:rPr>
          <w:color w:val="000000" w:themeColor="text1"/>
          <w14:textFill>
            <w14:solidFill>
              <w14:schemeClr w14:val="tx1"/>
            </w14:solidFill>
          </w14:textFill>
        </w:rPr>
      </w:pPr>
    </w:p>
    <w:bookmarkEnd w:id="214"/>
    <w:p w14:paraId="529571AA">
      <w:pPr>
        <w:rPr>
          <w:color w:val="000000" w:themeColor="text1"/>
          <w14:textFill>
            <w14:solidFill>
              <w14:schemeClr w14:val="tx1"/>
            </w14:solidFill>
          </w14:textFill>
        </w:rPr>
      </w:pPr>
      <w:bookmarkStart w:id="215" w:name="_Hlk167885446"/>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其中本期坏账准备收回或转回金额重要的[双击切换]"/>
        <w:tag w:val="_GBC_782db13fff094d37b8b99f81224cac44"/>
        <w:id w:val="147464479"/>
        <w:placeholder>
          <w:docPart w:val="GBC22222222222222222222222222222"/>
        </w:placeholder>
      </w:sdtPr>
      <w:sdtEndPr>
        <w:rPr>
          <w:color w:val="000000" w:themeColor="text1"/>
          <w14:textFill>
            <w14:solidFill>
              <w14:schemeClr w14:val="tx1"/>
            </w14:solidFill>
          </w14:textFill>
        </w:rPr>
      </w:sdtEndPr>
      <w:sdtContent>
        <w:p w14:paraId="71DBAFC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1A4B0FA">
      <w:pPr>
        <w:rPr>
          <w:color w:val="000000" w:themeColor="text1"/>
          <w14:textFill>
            <w14:solidFill>
              <w14:schemeClr w14:val="tx1"/>
            </w14:solidFill>
          </w14:textFill>
        </w:rPr>
      </w:pPr>
    </w:p>
    <w:p w14:paraId="2B481159">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应收账款坏账准备情况的说明"/>
        <w:tag w:val="_GBC_112ac8bd16914f4682cf1367c6702f93"/>
        <w:id w:val="147472602"/>
        <w:placeholder>
          <w:docPart w:val="GBC22222222222222222222222222222"/>
        </w:placeholder>
      </w:sdtPr>
      <w:sdtEndPr>
        <w:rPr>
          <w:color w:val="000000" w:themeColor="text1"/>
          <w14:textFill>
            <w14:solidFill>
              <w14:schemeClr w14:val="tx1"/>
            </w14:solidFill>
          </w14:textFill>
        </w:rPr>
      </w:sdtEndPr>
      <w:sdtContent>
        <w:p w14:paraId="31627D55">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C9D9D22">
      <w:pPr>
        <w:ind w:right="-1594" w:rightChars="-759"/>
        <w:rPr>
          <w:rFonts w:cs="Times New Roman"/>
          <w:color w:val="000000" w:themeColor="text1"/>
          <w:kern w:val="2"/>
          <w14:textFill>
            <w14:solidFill>
              <w14:schemeClr w14:val="tx1"/>
            </w14:solidFill>
          </w14:textFill>
        </w:rPr>
      </w:pPr>
    </w:p>
    <w:bookmarkEnd w:id="215"/>
    <w:p w14:paraId="219FECB8">
      <w:pPr>
        <w:pStyle w:val="58"/>
        <w:numPr>
          <w:ilvl w:val="3"/>
          <w:numId w:val="56"/>
        </w:numPr>
        <w:ind w:left="426"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本期实际核销的应收账款情况</w:t>
      </w:r>
    </w:p>
    <w:sdt>
      <w:sdtPr>
        <w:rPr>
          <w:color w:val="000000" w:themeColor="text1"/>
          <w14:textFill>
            <w14:solidFill>
              <w14:schemeClr w14:val="tx1"/>
            </w14:solidFill>
          </w14:textFill>
        </w:rPr>
        <w:alias w:val="是否适用：本期实际核销的应收账款情况[双击切换]"/>
        <w:tag w:val="_GBC_240341a3455747bb87ecabf420d94ec5"/>
        <w:id w:val="1192117261"/>
      </w:sdtPr>
      <w:sdtEndPr>
        <w:rPr>
          <w:color w:val="000000" w:themeColor="text1"/>
          <w14:textFill>
            <w14:solidFill>
              <w14:schemeClr w14:val="tx1"/>
            </w14:solidFill>
          </w14:textFill>
        </w:rPr>
      </w:sdtEndPr>
      <w:sdtContent>
        <w:p w14:paraId="29F7BA1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812E8F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本报告期实际核销的应收款项情况"/>
          <w:tag w:val="_GBC_97f637feeea84b2a8c01321339a44c9e"/>
          <w:id w:val="-13064290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本报告期实际核销的应收款项情况"/>
          <w:tag w:val="_GBC_1e69e5173e614c0f8dd12c7f988c2a4e"/>
          <w:id w:val="-1462800991"/>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3"/>
        <w:gridCol w:w="4776"/>
      </w:tblGrid>
      <w:tr w14:paraId="7615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3731fe405bb4134af7ad46e8ca83d7e"/>
            <w:id w:val="79189373"/>
          </w:sdtPr>
          <w:sdtContent>
            <w:tc>
              <w:tcPr>
                <w:tcW w:w="2361" w:type="pct"/>
                <w:vAlign w:val="center"/>
              </w:tcPr>
              <w:p w14:paraId="5454E8D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256a8b0b19c4d908f33771c40d2df26"/>
            <w:id w:val="-304468783"/>
          </w:sdtPr>
          <w:sdtContent>
            <w:tc>
              <w:tcPr>
                <w:tcW w:w="2639" w:type="pct"/>
              </w:tcPr>
              <w:p w14:paraId="2983394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核销金额</w:t>
                </w:r>
              </w:p>
            </w:tc>
          </w:sdtContent>
        </w:sdt>
      </w:tr>
      <w:tr w14:paraId="4FA7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4bcad986cfa4d799cf132234e1a09a1"/>
            <w:id w:val="-1506286529"/>
          </w:sdtPr>
          <w:sdtContent>
            <w:tc>
              <w:tcPr>
                <w:tcW w:w="2361" w:type="pct"/>
              </w:tcPr>
              <w:p w14:paraId="1C9CD49F">
                <w:pPr>
                  <w:rPr>
                    <w:color w:val="000000" w:themeColor="text1"/>
                    <w14:textFill>
                      <w14:solidFill>
                        <w14:schemeClr w14:val="tx1"/>
                      </w14:solidFill>
                    </w14:textFill>
                  </w:rPr>
                </w:pPr>
                <w:r>
                  <w:rPr>
                    <w:rFonts w:hint="eastAsia"/>
                    <w:color w:val="000000" w:themeColor="text1"/>
                    <w14:textFill>
                      <w14:solidFill>
                        <w14:schemeClr w14:val="tx1"/>
                      </w14:solidFill>
                    </w14:textFill>
                  </w:rPr>
                  <w:t>实际核销的应收账款</w:t>
                </w:r>
              </w:p>
            </w:tc>
          </w:sdtContent>
        </w:sdt>
        <w:tc>
          <w:tcPr>
            <w:tcW w:w="2639" w:type="pct"/>
          </w:tcPr>
          <w:p w14:paraId="14A55549">
            <w:pPr>
              <w:jc w:val="right"/>
            </w:pPr>
            <w:r>
              <w:rPr>
                <w:rFonts w:hint="eastAsia"/>
              </w:rPr>
              <w:t>30,262.53</w:t>
            </w:r>
          </w:p>
        </w:tc>
      </w:tr>
    </w:tbl>
    <w:p w14:paraId="1F2DF21A">
      <w:pPr>
        <w:rPr>
          <w:color w:val="000000" w:themeColor="text1"/>
          <w14:textFill>
            <w14:solidFill>
              <w14:schemeClr w14:val="tx1"/>
            </w14:solidFill>
          </w14:textFill>
        </w:rPr>
      </w:pPr>
    </w:p>
    <w:p w14:paraId="60CE91B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其中重要的应收账款核销情况</w:t>
      </w:r>
    </w:p>
    <w:sdt>
      <w:sdtPr>
        <w:rPr>
          <w:color w:val="000000" w:themeColor="text1"/>
          <w14:textFill>
            <w14:solidFill>
              <w14:schemeClr w14:val="tx1"/>
            </w14:solidFill>
          </w14:textFill>
        </w:rPr>
        <w:alias w:val="是否适用：其中重要的应收账款核销情况[双击切换]"/>
        <w:tag w:val="_GBC_8a44f02ff52343a08b5e1e48c8b2cb3d"/>
        <w:id w:val="-1409379325"/>
      </w:sdtPr>
      <w:sdtEndPr>
        <w:rPr>
          <w:color w:val="000000" w:themeColor="text1"/>
          <w14:textFill>
            <w14:solidFill>
              <w14:schemeClr w14:val="tx1"/>
            </w14:solidFill>
          </w14:textFill>
        </w:rPr>
      </w:sdtEndPr>
      <w:sdtContent>
        <w:p w14:paraId="58AD34A3">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EDAEA5A">
      <w:pPr>
        <w:snapToGrid w:val="0"/>
        <w:spacing w:line="240" w:lineRule="atLeast"/>
        <w:rPr>
          <w:color w:val="000000" w:themeColor="text1"/>
          <w14:textFill>
            <w14:solidFill>
              <w14:schemeClr w14:val="tx1"/>
            </w14:solidFill>
          </w14:textFill>
        </w:rPr>
      </w:pPr>
    </w:p>
    <w:p w14:paraId="622BF92F">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应收账款核销说明：</w:t>
      </w:r>
    </w:p>
    <w:sdt>
      <w:sdtPr>
        <w:rPr>
          <w:color w:val="000000" w:themeColor="text1"/>
          <w14:textFill>
            <w14:solidFill>
              <w14:schemeClr w14:val="tx1"/>
            </w14:solidFill>
          </w14:textFill>
        </w:rPr>
        <w:alias w:val="是否适用：应收账款核销说明[双击切换]"/>
        <w:tag w:val="_GBC_69824b683b7348d5abc31b2f2e813757"/>
        <w:id w:val="-1486929394"/>
      </w:sdtPr>
      <w:sdtEndPr>
        <w:rPr>
          <w:color w:val="000000" w:themeColor="text1"/>
          <w14:textFill>
            <w14:solidFill>
              <w14:schemeClr w14:val="tx1"/>
            </w14:solidFill>
          </w14:textFill>
        </w:rPr>
      </w:sdtEndPr>
      <w:sdtContent>
        <w:p w14:paraId="1DEFC62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2897405">
      <w:pPr>
        <w:rPr>
          <w:color w:val="000000" w:themeColor="text1"/>
          <w14:textFill>
            <w14:solidFill>
              <w14:schemeClr w14:val="tx1"/>
            </w14:solidFill>
          </w14:textFill>
        </w:rPr>
      </w:pPr>
    </w:p>
    <w:p w14:paraId="383BBBEF">
      <w:pPr>
        <w:pStyle w:val="58"/>
        <w:numPr>
          <w:ilvl w:val="3"/>
          <w:numId w:val="56"/>
        </w:numPr>
        <w:ind w:left="426" w:hanging="426"/>
        <w:rPr>
          <w:color w:val="000000" w:themeColor="text1"/>
          <w14:textFill>
            <w14:solidFill>
              <w14:schemeClr w14:val="tx1"/>
            </w14:solidFill>
          </w14:textFill>
        </w:rPr>
      </w:pPr>
      <w:bookmarkStart w:id="216" w:name="_Hlk167885578"/>
      <w:r>
        <w:rPr>
          <w:rFonts w:hint="eastAsia"/>
          <w:color w:val="000000" w:themeColor="text1"/>
          <w14:textFill>
            <w14:solidFill>
              <w14:schemeClr w14:val="tx1"/>
            </w14:solidFill>
          </w14:textFill>
        </w:rPr>
        <w:t>按欠款方归集的期末余额前五名的应收账款和合同资产情况</w:t>
      </w:r>
    </w:p>
    <w:sdt>
      <w:sdtPr>
        <w:rPr>
          <w:rFonts w:hint="eastAsia"/>
          <w:color w:val="000000" w:themeColor="text1"/>
          <w14:textFill>
            <w14:solidFill>
              <w14:schemeClr w14:val="tx1"/>
            </w14:solidFill>
          </w14:textFill>
        </w:rPr>
        <w:alias w:val="是否适用：按欠款方归集的期末余额前五名的应收账款情况[双击切换]"/>
        <w:tag w:val="_GBC_23de179fe67e4dae836713363b228dc1"/>
        <w:id w:val="147464642"/>
        <w:placeholder>
          <w:docPart w:val="GBC22222222222222222222222222222"/>
        </w:placeholder>
      </w:sdtPr>
      <w:sdtEndPr>
        <w:rPr>
          <w:rFonts w:hint="eastAsia"/>
          <w:color w:val="000000" w:themeColor="text1"/>
          <w14:textFill>
            <w14:solidFill>
              <w14:schemeClr w14:val="tx1"/>
            </w14:solidFill>
          </w14:textFill>
        </w:rPr>
      </w:sdtEndPr>
      <w:sdtContent>
        <w:p w14:paraId="4D6799E7">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FB3C35E">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应收账款前五名欠款情况"/>
          <w:tag w:val="_GBC_7b83c21a9ac04b3f9556af0eefbf91af"/>
          <w:id w:val="14745116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账款前五名欠款情况"/>
          <w:tag w:val="_GBC_aeac0acd27084bbe8582a2bdb9097b96"/>
          <w:id w:val="1474735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2"/>
        <w:gridCol w:w="2101"/>
        <w:gridCol w:w="2154"/>
        <w:gridCol w:w="1625"/>
        <w:gridCol w:w="1642"/>
      </w:tblGrid>
      <w:tr w14:paraId="1FCD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f9c6798381a549c8be592d88dde64345"/>
            <w:id w:val="147455717"/>
          </w:sdtPr>
          <w:sdtContent>
            <w:tc>
              <w:tcPr>
                <w:tcW w:w="841" w:type="pct"/>
                <w:vAlign w:val="center"/>
              </w:tcPr>
              <w:p w14:paraId="53FC062D">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cb3675ff5adc4fc5a9134c43edda944a"/>
            <w:id w:val="147481951"/>
          </w:sdtPr>
          <w:sdtContent>
            <w:tc>
              <w:tcPr>
                <w:tcW w:w="1161" w:type="pct"/>
                <w:vAlign w:val="center"/>
              </w:tcPr>
              <w:p w14:paraId="161A7920">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应收账款期末余额</w:t>
                </w:r>
              </w:p>
            </w:tc>
          </w:sdtContent>
        </w:sdt>
        <w:sdt>
          <w:sdtPr>
            <w:tag w:val="_PLD_d4247a30e2224be4b066f9eb3e8b3980"/>
            <w:id w:val="147457973"/>
          </w:sdtPr>
          <w:sdtContent>
            <w:tc>
              <w:tcPr>
                <w:tcW w:w="1190" w:type="pct"/>
                <w:vAlign w:val="center"/>
              </w:tcPr>
              <w:p w14:paraId="6751966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应收账款和合同资产期末余额</w:t>
                </w:r>
              </w:p>
            </w:tc>
          </w:sdtContent>
        </w:sdt>
        <w:sdt>
          <w:sdtPr>
            <w:tag w:val="_PLD_973a396aab204cf2abdf2f7f405b9071"/>
            <w:id w:val="147482455"/>
          </w:sdtPr>
          <w:sdtContent>
            <w:tc>
              <w:tcPr>
                <w:tcW w:w="898" w:type="pct"/>
                <w:vAlign w:val="center"/>
              </w:tcPr>
              <w:p w14:paraId="48121F9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占应收账款和合同资产期末余额合计数的比例（%）</w:t>
                </w:r>
              </w:p>
            </w:tc>
          </w:sdtContent>
        </w:sdt>
        <w:sdt>
          <w:sdtPr>
            <w:tag w:val="_PLD_839fe6b484114addbcaeef57270c8a21"/>
            <w:id w:val="147467151"/>
          </w:sdtPr>
          <w:sdtContent>
            <w:tc>
              <w:tcPr>
                <w:tcW w:w="907" w:type="pct"/>
                <w:vAlign w:val="center"/>
              </w:tcPr>
              <w:p w14:paraId="65AA4EA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坏账准备期末余额</w:t>
                </w:r>
              </w:p>
            </w:tc>
          </w:sdtContent>
        </w:sdt>
      </w:tr>
      <w:tr w14:paraId="7FFF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1" w:type="pct"/>
          </w:tcPr>
          <w:p w14:paraId="511A8D65">
            <w:pPr>
              <w:ind w:right="105"/>
            </w:pPr>
            <w:r>
              <w:rPr>
                <w:rFonts w:cs="Times New Roman"/>
                <w:color w:val="000000"/>
              </w:rPr>
              <w:t>客户一</w:t>
            </w:r>
          </w:p>
        </w:tc>
        <w:tc>
          <w:tcPr>
            <w:tcW w:w="1161" w:type="pct"/>
            <w:vAlign w:val="bottom"/>
          </w:tcPr>
          <w:p w14:paraId="73AD8B74">
            <w:pPr>
              <w:jc w:val="right"/>
              <w:textAlignment w:val="bottom"/>
              <w:rPr>
                <w:rFonts w:cs="Times New Roman"/>
              </w:rPr>
            </w:pPr>
            <w:r>
              <w:rPr>
                <w:rFonts w:cs="Times New Roman"/>
                <w:color w:val="000000"/>
              </w:rPr>
              <w:t>1,111,150,964.32</w:t>
            </w:r>
          </w:p>
        </w:tc>
        <w:tc>
          <w:tcPr>
            <w:tcW w:w="1190" w:type="pct"/>
            <w:vAlign w:val="bottom"/>
          </w:tcPr>
          <w:p w14:paraId="4BC4A1FA">
            <w:pPr>
              <w:jc w:val="right"/>
              <w:textAlignment w:val="bottom"/>
              <w:rPr>
                <w:rFonts w:cs="Times New Roman"/>
              </w:rPr>
            </w:pPr>
            <w:r>
              <w:rPr>
                <w:rFonts w:cs="Times New Roman"/>
                <w:color w:val="000000"/>
              </w:rPr>
              <w:t>1,111,150,964.32</w:t>
            </w:r>
          </w:p>
        </w:tc>
        <w:tc>
          <w:tcPr>
            <w:tcW w:w="898" w:type="pct"/>
            <w:vAlign w:val="bottom"/>
          </w:tcPr>
          <w:p w14:paraId="2049553E">
            <w:pPr>
              <w:jc w:val="right"/>
              <w:textAlignment w:val="bottom"/>
              <w:rPr>
                <w:rFonts w:cs="Times New Roman"/>
              </w:rPr>
            </w:pPr>
            <w:r>
              <w:rPr>
                <w:rFonts w:cs="Times New Roman"/>
                <w:color w:val="000000"/>
              </w:rPr>
              <w:t>31.16</w:t>
            </w:r>
          </w:p>
        </w:tc>
        <w:tc>
          <w:tcPr>
            <w:tcW w:w="907" w:type="pct"/>
            <w:vAlign w:val="bottom"/>
          </w:tcPr>
          <w:p w14:paraId="2EAE7E34">
            <w:pPr>
              <w:jc w:val="right"/>
              <w:textAlignment w:val="bottom"/>
              <w:rPr>
                <w:rFonts w:cs="Times New Roman"/>
              </w:rPr>
            </w:pPr>
            <w:r>
              <w:rPr>
                <w:rFonts w:cs="Times New Roman"/>
                <w:color w:val="000000"/>
              </w:rPr>
              <w:t>3,612,581.78</w:t>
            </w:r>
          </w:p>
        </w:tc>
      </w:tr>
      <w:tr w14:paraId="6A4B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1" w:type="pct"/>
          </w:tcPr>
          <w:p w14:paraId="7E80BBD0">
            <w:pPr>
              <w:ind w:right="105"/>
            </w:pPr>
            <w:r>
              <w:rPr>
                <w:rFonts w:cs="Times New Roman"/>
                <w:color w:val="000000"/>
              </w:rPr>
              <w:t>客户二</w:t>
            </w:r>
          </w:p>
        </w:tc>
        <w:tc>
          <w:tcPr>
            <w:tcW w:w="1161" w:type="pct"/>
            <w:vAlign w:val="bottom"/>
          </w:tcPr>
          <w:p w14:paraId="2995D031">
            <w:pPr>
              <w:jc w:val="right"/>
              <w:textAlignment w:val="bottom"/>
              <w:rPr>
                <w:rFonts w:cs="Times New Roman"/>
              </w:rPr>
            </w:pPr>
            <w:r>
              <w:rPr>
                <w:rFonts w:cs="Times New Roman"/>
                <w:color w:val="000000"/>
              </w:rPr>
              <w:t>237,132,100.70</w:t>
            </w:r>
          </w:p>
        </w:tc>
        <w:tc>
          <w:tcPr>
            <w:tcW w:w="1190" w:type="pct"/>
            <w:vAlign w:val="bottom"/>
          </w:tcPr>
          <w:p w14:paraId="2BD7EE25">
            <w:pPr>
              <w:jc w:val="right"/>
              <w:textAlignment w:val="bottom"/>
              <w:rPr>
                <w:rFonts w:cs="Times New Roman"/>
              </w:rPr>
            </w:pPr>
            <w:r>
              <w:rPr>
                <w:rFonts w:cs="Times New Roman"/>
                <w:color w:val="000000"/>
              </w:rPr>
              <w:t>237,132,100.70</w:t>
            </w:r>
          </w:p>
        </w:tc>
        <w:tc>
          <w:tcPr>
            <w:tcW w:w="898" w:type="pct"/>
            <w:vAlign w:val="bottom"/>
          </w:tcPr>
          <w:p w14:paraId="048A981F">
            <w:pPr>
              <w:jc w:val="right"/>
              <w:textAlignment w:val="bottom"/>
              <w:rPr>
                <w:rFonts w:cs="Times New Roman"/>
              </w:rPr>
            </w:pPr>
            <w:r>
              <w:rPr>
                <w:rFonts w:cs="Times New Roman"/>
                <w:color w:val="000000"/>
              </w:rPr>
              <w:t>6.65</w:t>
            </w:r>
          </w:p>
        </w:tc>
        <w:tc>
          <w:tcPr>
            <w:tcW w:w="907" w:type="pct"/>
            <w:vAlign w:val="bottom"/>
          </w:tcPr>
          <w:p w14:paraId="7517B37D">
            <w:pPr>
              <w:jc w:val="right"/>
              <w:textAlignment w:val="bottom"/>
              <w:rPr>
                <w:rFonts w:cs="Times New Roman"/>
              </w:rPr>
            </w:pPr>
            <w:r>
              <w:rPr>
                <w:rFonts w:cs="Times New Roman"/>
                <w:color w:val="000000"/>
              </w:rPr>
              <w:t>301,737.26</w:t>
            </w:r>
          </w:p>
        </w:tc>
      </w:tr>
      <w:tr w14:paraId="68986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1" w:type="pct"/>
          </w:tcPr>
          <w:p w14:paraId="7D803CEC">
            <w:pPr>
              <w:ind w:right="105"/>
            </w:pPr>
            <w:r>
              <w:rPr>
                <w:rFonts w:cs="Times New Roman"/>
                <w:color w:val="000000"/>
              </w:rPr>
              <w:t>客户三</w:t>
            </w:r>
          </w:p>
        </w:tc>
        <w:tc>
          <w:tcPr>
            <w:tcW w:w="1161" w:type="pct"/>
            <w:vAlign w:val="bottom"/>
          </w:tcPr>
          <w:p w14:paraId="6794C59F">
            <w:pPr>
              <w:jc w:val="right"/>
              <w:textAlignment w:val="bottom"/>
              <w:rPr>
                <w:rFonts w:cs="Times New Roman"/>
              </w:rPr>
            </w:pPr>
            <w:r>
              <w:rPr>
                <w:rFonts w:cs="Times New Roman"/>
                <w:color w:val="000000"/>
              </w:rPr>
              <w:t>91,201,647.60</w:t>
            </w:r>
          </w:p>
        </w:tc>
        <w:tc>
          <w:tcPr>
            <w:tcW w:w="1190" w:type="pct"/>
            <w:vAlign w:val="bottom"/>
          </w:tcPr>
          <w:p w14:paraId="39252CC9">
            <w:pPr>
              <w:jc w:val="right"/>
              <w:textAlignment w:val="bottom"/>
              <w:rPr>
                <w:rFonts w:cs="Times New Roman"/>
              </w:rPr>
            </w:pPr>
            <w:r>
              <w:rPr>
                <w:rFonts w:cs="Times New Roman"/>
                <w:color w:val="000000"/>
              </w:rPr>
              <w:t>91,201,647.60</w:t>
            </w:r>
          </w:p>
        </w:tc>
        <w:tc>
          <w:tcPr>
            <w:tcW w:w="898" w:type="pct"/>
            <w:vAlign w:val="bottom"/>
          </w:tcPr>
          <w:p w14:paraId="2D994CF7">
            <w:pPr>
              <w:jc w:val="right"/>
              <w:textAlignment w:val="bottom"/>
              <w:rPr>
                <w:rFonts w:cs="Times New Roman"/>
              </w:rPr>
            </w:pPr>
            <w:r>
              <w:rPr>
                <w:rFonts w:cs="Times New Roman"/>
                <w:color w:val="000000"/>
              </w:rPr>
              <w:t>2.56</w:t>
            </w:r>
          </w:p>
        </w:tc>
        <w:tc>
          <w:tcPr>
            <w:tcW w:w="907" w:type="pct"/>
            <w:vAlign w:val="bottom"/>
          </w:tcPr>
          <w:p w14:paraId="6611007E">
            <w:pPr>
              <w:jc w:val="right"/>
              <w:rPr>
                <w:rFonts w:cs="Times New Roman"/>
              </w:rPr>
            </w:pPr>
          </w:p>
        </w:tc>
      </w:tr>
      <w:tr w14:paraId="776D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1" w:type="pct"/>
          </w:tcPr>
          <w:p w14:paraId="1BFF3D1E">
            <w:pPr>
              <w:ind w:right="105"/>
            </w:pPr>
            <w:r>
              <w:rPr>
                <w:rFonts w:cs="Times New Roman"/>
                <w:color w:val="000000"/>
              </w:rPr>
              <w:t>客户四</w:t>
            </w:r>
          </w:p>
        </w:tc>
        <w:tc>
          <w:tcPr>
            <w:tcW w:w="1161" w:type="pct"/>
            <w:vAlign w:val="bottom"/>
          </w:tcPr>
          <w:p w14:paraId="148D683A">
            <w:pPr>
              <w:jc w:val="right"/>
              <w:textAlignment w:val="bottom"/>
              <w:rPr>
                <w:rFonts w:cs="Times New Roman"/>
              </w:rPr>
            </w:pPr>
            <w:r>
              <w:rPr>
                <w:rFonts w:cs="Times New Roman"/>
                <w:color w:val="000000"/>
              </w:rPr>
              <w:t>75,160,717.91</w:t>
            </w:r>
          </w:p>
        </w:tc>
        <w:tc>
          <w:tcPr>
            <w:tcW w:w="1190" w:type="pct"/>
            <w:vAlign w:val="bottom"/>
          </w:tcPr>
          <w:p w14:paraId="4626E364">
            <w:pPr>
              <w:jc w:val="right"/>
              <w:textAlignment w:val="bottom"/>
              <w:rPr>
                <w:rFonts w:cs="Times New Roman"/>
              </w:rPr>
            </w:pPr>
            <w:r>
              <w:rPr>
                <w:rFonts w:cs="Times New Roman"/>
                <w:color w:val="000000"/>
              </w:rPr>
              <w:t>75,160,717.91</w:t>
            </w:r>
          </w:p>
        </w:tc>
        <w:tc>
          <w:tcPr>
            <w:tcW w:w="898" w:type="pct"/>
            <w:vAlign w:val="bottom"/>
          </w:tcPr>
          <w:p w14:paraId="2480F8A8">
            <w:pPr>
              <w:jc w:val="right"/>
              <w:textAlignment w:val="bottom"/>
              <w:rPr>
                <w:rFonts w:cs="Times New Roman"/>
              </w:rPr>
            </w:pPr>
            <w:r>
              <w:rPr>
                <w:rFonts w:cs="Times New Roman"/>
                <w:color w:val="000000"/>
              </w:rPr>
              <w:t>2.11</w:t>
            </w:r>
          </w:p>
        </w:tc>
        <w:tc>
          <w:tcPr>
            <w:tcW w:w="907" w:type="pct"/>
            <w:vAlign w:val="bottom"/>
          </w:tcPr>
          <w:p w14:paraId="7512557C">
            <w:pPr>
              <w:jc w:val="right"/>
              <w:textAlignment w:val="bottom"/>
              <w:rPr>
                <w:rFonts w:cs="Times New Roman"/>
              </w:rPr>
            </w:pPr>
            <w:r>
              <w:rPr>
                <w:rFonts w:cs="Times New Roman"/>
                <w:color w:val="000000"/>
              </w:rPr>
              <w:t>186,832.03</w:t>
            </w:r>
          </w:p>
        </w:tc>
      </w:tr>
      <w:tr w14:paraId="1B02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1" w:type="pct"/>
          </w:tcPr>
          <w:p w14:paraId="13013C60">
            <w:pPr>
              <w:ind w:right="105"/>
            </w:pPr>
            <w:r>
              <w:rPr>
                <w:rFonts w:cs="Times New Roman"/>
                <w:color w:val="000000"/>
              </w:rPr>
              <w:t>客户五</w:t>
            </w:r>
          </w:p>
        </w:tc>
        <w:tc>
          <w:tcPr>
            <w:tcW w:w="1161" w:type="pct"/>
            <w:vAlign w:val="bottom"/>
          </w:tcPr>
          <w:p w14:paraId="71A2C2AC">
            <w:pPr>
              <w:jc w:val="right"/>
              <w:textAlignment w:val="bottom"/>
              <w:rPr>
                <w:rFonts w:cs="Times New Roman"/>
              </w:rPr>
            </w:pPr>
            <w:r>
              <w:rPr>
                <w:rFonts w:cs="Times New Roman"/>
                <w:color w:val="000000"/>
              </w:rPr>
              <w:t>63,499,863.93</w:t>
            </w:r>
          </w:p>
        </w:tc>
        <w:tc>
          <w:tcPr>
            <w:tcW w:w="1190" w:type="pct"/>
            <w:vAlign w:val="bottom"/>
          </w:tcPr>
          <w:p w14:paraId="54D26324">
            <w:pPr>
              <w:jc w:val="right"/>
              <w:textAlignment w:val="bottom"/>
              <w:rPr>
                <w:rFonts w:cs="Times New Roman"/>
              </w:rPr>
            </w:pPr>
            <w:r>
              <w:rPr>
                <w:rFonts w:cs="Times New Roman"/>
                <w:color w:val="000000"/>
              </w:rPr>
              <w:t>63,499,863.93</w:t>
            </w:r>
          </w:p>
        </w:tc>
        <w:tc>
          <w:tcPr>
            <w:tcW w:w="898" w:type="pct"/>
            <w:vAlign w:val="bottom"/>
          </w:tcPr>
          <w:p w14:paraId="11DBE104">
            <w:pPr>
              <w:jc w:val="right"/>
              <w:textAlignment w:val="bottom"/>
              <w:rPr>
                <w:rFonts w:cs="Times New Roman"/>
              </w:rPr>
            </w:pPr>
            <w:r>
              <w:rPr>
                <w:rFonts w:cs="Times New Roman"/>
                <w:color w:val="000000"/>
              </w:rPr>
              <w:t>1.78</w:t>
            </w:r>
          </w:p>
        </w:tc>
        <w:tc>
          <w:tcPr>
            <w:tcW w:w="907" w:type="pct"/>
            <w:vAlign w:val="bottom"/>
          </w:tcPr>
          <w:p w14:paraId="62E9827E">
            <w:pPr>
              <w:jc w:val="right"/>
              <w:textAlignment w:val="bottom"/>
              <w:rPr>
                <w:rFonts w:cs="Times New Roman"/>
              </w:rPr>
            </w:pPr>
            <w:r>
              <w:rPr>
                <w:rFonts w:cs="Times New Roman"/>
                <w:color w:val="000000"/>
              </w:rPr>
              <w:t>63,499,863.93</w:t>
            </w:r>
          </w:p>
        </w:tc>
      </w:tr>
      <w:tr w14:paraId="21C3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1" w:type="pct"/>
          </w:tcPr>
          <w:p w14:paraId="204470D7">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161" w:type="pct"/>
            <w:vAlign w:val="bottom"/>
          </w:tcPr>
          <w:p w14:paraId="64CB66FA">
            <w:pPr>
              <w:jc w:val="right"/>
              <w:textAlignment w:val="bottom"/>
              <w:rPr>
                <w:rFonts w:cs="Times New Roman"/>
              </w:rPr>
            </w:pPr>
            <w:r>
              <w:rPr>
                <w:rFonts w:cs="Times New Roman"/>
                <w:color w:val="000000"/>
              </w:rPr>
              <w:t>1,578,145,294.46</w:t>
            </w:r>
          </w:p>
        </w:tc>
        <w:tc>
          <w:tcPr>
            <w:tcW w:w="1190" w:type="pct"/>
            <w:vAlign w:val="bottom"/>
          </w:tcPr>
          <w:p w14:paraId="5AA3FCCD">
            <w:pPr>
              <w:jc w:val="right"/>
              <w:textAlignment w:val="bottom"/>
              <w:rPr>
                <w:rFonts w:cs="Times New Roman"/>
              </w:rPr>
            </w:pPr>
            <w:r>
              <w:rPr>
                <w:rFonts w:cs="Times New Roman"/>
                <w:color w:val="000000"/>
              </w:rPr>
              <w:t>1,578,145,294.46</w:t>
            </w:r>
          </w:p>
        </w:tc>
        <w:tc>
          <w:tcPr>
            <w:tcW w:w="898" w:type="pct"/>
            <w:vAlign w:val="bottom"/>
          </w:tcPr>
          <w:p w14:paraId="274B73AF">
            <w:pPr>
              <w:jc w:val="right"/>
              <w:textAlignment w:val="bottom"/>
              <w:rPr>
                <w:rFonts w:cs="Times New Roman"/>
              </w:rPr>
            </w:pPr>
            <w:r>
              <w:rPr>
                <w:rFonts w:cs="Times New Roman"/>
                <w:color w:val="000000"/>
              </w:rPr>
              <w:t>44.26</w:t>
            </w:r>
          </w:p>
        </w:tc>
        <w:tc>
          <w:tcPr>
            <w:tcW w:w="907" w:type="pct"/>
            <w:vAlign w:val="bottom"/>
          </w:tcPr>
          <w:p w14:paraId="1D3F8551">
            <w:pPr>
              <w:jc w:val="right"/>
              <w:textAlignment w:val="bottom"/>
              <w:rPr>
                <w:rFonts w:cs="Times New Roman"/>
              </w:rPr>
            </w:pPr>
            <w:r>
              <w:rPr>
                <w:rFonts w:cs="Times New Roman"/>
                <w:color w:val="000000"/>
              </w:rPr>
              <w:t>67,601,015.00</w:t>
            </w:r>
          </w:p>
        </w:tc>
      </w:tr>
    </w:tbl>
    <w:p w14:paraId="203D4A55">
      <w:pPr>
        <w:rPr>
          <w:color w:val="000000" w:themeColor="text1"/>
          <w14:textFill>
            <w14:solidFill>
              <w14:schemeClr w14:val="tx1"/>
            </w14:solidFill>
          </w14:textFill>
        </w:rPr>
      </w:pPr>
    </w:p>
    <w:p w14:paraId="391BCF33">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按欠款方归集的期末余额前五名的应收账款情况的说明"/>
        <w:tag w:val="_GBC_5c27d22f220747b1ae5c245364a28655"/>
        <w:id w:val="147462945"/>
        <w:placeholder>
          <w:docPart w:val="GBC22222222222222222222222222222"/>
        </w:placeholder>
      </w:sdtPr>
      <w:sdtEndPr>
        <w:rPr>
          <w:color w:val="000000" w:themeColor="text1"/>
          <w14:textFill>
            <w14:solidFill>
              <w14:schemeClr w14:val="tx1"/>
            </w14:solidFill>
          </w14:textFill>
        </w:rPr>
      </w:sdtEndPr>
      <w:sdtContent>
        <w:p w14:paraId="310AAF2F">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EF6356F">
      <w:pPr>
        <w:snapToGrid w:val="0"/>
        <w:spacing w:line="240" w:lineRule="atLeast"/>
        <w:rPr>
          <w:color w:val="000000" w:themeColor="text1"/>
          <w14:textFill>
            <w14:solidFill>
              <w14:schemeClr w14:val="tx1"/>
            </w14:solidFill>
          </w14:textFill>
        </w:rPr>
      </w:pPr>
    </w:p>
    <w:bookmarkEnd w:id="216"/>
    <w:p w14:paraId="0C65D3B8">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rFonts w:hint="eastAsia"/>
          <w:color w:val="000000" w:themeColor="text1"/>
          <w14:textFill>
            <w14:solidFill>
              <w14:schemeClr w14:val="tx1"/>
            </w14:solidFill>
          </w14:textFill>
        </w:rPr>
        <w:alias w:val="是否适用：应收账款其他说明[双击切换]"/>
        <w:tag w:val="_GBC_c06434ba43c5400a80d620a65b730fd9"/>
        <w:id w:val="147465993"/>
        <w:placeholder>
          <w:docPart w:val="GBC22222222222222222222222222222"/>
        </w:placeholder>
      </w:sdtPr>
      <w:sdtEndPr>
        <w:rPr>
          <w:rFonts w:hint="eastAsia"/>
          <w:color w:val="000000" w:themeColor="text1"/>
          <w14:textFill>
            <w14:solidFill>
              <w14:schemeClr w14:val="tx1"/>
            </w14:solidFill>
          </w14:textFill>
        </w:rPr>
      </w:sdtEndPr>
      <w:sdtContent>
        <w:p w14:paraId="6CA8B703">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93FB5A8">
      <w:pPr>
        <w:rPr>
          <w:color w:val="000000" w:themeColor="text1"/>
          <w14:textFill>
            <w14:solidFill>
              <w14:schemeClr w14:val="tx1"/>
            </w14:solidFill>
          </w14:textFill>
        </w:rPr>
      </w:pPr>
    </w:p>
    <w:p w14:paraId="7904AA09">
      <w:pPr>
        <w:pStyle w:val="57"/>
        <w:numPr>
          <w:ilvl w:val="0"/>
          <w:numId w:val="54"/>
        </w:numPr>
        <w:rPr>
          <w:color w:val="000000" w:themeColor="text1"/>
          <w:szCs w:val="21"/>
          <w14:textFill>
            <w14:solidFill>
              <w14:schemeClr w14:val="tx1"/>
            </w14:solidFill>
          </w14:textFill>
        </w:rPr>
      </w:pPr>
      <w:bookmarkStart w:id="217" w:name="_Hlk10470760"/>
      <w:r>
        <w:rPr>
          <w:color w:val="000000" w:themeColor="text1"/>
          <w:szCs w:val="21"/>
          <w14:textFill>
            <w14:solidFill>
              <w14:schemeClr w14:val="tx1"/>
            </w14:solidFill>
          </w14:textFill>
        </w:rPr>
        <w:t>合同资产</w:t>
      </w:r>
    </w:p>
    <w:p w14:paraId="0B0B798A">
      <w:pPr>
        <w:pStyle w:val="58"/>
        <w:numPr>
          <w:ilvl w:val="3"/>
          <w:numId w:val="57"/>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合同资产情况</w:t>
      </w:r>
    </w:p>
    <w:sdt>
      <w:sdtPr>
        <w:rPr>
          <w:color w:val="000000" w:themeColor="text1"/>
          <w14:textFill>
            <w14:solidFill>
              <w14:schemeClr w14:val="tx1"/>
            </w14:solidFill>
          </w14:textFill>
        </w:rPr>
        <w:alias w:val="是否适用：合同资产情况[双击切换]"/>
        <w:tag w:val="_GBC_d77156d135184e21a21238cac863494c"/>
        <w:id w:val="147469779"/>
        <w:placeholder>
          <w:docPart w:val="GBC22222222222222222222222222222"/>
        </w:placeholder>
      </w:sdtPr>
      <w:sdtEndPr>
        <w:rPr>
          <w:color w:val="000000" w:themeColor="text1"/>
          <w14:textFill>
            <w14:solidFill>
              <w14:schemeClr w14:val="tx1"/>
            </w14:solidFill>
          </w14:textFill>
        </w:rPr>
      </w:sdtEndPr>
      <w:sdtContent>
        <w:p w14:paraId="7AD9131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4044EF">
      <w:pPr>
        <w:rPr>
          <w:color w:val="000000" w:themeColor="text1"/>
          <w14:textFill>
            <w14:solidFill>
              <w14:schemeClr w14:val="tx1"/>
            </w14:solidFill>
          </w14:textFill>
        </w:rPr>
      </w:pPr>
    </w:p>
    <w:bookmarkEnd w:id="217"/>
    <w:p w14:paraId="39DEC9EF">
      <w:pPr>
        <w:pStyle w:val="58"/>
        <w:numPr>
          <w:ilvl w:val="3"/>
          <w:numId w:val="57"/>
        </w:numPr>
        <w:ind w:left="426" w:hanging="426"/>
        <w:rPr>
          <w:rFonts w:ascii="宋体" w:hAnsi="宋体"/>
          <w:color w:val="000000" w:themeColor="text1"/>
          <w14:textFill>
            <w14:solidFill>
              <w14:schemeClr w14:val="tx1"/>
            </w14:solidFill>
          </w14:textFill>
        </w:rPr>
      </w:pPr>
      <w:bookmarkStart w:id="218" w:name="_Hlk10470932"/>
      <w:bookmarkStart w:id="219" w:name="_Hlk10470942"/>
      <w:r>
        <w:rPr>
          <w:rFonts w:hint="eastAsia" w:ascii="宋体" w:hAnsi="宋体"/>
          <w:color w:val="000000" w:themeColor="text1"/>
          <w14:textFill>
            <w14:solidFill>
              <w14:schemeClr w14:val="tx1"/>
            </w14:solidFill>
          </w14:textFill>
        </w:rPr>
        <w:t>报告期内账面价值发生重大变动的金额和原因</w:t>
      </w:r>
      <w:bookmarkEnd w:id="218"/>
    </w:p>
    <w:sdt>
      <w:sdtPr>
        <w:rPr>
          <w:color w:val="000000" w:themeColor="text1"/>
          <w14:textFill>
            <w14:solidFill>
              <w14:schemeClr w14:val="tx1"/>
            </w14:solidFill>
          </w14:textFill>
        </w:rPr>
        <w:alias w:val="是否适用：合同资产账面价值发生重大变动[双击切换]"/>
        <w:tag w:val="_GBC_4cdeacc1c4f24682b8d7fe35b510e9c1"/>
        <w:id w:val="147460728"/>
        <w:placeholder>
          <w:docPart w:val="GBC22222222222222222222222222222"/>
        </w:placeholder>
      </w:sdtPr>
      <w:sdtEndPr>
        <w:rPr>
          <w:color w:val="000000" w:themeColor="text1"/>
          <w14:textFill>
            <w14:solidFill>
              <w14:schemeClr w14:val="tx1"/>
            </w14:solidFill>
          </w14:textFill>
        </w:rPr>
      </w:sdtEndPr>
      <w:sdtContent>
        <w:p w14:paraId="78BC97A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C17086">
      <w:pPr>
        <w:rPr>
          <w:color w:val="000000" w:themeColor="text1"/>
          <w14:textFill>
            <w14:solidFill>
              <w14:schemeClr w14:val="tx1"/>
            </w14:solidFill>
          </w14:textFill>
        </w:rPr>
      </w:pPr>
    </w:p>
    <w:bookmarkEnd w:id="219"/>
    <w:p w14:paraId="6D1E5A5E">
      <w:pPr>
        <w:pStyle w:val="58"/>
        <w:numPr>
          <w:ilvl w:val="3"/>
          <w:numId w:val="57"/>
        </w:numPr>
        <w:ind w:left="426" w:hanging="426"/>
        <w:rPr>
          <w:rFonts w:ascii="宋体" w:hAnsi="宋体"/>
          <w:color w:val="000000" w:themeColor="text1"/>
          <w14:textFill>
            <w14:solidFill>
              <w14:schemeClr w14:val="tx1"/>
            </w14:solidFill>
          </w14:textFill>
        </w:rPr>
      </w:pPr>
      <w:bookmarkStart w:id="220" w:name="_Hlk153378989"/>
      <w:bookmarkStart w:id="221" w:name="_Hlk167887721"/>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2da6ba8f38a7432c80d6aa0ccacbb195"/>
        <w:id w:val="147482431"/>
        <w:placeholder>
          <w:docPart w:val="GBC22222222222222222222222222222"/>
        </w:placeholder>
      </w:sdtPr>
      <w:sdtEndPr>
        <w:rPr>
          <w:color w:val="000000" w:themeColor="text1"/>
          <w14:textFill>
            <w14:solidFill>
              <w14:schemeClr w14:val="tx1"/>
            </w14:solidFill>
          </w14:textFill>
        </w:rPr>
      </w:sdtEndPr>
      <w:sdtContent>
        <w:p w14:paraId="22D4AE4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3969365">
      <w:pPr>
        <w:rPr>
          <w:color w:val="000000" w:themeColor="text1"/>
          <w14:textFill>
            <w14:solidFill>
              <w14:schemeClr w14:val="tx1"/>
            </w14:solidFill>
          </w14:textFill>
        </w:rPr>
      </w:pPr>
    </w:p>
    <w:p w14:paraId="4F6F8287">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c0b8b61f599949688a3e43c3f6163421"/>
        <w:id w:val="147462231"/>
        <w:placeholder>
          <w:docPart w:val="GBC22222222222222222222222222222"/>
        </w:placeholder>
      </w:sdtPr>
      <w:sdtEndPr>
        <w:rPr>
          <w:color w:val="000000" w:themeColor="text1"/>
          <w14:textFill>
            <w14:solidFill>
              <w14:schemeClr w14:val="tx1"/>
            </w14:solidFill>
          </w14:textFill>
        </w:rPr>
      </w:sdtEndPr>
      <w:sdtContent>
        <w:p w14:paraId="13A6FFA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531787">
      <w:pPr>
        <w:rPr>
          <w:color w:val="000000" w:themeColor="text1"/>
          <w14:textFill>
            <w14:solidFill>
              <w14:schemeClr w14:val="tx1"/>
            </w14:solidFill>
          </w14:textFill>
        </w:rPr>
      </w:pPr>
    </w:p>
    <w:p w14:paraId="5B0F14C6">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027a4c6e526b4492855a75bfb12d58be"/>
        <w:id w:val="147482650"/>
        <w:placeholder>
          <w:docPart w:val="GBC22222222222222222222222222222"/>
        </w:placeholder>
      </w:sdtPr>
      <w:sdtEndPr>
        <w:rPr>
          <w:color w:val="000000" w:themeColor="text1"/>
          <w14:textFill>
            <w14:solidFill>
              <w14:schemeClr w14:val="tx1"/>
            </w14:solidFill>
          </w14:textFill>
        </w:rPr>
      </w:sdtEndPr>
      <w:sdtContent>
        <w:p w14:paraId="5DF0F1C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B1E092D">
      <w:pPr>
        <w:rPr>
          <w:color w:val="000000" w:themeColor="text1"/>
          <w14:textFill>
            <w14:solidFill>
              <w14:schemeClr w14:val="tx1"/>
            </w14:solidFill>
          </w14:textFill>
        </w:rPr>
      </w:pPr>
    </w:p>
    <w:p w14:paraId="389AA554">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059f7dfd74cd41d4b2b8918cfc3d067f"/>
        <w:id w:val="147471293"/>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18D1A8AC">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5AD1B30A">
      <w:pPr>
        <w:rPr>
          <w:rFonts w:ascii="Calibri" w:hAnsi="Calibri" w:cs="Times New Roman"/>
          <w:b/>
          <w:bCs w:val="0"/>
          <w:color w:val="000000" w:themeColor="text1"/>
          <w:szCs w:val="22"/>
          <w14:textFill>
            <w14:solidFill>
              <w14:schemeClr w14:val="tx1"/>
            </w14:solidFill>
          </w14:textFill>
        </w:rPr>
      </w:pPr>
    </w:p>
    <w:bookmarkEnd w:id="220"/>
    <w:p w14:paraId="6911FE18">
      <w:pPr>
        <w:rPr>
          <w:rFonts w:cstheme="minorBidi"/>
          <w:bCs w:val="0"/>
          <w:color w:val="000000" w:themeColor="text1"/>
          <w:szCs w:val="22"/>
          <w14:textFill>
            <w14:solidFill>
              <w14:schemeClr w14:val="tx1"/>
            </w14:solidFill>
          </w14:textFill>
        </w:rPr>
      </w:pPr>
      <w:bookmarkStart w:id="222" w:name="_Hlk154135145"/>
      <w:bookmarkStart w:id="223" w:name="_Hlk153379126"/>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9ccc97f60d514bd1ad20e654db46063f"/>
        <w:id w:val="147452894"/>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4065494E">
          <w:pPr>
            <w:autoSpaceDE w:val="0"/>
            <w:autoSpaceDN w:val="0"/>
            <w:adjustRightInd w:val="0"/>
            <w:ind w:right="105" w:rightChars="50"/>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4F9FA3E8">
      <w:pPr>
        <w:autoSpaceDE w:val="0"/>
        <w:autoSpaceDN w:val="0"/>
        <w:adjustRightInd w:val="0"/>
        <w:ind w:right="105" w:rightChars="50"/>
        <w:rPr>
          <w:rFonts w:cstheme="minorBidi"/>
          <w:bCs w:val="0"/>
          <w:color w:val="000000" w:themeColor="text1"/>
          <w:szCs w:val="22"/>
          <w14:textFill>
            <w14:solidFill>
              <w14:schemeClr w14:val="tx1"/>
            </w14:solidFill>
          </w14:textFill>
        </w:rPr>
      </w:pPr>
    </w:p>
    <w:p w14:paraId="1D6C4070">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27f65e0b0d264d76ba6ef36044133df3"/>
        <w:id w:val="147455724"/>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22000C41">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14:paraId="523C5A57">
      <w:pPr>
        <w:pStyle w:val="67"/>
        <w:rPr>
          <w:color w:val="000000" w:themeColor="text1"/>
          <w:kern w:val="0"/>
          <w:szCs w:val="24"/>
          <w14:textFill>
            <w14:solidFill>
              <w14:schemeClr w14:val="tx1"/>
            </w14:solidFill>
          </w14:textFill>
        </w:rPr>
      </w:pPr>
    </w:p>
    <w:p w14:paraId="270FAD26">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对本期发生损失准备变动的合同资产账面余额显著变动的情况说明：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52ea8710f03d45c5bdb89559e11daa51"/>
        <w:id w:val="147463611"/>
        <w:placeholder>
          <w:docPart w:val="GBC22222222222222222222222222222"/>
        </w:placeholder>
      </w:sdtPr>
      <w:sdtEndPr>
        <w:rPr>
          <w:color w:val="000000" w:themeColor="text1"/>
          <w14:textFill>
            <w14:solidFill>
              <w14:schemeClr w14:val="tx1"/>
            </w14:solidFill>
          </w14:textFill>
        </w:rPr>
      </w:sdtEndPr>
      <w:sdtContent>
        <w:p w14:paraId="5026D65D">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7A33E89">
      <w:pPr>
        <w:rPr>
          <w:rFonts w:asciiTheme="minorHAnsi" w:hAnsiTheme="minorHAnsi" w:cstheme="minorBidi"/>
          <w:b/>
          <w:bCs w:val="0"/>
          <w:color w:val="000000" w:themeColor="text1"/>
          <w:szCs w:val="22"/>
          <w14:textFill>
            <w14:solidFill>
              <w14:schemeClr w14:val="tx1"/>
            </w14:solidFill>
          </w14:textFill>
        </w:rPr>
      </w:pPr>
    </w:p>
    <w:bookmarkEnd w:id="221"/>
    <w:bookmarkEnd w:id="222"/>
    <w:bookmarkEnd w:id="223"/>
    <w:p w14:paraId="74FAA9D0">
      <w:pPr>
        <w:pStyle w:val="58"/>
        <w:numPr>
          <w:ilvl w:val="3"/>
          <w:numId w:val="57"/>
        </w:numPr>
        <w:ind w:left="426" w:hanging="426"/>
        <w:rPr>
          <w:rFonts w:ascii="宋体" w:hAnsi="宋体"/>
          <w:color w:val="000000" w:themeColor="text1"/>
          <w14:textFill>
            <w14:solidFill>
              <w14:schemeClr w14:val="tx1"/>
            </w14:solidFill>
          </w14:textFill>
        </w:rPr>
      </w:pPr>
      <w:bookmarkStart w:id="224" w:name="_Hlk10470956"/>
      <w:bookmarkStart w:id="225" w:name="_Hlk10470966"/>
      <w:r>
        <w:rPr>
          <w:rFonts w:hint="eastAsia" w:ascii="宋体" w:hAnsi="宋体"/>
          <w:color w:val="000000" w:themeColor="text1"/>
          <w14:textFill>
            <w14:solidFill>
              <w14:schemeClr w14:val="tx1"/>
            </w14:solidFill>
          </w14:textFill>
        </w:rPr>
        <w:t>本期合同资产计提坏账准备情况</w:t>
      </w:r>
      <w:bookmarkEnd w:id="224"/>
    </w:p>
    <w:sdt>
      <w:sdtPr>
        <w:rPr>
          <w:color w:val="000000" w:themeColor="text1"/>
          <w14:textFill>
            <w14:solidFill>
              <w14:schemeClr w14:val="tx1"/>
            </w14:solidFill>
          </w14:textFill>
        </w:rPr>
        <w:alias w:val="是否适用：合同资产减值准备[双击切换]"/>
        <w:tag w:val="_GBC_47f239b7a5d442b0a0a358017de09567"/>
        <w:id w:val="147468915"/>
        <w:placeholder>
          <w:docPart w:val="GBC22222222222222222222222222222"/>
        </w:placeholder>
      </w:sdtPr>
      <w:sdtEndPr>
        <w:rPr>
          <w:color w:val="000000" w:themeColor="text1"/>
          <w14:textFill>
            <w14:solidFill>
              <w14:schemeClr w14:val="tx1"/>
            </w14:solidFill>
          </w14:textFill>
        </w:rPr>
      </w:sdtEndPr>
      <w:sdtContent>
        <w:p w14:paraId="7ED36B7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6C27916">
      <w:pPr>
        <w:rPr>
          <w:color w:val="000000" w:themeColor="text1"/>
          <w14:textFill>
            <w14:solidFill>
              <w14:schemeClr w14:val="tx1"/>
            </w14:solidFill>
          </w14:textFill>
        </w:rPr>
      </w:pPr>
    </w:p>
    <w:bookmarkEnd w:id="225"/>
    <w:p w14:paraId="0DE5B4D7">
      <w:pPr>
        <w:rPr>
          <w:color w:val="000000" w:themeColor="text1"/>
          <w14:textFill>
            <w14:solidFill>
              <w14:schemeClr w14:val="tx1"/>
            </w14:solidFill>
          </w14:textFill>
        </w:rPr>
      </w:pPr>
      <w:bookmarkStart w:id="226" w:name="_Hlk167888739"/>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5a496695d0eb4d6eaee4f7f7f7615f95"/>
        <w:id w:val="147475885"/>
        <w:placeholder>
          <w:docPart w:val="GBC22222222222222222222222222222"/>
        </w:placeholder>
      </w:sdtPr>
      <w:sdtEndPr>
        <w:rPr>
          <w:color w:val="000000" w:themeColor="text1"/>
          <w14:textFill>
            <w14:solidFill>
              <w14:schemeClr w14:val="tx1"/>
            </w14:solidFill>
          </w14:textFill>
        </w:rPr>
      </w:sdtEndPr>
      <w:sdtContent>
        <w:p w14:paraId="7547EF9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F7AAC8">
      <w:pPr>
        <w:rPr>
          <w:color w:val="000000" w:themeColor="text1"/>
          <w14:textFill>
            <w14:solidFill>
              <w14:schemeClr w14:val="tx1"/>
            </w14:solidFill>
          </w14:textFill>
        </w:rPr>
      </w:pPr>
    </w:p>
    <w:p w14:paraId="19A1BC92">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1e07c21bc8844634b0354dd2ff775cf3"/>
        <w:id w:val="147466606"/>
        <w:placeholder>
          <w:docPart w:val="GBC22222222222222222222222222222"/>
        </w:placeholder>
      </w:sdtPr>
      <w:sdtEndPr>
        <w:rPr>
          <w:color w:val="000000" w:themeColor="text1"/>
          <w14:textFill>
            <w14:solidFill>
              <w14:schemeClr w14:val="tx1"/>
            </w14:solidFill>
          </w14:textFill>
        </w:rPr>
      </w:sdtEndPr>
      <w:sdtContent>
        <w:p w14:paraId="5DA90F12">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64040C16">
      <w:pPr>
        <w:ind w:right="-1594" w:rightChars="-759"/>
        <w:rPr>
          <w:color w:val="000000" w:themeColor="text1"/>
          <w14:textFill>
            <w14:solidFill>
              <w14:schemeClr w14:val="tx1"/>
            </w14:solidFill>
          </w14:textFill>
        </w:rPr>
      </w:pPr>
    </w:p>
    <w:bookmarkEnd w:id="226"/>
    <w:p w14:paraId="0AB7E8EC">
      <w:pPr>
        <w:pStyle w:val="58"/>
        <w:numPr>
          <w:ilvl w:val="3"/>
          <w:numId w:val="57"/>
        </w:numPr>
        <w:ind w:left="426" w:hanging="426"/>
        <w:rPr>
          <w:rFonts w:ascii="宋体" w:hAnsi="宋体"/>
          <w:color w:val="000000" w:themeColor="text1"/>
          <w14:textFill>
            <w14:solidFill>
              <w14:schemeClr w14:val="tx1"/>
            </w14:solidFill>
          </w14:textFill>
        </w:rPr>
      </w:pPr>
      <w:bookmarkStart w:id="227" w:name="_Hlk167888904"/>
      <w:bookmarkStart w:id="228" w:name="_Hlk153379426"/>
      <w:r>
        <w:rPr>
          <w:rFonts w:hint="eastAsia" w:ascii="宋体" w:hAnsi="宋体"/>
          <w:color w:val="000000" w:themeColor="text1"/>
          <w14:textFill>
            <w14:solidFill>
              <w14:schemeClr w14:val="tx1"/>
            </w14:solidFill>
          </w14:textFill>
        </w:rPr>
        <w:t>本期实际核销的合同资产情况</w:t>
      </w:r>
    </w:p>
    <w:sdt>
      <w:sdtPr>
        <w:rPr>
          <w:color w:val="000000" w:themeColor="text1"/>
          <w14:textFill>
            <w14:solidFill>
              <w14:schemeClr w14:val="tx1"/>
            </w14:solidFill>
          </w14:textFill>
        </w:rPr>
        <w:alias w:val="是否适用：实际核销的情况[双击切换]"/>
        <w:tag w:val="_GBC_a2fe224348004dacb76f7686b01b39be"/>
        <w:id w:val="147464501"/>
        <w:placeholder>
          <w:docPart w:val="GBC22222222222222222222222222222"/>
        </w:placeholder>
      </w:sdtPr>
      <w:sdtEndPr>
        <w:rPr>
          <w:color w:val="000000" w:themeColor="text1"/>
          <w14:textFill>
            <w14:solidFill>
              <w14:schemeClr w14:val="tx1"/>
            </w14:solidFill>
          </w14:textFill>
        </w:rPr>
      </w:sdtEndPr>
      <w:sdtContent>
        <w:p w14:paraId="46BD536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29F17C7">
      <w:pPr>
        <w:rPr>
          <w:color w:val="000000" w:themeColor="text1"/>
          <w14:textFill>
            <w14:solidFill>
              <w14:schemeClr w14:val="tx1"/>
            </w14:solidFill>
          </w14:textFill>
        </w:rPr>
      </w:pPr>
    </w:p>
    <w:p w14:paraId="3E6E4635">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其中重要的合同资产核销情况</w:t>
      </w:r>
    </w:p>
    <w:sdt>
      <w:sdtPr>
        <w:rPr>
          <w:rFonts w:hint="eastAsia"/>
          <w:color w:val="000000" w:themeColor="text1"/>
          <w14:textFill>
            <w14:solidFill>
              <w14:schemeClr w14:val="tx1"/>
            </w14:solidFill>
          </w14:textFill>
        </w:rPr>
        <w:alias w:val="是否适用：重要的核销情况[双击切换]"/>
        <w:tag w:val="_GBC_6bcd1c712b36426ab4d08b134810344a"/>
        <w:id w:val="147463889"/>
        <w:placeholder>
          <w:docPart w:val="GBC22222222222222222222222222222"/>
        </w:placeholder>
      </w:sdtPr>
      <w:sdtEndPr>
        <w:rPr>
          <w:rFonts w:hint="eastAsia"/>
          <w:color w:val="000000" w:themeColor="text1"/>
          <w14:textFill>
            <w14:solidFill>
              <w14:schemeClr w14:val="tx1"/>
            </w14:solidFill>
          </w14:textFill>
        </w:rPr>
      </w:sdtEndPr>
      <w:sdtContent>
        <w:p w14:paraId="104479A5">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1C09B9E">
      <w:pPr>
        <w:snapToGrid w:val="0"/>
        <w:spacing w:line="240" w:lineRule="atLeast"/>
        <w:rPr>
          <w:color w:val="000000" w:themeColor="text1"/>
          <w14:textFill>
            <w14:solidFill>
              <w14:schemeClr w14:val="tx1"/>
            </w14:solidFill>
          </w14:textFill>
        </w:rPr>
      </w:pPr>
    </w:p>
    <w:p w14:paraId="4800C1B0">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合同资产核销说明：</w:t>
      </w:r>
    </w:p>
    <w:sdt>
      <w:sdtPr>
        <w:rPr>
          <w:color w:val="000000" w:themeColor="text1"/>
          <w14:textFill>
            <w14:solidFill>
              <w14:schemeClr w14:val="tx1"/>
            </w14:solidFill>
          </w14:textFill>
        </w:rPr>
        <w:alias w:val="是否适用：核销说明[双击切换]"/>
        <w:tag w:val="_GBC_63a73902686f443c9c4dcd3cd18e6da4"/>
        <w:id w:val="147465465"/>
        <w:placeholder>
          <w:docPart w:val="GBC22222222222222222222222222222"/>
        </w:placeholder>
      </w:sdtPr>
      <w:sdtEndPr>
        <w:rPr>
          <w:color w:val="000000" w:themeColor="text1"/>
          <w14:textFill>
            <w14:solidFill>
              <w14:schemeClr w14:val="tx1"/>
            </w14:solidFill>
          </w14:textFill>
        </w:rPr>
      </w:sdtEndPr>
      <w:sdtContent>
        <w:p w14:paraId="22A1F8C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9BB8B5">
      <w:pPr>
        <w:rPr>
          <w:color w:val="000000" w:themeColor="text1"/>
          <w14:textFill>
            <w14:solidFill>
              <w14:schemeClr w14:val="tx1"/>
            </w14:solidFill>
          </w14:textFill>
        </w:rPr>
      </w:pPr>
    </w:p>
    <w:bookmarkEnd w:id="227"/>
    <w:bookmarkEnd w:id="228"/>
    <w:p w14:paraId="3F161E95">
      <w:pPr>
        <w:rPr>
          <w:color w:val="000000" w:themeColor="text1"/>
          <w14:textFill>
            <w14:solidFill>
              <w14:schemeClr w14:val="tx1"/>
            </w14:solidFill>
          </w14:textFill>
        </w:rPr>
      </w:pPr>
      <w:bookmarkStart w:id="229" w:name="_Hlk10471002"/>
      <w:bookmarkStart w:id="230" w:name="_Hlk10471011"/>
      <w:r>
        <w:rPr>
          <w:rFonts w:hint="eastAsia"/>
          <w:color w:val="000000" w:themeColor="text1"/>
          <w14:textFill>
            <w14:solidFill>
              <w14:schemeClr w14:val="tx1"/>
            </w14:solidFill>
          </w14:textFill>
        </w:rPr>
        <w:t>其他说明：</w:t>
      </w:r>
      <w:bookmarkEnd w:id="229"/>
    </w:p>
    <w:sdt>
      <w:sdtPr>
        <w:rPr>
          <w:color w:val="000000" w:themeColor="text1"/>
          <w14:textFill>
            <w14:solidFill>
              <w14:schemeClr w14:val="tx1"/>
            </w14:solidFill>
          </w14:textFill>
        </w:rPr>
        <w:alias w:val="是否适用：合同资产其他说明[双击切换]"/>
        <w:tag w:val="_GBC_06cd3c0f93454d76bd0c7e20322e8a49"/>
        <w:id w:val="147475484"/>
        <w:placeholder>
          <w:docPart w:val="GBC22222222222222222222222222222"/>
        </w:placeholder>
      </w:sdtPr>
      <w:sdtEndPr>
        <w:rPr>
          <w:color w:val="000000" w:themeColor="text1"/>
          <w14:textFill>
            <w14:solidFill>
              <w14:schemeClr w14:val="tx1"/>
            </w14:solidFill>
          </w14:textFill>
        </w:rPr>
      </w:sdtEndPr>
      <w:sdtContent>
        <w:p w14:paraId="00CCBBE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30"/>
    <w:p w14:paraId="0F25C0F2">
      <w:pPr>
        <w:rPr>
          <w:color w:val="000000" w:themeColor="text1"/>
          <w14:textFill>
            <w14:solidFill>
              <w14:schemeClr w14:val="tx1"/>
            </w14:solidFill>
          </w14:textFill>
        </w:rPr>
      </w:pPr>
    </w:p>
    <w:p w14:paraId="56DC5507">
      <w:pPr>
        <w:pStyle w:val="57"/>
        <w:numPr>
          <w:ilvl w:val="0"/>
          <w:numId w:val="54"/>
        </w:numPr>
        <w:rPr>
          <w:color w:val="000000" w:themeColor="text1"/>
          <w:szCs w:val="21"/>
          <w14:textFill>
            <w14:solidFill>
              <w14:schemeClr w14:val="tx1"/>
            </w14:solidFill>
          </w14:textFill>
        </w:rPr>
      </w:pPr>
      <w:bookmarkStart w:id="231" w:name="_Hlk24102175"/>
      <w:bookmarkStart w:id="232" w:name="_Hlk167889313"/>
      <w:r>
        <w:rPr>
          <w:color w:val="000000" w:themeColor="text1"/>
          <w:szCs w:val="21"/>
          <w14:textFill>
            <w14:solidFill>
              <w14:schemeClr w14:val="tx1"/>
            </w14:solidFill>
          </w14:textFill>
        </w:rPr>
        <w:t>应收款项融资</w:t>
      </w:r>
    </w:p>
    <w:p w14:paraId="04AF5C9E">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应收款项融资分类列示</w:t>
      </w:r>
    </w:p>
    <w:sdt>
      <w:sdtPr>
        <w:rPr>
          <w:color w:val="000000" w:themeColor="text1"/>
          <w14:textFill>
            <w14:solidFill>
              <w14:schemeClr w14:val="tx1"/>
            </w14:solidFill>
          </w14:textFill>
        </w:rPr>
        <w:alias w:val="是否适用：应收款项融资[双击切换]"/>
        <w:tag w:val="_GBC_ef490af2ae9646548061648e78d3873a"/>
        <w:id w:val="147456101"/>
        <w:placeholder>
          <w:docPart w:val="GBC22222222222222222222222222222"/>
        </w:placeholder>
      </w:sdtPr>
      <w:sdtEndPr>
        <w:rPr>
          <w:color w:val="000000" w:themeColor="text1"/>
          <w14:textFill>
            <w14:solidFill>
              <w14:schemeClr w14:val="tx1"/>
            </w14:solidFill>
          </w14:textFill>
        </w:rPr>
      </w:sdtEndPr>
      <w:sdtContent>
        <w:p w14:paraId="12AE2E9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B06EBC">
      <w:pPr>
        <w:ind w:left="420" w:right="-98"/>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应收款项融资"/>
          <w:tag w:val="_GBC_7cda8ff350bd4c7eba83f28198343ec1"/>
          <w:id w:val="14747746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应收款项融资"/>
          <w:tag w:val="_GBC_a63c9a5583bd46debcf8ddc8f5c8b5c5"/>
          <w:id w:val="14748154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6"/>
        <w:gridCol w:w="2896"/>
        <w:gridCol w:w="2907"/>
      </w:tblGrid>
      <w:tr w14:paraId="28F6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7a5cb5b46ad4341aab7ca7400bbb71f"/>
            <w:id w:val="147469568"/>
          </w:sdtPr>
          <w:sdtContent>
            <w:tc>
              <w:tcPr>
                <w:tcW w:w="1794" w:type="pct"/>
                <w:vAlign w:val="center"/>
              </w:tcPr>
              <w:p w14:paraId="60863ED7">
                <w:pPr>
                  <w:jc w:val="center"/>
                  <w:rPr>
                    <w:color w:val="000000" w:themeColor="text1"/>
                    <w14:textFill>
                      <w14:solidFill>
                        <w14:schemeClr w14:val="tx1"/>
                      </w14:solidFill>
                    </w14:textFill>
                  </w:rPr>
                </w:pPr>
                <w:bookmarkStart w:id="233" w:name="_Hlk12969247"/>
                <w:bookmarkStart w:id="234" w:name="_Hlk13057555"/>
                <w:r>
                  <w:rPr>
                    <w:rFonts w:hint="eastAsia"/>
                    <w:color w:val="000000" w:themeColor="text1"/>
                    <w14:textFill>
                      <w14:solidFill>
                        <w14:schemeClr w14:val="tx1"/>
                      </w14:solidFill>
                    </w14:textFill>
                  </w:rPr>
                  <w:t>项目</w:t>
                </w:r>
              </w:p>
            </w:tc>
          </w:sdtContent>
        </w:sdt>
        <w:sdt>
          <w:sdtPr>
            <w:tag w:val="_PLD_22382bb64684420586d7f6150fc2ba41"/>
            <w:id w:val="147463905"/>
          </w:sdtPr>
          <w:sdtContent>
            <w:tc>
              <w:tcPr>
                <w:tcW w:w="1600" w:type="pct"/>
                <w:vAlign w:val="center"/>
              </w:tcPr>
              <w:p w14:paraId="27E9DD76">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a864dd29d6649ad84845cfd97103d69"/>
            <w:id w:val="147482324"/>
          </w:sdtPr>
          <w:sdtContent>
            <w:tc>
              <w:tcPr>
                <w:tcW w:w="1606" w:type="pct"/>
                <w:vAlign w:val="center"/>
              </w:tcPr>
              <w:p w14:paraId="04F37975">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542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4" w:type="pct"/>
          </w:tcPr>
          <w:p w14:paraId="3879672D">
            <w:pPr>
              <w:textAlignment w:val="top"/>
            </w:pPr>
            <w:r>
              <w:rPr>
                <w:rFonts w:cs="Times New Roman"/>
                <w:color w:val="000000"/>
                <w:lang w:bidi="ar"/>
              </w:rPr>
              <w:t>银行承兑汇票</w:t>
            </w:r>
          </w:p>
        </w:tc>
        <w:tc>
          <w:tcPr>
            <w:tcW w:w="1600" w:type="pct"/>
            <w:vAlign w:val="bottom"/>
          </w:tcPr>
          <w:p w14:paraId="074BB2EA">
            <w:pPr>
              <w:jc w:val="right"/>
              <w:textAlignment w:val="bottom"/>
              <w:rPr>
                <w:rFonts w:cs="Times New Roman"/>
              </w:rPr>
            </w:pPr>
            <w:r>
              <w:rPr>
                <w:rFonts w:cs="Times New Roman"/>
                <w:color w:val="000000"/>
              </w:rPr>
              <w:t>70,905,863.88</w:t>
            </w:r>
          </w:p>
        </w:tc>
        <w:tc>
          <w:tcPr>
            <w:tcW w:w="1606" w:type="pct"/>
            <w:vAlign w:val="bottom"/>
          </w:tcPr>
          <w:p w14:paraId="73F7F7D6">
            <w:pPr>
              <w:jc w:val="right"/>
              <w:textAlignment w:val="bottom"/>
              <w:rPr>
                <w:rFonts w:cs="Times New Roman"/>
              </w:rPr>
            </w:pPr>
            <w:r>
              <w:rPr>
                <w:rFonts w:cs="Times New Roman"/>
                <w:color w:val="000000"/>
              </w:rPr>
              <w:t>20,627,331.54</w:t>
            </w:r>
          </w:p>
        </w:tc>
      </w:tr>
      <w:tr w14:paraId="5206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4" w:type="pct"/>
            <w:vAlign w:val="center"/>
          </w:tcPr>
          <w:p w14:paraId="6AF738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00" w:type="pct"/>
            <w:vAlign w:val="bottom"/>
          </w:tcPr>
          <w:p w14:paraId="65DCEE4E">
            <w:pPr>
              <w:jc w:val="right"/>
              <w:textAlignment w:val="bottom"/>
              <w:rPr>
                <w:rFonts w:cs="Times New Roman"/>
              </w:rPr>
            </w:pPr>
            <w:r>
              <w:rPr>
                <w:rFonts w:cs="Times New Roman"/>
                <w:color w:val="000000"/>
              </w:rPr>
              <w:t>70,905,863.88</w:t>
            </w:r>
          </w:p>
        </w:tc>
        <w:tc>
          <w:tcPr>
            <w:tcW w:w="1606" w:type="pct"/>
            <w:vAlign w:val="bottom"/>
          </w:tcPr>
          <w:p w14:paraId="4C21A177">
            <w:pPr>
              <w:jc w:val="right"/>
              <w:textAlignment w:val="bottom"/>
              <w:rPr>
                <w:rFonts w:cs="Times New Roman"/>
              </w:rPr>
            </w:pPr>
            <w:r>
              <w:rPr>
                <w:rFonts w:cs="Times New Roman"/>
                <w:color w:val="000000"/>
              </w:rPr>
              <w:t>20,627,331.54</w:t>
            </w:r>
          </w:p>
        </w:tc>
      </w:tr>
    </w:tbl>
    <w:p w14:paraId="42139A85">
      <w:pPr>
        <w:rPr>
          <w:color w:val="000000" w:themeColor="text1"/>
          <w14:textFill>
            <w14:solidFill>
              <w14:schemeClr w14:val="tx1"/>
            </w14:solidFill>
          </w14:textFill>
        </w:rPr>
      </w:pPr>
    </w:p>
    <w:p w14:paraId="1420E0CD">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期末公司已质押的应收款项融资</w:t>
      </w:r>
    </w:p>
    <w:sdt>
      <w:sdtPr>
        <w:rPr>
          <w:color w:val="000000" w:themeColor="text1"/>
          <w14:textFill>
            <w14:solidFill>
              <w14:schemeClr w14:val="tx1"/>
            </w14:solidFill>
          </w14:textFill>
        </w:rPr>
        <w:alias w:val="是否适用：期末公司已质押的应收款项融资[双击切换]"/>
        <w:tag w:val="_GBC_be6effae9a0c46449ee5beec6506abc0"/>
        <w:id w:val="147481415"/>
        <w:placeholder>
          <w:docPart w:val="GBC22222222222222222222222222222"/>
        </w:placeholder>
      </w:sdtPr>
      <w:sdtEndPr>
        <w:rPr>
          <w:color w:val="000000" w:themeColor="text1"/>
          <w14:textFill>
            <w14:solidFill>
              <w14:schemeClr w14:val="tx1"/>
            </w14:solidFill>
          </w14:textFill>
        </w:rPr>
      </w:sdtEndPr>
      <w:sdtContent>
        <w:p w14:paraId="052E3AC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FD0E330">
      <w:pPr>
        <w:rPr>
          <w:color w:val="000000" w:themeColor="text1"/>
          <w14:textFill>
            <w14:solidFill>
              <w14:schemeClr w14:val="tx1"/>
            </w14:solidFill>
          </w14:textFill>
        </w:rPr>
      </w:pPr>
    </w:p>
    <w:p w14:paraId="6EFB2200">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期末公司已背书或贴现且在资产负债表日尚未到期的应收款项融资</w:t>
      </w:r>
    </w:p>
    <w:sdt>
      <w:sdtPr>
        <w:rPr>
          <w:color w:val="000000" w:themeColor="text1"/>
          <w14:textFill>
            <w14:solidFill>
              <w14:schemeClr w14:val="tx1"/>
            </w14:solidFill>
          </w14:textFill>
        </w:rPr>
        <w:alias w:val="是否适用：期末公司已背书或贴现且在资产负债表日尚未到期的应收款项融资[双击切换]"/>
        <w:tag w:val="_GBC_5aba7034811c436e8fdb090306fae25a"/>
        <w:id w:val="147456469"/>
        <w:placeholder>
          <w:docPart w:val="GBC22222222222222222222222222222"/>
        </w:placeholder>
      </w:sdtPr>
      <w:sdtEndPr>
        <w:rPr>
          <w:color w:val="000000" w:themeColor="text1"/>
          <w14:textFill>
            <w14:solidFill>
              <w14:schemeClr w14:val="tx1"/>
            </w14:solidFill>
          </w14:textFill>
        </w:rPr>
      </w:sdtEndPr>
      <w:sdtContent>
        <w:p w14:paraId="405B70C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73FE0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期末公司已背书或贴现且在资产负债表日尚未到期的应收款项融资"/>
          <w:tag w:val="_GBC_5629d3c7de2b430d964f79cd2922bbdd"/>
          <w:id w:val="14745396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期末公司已背书或贴现且在资产负债表日尚未到期的应收款项融资"/>
          <w:tag w:val="_GBC_842647628955436292dcb5dbd82fc82a"/>
          <w:id w:val="1474701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7"/>
        <w:gridCol w:w="3050"/>
        <w:gridCol w:w="3122"/>
      </w:tblGrid>
      <w:tr w14:paraId="70B1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1ee0c7055824e0a8c4e9342c43c1998"/>
            <w:id w:val="147459779"/>
          </w:sdtPr>
          <w:sdtContent>
            <w:tc>
              <w:tcPr>
                <w:tcW w:w="2877" w:type="dxa"/>
                <w:vAlign w:val="center"/>
              </w:tcPr>
              <w:p w14:paraId="68C391F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e215b5b595d4f9087594da41584b53d"/>
            <w:id w:val="147462899"/>
          </w:sdtPr>
          <w:sdtContent>
            <w:tc>
              <w:tcPr>
                <w:tcW w:w="3050" w:type="dxa"/>
                <w:vAlign w:val="center"/>
              </w:tcPr>
              <w:p w14:paraId="29D724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期末终止确认金额</w:t>
                </w:r>
              </w:p>
            </w:tc>
          </w:sdtContent>
        </w:sdt>
        <w:sdt>
          <w:sdtPr>
            <w:tag w:val="_PLD_a58273833d134754b8f63be5a98d3b7b"/>
            <w:id w:val="147457981"/>
          </w:sdtPr>
          <w:sdtContent>
            <w:tc>
              <w:tcPr>
                <w:tcW w:w="3122" w:type="dxa"/>
                <w:vAlign w:val="center"/>
              </w:tcPr>
              <w:p w14:paraId="4D1FDC2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期末未终止确认金额</w:t>
                </w:r>
              </w:p>
            </w:tc>
          </w:sdtContent>
        </w:sdt>
      </w:tr>
      <w:tr w14:paraId="4FF0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tcPr>
          <w:p w14:paraId="49A4CF67">
            <w:pPr>
              <w:textAlignment w:val="top"/>
            </w:pPr>
            <w:r>
              <w:rPr>
                <w:rFonts w:cs="Times New Roman"/>
                <w:color w:val="000000"/>
                <w:lang w:bidi="ar"/>
              </w:rPr>
              <w:t>银行承兑汇票</w:t>
            </w:r>
          </w:p>
        </w:tc>
        <w:tc>
          <w:tcPr>
            <w:tcW w:w="3050" w:type="dxa"/>
            <w:vAlign w:val="bottom"/>
          </w:tcPr>
          <w:p w14:paraId="7E8A463D">
            <w:pPr>
              <w:jc w:val="right"/>
              <w:textAlignment w:val="bottom"/>
              <w:rPr>
                <w:rFonts w:cs="Times New Roman"/>
              </w:rPr>
            </w:pPr>
            <w:r>
              <w:rPr>
                <w:rFonts w:cs="Times New Roman"/>
                <w:color w:val="000000"/>
              </w:rPr>
              <w:t>64,856,039.79</w:t>
            </w:r>
          </w:p>
        </w:tc>
        <w:tc>
          <w:tcPr>
            <w:tcW w:w="3122" w:type="dxa"/>
            <w:vAlign w:val="bottom"/>
          </w:tcPr>
          <w:p w14:paraId="11BF72CA">
            <w:pPr>
              <w:jc w:val="right"/>
              <w:rPr>
                <w:rFonts w:cs="Times New Roman"/>
              </w:rPr>
            </w:pPr>
          </w:p>
        </w:tc>
      </w:tr>
      <w:tr w14:paraId="3B60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vAlign w:val="center"/>
          </w:tcPr>
          <w:p w14:paraId="2F95133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3050" w:type="dxa"/>
            <w:vAlign w:val="bottom"/>
          </w:tcPr>
          <w:p w14:paraId="390955B6">
            <w:pPr>
              <w:jc w:val="right"/>
              <w:textAlignment w:val="bottom"/>
              <w:rPr>
                <w:rFonts w:cs="Times New Roman"/>
              </w:rPr>
            </w:pPr>
            <w:r>
              <w:rPr>
                <w:rFonts w:cs="Times New Roman"/>
                <w:color w:val="000000"/>
              </w:rPr>
              <w:t>64,856,039.79</w:t>
            </w:r>
          </w:p>
        </w:tc>
        <w:tc>
          <w:tcPr>
            <w:tcW w:w="3122" w:type="dxa"/>
          </w:tcPr>
          <w:p w14:paraId="00CC018E">
            <w:pPr>
              <w:jc w:val="right"/>
              <w:rPr>
                <w:rFonts w:cs="Times New Roman"/>
              </w:rPr>
            </w:pPr>
          </w:p>
        </w:tc>
      </w:tr>
    </w:tbl>
    <w:p w14:paraId="2D813ACE">
      <w:pPr>
        <w:rPr>
          <w:color w:val="000000" w:themeColor="text1"/>
          <w14:textFill>
            <w14:solidFill>
              <w14:schemeClr w14:val="tx1"/>
            </w14:solidFill>
          </w14:textFill>
        </w:rPr>
      </w:pPr>
    </w:p>
    <w:p w14:paraId="2AB9669D">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405ca68f760443499c1bd1a1fa1e9e7d"/>
        <w:id w:val="147451293"/>
        <w:placeholder>
          <w:docPart w:val="GBC22222222222222222222222222222"/>
        </w:placeholder>
      </w:sdtPr>
      <w:sdtEndPr>
        <w:rPr>
          <w:color w:val="000000" w:themeColor="text1"/>
          <w14:textFill>
            <w14:solidFill>
              <w14:schemeClr w14:val="tx1"/>
            </w14:solidFill>
          </w14:textFill>
        </w:rPr>
      </w:sdtEndPr>
      <w:sdtContent>
        <w:p w14:paraId="159A01E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3C65FD">
      <w:pPr>
        <w:rPr>
          <w:color w:val="000000" w:themeColor="text1"/>
          <w14:textFill>
            <w14:solidFill>
              <w14:schemeClr w14:val="tx1"/>
            </w14:solidFill>
          </w14:textFill>
        </w:rPr>
      </w:pPr>
    </w:p>
    <w:p w14:paraId="4528E0EA">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70906d84159d4210b15e17fb2293500d"/>
        <w:id w:val="147478102"/>
        <w:placeholder>
          <w:docPart w:val="GBC22222222222222222222222222222"/>
        </w:placeholder>
      </w:sdtPr>
      <w:sdtEndPr>
        <w:rPr>
          <w:color w:val="000000" w:themeColor="text1"/>
          <w14:textFill>
            <w14:solidFill>
              <w14:schemeClr w14:val="tx1"/>
            </w14:solidFill>
          </w14:textFill>
        </w:rPr>
      </w:sdtEndPr>
      <w:sdtContent>
        <w:p w14:paraId="506949D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36F03BE">
      <w:pPr>
        <w:rPr>
          <w:color w:val="000000" w:themeColor="text1"/>
          <w14:textFill>
            <w14:solidFill>
              <w14:schemeClr w14:val="tx1"/>
            </w14:solidFill>
          </w14:textFill>
        </w:rPr>
      </w:pPr>
    </w:p>
    <w:p w14:paraId="1797A5DC">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f71cdd4ebdc046418cd6f9214346df97"/>
        <w:id w:val="147468270"/>
        <w:placeholder>
          <w:docPart w:val="GBC22222222222222222222222222222"/>
        </w:placeholder>
      </w:sdtPr>
      <w:sdtEndPr>
        <w:rPr>
          <w:color w:val="000000" w:themeColor="text1"/>
          <w14:textFill>
            <w14:solidFill>
              <w14:schemeClr w14:val="tx1"/>
            </w14:solidFill>
          </w14:textFill>
        </w:rPr>
      </w:sdtEndPr>
      <w:sdtContent>
        <w:p w14:paraId="3407AA2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73C2B9">
      <w:pPr>
        <w:rPr>
          <w:color w:val="000000" w:themeColor="text1"/>
          <w14:textFill>
            <w14:solidFill>
              <w14:schemeClr w14:val="tx1"/>
            </w14:solidFill>
          </w14:textFill>
        </w:rPr>
      </w:pPr>
    </w:p>
    <w:p w14:paraId="1CF2DA25">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02191f78423f4f4ca97cd31179bf21d5"/>
        <w:id w:val="147455859"/>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0A11953D">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3583082A">
      <w:pPr>
        <w:rPr>
          <w:rFonts w:ascii="Calibri" w:hAnsi="Calibri" w:cs="Times New Roman"/>
          <w:b/>
          <w:bCs w:val="0"/>
          <w:color w:val="000000" w:themeColor="text1"/>
          <w:szCs w:val="22"/>
          <w14:textFill>
            <w14:solidFill>
              <w14:schemeClr w14:val="tx1"/>
            </w14:solidFill>
          </w14:textFill>
        </w:rPr>
      </w:pPr>
    </w:p>
    <w:p w14:paraId="4761FD07">
      <w:pPr>
        <w:rPr>
          <w:rFonts w:cstheme="minorBidi"/>
          <w:bCs w:val="0"/>
          <w:color w:val="000000" w:themeColor="text1"/>
          <w:szCs w:val="22"/>
          <w14:textFill>
            <w14:solidFill>
              <w14:schemeClr w14:val="tx1"/>
            </w14:solidFill>
          </w14:textFill>
        </w:rPr>
      </w:pPr>
      <w:bookmarkStart w:id="235" w:name="_Hlk153372713"/>
      <w:bookmarkStart w:id="236" w:name="_Hlk154134692"/>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205986a144f344f78129e3fba39b34ca"/>
        <w:id w:val="147471010"/>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14:paraId="787F61E4">
          <w:pPr>
            <w:autoSpaceDE w:val="0"/>
            <w:autoSpaceDN w:val="0"/>
            <w:adjustRightInd w:val="0"/>
            <w:ind w:right="105" w:rightChars="50"/>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29B2E807">
      <w:pPr>
        <w:autoSpaceDE w:val="0"/>
        <w:autoSpaceDN w:val="0"/>
        <w:adjustRightInd w:val="0"/>
        <w:ind w:right="105" w:rightChars="50"/>
        <w:rPr>
          <w:rFonts w:cstheme="minorBidi"/>
          <w:bCs w:val="0"/>
          <w:color w:val="000000" w:themeColor="text1"/>
          <w:szCs w:val="22"/>
          <w14:textFill>
            <w14:solidFill>
              <w14:schemeClr w14:val="tx1"/>
            </w14:solidFill>
          </w14:textFill>
        </w:rPr>
      </w:pPr>
    </w:p>
    <w:p w14:paraId="25D30CBB">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ad44af7652e14ebaa2475a018590c7f5"/>
        <w:id w:val="147470799"/>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3E84B433">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14:paraId="3D3E4E54">
      <w:pPr>
        <w:rPr>
          <w:rFonts w:asciiTheme="minorHAnsi" w:hAnsiTheme="minorHAnsi" w:cstheme="minorBidi"/>
          <w:b/>
          <w:bCs w:val="0"/>
          <w:color w:val="000000" w:themeColor="text1"/>
          <w:szCs w:val="22"/>
          <w14:textFill>
            <w14:solidFill>
              <w14:schemeClr w14:val="tx1"/>
            </w14:solidFill>
          </w14:textFill>
        </w:rPr>
      </w:pPr>
    </w:p>
    <w:p w14:paraId="6BF504EE">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对本期发生损失准备变动的应收款项融资账面余额显著变动的情况说明：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ae382171e73840ef92b5fb34fa844e9f"/>
        <w:id w:val="147473214"/>
        <w:placeholder>
          <w:docPart w:val="GBC22222222222222222222222222222"/>
        </w:placeholder>
      </w:sdtPr>
      <w:sdtEndPr>
        <w:rPr>
          <w:color w:val="000000" w:themeColor="text1"/>
          <w14:textFill>
            <w14:solidFill>
              <w14:schemeClr w14:val="tx1"/>
            </w14:solidFill>
          </w14:textFill>
        </w:rPr>
      </w:sdtEndPr>
      <w:sdtContent>
        <w:p w14:paraId="6A15561D">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FCFD9FB">
      <w:pPr>
        <w:rPr>
          <w:rFonts w:asciiTheme="minorHAnsi" w:hAnsiTheme="minorHAnsi" w:cstheme="minorBidi"/>
          <w:b/>
          <w:bCs w:val="0"/>
          <w:color w:val="000000" w:themeColor="text1"/>
          <w:szCs w:val="22"/>
          <w14:textFill>
            <w14:solidFill>
              <w14:schemeClr w14:val="tx1"/>
            </w14:solidFill>
          </w14:textFill>
        </w:rPr>
      </w:pPr>
    </w:p>
    <w:bookmarkEnd w:id="235"/>
    <w:bookmarkEnd w:id="236"/>
    <w:p w14:paraId="33926A7D">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坏账准备情况[双击切换]"/>
        <w:tag w:val="_GBC_808e84ec9b034cfdb05b2cba07546530"/>
        <w:id w:val="147453027"/>
        <w:placeholder>
          <w:docPart w:val="GBC22222222222222222222222222222"/>
        </w:placeholder>
      </w:sdtPr>
      <w:sdtEndPr>
        <w:rPr>
          <w:color w:val="000000" w:themeColor="text1"/>
          <w14:textFill>
            <w14:solidFill>
              <w14:schemeClr w14:val="tx1"/>
            </w14:solidFill>
          </w14:textFill>
        </w:rPr>
      </w:sdtEndPr>
      <w:sdtContent>
        <w:p w14:paraId="79C02917">
          <w:pPr>
            <w:pStyle w:val="67"/>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580782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382a7c63c3664661a21baa08f6ba86a8"/>
        <w:id w:val="147460521"/>
        <w:placeholder>
          <w:docPart w:val="GBC22222222222222222222222222222"/>
        </w:placeholder>
      </w:sdtPr>
      <w:sdtEndPr>
        <w:rPr>
          <w:color w:val="000000" w:themeColor="text1"/>
          <w14:textFill>
            <w14:solidFill>
              <w14:schemeClr w14:val="tx1"/>
            </w14:solidFill>
          </w14:textFill>
        </w:rPr>
      </w:sdtEndPr>
      <w:sdtContent>
        <w:p w14:paraId="270A38A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D0F465">
      <w:pPr>
        <w:rPr>
          <w:color w:val="000000" w:themeColor="text1"/>
          <w14:textFill>
            <w14:solidFill>
              <w14:schemeClr w14:val="tx1"/>
            </w14:solidFill>
          </w14:textFill>
        </w:rPr>
      </w:pPr>
    </w:p>
    <w:p w14:paraId="7598526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61ca0a7cb2a147fba52fe081c3ffe8b1"/>
        <w:id w:val="147463299"/>
        <w:placeholder>
          <w:docPart w:val="GBC22222222222222222222222222222"/>
        </w:placeholder>
      </w:sdtPr>
      <w:sdtEndPr>
        <w:rPr>
          <w:color w:val="000000" w:themeColor="text1"/>
          <w14:textFill>
            <w14:solidFill>
              <w14:schemeClr w14:val="tx1"/>
            </w14:solidFill>
          </w14:textFill>
        </w:rPr>
      </w:sdtEndPr>
      <w:sdtContent>
        <w:p w14:paraId="57CD8A71">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3FBC136E">
      <w:pPr>
        <w:ind w:right="-1594" w:rightChars="-759"/>
        <w:rPr>
          <w:color w:val="000000" w:themeColor="text1"/>
          <w14:textFill>
            <w14:solidFill>
              <w14:schemeClr w14:val="tx1"/>
            </w14:solidFill>
          </w14:textFill>
        </w:rPr>
      </w:pPr>
    </w:p>
    <w:p w14:paraId="21FE7445">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本期实际核销的应收款项融资情况</w:t>
      </w:r>
    </w:p>
    <w:sdt>
      <w:sdtPr>
        <w:rPr>
          <w:color w:val="000000" w:themeColor="text1"/>
          <w14:textFill>
            <w14:solidFill>
              <w14:schemeClr w14:val="tx1"/>
            </w14:solidFill>
          </w14:textFill>
        </w:rPr>
        <w:alias w:val="是否适用：实际核销的情况[双击切换]"/>
        <w:tag w:val="_GBC_a2d69dfc601543db9955bbac18a0162c"/>
        <w:id w:val="147469700"/>
        <w:placeholder>
          <w:docPart w:val="GBC22222222222222222222222222222"/>
        </w:placeholder>
      </w:sdtPr>
      <w:sdtEndPr>
        <w:rPr>
          <w:color w:val="000000" w:themeColor="text1"/>
          <w14:textFill>
            <w14:solidFill>
              <w14:schemeClr w14:val="tx1"/>
            </w14:solidFill>
          </w14:textFill>
        </w:rPr>
      </w:sdtEndPr>
      <w:sdtContent>
        <w:p w14:paraId="6BE3C1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BE19AF">
      <w:pPr>
        <w:rPr>
          <w:color w:val="000000" w:themeColor="text1"/>
          <w14:textFill>
            <w14:solidFill>
              <w14:schemeClr w14:val="tx1"/>
            </w14:solidFill>
          </w14:textFill>
        </w:rPr>
      </w:pPr>
    </w:p>
    <w:p w14:paraId="44F73C80">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其中重要的应收款项融资核销情况</w:t>
      </w:r>
    </w:p>
    <w:sdt>
      <w:sdtPr>
        <w:rPr>
          <w:rFonts w:hint="eastAsia"/>
          <w:color w:val="000000" w:themeColor="text1"/>
          <w14:textFill>
            <w14:solidFill>
              <w14:schemeClr w14:val="tx1"/>
            </w14:solidFill>
          </w14:textFill>
        </w:rPr>
        <w:alias w:val="是否适用：重要的核销情况[双击切换]"/>
        <w:tag w:val="_GBC_1b7bee0edc57444896650801ca80ffe4"/>
        <w:id w:val="147478821"/>
        <w:placeholder>
          <w:docPart w:val="GBC22222222222222222222222222222"/>
        </w:placeholder>
      </w:sdtPr>
      <w:sdtEndPr>
        <w:rPr>
          <w:rFonts w:hint="eastAsia"/>
          <w:color w:val="000000" w:themeColor="text1"/>
          <w14:textFill>
            <w14:solidFill>
              <w14:schemeClr w14:val="tx1"/>
            </w14:solidFill>
          </w14:textFill>
        </w:rPr>
      </w:sdtEndPr>
      <w:sdtContent>
        <w:p w14:paraId="53754CC3">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DAE687B">
      <w:pPr>
        <w:snapToGrid w:val="0"/>
        <w:spacing w:line="240" w:lineRule="atLeast"/>
        <w:rPr>
          <w:color w:val="000000" w:themeColor="text1"/>
          <w14:textFill>
            <w14:solidFill>
              <w14:schemeClr w14:val="tx1"/>
            </w14:solidFill>
          </w14:textFill>
        </w:rPr>
      </w:pPr>
    </w:p>
    <w:p w14:paraId="09327B4E">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488ea774dd4f4c1d882f56da574ad29c"/>
        <w:id w:val="147460198"/>
        <w:placeholder>
          <w:docPart w:val="GBC22222222222222222222222222222"/>
        </w:placeholder>
      </w:sdtPr>
      <w:sdtEndPr>
        <w:rPr>
          <w:color w:val="000000" w:themeColor="text1"/>
          <w14:textFill>
            <w14:solidFill>
              <w14:schemeClr w14:val="tx1"/>
            </w14:solidFill>
          </w14:textFill>
        </w:rPr>
      </w:sdtEndPr>
      <w:sdtContent>
        <w:p w14:paraId="249D2B6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72C095">
      <w:pPr>
        <w:rPr>
          <w:color w:val="000000" w:themeColor="text1"/>
          <w14:textFill>
            <w14:solidFill>
              <w14:schemeClr w14:val="tx1"/>
            </w14:solidFill>
          </w14:textFill>
        </w:rPr>
      </w:pPr>
    </w:p>
    <w:p w14:paraId="39D39EBB">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应收款项融资本期增减变动及公允价值变动情况：</w:t>
      </w:r>
    </w:p>
    <w:sdt>
      <w:sdtPr>
        <w:rPr>
          <w:rFonts w:hint="eastAsia"/>
          <w:color w:val="000000" w:themeColor="text1"/>
          <w14:textFill>
            <w14:solidFill>
              <w14:schemeClr w14:val="tx1"/>
            </w14:solidFill>
          </w14:textFill>
        </w:rPr>
        <w:alias w:val="是否适用：应收款项融资本期增减变动及公允价值变动情况[双击切换]"/>
        <w:tag w:val="_GBC_229d012533ea43b7b63c184aa0b161d0"/>
        <w:id w:val="147454473"/>
        <w:placeholder>
          <w:docPart w:val="GBC22222222222222222222222222222"/>
        </w:placeholder>
      </w:sdtPr>
      <w:sdtEndPr>
        <w:rPr>
          <w:rFonts w:hint="eastAsia"/>
          <w:color w:val="000000" w:themeColor="text1"/>
          <w14:textFill>
            <w14:solidFill>
              <w14:schemeClr w14:val="tx1"/>
            </w14:solidFill>
          </w14:textFill>
        </w:rPr>
      </w:sdtEndPr>
      <w:sdtContent>
        <w:p w14:paraId="4457DCB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18DF3B">
      <w:pPr>
        <w:rPr>
          <w:color w:val="000000" w:themeColor="text1"/>
          <w14:textFill>
            <w14:solidFill>
              <w14:schemeClr w14:val="tx1"/>
            </w14:solidFill>
          </w14:textFill>
        </w:rPr>
      </w:pPr>
    </w:p>
    <w:bookmarkEnd w:id="231"/>
    <w:bookmarkEnd w:id="233"/>
    <w:bookmarkEnd w:id="234"/>
    <w:p w14:paraId="717796FF">
      <w:pPr>
        <w:pStyle w:val="58"/>
        <w:numPr>
          <w:ilvl w:val="0"/>
          <w:numId w:val="58"/>
        </w:numPr>
        <w:tabs>
          <w:tab w:val="left" w:pos="360"/>
        </w:tabs>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应收款项融资其他说明[双击切换]"/>
        <w:tag w:val="_GBC_f2fd5be9d56145ea8eaacde595a4b245"/>
        <w:id w:val="147451262"/>
        <w:placeholder>
          <w:docPart w:val="GBC22222222222222222222222222222"/>
        </w:placeholder>
      </w:sdtPr>
      <w:sdtEndPr>
        <w:rPr>
          <w:rFonts w:hint="eastAsia"/>
          <w:color w:val="000000" w:themeColor="text1"/>
          <w14:textFill>
            <w14:solidFill>
              <w14:schemeClr w14:val="tx1"/>
            </w14:solidFill>
          </w14:textFill>
        </w:rPr>
      </w:sdtEndPr>
      <w:sdtContent>
        <w:p w14:paraId="26034A04">
          <w:pPr>
            <w:rPr>
              <w:color w:val="000000" w:themeColor="text1"/>
              <w14:textFill>
                <w14:solidFill>
                  <w14:schemeClr w14:val="tx1"/>
                </w14:solidFill>
              </w14:textFill>
            </w:rPr>
          </w:pPr>
          <w:bookmarkStart w:id="237" w:name="_Hlk13057390"/>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32"/>
    <w:bookmarkEnd w:id="237"/>
    <w:p w14:paraId="5E7BAD87">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预付款项</w:t>
      </w:r>
    </w:p>
    <w:p w14:paraId="5EF4E179">
      <w:pPr>
        <w:pStyle w:val="58"/>
        <w:numPr>
          <w:ilvl w:val="0"/>
          <w:numId w:val="59"/>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预付款项按账龄列示</w:t>
      </w:r>
    </w:p>
    <w:sdt>
      <w:sdtPr>
        <w:rPr>
          <w:color w:val="000000" w:themeColor="text1"/>
          <w14:textFill>
            <w14:solidFill>
              <w14:schemeClr w14:val="tx1"/>
            </w14:solidFill>
          </w14:textFill>
        </w:rPr>
        <w:alias w:val="是否适用：预付款项按账龄列示[双击切换]"/>
        <w:tag w:val="_GBC_af3b3e24767e48f7a70a5cfa609407a2"/>
        <w:id w:val="147469422"/>
        <w:placeholder>
          <w:docPart w:val="GBC22222222222222222222222222222"/>
        </w:placeholder>
      </w:sdtPr>
      <w:sdtEndPr>
        <w:rPr>
          <w:color w:val="000000" w:themeColor="text1"/>
          <w14:textFill>
            <w14:solidFill>
              <w14:schemeClr w14:val="tx1"/>
            </w14:solidFill>
          </w14:textFill>
        </w:rPr>
      </w:sdtEndPr>
      <w:sdtContent>
        <w:p w14:paraId="14CD0DF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FBE0450">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付账款账龄"/>
          <w:tag w:val="_GBC_9eb28bbf7d374cdf965c7e133b610fb3"/>
          <w:id w:val="1474835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付账款账龄"/>
          <w:tag w:val="_GBC_d491347f74764df5af3312ad7a0a92e5"/>
          <w:id w:val="1474515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363"/>
        <w:gridCol w:w="1891"/>
        <w:gridCol w:w="1879"/>
        <w:gridCol w:w="1873"/>
        <w:gridCol w:w="1889"/>
      </w:tblGrid>
      <w:tr w14:paraId="2207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37" w:hRule="atLeast"/>
        </w:trPr>
        <w:sdt>
          <w:sdtPr>
            <w:tag w:val="_PLD_159a64f22a4a4b1ab31846b4d6034c4c"/>
            <w:id w:val="147477269"/>
          </w:sdtPr>
          <w:sdtContent>
            <w:tc>
              <w:tcPr>
                <w:tcW w:w="766" w:type="pct"/>
                <w:vMerge w:val="restart"/>
                <w:vAlign w:val="center"/>
              </w:tcPr>
              <w:p w14:paraId="1F52AD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6ca82cba92a649d08c6ceb86dd951ef3"/>
            <w:id w:val="147482018"/>
          </w:sdtPr>
          <w:sdtContent>
            <w:tc>
              <w:tcPr>
                <w:tcW w:w="2118" w:type="pct"/>
                <w:gridSpan w:val="2"/>
                <w:vAlign w:val="center"/>
              </w:tcPr>
              <w:p w14:paraId="66ECC27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65dab2f8fd246d79543ed0d2e6dcab7"/>
            <w:id w:val="147461515"/>
          </w:sdtPr>
          <w:sdtContent>
            <w:tc>
              <w:tcPr>
                <w:tcW w:w="2116" w:type="pct"/>
                <w:gridSpan w:val="2"/>
                <w:vAlign w:val="center"/>
              </w:tcPr>
              <w:p w14:paraId="1FED061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3FD5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6" w:type="pct"/>
            <w:vMerge w:val="continue"/>
          </w:tcPr>
          <w:p w14:paraId="35C03290">
            <w:pPr>
              <w:rPr>
                <w:color w:val="000000" w:themeColor="text1"/>
                <w14:textFill>
                  <w14:solidFill>
                    <w14:schemeClr w14:val="tx1"/>
                  </w14:solidFill>
                </w14:textFill>
              </w:rPr>
            </w:pPr>
          </w:p>
        </w:tc>
        <w:sdt>
          <w:sdtPr>
            <w:tag w:val="_PLD_a9d7b721cfa446e9ae31149380da5970"/>
            <w:id w:val="147463216"/>
          </w:sdtPr>
          <w:sdtContent>
            <w:tc>
              <w:tcPr>
                <w:tcW w:w="1063" w:type="pct"/>
                <w:vAlign w:val="center"/>
              </w:tcPr>
              <w:p w14:paraId="3EA4AE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2d8b8f523dcd4c95815b7c8fd528129d"/>
            <w:id w:val="147463666"/>
          </w:sdtPr>
          <w:sdtContent>
            <w:tc>
              <w:tcPr>
                <w:tcW w:w="1056" w:type="pct"/>
                <w:vAlign w:val="center"/>
              </w:tcPr>
              <w:p w14:paraId="3293B00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f01816a56b3f4ec1a7d603d3ac318eb1"/>
            <w:id w:val="147459372"/>
          </w:sdtPr>
          <w:sdtContent>
            <w:tc>
              <w:tcPr>
                <w:tcW w:w="1053" w:type="pct"/>
                <w:vAlign w:val="center"/>
              </w:tcPr>
              <w:p w14:paraId="4FAA6A8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5adcab5f9be4d24b3d0faaf5403e89a"/>
            <w:id w:val="147456335"/>
          </w:sdtPr>
          <w:sdtContent>
            <w:tc>
              <w:tcPr>
                <w:tcW w:w="1063" w:type="pct"/>
                <w:vAlign w:val="center"/>
              </w:tcPr>
              <w:p w14:paraId="214FAB5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tr>
      <w:tr w14:paraId="1DEC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6" w:type="pct"/>
          </w:tcPr>
          <w:p w14:paraId="7FAAFF09">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w:t>
            </w:r>
          </w:p>
        </w:tc>
        <w:tc>
          <w:tcPr>
            <w:tcW w:w="1876" w:type="dxa"/>
            <w:vAlign w:val="center"/>
          </w:tcPr>
          <w:p w14:paraId="19F01D27">
            <w:pPr>
              <w:jc w:val="right"/>
              <w:textAlignment w:val="bottom"/>
              <w:rPr>
                <w:rFonts w:cs="Times New Roman"/>
              </w:rPr>
            </w:pPr>
            <w:r>
              <w:rPr>
                <w:rFonts w:eastAsia="Arial Narrow" w:cs="Times New Roman"/>
                <w:color w:val="000000"/>
                <w:lang w:bidi="ar"/>
              </w:rPr>
              <w:t>92,124,105.15</w:t>
            </w:r>
          </w:p>
        </w:tc>
        <w:tc>
          <w:tcPr>
            <w:tcW w:w="1863" w:type="dxa"/>
            <w:vAlign w:val="center"/>
          </w:tcPr>
          <w:p w14:paraId="3C069E3A">
            <w:pPr>
              <w:jc w:val="right"/>
              <w:textAlignment w:val="bottom"/>
              <w:rPr>
                <w:rFonts w:cs="Times New Roman"/>
              </w:rPr>
            </w:pPr>
            <w:r>
              <w:rPr>
                <w:rFonts w:eastAsia="Arial Narrow" w:cs="Times New Roman"/>
                <w:color w:val="000000"/>
                <w:lang w:bidi="ar"/>
              </w:rPr>
              <w:t>77.64</w:t>
            </w:r>
          </w:p>
        </w:tc>
        <w:tc>
          <w:tcPr>
            <w:tcW w:w="1053" w:type="pct"/>
            <w:vAlign w:val="center"/>
          </w:tcPr>
          <w:p w14:paraId="0FAA3FD8">
            <w:pPr>
              <w:jc w:val="right"/>
              <w:textAlignment w:val="bottom"/>
              <w:rPr>
                <w:rFonts w:cs="Times New Roman"/>
              </w:rPr>
            </w:pPr>
            <w:r>
              <w:rPr>
                <w:rFonts w:cs="Times New Roman"/>
                <w:color w:val="000000"/>
              </w:rPr>
              <w:t>117,647,205.80</w:t>
            </w:r>
          </w:p>
        </w:tc>
        <w:tc>
          <w:tcPr>
            <w:tcW w:w="1063" w:type="pct"/>
            <w:vAlign w:val="center"/>
          </w:tcPr>
          <w:p w14:paraId="04FB8145">
            <w:pPr>
              <w:jc w:val="right"/>
              <w:textAlignment w:val="bottom"/>
              <w:rPr>
                <w:rFonts w:cs="Times New Roman"/>
              </w:rPr>
            </w:pPr>
            <w:r>
              <w:rPr>
                <w:rFonts w:cs="Times New Roman"/>
                <w:color w:val="000000"/>
              </w:rPr>
              <w:t>80.18</w:t>
            </w:r>
          </w:p>
        </w:tc>
      </w:tr>
      <w:tr w14:paraId="51F2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6" w:type="pct"/>
          </w:tcPr>
          <w:p w14:paraId="5D2721F7">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876" w:type="dxa"/>
            <w:vAlign w:val="center"/>
          </w:tcPr>
          <w:p w14:paraId="0A0343EE">
            <w:pPr>
              <w:jc w:val="right"/>
              <w:textAlignment w:val="bottom"/>
              <w:rPr>
                <w:rFonts w:cs="Times New Roman"/>
              </w:rPr>
            </w:pPr>
            <w:r>
              <w:rPr>
                <w:rFonts w:eastAsia="Arial Narrow" w:cs="Times New Roman"/>
                <w:color w:val="000000"/>
                <w:lang w:bidi="ar"/>
              </w:rPr>
              <w:t>6,437,577.89</w:t>
            </w:r>
          </w:p>
        </w:tc>
        <w:tc>
          <w:tcPr>
            <w:tcW w:w="1863" w:type="dxa"/>
            <w:vAlign w:val="center"/>
          </w:tcPr>
          <w:p w14:paraId="542B10EB">
            <w:pPr>
              <w:jc w:val="right"/>
              <w:textAlignment w:val="bottom"/>
              <w:rPr>
                <w:rFonts w:cs="Times New Roman"/>
              </w:rPr>
            </w:pPr>
            <w:r>
              <w:rPr>
                <w:rFonts w:eastAsia="Arial Narrow" w:cs="Times New Roman"/>
                <w:color w:val="000000"/>
                <w:lang w:bidi="ar"/>
              </w:rPr>
              <w:t>5.43</w:t>
            </w:r>
          </w:p>
        </w:tc>
        <w:tc>
          <w:tcPr>
            <w:tcW w:w="1053" w:type="pct"/>
            <w:vAlign w:val="center"/>
          </w:tcPr>
          <w:p w14:paraId="0B2532EB">
            <w:pPr>
              <w:jc w:val="right"/>
              <w:textAlignment w:val="bottom"/>
              <w:rPr>
                <w:rFonts w:cs="Times New Roman"/>
              </w:rPr>
            </w:pPr>
            <w:r>
              <w:rPr>
                <w:rFonts w:cs="Times New Roman"/>
                <w:color w:val="000000"/>
              </w:rPr>
              <w:t>11,143,737.74</w:t>
            </w:r>
          </w:p>
        </w:tc>
        <w:tc>
          <w:tcPr>
            <w:tcW w:w="1063" w:type="pct"/>
            <w:vAlign w:val="center"/>
          </w:tcPr>
          <w:p w14:paraId="0B736371">
            <w:pPr>
              <w:jc w:val="right"/>
              <w:textAlignment w:val="bottom"/>
              <w:rPr>
                <w:rFonts w:cs="Times New Roman"/>
              </w:rPr>
            </w:pPr>
            <w:r>
              <w:rPr>
                <w:rFonts w:cs="Times New Roman"/>
                <w:color w:val="000000"/>
              </w:rPr>
              <w:t>7.59</w:t>
            </w:r>
          </w:p>
        </w:tc>
      </w:tr>
      <w:tr w14:paraId="4F15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6" w:type="pct"/>
          </w:tcPr>
          <w:p w14:paraId="21833D90">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876" w:type="dxa"/>
            <w:vAlign w:val="center"/>
          </w:tcPr>
          <w:p w14:paraId="475E9E76">
            <w:pPr>
              <w:jc w:val="right"/>
              <w:textAlignment w:val="bottom"/>
              <w:rPr>
                <w:rFonts w:cs="Times New Roman"/>
              </w:rPr>
            </w:pPr>
            <w:r>
              <w:rPr>
                <w:rFonts w:eastAsia="Arial Narrow" w:cs="Times New Roman"/>
                <w:color w:val="000000"/>
                <w:lang w:bidi="ar"/>
              </w:rPr>
              <w:t>7,347,719.43</w:t>
            </w:r>
          </w:p>
        </w:tc>
        <w:tc>
          <w:tcPr>
            <w:tcW w:w="1863" w:type="dxa"/>
            <w:vAlign w:val="center"/>
          </w:tcPr>
          <w:p w14:paraId="63CEB530">
            <w:pPr>
              <w:jc w:val="right"/>
              <w:textAlignment w:val="bottom"/>
              <w:rPr>
                <w:rFonts w:cs="Times New Roman"/>
              </w:rPr>
            </w:pPr>
            <w:r>
              <w:rPr>
                <w:rFonts w:eastAsia="Arial Narrow" w:cs="Times New Roman"/>
                <w:color w:val="000000"/>
                <w:lang w:bidi="ar"/>
              </w:rPr>
              <w:t>6.19</w:t>
            </w:r>
          </w:p>
        </w:tc>
        <w:tc>
          <w:tcPr>
            <w:tcW w:w="1053" w:type="pct"/>
            <w:vAlign w:val="center"/>
          </w:tcPr>
          <w:p w14:paraId="42F6CA3A">
            <w:pPr>
              <w:jc w:val="right"/>
              <w:textAlignment w:val="bottom"/>
              <w:rPr>
                <w:rFonts w:cs="Times New Roman"/>
              </w:rPr>
            </w:pPr>
            <w:r>
              <w:rPr>
                <w:rFonts w:cs="Times New Roman"/>
                <w:color w:val="000000"/>
              </w:rPr>
              <w:t>4,499,544.67</w:t>
            </w:r>
          </w:p>
        </w:tc>
        <w:tc>
          <w:tcPr>
            <w:tcW w:w="1063" w:type="pct"/>
            <w:vAlign w:val="center"/>
          </w:tcPr>
          <w:p w14:paraId="11A42834">
            <w:pPr>
              <w:jc w:val="right"/>
              <w:textAlignment w:val="bottom"/>
              <w:rPr>
                <w:rFonts w:cs="Times New Roman"/>
              </w:rPr>
            </w:pPr>
            <w:r>
              <w:rPr>
                <w:rFonts w:cs="Times New Roman"/>
                <w:color w:val="000000"/>
              </w:rPr>
              <w:t>3.07</w:t>
            </w:r>
          </w:p>
        </w:tc>
      </w:tr>
      <w:tr w14:paraId="6332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6" w:type="pct"/>
          </w:tcPr>
          <w:p w14:paraId="215458B9">
            <w:pPr>
              <w:rPr>
                <w:color w:val="000000" w:themeColor="text1"/>
                <w14:textFill>
                  <w14:solidFill>
                    <w14:schemeClr w14:val="tx1"/>
                  </w14:solidFill>
                </w14:textFill>
              </w:rPr>
            </w:pPr>
            <w:r>
              <w:rPr>
                <w:rFonts w:hint="eastAsia"/>
                <w:color w:val="000000" w:themeColor="text1"/>
                <w14:textFill>
                  <w14:solidFill>
                    <w14:schemeClr w14:val="tx1"/>
                  </w14:solidFill>
                </w14:textFill>
              </w:rPr>
              <w:t>3年以上</w:t>
            </w:r>
          </w:p>
        </w:tc>
        <w:tc>
          <w:tcPr>
            <w:tcW w:w="1876" w:type="dxa"/>
            <w:vAlign w:val="center"/>
          </w:tcPr>
          <w:p w14:paraId="0D1964A8">
            <w:pPr>
              <w:jc w:val="right"/>
              <w:textAlignment w:val="bottom"/>
              <w:rPr>
                <w:rFonts w:cs="Times New Roman"/>
              </w:rPr>
            </w:pPr>
            <w:r>
              <w:rPr>
                <w:rFonts w:eastAsia="Arial Narrow" w:cs="Times New Roman"/>
                <w:color w:val="000000"/>
                <w:lang w:bidi="ar"/>
              </w:rPr>
              <w:t>12,745,248.37</w:t>
            </w:r>
          </w:p>
        </w:tc>
        <w:tc>
          <w:tcPr>
            <w:tcW w:w="1863" w:type="dxa"/>
            <w:vAlign w:val="center"/>
          </w:tcPr>
          <w:p w14:paraId="0C5B94EC">
            <w:pPr>
              <w:jc w:val="right"/>
              <w:textAlignment w:val="bottom"/>
              <w:rPr>
                <w:rFonts w:cs="Times New Roman"/>
              </w:rPr>
            </w:pPr>
            <w:r>
              <w:rPr>
                <w:rFonts w:eastAsia="Arial Narrow" w:cs="Times New Roman"/>
                <w:color w:val="000000"/>
                <w:lang w:bidi="ar"/>
              </w:rPr>
              <w:t>10.74</w:t>
            </w:r>
          </w:p>
        </w:tc>
        <w:tc>
          <w:tcPr>
            <w:tcW w:w="1053" w:type="pct"/>
            <w:vAlign w:val="center"/>
          </w:tcPr>
          <w:p w14:paraId="6B9761A3">
            <w:pPr>
              <w:jc w:val="right"/>
              <w:textAlignment w:val="bottom"/>
              <w:rPr>
                <w:rFonts w:cs="Times New Roman"/>
              </w:rPr>
            </w:pPr>
            <w:r>
              <w:rPr>
                <w:rFonts w:cs="Times New Roman"/>
                <w:color w:val="000000"/>
              </w:rPr>
              <w:t>13,434,492.66</w:t>
            </w:r>
          </w:p>
        </w:tc>
        <w:tc>
          <w:tcPr>
            <w:tcW w:w="1063" w:type="pct"/>
            <w:vAlign w:val="center"/>
          </w:tcPr>
          <w:p w14:paraId="7E5C6809">
            <w:pPr>
              <w:jc w:val="right"/>
              <w:textAlignment w:val="bottom"/>
              <w:rPr>
                <w:rFonts w:cs="Times New Roman"/>
              </w:rPr>
            </w:pPr>
            <w:r>
              <w:rPr>
                <w:rFonts w:cs="Times New Roman"/>
                <w:color w:val="000000"/>
              </w:rPr>
              <w:t>9.16</w:t>
            </w:r>
          </w:p>
        </w:tc>
      </w:tr>
      <w:tr w14:paraId="3246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6" w:type="pct"/>
          </w:tcPr>
          <w:p w14:paraId="21DCC80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76" w:type="dxa"/>
            <w:vAlign w:val="center"/>
          </w:tcPr>
          <w:p w14:paraId="1263B90F">
            <w:pPr>
              <w:jc w:val="right"/>
              <w:textAlignment w:val="bottom"/>
              <w:rPr>
                <w:rFonts w:cs="Times New Roman"/>
              </w:rPr>
            </w:pPr>
            <w:r>
              <w:rPr>
                <w:rFonts w:eastAsia="Arial Narrow" w:cs="Times New Roman"/>
                <w:color w:val="000000"/>
                <w:lang w:bidi="ar"/>
              </w:rPr>
              <w:t>118,654,650.84</w:t>
            </w:r>
          </w:p>
        </w:tc>
        <w:tc>
          <w:tcPr>
            <w:tcW w:w="1863" w:type="dxa"/>
            <w:vAlign w:val="center"/>
          </w:tcPr>
          <w:p w14:paraId="3C5F9D21">
            <w:pPr>
              <w:jc w:val="right"/>
              <w:textAlignment w:val="bottom"/>
              <w:rPr>
                <w:rFonts w:cs="Times New Roman"/>
              </w:rPr>
            </w:pPr>
            <w:r>
              <w:rPr>
                <w:rFonts w:eastAsia="Arial Narrow" w:cs="Times New Roman"/>
                <w:color w:val="000000"/>
                <w:lang w:bidi="ar"/>
              </w:rPr>
              <w:t>100.00</w:t>
            </w:r>
          </w:p>
        </w:tc>
        <w:tc>
          <w:tcPr>
            <w:tcW w:w="1053" w:type="pct"/>
            <w:vAlign w:val="center"/>
          </w:tcPr>
          <w:p w14:paraId="23F4AC79">
            <w:pPr>
              <w:jc w:val="right"/>
              <w:textAlignment w:val="bottom"/>
              <w:rPr>
                <w:rFonts w:cs="Times New Roman"/>
              </w:rPr>
            </w:pPr>
            <w:r>
              <w:rPr>
                <w:rFonts w:cs="Times New Roman"/>
                <w:color w:val="000000"/>
              </w:rPr>
              <w:t>146,724,980.87</w:t>
            </w:r>
          </w:p>
        </w:tc>
        <w:tc>
          <w:tcPr>
            <w:tcW w:w="1063" w:type="pct"/>
            <w:vAlign w:val="center"/>
          </w:tcPr>
          <w:p w14:paraId="51F7A4E2">
            <w:pPr>
              <w:jc w:val="right"/>
              <w:textAlignment w:val="bottom"/>
              <w:rPr>
                <w:rFonts w:cs="Times New Roman"/>
              </w:rPr>
            </w:pPr>
            <w:r>
              <w:rPr>
                <w:rFonts w:cs="Times New Roman"/>
                <w:color w:val="000000"/>
              </w:rPr>
              <w:t>100.00</w:t>
            </w:r>
          </w:p>
        </w:tc>
      </w:tr>
    </w:tbl>
    <w:p w14:paraId="1F18B429">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账龄超过1年且金额重要的预付款项未及时结算原因</w:t>
      </w:r>
      <w:r>
        <w:rPr>
          <w:color w:val="000000" w:themeColor="text1"/>
          <w14:textFill>
            <w14:solidFill>
              <w14:schemeClr w14:val="tx1"/>
            </w14:solidFill>
          </w14:textFill>
        </w:rPr>
        <w:t>的说明：</w:t>
      </w:r>
    </w:p>
    <w:sdt>
      <w:sdtPr>
        <w:rPr>
          <w:color w:val="000000" w:themeColor="text1"/>
          <w14:textFill>
            <w14:solidFill>
              <w14:schemeClr w14:val="tx1"/>
            </w14:solidFill>
          </w14:textFill>
        </w:rPr>
        <w:alias w:val="账龄超过1年且金额重要的预付款项未及时结算原因的说明"/>
        <w:tag w:val="_GBC_174a9654172e49e09cdbf18d854fdd51"/>
        <w:id w:val="147480926"/>
        <w:placeholder>
          <w:docPart w:val="GBC22222222222222222222222222222"/>
        </w:placeholder>
      </w:sdtPr>
      <w:sdtEndPr>
        <w:rPr>
          <w:color w:val="000000" w:themeColor="text1"/>
          <w14:textFill>
            <w14:solidFill>
              <w14:schemeClr w14:val="tx1"/>
            </w14:solidFill>
          </w14:textFill>
        </w:rPr>
      </w:sdtEndPr>
      <w:sdtContent>
        <w:p w14:paraId="35789B02">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付账款账龄"/>
              <w:tag w:val="_GBC_9eb28bbf7d374cdf965c7e133b610fb3"/>
              <w:id w:val="147472770"/>
              <w:placeholder>
                <w:docPart w:val="{8dabe584-f165-47b9-9724-d3b049b84780}"/>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付账款账龄"/>
              <w:tag w:val="_GBC_d491347f74764df5af3312ad7a0a92e5"/>
              <w:id w:val="147473636"/>
              <w:placeholder>
                <w:docPart w:val="{8dabe584-f165-47b9-9724-d3b049b8478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p w14:paraId="0E69F1BA">
          <w:pPr>
            <w:snapToGrid w:val="0"/>
            <w:spacing w:line="240" w:lineRule="atLeast"/>
            <w:rPr>
              <w:color w:val="000000" w:themeColor="text1"/>
              <w14:textFill>
                <w14:solidFill>
                  <w14:schemeClr w14:val="tx1"/>
                </w14:solidFill>
              </w14:textFill>
            </w:rPr>
          </w:pP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3"/>
            <w:gridCol w:w="1746"/>
            <w:gridCol w:w="1287"/>
            <w:gridCol w:w="1989"/>
          </w:tblGrid>
          <w:tr w14:paraId="5553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3F4A0AA1">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 xml:space="preserve"> 单位名称 </w:t>
                </w:r>
              </w:p>
            </w:tc>
            <w:tc>
              <w:tcPr>
                <w:tcW w:w="965" w:type="pct"/>
                <w:vAlign w:val="center"/>
              </w:tcPr>
              <w:p w14:paraId="77BC6F30">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 xml:space="preserve"> 期末余额 </w:t>
                </w:r>
              </w:p>
            </w:tc>
            <w:tc>
              <w:tcPr>
                <w:tcW w:w="711" w:type="pct"/>
                <w:vAlign w:val="center"/>
              </w:tcPr>
              <w:p w14:paraId="45B5FFC9">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 xml:space="preserve"> 账龄 </w:t>
                </w:r>
              </w:p>
            </w:tc>
            <w:tc>
              <w:tcPr>
                <w:tcW w:w="1099" w:type="pct"/>
                <w:vAlign w:val="center"/>
              </w:tcPr>
              <w:p w14:paraId="222E2334">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 xml:space="preserve"> 未及时结算原因 </w:t>
                </w:r>
              </w:p>
            </w:tc>
          </w:tr>
          <w:tr w14:paraId="66F1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4FE2CBF7">
                <w:pPr>
                  <w:widowControl/>
                  <w:jc w:val="left"/>
                  <w:textAlignment w:val="center"/>
                  <w:rPr>
                    <w:color w:val="000000" w:themeColor="text1"/>
                    <w14:textFill>
                      <w14:solidFill>
                        <w14:schemeClr w14:val="tx1"/>
                      </w14:solidFill>
                    </w14:textFill>
                  </w:rPr>
                </w:pPr>
                <w:r>
                  <w:rPr>
                    <w:rFonts w:cs="Times New Roman"/>
                    <w:color w:val="000000"/>
                    <w:sz w:val="20"/>
                    <w:szCs w:val="20"/>
                    <w:lang w:bidi="ar"/>
                  </w:rPr>
                  <w:t xml:space="preserve"> 北京腾奥世杰工贸有限公司 </w:t>
                </w:r>
              </w:p>
            </w:tc>
            <w:tc>
              <w:tcPr>
                <w:tcW w:w="965" w:type="pct"/>
                <w:vAlign w:val="bottom"/>
              </w:tcPr>
              <w:p w14:paraId="45A159F3">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3,768,772.85</w:t>
                </w:r>
              </w:p>
            </w:tc>
            <w:tc>
              <w:tcPr>
                <w:tcW w:w="711" w:type="pct"/>
                <w:vAlign w:val="center"/>
              </w:tcPr>
              <w:p w14:paraId="2555E816">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3年以上</w:t>
                </w:r>
              </w:p>
            </w:tc>
            <w:tc>
              <w:tcPr>
                <w:tcW w:w="1099" w:type="pct"/>
                <w:vAlign w:val="center"/>
              </w:tcPr>
              <w:p w14:paraId="29127FD0">
                <w:pPr>
                  <w:widowControl/>
                  <w:jc w:val="center"/>
                  <w:textAlignment w:val="center"/>
                  <w:rPr>
                    <w:color w:val="000000" w:themeColor="text1"/>
                    <w14:textFill>
                      <w14:solidFill>
                        <w14:schemeClr w14:val="tx1"/>
                      </w14:solidFill>
                    </w14:textFill>
                  </w:rPr>
                </w:pPr>
                <w:r>
                  <w:rPr>
                    <w:rFonts w:cs="Times New Roman"/>
                    <w:color w:val="000000"/>
                    <w:sz w:val="20"/>
                    <w:szCs w:val="20"/>
                  </w:rPr>
                  <w:t>尚未结算</w:t>
                </w:r>
              </w:p>
            </w:tc>
          </w:tr>
          <w:tr w14:paraId="248F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76B86BFB">
                <w:pPr>
                  <w:widowControl/>
                  <w:jc w:val="left"/>
                  <w:textAlignment w:val="center"/>
                  <w:rPr>
                    <w:color w:val="000000" w:themeColor="text1"/>
                    <w14:textFill>
                      <w14:solidFill>
                        <w14:schemeClr w14:val="tx1"/>
                      </w14:solidFill>
                    </w14:textFill>
                  </w:rPr>
                </w:pPr>
                <w:r>
                  <w:rPr>
                    <w:rFonts w:cs="Times New Roman"/>
                    <w:color w:val="000000"/>
                    <w:sz w:val="20"/>
                    <w:szCs w:val="20"/>
                    <w:lang w:bidi="ar"/>
                  </w:rPr>
                  <w:t xml:space="preserve"> 河南省远航制鞋有限公司 </w:t>
                </w:r>
              </w:p>
            </w:tc>
            <w:tc>
              <w:tcPr>
                <w:tcW w:w="965" w:type="pct"/>
                <w:vAlign w:val="bottom"/>
              </w:tcPr>
              <w:p w14:paraId="1640E42E">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2,895,867.55</w:t>
                </w:r>
              </w:p>
            </w:tc>
            <w:tc>
              <w:tcPr>
                <w:tcW w:w="711" w:type="pct"/>
                <w:vAlign w:val="center"/>
              </w:tcPr>
              <w:p w14:paraId="53E084A5">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1-</w:t>
                </w:r>
                <w:r>
                  <w:rPr>
                    <w:rFonts w:hint="eastAsia" w:ascii="宋体" w:hAnsi="宋体"/>
                    <w:color w:val="000000"/>
                    <w:sz w:val="20"/>
                    <w:szCs w:val="20"/>
                    <w:lang w:bidi="ar"/>
                  </w:rPr>
                  <w:t>3年</w:t>
                </w:r>
              </w:p>
            </w:tc>
            <w:tc>
              <w:tcPr>
                <w:tcW w:w="1099" w:type="pct"/>
                <w:vAlign w:val="center"/>
              </w:tcPr>
              <w:p w14:paraId="46A7133A">
                <w:pPr>
                  <w:widowControl/>
                  <w:jc w:val="center"/>
                  <w:textAlignment w:val="center"/>
                  <w:rPr>
                    <w:color w:val="000000" w:themeColor="text1"/>
                    <w14:textFill>
                      <w14:solidFill>
                        <w14:schemeClr w14:val="tx1"/>
                      </w14:solidFill>
                    </w14:textFill>
                  </w:rPr>
                </w:pPr>
                <w:r>
                  <w:rPr>
                    <w:rFonts w:cs="Times New Roman"/>
                    <w:color w:val="000000"/>
                    <w:sz w:val="20"/>
                    <w:szCs w:val="20"/>
                  </w:rPr>
                  <w:t>尚未结算</w:t>
                </w:r>
              </w:p>
            </w:tc>
          </w:tr>
          <w:tr w14:paraId="61CE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266FC730">
                <w:pPr>
                  <w:widowControl/>
                  <w:jc w:val="left"/>
                  <w:textAlignment w:val="center"/>
                  <w:rPr>
                    <w:color w:val="000000" w:themeColor="text1"/>
                    <w14:textFill>
                      <w14:solidFill>
                        <w14:schemeClr w14:val="tx1"/>
                      </w14:solidFill>
                    </w14:textFill>
                  </w:rPr>
                </w:pPr>
                <w:r>
                  <w:rPr>
                    <w:rFonts w:cs="Times New Roman"/>
                    <w:color w:val="000000"/>
                    <w:sz w:val="20"/>
                    <w:szCs w:val="20"/>
                    <w:lang w:bidi="ar"/>
                  </w:rPr>
                  <w:t xml:space="preserve"> 重庆竞博鞋业有限责任公司 </w:t>
                </w:r>
              </w:p>
            </w:tc>
            <w:tc>
              <w:tcPr>
                <w:tcW w:w="965" w:type="pct"/>
                <w:vAlign w:val="bottom"/>
              </w:tcPr>
              <w:p w14:paraId="33C62BC6">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4,164,425.92</w:t>
                </w:r>
              </w:p>
            </w:tc>
            <w:tc>
              <w:tcPr>
                <w:tcW w:w="711" w:type="pct"/>
                <w:vAlign w:val="center"/>
              </w:tcPr>
              <w:p w14:paraId="4784026D">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1-2年</w:t>
                </w:r>
              </w:p>
            </w:tc>
            <w:tc>
              <w:tcPr>
                <w:tcW w:w="1099" w:type="pct"/>
                <w:vAlign w:val="center"/>
              </w:tcPr>
              <w:p w14:paraId="24654231">
                <w:pPr>
                  <w:widowControl/>
                  <w:jc w:val="center"/>
                  <w:textAlignment w:val="center"/>
                  <w:rPr>
                    <w:color w:val="000000" w:themeColor="text1"/>
                    <w14:textFill>
                      <w14:solidFill>
                        <w14:schemeClr w14:val="tx1"/>
                      </w14:solidFill>
                    </w14:textFill>
                  </w:rPr>
                </w:pPr>
                <w:r>
                  <w:rPr>
                    <w:rFonts w:cs="Times New Roman"/>
                    <w:color w:val="000000"/>
                    <w:sz w:val="20"/>
                    <w:szCs w:val="20"/>
                  </w:rPr>
                  <w:t>尚未结算</w:t>
                </w:r>
              </w:p>
            </w:tc>
          </w:tr>
          <w:tr w14:paraId="7C85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0E9F6125">
                <w:pPr>
                  <w:widowControl/>
                  <w:jc w:val="left"/>
                  <w:textAlignment w:val="center"/>
                  <w:rPr>
                    <w:color w:val="000000" w:themeColor="text1"/>
                    <w14:textFill>
                      <w14:solidFill>
                        <w14:schemeClr w14:val="tx1"/>
                      </w14:solidFill>
                    </w14:textFill>
                  </w:rPr>
                </w:pPr>
                <w:r>
                  <w:rPr>
                    <w:rFonts w:cs="Times New Roman"/>
                    <w:color w:val="000000"/>
                    <w:sz w:val="20"/>
                    <w:szCs w:val="20"/>
                    <w:lang w:bidi="ar"/>
                  </w:rPr>
                  <w:t xml:space="preserve"> 北京万华鑫荣聚氨酯科技发展有限公司 </w:t>
                </w:r>
              </w:p>
            </w:tc>
            <w:tc>
              <w:tcPr>
                <w:tcW w:w="965" w:type="pct"/>
                <w:vAlign w:val="bottom"/>
              </w:tcPr>
              <w:p w14:paraId="01306B01">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1,113,054.61</w:t>
                </w:r>
              </w:p>
            </w:tc>
            <w:tc>
              <w:tcPr>
                <w:tcW w:w="711" w:type="pct"/>
                <w:vAlign w:val="center"/>
              </w:tcPr>
              <w:p w14:paraId="2B29898A">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3年以上</w:t>
                </w:r>
              </w:p>
            </w:tc>
            <w:tc>
              <w:tcPr>
                <w:tcW w:w="1099" w:type="pct"/>
                <w:vAlign w:val="center"/>
              </w:tcPr>
              <w:p w14:paraId="0388B6BF">
                <w:pPr>
                  <w:widowControl/>
                  <w:jc w:val="center"/>
                  <w:textAlignment w:val="center"/>
                  <w:rPr>
                    <w:color w:val="000000" w:themeColor="text1"/>
                    <w14:textFill>
                      <w14:solidFill>
                        <w14:schemeClr w14:val="tx1"/>
                      </w14:solidFill>
                    </w14:textFill>
                  </w:rPr>
                </w:pPr>
                <w:r>
                  <w:rPr>
                    <w:rFonts w:cs="Times New Roman"/>
                    <w:color w:val="000000"/>
                    <w:sz w:val="20"/>
                    <w:szCs w:val="20"/>
                  </w:rPr>
                  <w:t>尚未结算</w:t>
                </w:r>
              </w:p>
            </w:tc>
          </w:tr>
          <w:tr w14:paraId="0E9D5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008D25D8">
                <w:pPr>
                  <w:widowControl/>
                  <w:jc w:val="left"/>
                  <w:textAlignment w:val="center"/>
                  <w:rPr>
                    <w:color w:val="000000" w:themeColor="text1"/>
                    <w14:textFill>
                      <w14:solidFill>
                        <w14:schemeClr w14:val="tx1"/>
                      </w14:solidFill>
                    </w14:textFill>
                  </w:rPr>
                </w:pPr>
                <w:r>
                  <w:rPr>
                    <w:rFonts w:cs="Times New Roman"/>
                    <w:color w:val="000000"/>
                    <w:sz w:val="20"/>
                    <w:szCs w:val="20"/>
                    <w:lang w:bidi="ar"/>
                  </w:rPr>
                  <w:t xml:space="preserve"> 金猴集团威海皮具有限公司 </w:t>
                </w:r>
              </w:p>
            </w:tc>
            <w:tc>
              <w:tcPr>
                <w:tcW w:w="965" w:type="pct"/>
                <w:vAlign w:val="bottom"/>
              </w:tcPr>
              <w:p w14:paraId="7804AF57">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1,105,814.00</w:t>
                </w:r>
              </w:p>
            </w:tc>
            <w:tc>
              <w:tcPr>
                <w:tcW w:w="711" w:type="pct"/>
                <w:vAlign w:val="center"/>
              </w:tcPr>
              <w:p w14:paraId="0495D7E5">
                <w:pPr>
                  <w:widowControl/>
                  <w:jc w:val="center"/>
                  <w:textAlignment w:val="center"/>
                  <w:rPr>
                    <w:color w:val="000000" w:themeColor="text1"/>
                    <w14:textFill>
                      <w14:solidFill>
                        <w14:schemeClr w14:val="tx1"/>
                      </w14:solidFill>
                    </w14:textFill>
                  </w:rPr>
                </w:pPr>
                <w:r>
                  <w:rPr>
                    <w:rFonts w:cs="Times New Roman"/>
                    <w:color w:val="000000"/>
                    <w:sz w:val="20"/>
                    <w:szCs w:val="20"/>
                    <w:lang w:bidi="ar"/>
                  </w:rPr>
                  <w:t>3年以上</w:t>
                </w:r>
              </w:p>
            </w:tc>
            <w:tc>
              <w:tcPr>
                <w:tcW w:w="1099" w:type="pct"/>
                <w:vAlign w:val="center"/>
              </w:tcPr>
              <w:p w14:paraId="657F510A">
                <w:pPr>
                  <w:widowControl/>
                  <w:jc w:val="center"/>
                  <w:textAlignment w:val="center"/>
                  <w:rPr>
                    <w:color w:val="000000" w:themeColor="text1"/>
                    <w14:textFill>
                      <w14:solidFill>
                        <w14:schemeClr w14:val="tx1"/>
                      </w14:solidFill>
                    </w14:textFill>
                  </w:rPr>
                </w:pPr>
                <w:r>
                  <w:rPr>
                    <w:rFonts w:cs="Times New Roman"/>
                    <w:color w:val="000000"/>
                    <w:sz w:val="20"/>
                    <w:szCs w:val="20"/>
                  </w:rPr>
                  <w:t>尚未结算</w:t>
                </w:r>
              </w:p>
            </w:tc>
          </w:tr>
          <w:tr w14:paraId="7CED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pct"/>
                <w:vAlign w:val="center"/>
              </w:tcPr>
              <w:p w14:paraId="6716735F">
                <w:pPr>
                  <w:widowControl/>
                  <w:jc w:val="left"/>
                  <w:textAlignment w:val="center"/>
                  <w:rPr>
                    <w:color w:val="000000" w:themeColor="text1"/>
                    <w14:textFill>
                      <w14:solidFill>
                        <w14:schemeClr w14:val="tx1"/>
                      </w14:solidFill>
                    </w14:textFill>
                  </w:rPr>
                </w:pPr>
                <w:r>
                  <w:rPr>
                    <w:rFonts w:cs="Times New Roman"/>
                    <w:color w:val="000000"/>
                    <w:sz w:val="20"/>
                    <w:szCs w:val="20"/>
                    <w:lang w:bidi="ar"/>
                  </w:rPr>
                  <w:t xml:space="preserve"> 合计 </w:t>
                </w:r>
              </w:p>
            </w:tc>
            <w:tc>
              <w:tcPr>
                <w:tcW w:w="965" w:type="pct"/>
                <w:vAlign w:val="bottom"/>
              </w:tcPr>
              <w:p w14:paraId="73CF840E">
                <w:pPr>
                  <w:widowControl/>
                  <w:jc w:val="right"/>
                  <w:textAlignment w:val="bottom"/>
                  <w:rPr>
                    <w:rFonts w:cs="Times New Roman"/>
                    <w:color w:val="000000" w:themeColor="text1"/>
                    <w14:textFill>
                      <w14:solidFill>
                        <w14:schemeClr w14:val="tx1"/>
                      </w14:solidFill>
                    </w14:textFill>
                  </w:rPr>
                </w:pPr>
                <w:r>
                  <w:rPr>
                    <w:rFonts w:eastAsia="Arial Narrow" w:cs="Times New Roman"/>
                    <w:color w:val="000000"/>
                    <w:lang w:bidi="ar"/>
                  </w:rPr>
                  <w:t>13,047,934.93</w:t>
                </w:r>
              </w:p>
            </w:tc>
            <w:tc>
              <w:tcPr>
                <w:tcW w:w="711" w:type="pct"/>
              </w:tcPr>
              <w:p w14:paraId="6EA0325F">
                <w:pPr>
                  <w:widowControl/>
                  <w:jc w:val="center"/>
                  <w:textAlignment w:val="top"/>
                  <w:rPr>
                    <w:color w:val="000000" w:themeColor="text1"/>
                    <w14:textFill>
                      <w14:solidFill>
                        <w14:schemeClr w14:val="tx1"/>
                      </w14:solidFill>
                    </w14:textFill>
                  </w:rPr>
                </w:pPr>
                <w:r>
                  <w:rPr>
                    <w:rFonts w:ascii="Arial Narrow" w:hAnsi="Arial Narrow"/>
                    <w:color w:val="000000"/>
                  </w:rPr>
                  <w:t>—</w:t>
                </w:r>
              </w:p>
            </w:tc>
            <w:tc>
              <w:tcPr>
                <w:tcW w:w="1099" w:type="pct"/>
              </w:tcPr>
              <w:p w14:paraId="7DF65787">
                <w:pPr>
                  <w:widowControl/>
                  <w:jc w:val="center"/>
                  <w:textAlignment w:val="top"/>
                  <w:rPr>
                    <w:color w:val="000000" w:themeColor="text1"/>
                    <w14:textFill>
                      <w14:solidFill>
                        <w14:schemeClr w14:val="tx1"/>
                      </w14:solidFill>
                    </w14:textFill>
                  </w:rPr>
                </w:pPr>
                <w:r>
                  <w:rPr>
                    <w:rFonts w:ascii="Arial Narrow" w:hAnsi="Arial Narrow"/>
                    <w:color w:val="000000"/>
                  </w:rPr>
                  <w:t>—</w:t>
                </w:r>
              </w:p>
            </w:tc>
          </w:tr>
        </w:tbl>
        <w:p w14:paraId="3F86FD49">
          <w:pPr>
            <w:snapToGrid w:val="0"/>
            <w:spacing w:line="240" w:lineRule="atLeast"/>
            <w:rPr>
              <w:color w:val="000000" w:themeColor="text1"/>
              <w14:textFill>
                <w14:solidFill>
                  <w14:schemeClr w14:val="tx1"/>
                </w14:solidFill>
              </w14:textFill>
            </w:rPr>
          </w:pPr>
        </w:p>
      </w:sdtContent>
    </w:sdt>
    <w:p w14:paraId="1A437FA6">
      <w:pPr>
        <w:pStyle w:val="58"/>
        <w:numPr>
          <w:ilvl w:val="0"/>
          <w:numId w:val="59"/>
        </w:numPr>
        <w:tabs>
          <w:tab w:val="left" w:pos="616"/>
        </w:tabs>
        <w:rPr>
          <w:rFonts w:ascii="宋体" w:hAnsi="宋体"/>
          <w:color w:val="000000" w:themeColor="text1"/>
          <w14:textFill>
            <w14:solidFill>
              <w14:schemeClr w14:val="tx1"/>
            </w14:solidFill>
          </w14:textFill>
        </w:rPr>
      </w:pPr>
      <w:bookmarkStart w:id="238" w:name="_Hlk199853551"/>
      <w:r>
        <w:rPr>
          <w:rFonts w:hint="eastAsia" w:ascii="宋体" w:hAnsi="宋体"/>
          <w:color w:val="000000" w:themeColor="text1"/>
          <w14:textFill>
            <w14:solidFill>
              <w14:schemeClr w14:val="tx1"/>
            </w14:solidFill>
          </w14:textFill>
        </w:rPr>
        <w:t>按预付对象归集的期末余额前五名的预付款情况</w:t>
      </w:r>
    </w:p>
    <w:sdt>
      <w:sdtPr>
        <w:rPr>
          <w:rFonts w:hint="eastAsia"/>
          <w:color w:val="000000" w:themeColor="text1"/>
          <w14:textFill>
            <w14:solidFill>
              <w14:schemeClr w14:val="tx1"/>
            </w14:solidFill>
          </w14:textFill>
        </w:rPr>
        <w:alias w:val="是否适用：按预付对象归集的期末余额前五名的预付款情况[双击切换]"/>
        <w:tag w:val="_GBC_a1864f04af6d49bdb434d74a7f29f8c3"/>
        <w:id w:val="1782603716"/>
      </w:sdtPr>
      <w:sdtEndPr>
        <w:rPr>
          <w:rFonts w:hint="eastAsia"/>
          <w:color w:val="000000" w:themeColor="text1"/>
          <w14:textFill>
            <w14:solidFill>
              <w14:schemeClr w14:val="tx1"/>
            </w14:solidFill>
          </w14:textFill>
        </w:rPr>
      </w:sdtEndPr>
      <w:sdtContent>
        <w:p w14:paraId="7B5C6FF8">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C33BC76">
      <w:pPr>
        <w:snapToGrid w:val="0"/>
        <w:spacing w:line="240" w:lineRule="atLeast"/>
        <w:jc w:val="right"/>
      </w:pPr>
      <w:r>
        <w:rPr>
          <w:rFonts w:hint="eastAsia"/>
        </w:rPr>
        <w:t>单位：</w:t>
      </w:r>
      <w:sdt>
        <w:sdtPr>
          <w:rPr>
            <w:rFonts w:hint="eastAsia"/>
          </w:rPr>
          <w:alias w:val="单位：按预付对象归集的期末余额前五名的预付款情况"/>
          <w:tag w:val="_GBC_60474912a059478aa7a052f29a7878f6"/>
          <w:id w:val="673465592"/>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按预付对象归集的期末余额前五名的预付款情况"/>
          <w:tag w:val="_GBC_bd430b918c86452ca29c59c0866e9f4e"/>
          <w:id w:val="834723182"/>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rPr>
        </w:sdtEndPr>
        <w:sdtContent>
          <w:r>
            <w:rPr>
              <w:rFonts w:hint="eastAsia"/>
            </w:rPr>
            <w:t>人民币</w:t>
          </w:r>
        </w:sdtContent>
      </w:sdt>
    </w:p>
    <w:tbl>
      <w:tblPr>
        <w:tblStyle w:val="3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7"/>
        <w:gridCol w:w="2485"/>
        <w:gridCol w:w="3014"/>
      </w:tblGrid>
      <w:tr w14:paraId="62CA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d1820e97fc2b412296b96c0151dea923"/>
            <w:id w:val="669682584"/>
          </w:sdtPr>
          <w:sdtContent>
            <w:tc>
              <w:tcPr>
                <w:tcW w:w="1957" w:type="pct"/>
                <w:vAlign w:val="center"/>
              </w:tcPr>
              <w:p w14:paraId="5451A2BB">
                <w:pPr>
                  <w:ind w:right="105"/>
                  <w:jc w:val="center"/>
                </w:pPr>
                <w:r>
                  <w:rPr>
                    <w:rFonts w:hint="eastAsia"/>
                  </w:rPr>
                  <w:t>单位名称</w:t>
                </w:r>
              </w:p>
            </w:tc>
          </w:sdtContent>
        </w:sdt>
        <w:sdt>
          <w:sdtPr>
            <w:tag w:val="_PLD_ea2392e4fefe4be5b353e22520ae4d4e"/>
            <w:id w:val="-1274780049"/>
          </w:sdtPr>
          <w:sdtContent>
            <w:tc>
              <w:tcPr>
                <w:tcW w:w="1375" w:type="pct"/>
                <w:vAlign w:val="center"/>
              </w:tcPr>
              <w:p w14:paraId="42219E5F">
                <w:pPr>
                  <w:ind w:right="73"/>
                  <w:jc w:val="center"/>
                </w:pPr>
                <w:r>
                  <w:rPr>
                    <w:rFonts w:hint="eastAsia"/>
                  </w:rPr>
                  <w:t>期末余额</w:t>
                </w:r>
              </w:p>
            </w:tc>
          </w:sdtContent>
        </w:sdt>
        <w:sdt>
          <w:sdtPr>
            <w:tag w:val="_PLD_0c082a2df5b041d9ab1489c29022c66c"/>
            <w:id w:val="179330713"/>
          </w:sdtPr>
          <w:sdtContent>
            <w:tc>
              <w:tcPr>
                <w:tcW w:w="1667" w:type="pct"/>
                <w:vAlign w:val="center"/>
              </w:tcPr>
              <w:p w14:paraId="7BF3C4F7">
                <w:pPr>
                  <w:jc w:val="center"/>
                </w:pPr>
                <w:r>
                  <w:rPr>
                    <w:rFonts w:hint="eastAsia"/>
                  </w:rPr>
                  <w:t>占预付款项期末余额合计数的比例(</w:t>
                </w:r>
                <w:r>
                  <w:t>%)</w:t>
                </w:r>
              </w:p>
            </w:tc>
          </w:sdtContent>
        </w:sdt>
      </w:tr>
      <w:sdt>
        <w:sdtPr>
          <w:alias w:val="预付帐款欠款户"/>
          <w:tag w:val="_TUP_c33a5c627988444c95f66c45cf6f42b4"/>
          <w:id w:val="1768037856"/>
          <w:placeholder>
            <w:docPart w:val="{cf338f5b-714d-4426-b193-8701ca0eadc9}"/>
          </w:placeholder>
        </w:sdtPr>
        <w:sdtEndPr>
          <w:rPr>
            <w:rFonts w:cs="Times New Roman"/>
          </w:rPr>
        </w:sdtEndPr>
        <w:sdtContent>
          <w:tr w14:paraId="6DE8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7" w:type="pct"/>
              </w:tcPr>
              <w:p w14:paraId="6F61601F">
                <w:pPr>
                  <w:ind w:right="105"/>
                </w:pPr>
                <w:r>
                  <w:rPr>
                    <w:rFonts w:hint="eastAsia"/>
                  </w:rPr>
                  <w:t>内丘县联胜鞋厂</w:t>
                </w:r>
              </w:p>
            </w:tc>
            <w:tc>
              <w:tcPr>
                <w:tcW w:w="1375" w:type="pct"/>
                <w:vAlign w:val="bottom"/>
              </w:tcPr>
              <w:p w14:paraId="75D732D6">
                <w:pPr>
                  <w:ind w:right="73"/>
                  <w:jc w:val="right"/>
                  <w:rPr>
                    <w:rFonts w:cs="Times New Roman"/>
                  </w:rPr>
                </w:pPr>
                <w:r>
                  <w:rPr>
                    <w:rFonts w:cs="Times New Roman"/>
                  </w:rPr>
                  <w:t>8,999,247.88</w:t>
                </w:r>
              </w:p>
            </w:tc>
            <w:tc>
              <w:tcPr>
                <w:tcW w:w="1667" w:type="pct"/>
                <w:vAlign w:val="bottom"/>
              </w:tcPr>
              <w:p w14:paraId="345D2089">
                <w:pPr>
                  <w:jc w:val="right"/>
                  <w:rPr>
                    <w:rFonts w:cs="Times New Roman"/>
                  </w:rPr>
                </w:pPr>
                <w:r>
                  <w:rPr>
                    <w:rFonts w:cs="Times New Roman"/>
                  </w:rPr>
                  <w:t>7.59</w:t>
                </w:r>
              </w:p>
            </w:tc>
          </w:tr>
        </w:sdtContent>
      </w:sdt>
      <w:sdt>
        <w:sdtPr>
          <w:alias w:val="预付帐款欠款户"/>
          <w:tag w:val="_TUP_c33a5c627988444c95f66c45cf6f42b4"/>
          <w:id w:val="1453904272"/>
          <w:placeholder>
            <w:docPart w:val="{cf338f5b-714d-4426-b193-8701ca0eadc9}"/>
          </w:placeholder>
        </w:sdtPr>
        <w:sdtEndPr>
          <w:rPr>
            <w:rFonts w:cs="Times New Roman"/>
          </w:rPr>
        </w:sdtEndPr>
        <w:sdtContent>
          <w:tr w14:paraId="3595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7" w:type="pct"/>
              </w:tcPr>
              <w:p w14:paraId="402597C9">
                <w:pPr>
                  <w:ind w:right="105"/>
                </w:pPr>
                <w:r>
                  <w:rPr>
                    <w:rFonts w:hint="eastAsia"/>
                  </w:rPr>
                  <w:t>宁波中维警用装备有限公司</w:t>
                </w:r>
              </w:p>
            </w:tc>
            <w:tc>
              <w:tcPr>
                <w:tcW w:w="1375" w:type="pct"/>
                <w:vAlign w:val="bottom"/>
              </w:tcPr>
              <w:p w14:paraId="0082E954">
                <w:pPr>
                  <w:ind w:right="73"/>
                  <w:jc w:val="right"/>
                  <w:rPr>
                    <w:rFonts w:cs="Times New Roman"/>
                  </w:rPr>
                </w:pPr>
                <w:r>
                  <w:rPr>
                    <w:rFonts w:cs="Times New Roman"/>
                  </w:rPr>
                  <w:t>5,650,825.05</w:t>
                </w:r>
              </w:p>
            </w:tc>
            <w:tc>
              <w:tcPr>
                <w:tcW w:w="1667" w:type="pct"/>
                <w:vAlign w:val="bottom"/>
              </w:tcPr>
              <w:p w14:paraId="5AD7E388">
                <w:pPr>
                  <w:jc w:val="right"/>
                  <w:rPr>
                    <w:rFonts w:cs="Times New Roman"/>
                  </w:rPr>
                </w:pPr>
                <w:r>
                  <w:rPr>
                    <w:rFonts w:cs="Times New Roman"/>
                  </w:rPr>
                  <w:t>4.76</w:t>
                </w:r>
              </w:p>
            </w:tc>
          </w:tr>
        </w:sdtContent>
      </w:sdt>
      <w:sdt>
        <w:sdtPr>
          <w:alias w:val="预付帐款欠款户"/>
          <w:tag w:val="_TUP_c33a5c627988444c95f66c45cf6f42b4"/>
          <w:id w:val="-399064715"/>
          <w:placeholder>
            <w:docPart w:val="{cf338f5b-714d-4426-b193-8701ca0eadc9}"/>
          </w:placeholder>
        </w:sdtPr>
        <w:sdtEndPr>
          <w:rPr>
            <w:rFonts w:cs="Times New Roman"/>
          </w:rPr>
        </w:sdtEndPr>
        <w:sdtContent>
          <w:tr w14:paraId="0277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7" w:type="pct"/>
              </w:tcPr>
              <w:p w14:paraId="2361147A">
                <w:pPr>
                  <w:ind w:right="105"/>
                </w:pPr>
                <w:r>
                  <w:rPr>
                    <w:rFonts w:hint="eastAsia"/>
                  </w:rPr>
                  <w:t>贵州镇宁永鸿祥鞋业有限公司</w:t>
                </w:r>
              </w:p>
            </w:tc>
            <w:tc>
              <w:tcPr>
                <w:tcW w:w="1375" w:type="pct"/>
                <w:vAlign w:val="bottom"/>
              </w:tcPr>
              <w:p w14:paraId="52FA0E9E">
                <w:pPr>
                  <w:ind w:right="73"/>
                  <w:jc w:val="right"/>
                  <w:rPr>
                    <w:rFonts w:cs="Times New Roman"/>
                  </w:rPr>
                </w:pPr>
                <w:r>
                  <w:rPr>
                    <w:rFonts w:cs="Times New Roman"/>
                  </w:rPr>
                  <w:t>5,013,053.15</w:t>
                </w:r>
              </w:p>
            </w:tc>
            <w:tc>
              <w:tcPr>
                <w:tcW w:w="1667" w:type="pct"/>
                <w:vAlign w:val="bottom"/>
              </w:tcPr>
              <w:p w14:paraId="79954886">
                <w:pPr>
                  <w:jc w:val="right"/>
                  <w:rPr>
                    <w:rFonts w:cs="Times New Roman"/>
                  </w:rPr>
                </w:pPr>
                <w:r>
                  <w:rPr>
                    <w:rFonts w:cs="Times New Roman"/>
                  </w:rPr>
                  <w:t>4.22</w:t>
                </w:r>
              </w:p>
            </w:tc>
          </w:tr>
        </w:sdtContent>
      </w:sdt>
      <w:sdt>
        <w:sdtPr>
          <w:alias w:val="预付帐款欠款户"/>
          <w:tag w:val="_TUP_c33a5c627988444c95f66c45cf6f42b4"/>
          <w:id w:val="273908996"/>
          <w:placeholder>
            <w:docPart w:val="{cf338f5b-714d-4426-b193-8701ca0eadc9}"/>
          </w:placeholder>
        </w:sdtPr>
        <w:sdtEndPr>
          <w:rPr>
            <w:rFonts w:cs="Times New Roman"/>
          </w:rPr>
        </w:sdtEndPr>
        <w:sdtContent>
          <w:tr w14:paraId="36B7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7" w:type="pct"/>
              </w:tcPr>
              <w:p w14:paraId="1BC7BDE4">
                <w:pPr>
                  <w:ind w:right="105"/>
                </w:pPr>
                <w:r>
                  <w:rPr>
                    <w:rFonts w:hint="eastAsia"/>
                  </w:rPr>
                  <w:t>贵州华宝运动制品有限责任公司</w:t>
                </w:r>
              </w:p>
            </w:tc>
            <w:tc>
              <w:tcPr>
                <w:tcW w:w="1375" w:type="pct"/>
                <w:vAlign w:val="bottom"/>
              </w:tcPr>
              <w:p w14:paraId="6CF662D8">
                <w:pPr>
                  <w:ind w:right="73"/>
                  <w:jc w:val="right"/>
                  <w:rPr>
                    <w:rFonts w:cs="Times New Roman"/>
                  </w:rPr>
                </w:pPr>
                <w:r>
                  <w:rPr>
                    <w:rFonts w:cs="Times New Roman"/>
                  </w:rPr>
                  <w:t>4,515,771.73</w:t>
                </w:r>
              </w:p>
            </w:tc>
            <w:tc>
              <w:tcPr>
                <w:tcW w:w="1667" w:type="pct"/>
                <w:vAlign w:val="bottom"/>
              </w:tcPr>
              <w:p w14:paraId="6A8B143B">
                <w:pPr>
                  <w:jc w:val="right"/>
                  <w:rPr>
                    <w:rFonts w:cs="Times New Roman"/>
                  </w:rPr>
                </w:pPr>
                <w:r>
                  <w:rPr>
                    <w:rFonts w:cs="Times New Roman"/>
                  </w:rPr>
                  <w:t>3.81</w:t>
                </w:r>
              </w:p>
            </w:tc>
          </w:tr>
        </w:sdtContent>
      </w:sdt>
      <w:sdt>
        <w:sdtPr>
          <w:alias w:val="预付帐款欠款户"/>
          <w:tag w:val="_TUP_c33a5c627988444c95f66c45cf6f42b4"/>
          <w:id w:val="1208226055"/>
          <w:placeholder>
            <w:docPart w:val="{cf338f5b-714d-4426-b193-8701ca0eadc9}"/>
          </w:placeholder>
        </w:sdtPr>
        <w:sdtEndPr>
          <w:rPr>
            <w:rFonts w:cs="Times New Roman"/>
          </w:rPr>
        </w:sdtEndPr>
        <w:sdtContent>
          <w:tr w14:paraId="715C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7" w:type="pct"/>
              </w:tcPr>
              <w:p w14:paraId="72AB1F78">
                <w:pPr>
                  <w:ind w:right="105"/>
                </w:pPr>
                <w:r>
                  <w:rPr>
                    <w:rFonts w:hint="eastAsia"/>
                  </w:rPr>
                  <w:t>重庆竞博鞋业有限责任公司</w:t>
                </w:r>
              </w:p>
            </w:tc>
            <w:tc>
              <w:tcPr>
                <w:tcW w:w="1375" w:type="pct"/>
                <w:vAlign w:val="bottom"/>
              </w:tcPr>
              <w:p w14:paraId="13B5EE66">
                <w:pPr>
                  <w:ind w:right="73"/>
                  <w:jc w:val="right"/>
                  <w:rPr>
                    <w:rFonts w:cs="Times New Roman"/>
                  </w:rPr>
                </w:pPr>
                <w:r>
                  <w:rPr>
                    <w:rFonts w:cs="Times New Roman"/>
                  </w:rPr>
                  <w:t>4,165,834.14</w:t>
                </w:r>
              </w:p>
            </w:tc>
            <w:tc>
              <w:tcPr>
                <w:tcW w:w="1667" w:type="pct"/>
                <w:vAlign w:val="bottom"/>
              </w:tcPr>
              <w:p w14:paraId="238A7AEF">
                <w:pPr>
                  <w:jc w:val="right"/>
                  <w:rPr>
                    <w:rFonts w:cs="Times New Roman"/>
                  </w:rPr>
                </w:pPr>
                <w:r>
                  <w:rPr>
                    <w:rFonts w:cs="Times New Roman"/>
                  </w:rPr>
                  <w:t>3.51</w:t>
                </w:r>
              </w:p>
            </w:tc>
          </w:tr>
        </w:sdtContent>
      </w:sdt>
      <w:tr w14:paraId="6472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7" w:type="pct"/>
          </w:tcPr>
          <w:sdt>
            <w:sdtPr>
              <w:tag w:val="_PLD_4081beae1c6444e3808c9d6ce91bcc83"/>
              <w:id w:val="1921366475"/>
            </w:sdtPr>
            <w:sdtContent>
              <w:p w14:paraId="5F49FB15">
                <w:pPr>
                  <w:ind w:right="105"/>
                  <w:jc w:val="center"/>
                </w:pPr>
                <w:r>
                  <w:rPr>
                    <w:rFonts w:hint="eastAsia"/>
                  </w:rPr>
                  <w:t>合计</w:t>
                </w:r>
              </w:p>
            </w:sdtContent>
          </w:sdt>
        </w:tc>
        <w:tc>
          <w:tcPr>
            <w:tcW w:w="1375" w:type="pct"/>
            <w:vAlign w:val="bottom"/>
          </w:tcPr>
          <w:p w14:paraId="4D24A5F0">
            <w:pPr>
              <w:ind w:right="73"/>
              <w:jc w:val="right"/>
              <w:rPr>
                <w:rFonts w:cs="Times New Roman"/>
              </w:rPr>
            </w:pPr>
            <w:r>
              <w:rPr>
                <w:rFonts w:cs="Times New Roman"/>
              </w:rPr>
              <w:t>28,344,731.95</w:t>
            </w:r>
          </w:p>
        </w:tc>
        <w:tc>
          <w:tcPr>
            <w:tcW w:w="1667" w:type="pct"/>
            <w:vAlign w:val="bottom"/>
          </w:tcPr>
          <w:p w14:paraId="0979D8F0">
            <w:pPr>
              <w:jc w:val="right"/>
              <w:rPr>
                <w:rFonts w:cs="Times New Roman"/>
              </w:rPr>
            </w:pPr>
            <w:r>
              <w:rPr>
                <w:rFonts w:cs="Times New Roman"/>
              </w:rPr>
              <w:t>23.89</w:t>
            </w:r>
          </w:p>
        </w:tc>
      </w:tr>
    </w:tbl>
    <w:p w14:paraId="7B1A3E08">
      <w:pPr>
        <w:snapToGrid w:val="0"/>
        <w:spacing w:line="240" w:lineRule="atLeast"/>
        <w:rPr>
          <w:rFonts w:hint="eastAsia"/>
        </w:rPr>
      </w:pPr>
    </w:p>
    <w:bookmarkEnd w:id="238"/>
    <w:p w14:paraId="0063170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预付帐款的说明[双击切换]"/>
        <w:tag w:val="_GBC_c712ee6483d44c77b1f563e552689c6d"/>
        <w:id w:val="147457839"/>
        <w:placeholder>
          <w:docPart w:val="GBC22222222222222222222222222222"/>
        </w:placeholder>
      </w:sdtPr>
      <w:sdtEndPr>
        <w:rPr>
          <w:color w:val="000000" w:themeColor="text1"/>
          <w14:textFill>
            <w14:solidFill>
              <w14:schemeClr w14:val="tx1"/>
            </w14:solidFill>
          </w14:textFill>
        </w:rPr>
      </w:sdtEndPr>
      <w:sdtContent>
        <w:p w14:paraId="4A81EF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E0D5A97">
      <w:pPr>
        <w:rPr>
          <w:color w:val="000000" w:themeColor="text1"/>
          <w14:textFill>
            <w14:solidFill>
              <w14:schemeClr w14:val="tx1"/>
            </w14:solidFill>
          </w14:textFill>
        </w:rPr>
      </w:pPr>
    </w:p>
    <w:p w14:paraId="2DBC8B86">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其他应收款</w:t>
      </w:r>
    </w:p>
    <w:p w14:paraId="1C111F83">
      <w:pPr>
        <w:pStyle w:val="58"/>
        <w:rPr>
          <w:rFonts w:ascii="宋体" w:hAnsi="宋体"/>
          <w:color w:val="000000" w:themeColor="text1"/>
          <w14:textFill>
            <w14:solidFill>
              <w14:schemeClr w14:val="tx1"/>
            </w14:solidFill>
          </w14:textFill>
        </w:rPr>
      </w:pPr>
      <w:bookmarkStart w:id="239" w:name="_Hlk10467611"/>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其他应收款分类列示[双击切换]"/>
        <w:tag w:val="_GBC_23e3e9ad53624abaaa00fc7f7c24842a"/>
        <w:id w:val="147462195"/>
        <w:placeholder>
          <w:docPart w:val="GBC22222222222222222222222222222"/>
        </w:placeholder>
      </w:sdtPr>
      <w:sdtEndPr>
        <w:rPr>
          <w:color w:val="000000" w:themeColor="text1"/>
          <w14:textFill>
            <w14:solidFill>
              <w14:schemeClr w14:val="tx1"/>
            </w14:solidFill>
          </w14:textFill>
        </w:rPr>
      </w:sdtEndPr>
      <w:sdtContent>
        <w:p w14:paraId="2F97964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33CB3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收款分类列示"/>
          <w:tag w:val="_GBC_b73f89c776a341249ed520fe726b4db9"/>
          <w:id w:val="1474811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收款分类列示"/>
          <w:tag w:val="_GBC_a23554f2403346ea97b8fb1ef551ebe4"/>
          <w:id w:val="1474619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98"/>
        <w:gridCol w:w="2939"/>
        <w:gridCol w:w="2922"/>
      </w:tblGrid>
      <w:tr w14:paraId="173F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b049b9a7f344665a70a23c402afbda5"/>
            <w:id w:val="147481460"/>
          </w:sdtPr>
          <w:sdtContent>
            <w:tc>
              <w:tcPr>
                <w:tcW w:w="1765" w:type="pct"/>
                <w:vAlign w:val="center"/>
              </w:tcPr>
              <w:p w14:paraId="22BB075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50a4ba0fb444ea69297bd36780a7618"/>
            <w:id w:val="147460766"/>
          </w:sdtPr>
          <w:sdtContent>
            <w:tc>
              <w:tcPr>
                <w:tcW w:w="1622" w:type="pct"/>
                <w:vAlign w:val="center"/>
              </w:tcPr>
              <w:p w14:paraId="701257D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58c3f70487c440b99a9f440a2d57d1e"/>
            <w:id w:val="147457519"/>
          </w:sdtPr>
          <w:sdtContent>
            <w:tc>
              <w:tcPr>
                <w:tcW w:w="1613" w:type="pct"/>
                <w:vAlign w:val="center"/>
              </w:tcPr>
              <w:p w14:paraId="1537F8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3B53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2B4DD755">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应收利息</w:t>
            </w:r>
          </w:p>
        </w:tc>
        <w:tc>
          <w:tcPr>
            <w:tcW w:w="1622" w:type="pct"/>
          </w:tcPr>
          <w:p w14:paraId="7B7DA360">
            <w:pPr>
              <w:ind w:right="5"/>
              <w:jc w:val="right"/>
              <w:rPr>
                <w:rFonts w:cs="Times New Roman"/>
              </w:rPr>
            </w:pPr>
          </w:p>
        </w:tc>
        <w:tc>
          <w:tcPr>
            <w:tcW w:w="1613" w:type="pct"/>
          </w:tcPr>
          <w:p w14:paraId="76016AD8">
            <w:pPr>
              <w:ind w:right="5"/>
              <w:jc w:val="right"/>
              <w:rPr>
                <w:rFonts w:cs="Times New Roman"/>
              </w:rPr>
            </w:pPr>
          </w:p>
        </w:tc>
      </w:tr>
      <w:tr w14:paraId="45F2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37E260F6">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2939" w:type="dxa"/>
            <w:vAlign w:val="bottom"/>
          </w:tcPr>
          <w:p w14:paraId="7252EE8D">
            <w:pPr>
              <w:jc w:val="right"/>
              <w:textAlignment w:val="bottom"/>
              <w:rPr>
                <w:rFonts w:cs="Times New Roman"/>
              </w:rPr>
            </w:pPr>
            <w:r>
              <w:rPr>
                <w:rFonts w:eastAsia="Arial Narrow" w:cs="Times New Roman"/>
                <w:color w:val="000000"/>
                <w:lang w:bidi="ar"/>
              </w:rPr>
              <w:t>52,107,547.75</w:t>
            </w:r>
          </w:p>
        </w:tc>
        <w:tc>
          <w:tcPr>
            <w:tcW w:w="1613" w:type="pct"/>
            <w:vAlign w:val="bottom"/>
          </w:tcPr>
          <w:p w14:paraId="26575797">
            <w:pPr>
              <w:jc w:val="right"/>
              <w:textAlignment w:val="bottom"/>
              <w:rPr>
                <w:rFonts w:cs="Times New Roman"/>
              </w:rPr>
            </w:pPr>
            <w:r>
              <w:rPr>
                <w:rFonts w:cs="Times New Roman"/>
                <w:color w:val="000000"/>
              </w:rPr>
              <w:t>52,107,547.75</w:t>
            </w:r>
          </w:p>
        </w:tc>
      </w:tr>
      <w:tr w14:paraId="02EB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12F949CF">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2939" w:type="dxa"/>
            <w:vAlign w:val="bottom"/>
          </w:tcPr>
          <w:p w14:paraId="1CDE5936">
            <w:pPr>
              <w:jc w:val="right"/>
              <w:textAlignment w:val="bottom"/>
              <w:rPr>
                <w:rFonts w:cs="Times New Roman"/>
              </w:rPr>
            </w:pPr>
            <w:r>
              <w:rPr>
                <w:rFonts w:eastAsia="Arial Narrow" w:cs="Times New Roman"/>
                <w:color w:val="000000"/>
                <w:lang w:bidi="ar"/>
              </w:rPr>
              <w:t>620,127,349.68</w:t>
            </w:r>
          </w:p>
        </w:tc>
        <w:tc>
          <w:tcPr>
            <w:tcW w:w="1613" w:type="pct"/>
            <w:vAlign w:val="bottom"/>
          </w:tcPr>
          <w:p w14:paraId="56235A7E">
            <w:pPr>
              <w:jc w:val="right"/>
              <w:textAlignment w:val="bottom"/>
              <w:rPr>
                <w:rFonts w:cs="Times New Roman"/>
              </w:rPr>
            </w:pPr>
            <w:r>
              <w:rPr>
                <w:rFonts w:cs="Times New Roman"/>
                <w:color w:val="000000"/>
              </w:rPr>
              <w:t>592,465,302.23</w:t>
            </w:r>
          </w:p>
        </w:tc>
      </w:tr>
      <w:tr w14:paraId="5602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14:paraId="432DA514">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939" w:type="dxa"/>
            <w:vAlign w:val="bottom"/>
          </w:tcPr>
          <w:p w14:paraId="03C70A00">
            <w:pPr>
              <w:jc w:val="right"/>
              <w:textAlignment w:val="bottom"/>
              <w:rPr>
                <w:rFonts w:cs="Times New Roman"/>
              </w:rPr>
            </w:pPr>
            <w:r>
              <w:rPr>
                <w:rFonts w:eastAsia="Arial Narrow" w:cs="Times New Roman"/>
                <w:color w:val="000000"/>
                <w:lang w:bidi="ar"/>
              </w:rPr>
              <w:t>672,234,897.43</w:t>
            </w:r>
          </w:p>
        </w:tc>
        <w:tc>
          <w:tcPr>
            <w:tcW w:w="1613" w:type="pct"/>
            <w:vAlign w:val="bottom"/>
          </w:tcPr>
          <w:p w14:paraId="62216D68">
            <w:pPr>
              <w:jc w:val="right"/>
              <w:textAlignment w:val="bottom"/>
              <w:rPr>
                <w:rFonts w:cs="Times New Roman"/>
              </w:rPr>
            </w:pPr>
            <w:r>
              <w:rPr>
                <w:rFonts w:cs="Times New Roman"/>
                <w:color w:val="000000"/>
              </w:rPr>
              <w:t>644,572,849.98</w:t>
            </w:r>
          </w:p>
        </w:tc>
      </w:tr>
    </w:tbl>
    <w:p w14:paraId="08226954">
      <w:pPr>
        <w:rPr>
          <w:color w:val="000000" w:themeColor="text1"/>
          <w14:textFill>
            <w14:solidFill>
              <w14:schemeClr w14:val="tx1"/>
            </w14:solidFill>
          </w14:textFill>
        </w:rPr>
      </w:pPr>
      <w:bookmarkStart w:id="240" w:name="_Hlk532906097"/>
      <w:r>
        <w:rPr>
          <w:rFonts w:hint="eastAsia"/>
          <w:color w:val="000000" w:themeColor="text1"/>
          <w14:textFill>
            <w14:solidFill>
              <w14:schemeClr w14:val="tx1"/>
            </w14:solidFill>
          </w14:textFill>
        </w:rPr>
        <w:t>其他说明：</w:t>
      </w:r>
      <w:bookmarkEnd w:id="240"/>
    </w:p>
    <w:sdt>
      <w:sdtPr>
        <w:rPr>
          <w:color w:val="000000" w:themeColor="text1"/>
          <w14:textFill>
            <w14:solidFill>
              <w14:schemeClr w14:val="tx1"/>
            </w14:solidFill>
          </w14:textFill>
        </w:rPr>
        <w:alias w:val="是否适用：其他应收款分类列示其他说明[双击切换]"/>
        <w:tag w:val="_GBC_73a4089b33094d13b0ea7c9bf8cfb58f"/>
        <w:id w:val="147468316"/>
        <w:placeholder>
          <w:docPart w:val="GBC22222222222222222222222222222"/>
        </w:placeholder>
      </w:sdtPr>
      <w:sdtEndPr>
        <w:rPr>
          <w:color w:val="000000" w:themeColor="text1"/>
          <w14:textFill>
            <w14:solidFill>
              <w14:schemeClr w14:val="tx1"/>
            </w14:solidFill>
          </w14:textFill>
        </w:rPr>
      </w:sdtEndPr>
      <w:sdtContent>
        <w:p w14:paraId="7262BFD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D5242A">
      <w:pPr>
        <w:rPr>
          <w:color w:val="000000" w:themeColor="text1"/>
          <w14:textFill>
            <w14:solidFill>
              <w14:schemeClr w14:val="tx1"/>
            </w14:solidFill>
          </w14:textFill>
        </w:rPr>
      </w:pPr>
    </w:p>
    <w:bookmarkEnd w:id="239"/>
    <w:p w14:paraId="2F72536D">
      <w:pPr>
        <w:pStyle w:val="58"/>
        <w:tabs>
          <w:tab w:val="left" w:pos="546"/>
        </w:tabs>
        <w:rPr>
          <w:rFonts w:ascii="宋体" w:hAnsi="宋体"/>
          <w:color w:val="000000" w:themeColor="text1"/>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应收利息</w:t>
      </w:r>
    </w:p>
    <w:p w14:paraId="5CFA43A6">
      <w:pPr>
        <w:pStyle w:val="59"/>
        <w:numPr>
          <w:ilvl w:val="0"/>
          <w:numId w:val="60"/>
        </w:numPr>
      </w:pPr>
      <w:r>
        <w:rPr>
          <w:rFonts w:hint="eastAsia"/>
        </w:rPr>
        <w:t>应收利息分类</w:t>
      </w:r>
    </w:p>
    <w:sdt>
      <w:sdtPr>
        <w:rPr>
          <w:color w:val="000000" w:themeColor="text1"/>
          <w14:textFill>
            <w14:solidFill>
              <w14:schemeClr w14:val="tx1"/>
            </w14:solidFill>
          </w14:textFill>
        </w:rPr>
        <w:alias w:val="是否适用：应收利息分类[双击切换]"/>
        <w:tag w:val="_GBC_86f9e9a81d7d4e07ae6873a88ddf6cc7"/>
        <w:id w:val="147451025"/>
        <w:placeholder>
          <w:docPart w:val="GBC22222222222222222222222222222"/>
        </w:placeholder>
      </w:sdtPr>
      <w:sdtEndPr>
        <w:rPr>
          <w:color w:val="000000" w:themeColor="text1"/>
          <w14:textFill>
            <w14:solidFill>
              <w14:schemeClr w14:val="tx1"/>
            </w14:solidFill>
          </w14:textFill>
        </w:rPr>
      </w:sdtEndPr>
      <w:sdtContent>
        <w:p w14:paraId="4C97DDB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0517CC">
      <w:pPr>
        <w:rPr>
          <w:color w:val="000000" w:themeColor="text1"/>
          <w14:textFill>
            <w14:solidFill>
              <w14:schemeClr w14:val="tx1"/>
            </w14:solidFill>
          </w14:textFill>
        </w:rPr>
      </w:pPr>
    </w:p>
    <w:p w14:paraId="57722AC5">
      <w:pPr>
        <w:pStyle w:val="59"/>
        <w:numPr>
          <w:ilvl w:val="0"/>
          <w:numId w:val="60"/>
        </w:numPr>
      </w:pPr>
      <w:r>
        <w:rPr>
          <w:rFonts w:hint="eastAsia"/>
        </w:rPr>
        <w:t>重要逾期利息</w:t>
      </w:r>
    </w:p>
    <w:sdt>
      <w:sdtPr>
        <w:rPr>
          <w:color w:val="000000" w:themeColor="text1"/>
          <w14:textFill>
            <w14:solidFill>
              <w14:schemeClr w14:val="tx1"/>
            </w14:solidFill>
          </w14:textFill>
        </w:rPr>
        <w:alias w:val="是否适用：重要逾期利息[双击切换]"/>
        <w:tag w:val="_GBC_4554f307ef2241a583829b74df8ef0c3"/>
        <w:id w:val="147480071"/>
        <w:placeholder>
          <w:docPart w:val="GBC22222222222222222222222222222"/>
        </w:placeholder>
      </w:sdtPr>
      <w:sdtEndPr>
        <w:rPr>
          <w:color w:val="000000" w:themeColor="text1"/>
          <w14:textFill>
            <w14:solidFill>
              <w14:schemeClr w14:val="tx1"/>
            </w14:solidFill>
          </w14:textFill>
        </w:rPr>
      </w:sdtEndPr>
      <w:sdtContent>
        <w:p w14:paraId="4757A2E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9BD7DB0">
      <w:pPr>
        <w:rPr>
          <w:color w:val="000000" w:themeColor="text1"/>
          <w14:textFill>
            <w14:solidFill>
              <w14:schemeClr w14:val="tx1"/>
            </w14:solidFill>
          </w14:textFill>
        </w:rPr>
      </w:pPr>
    </w:p>
    <w:p w14:paraId="707D5814">
      <w:pPr>
        <w:pStyle w:val="59"/>
        <w:numPr>
          <w:ilvl w:val="0"/>
          <w:numId w:val="60"/>
        </w:numPr>
      </w:pPr>
      <w:bookmarkStart w:id="241" w:name="_Hlk167889561"/>
      <w:bookmarkStart w:id="242" w:name="_Hlk153374831"/>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e7c7032e67f14d5baddb2d7b0cdebf38"/>
        <w:id w:val="147481847"/>
        <w:placeholder>
          <w:docPart w:val="GBC22222222222222222222222222222"/>
        </w:placeholder>
      </w:sdtPr>
      <w:sdtEndPr>
        <w:rPr>
          <w:color w:val="000000" w:themeColor="text1"/>
          <w14:textFill>
            <w14:solidFill>
              <w14:schemeClr w14:val="tx1"/>
            </w14:solidFill>
          </w14:textFill>
        </w:rPr>
      </w:sdtEndPr>
      <w:sdtContent>
        <w:p w14:paraId="235CD9E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FE4E59">
      <w:pPr>
        <w:rPr>
          <w:color w:val="000000" w:themeColor="text1"/>
          <w14:textFill>
            <w14:solidFill>
              <w14:schemeClr w14:val="tx1"/>
            </w14:solidFill>
          </w14:textFill>
        </w:rPr>
      </w:pPr>
    </w:p>
    <w:p w14:paraId="7D6BAEE0">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07ebcd379e854ad8bd9de0d3ef457583"/>
        <w:id w:val="147451583"/>
        <w:placeholder>
          <w:docPart w:val="GBC22222222222222222222222222222"/>
        </w:placeholder>
      </w:sdtPr>
      <w:sdtEndPr>
        <w:rPr>
          <w:color w:val="000000" w:themeColor="text1"/>
          <w14:textFill>
            <w14:solidFill>
              <w14:schemeClr w14:val="tx1"/>
            </w14:solidFill>
          </w14:textFill>
        </w:rPr>
      </w:sdtEndPr>
      <w:sdtContent>
        <w:p w14:paraId="34E70F0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CEFD7F8">
      <w:pPr>
        <w:rPr>
          <w:color w:val="000000" w:themeColor="text1"/>
          <w14:textFill>
            <w14:solidFill>
              <w14:schemeClr w14:val="tx1"/>
            </w14:solidFill>
          </w14:textFill>
        </w:rPr>
      </w:pPr>
    </w:p>
    <w:p w14:paraId="7CA0F629">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5e47d50d50fc4b3095057ac3908e407b"/>
        <w:id w:val="147465202"/>
        <w:placeholder>
          <w:docPart w:val="GBC22222222222222222222222222222"/>
        </w:placeholder>
      </w:sdtPr>
      <w:sdtEndPr>
        <w:rPr>
          <w:color w:val="000000" w:themeColor="text1"/>
          <w14:textFill>
            <w14:solidFill>
              <w14:schemeClr w14:val="tx1"/>
            </w14:solidFill>
          </w14:textFill>
        </w:rPr>
      </w:sdtEndPr>
      <w:sdtContent>
        <w:p w14:paraId="2676161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F68BDB8">
      <w:pPr>
        <w:rPr>
          <w:color w:val="000000" w:themeColor="text1"/>
          <w14:textFill>
            <w14:solidFill>
              <w14:schemeClr w14:val="tx1"/>
            </w14:solidFill>
          </w14:textFill>
        </w:rPr>
      </w:pPr>
    </w:p>
    <w:p w14:paraId="641B2978">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0dc49505e0b44d56bf15079c4ea20a9a"/>
        <w:id w:val="147472841"/>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711B78BA">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2CB657DD">
      <w:pPr>
        <w:rPr>
          <w:rFonts w:ascii="Calibri" w:hAnsi="Calibri" w:cs="Times New Roman"/>
          <w:b/>
          <w:bCs w:val="0"/>
          <w:color w:val="000000" w:themeColor="text1"/>
          <w:szCs w:val="22"/>
          <w14:textFill>
            <w14:solidFill>
              <w14:schemeClr w14:val="tx1"/>
            </w14:solidFill>
          </w14:textFill>
        </w:rPr>
      </w:pPr>
    </w:p>
    <w:bookmarkEnd w:id="241"/>
    <w:bookmarkEnd w:id="242"/>
    <w:p w14:paraId="33D963B8">
      <w:pPr>
        <w:pStyle w:val="59"/>
        <w:numPr>
          <w:ilvl w:val="0"/>
          <w:numId w:val="60"/>
        </w:numPr>
      </w:pPr>
      <w:bookmarkStart w:id="243" w:name="_Hlk10468247"/>
      <w:r>
        <w:rPr>
          <w:rFonts w:hint="eastAsia"/>
        </w:rPr>
        <w:t>按预期信用损失一般模型计提坏账准备</w:t>
      </w:r>
    </w:p>
    <w:sdt>
      <w:sdtPr>
        <w:rPr>
          <w:color w:val="000000" w:themeColor="text1"/>
          <w14:textFill>
            <w14:solidFill>
              <w14:schemeClr w14:val="tx1"/>
            </w14:solidFill>
          </w14:textFill>
        </w:rPr>
        <w:alias w:val="是否适用：应收利息坏账准备调节表[双击切换]"/>
        <w:tag w:val="_GBC_2081adab30854417bcfae25caae8c9f9"/>
        <w:id w:val="147476670"/>
        <w:placeholder>
          <w:docPart w:val="GBC22222222222222222222222222222"/>
        </w:placeholder>
      </w:sdtPr>
      <w:sdtEndPr>
        <w:rPr>
          <w:color w:val="000000" w:themeColor="text1"/>
          <w14:textFill>
            <w14:solidFill>
              <w14:schemeClr w14:val="tx1"/>
            </w14:solidFill>
          </w14:textFill>
        </w:rPr>
      </w:sdtEndPr>
      <w:sdtContent>
        <w:p w14:paraId="36092DCF">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567BF53">
      <w:pPr>
        <w:rPr>
          <w:color w:val="000000" w:themeColor="text1"/>
          <w14:textFill>
            <w14:solidFill>
              <w14:schemeClr w14:val="tx1"/>
            </w14:solidFill>
          </w14:textFill>
        </w:rPr>
      </w:pPr>
    </w:p>
    <w:bookmarkEnd w:id="243"/>
    <w:p w14:paraId="6E6A915A">
      <w:pPr>
        <w:pStyle w:val="59"/>
        <w:numPr>
          <w:ilvl w:val="0"/>
          <w:numId w:val="60"/>
        </w:numPr>
      </w:pPr>
      <w:bookmarkStart w:id="244" w:name="_Hlk153375041"/>
      <w:bookmarkStart w:id="245" w:name="_Hlk167889778"/>
      <w:r>
        <w:rPr>
          <w:rFonts w:hint="eastAsia"/>
        </w:rPr>
        <w:t>坏账准备的情况</w:t>
      </w:r>
    </w:p>
    <w:sdt>
      <w:sdtPr>
        <w:rPr>
          <w:color w:val="000000" w:themeColor="text1"/>
          <w14:textFill>
            <w14:solidFill>
              <w14:schemeClr w14:val="tx1"/>
            </w14:solidFill>
          </w14:textFill>
        </w:rPr>
        <w:alias w:val="是否适用：坏账准备情况[双击切换]"/>
        <w:tag w:val="_GBC_4a551e6f1c064b2d9170d6f608a5d12b"/>
        <w:id w:val="147474432"/>
        <w:placeholder>
          <w:docPart w:val="GBC22222222222222222222222222222"/>
        </w:placeholder>
      </w:sdtPr>
      <w:sdtEndPr>
        <w:rPr>
          <w:color w:val="000000" w:themeColor="text1"/>
          <w14:textFill>
            <w14:solidFill>
              <w14:schemeClr w14:val="tx1"/>
            </w14:solidFill>
          </w14:textFill>
        </w:rPr>
      </w:sdtEndPr>
      <w:sdtContent>
        <w:p w14:paraId="19AE35F3">
          <w:pPr>
            <w:pStyle w:val="67"/>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442CDE0">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5092fe8f9b7d425eb163b84fd07f53f0"/>
        <w:id w:val="147463463"/>
        <w:placeholder>
          <w:docPart w:val="GBC22222222222222222222222222222"/>
        </w:placeholder>
      </w:sdtPr>
      <w:sdtEndPr>
        <w:rPr>
          <w:color w:val="000000" w:themeColor="text1"/>
          <w14:textFill>
            <w14:solidFill>
              <w14:schemeClr w14:val="tx1"/>
            </w14:solidFill>
          </w14:textFill>
        </w:rPr>
      </w:sdtEndPr>
      <w:sdtContent>
        <w:p w14:paraId="279844D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68B45C">
      <w:pPr>
        <w:rPr>
          <w:color w:val="000000" w:themeColor="text1"/>
          <w14:textFill>
            <w14:solidFill>
              <w14:schemeClr w14:val="tx1"/>
            </w14:solidFill>
          </w14:textFill>
        </w:rPr>
      </w:pPr>
    </w:p>
    <w:p w14:paraId="3151B3A2">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456f6a2707124917aced7af3ec2980f6"/>
        <w:id w:val="147470081"/>
        <w:placeholder>
          <w:docPart w:val="GBC22222222222222222222222222222"/>
        </w:placeholder>
      </w:sdtPr>
      <w:sdtEndPr>
        <w:rPr>
          <w:color w:val="000000" w:themeColor="text1"/>
          <w14:textFill>
            <w14:solidFill>
              <w14:schemeClr w14:val="tx1"/>
            </w14:solidFill>
          </w14:textFill>
        </w:rPr>
      </w:sdtEndPr>
      <w:sdtContent>
        <w:p w14:paraId="10F275ED">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BFFC294">
      <w:pPr>
        <w:ind w:right="-1594" w:rightChars="-759"/>
        <w:rPr>
          <w:color w:val="000000" w:themeColor="text1"/>
          <w14:textFill>
            <w14:solidFill>
              <w14:schemeClr w14:val="tx1"/>
            </w14:solidFill>
          </w14:textFill>
        </w:rPr>
      </w:pPr>
    </w:p>
    <w:p w14:paraId="5B8555A7">
      <w:pPr>
        <w:pStyle w:val="59"/>
        <w:numPr>
          <w:ilvl w:val="0"/>
          <w:numId w:val="60"/>
        </w:numPr>
      </w:pPr>
      <w:r>
        <w:rPr>
          <w:rFonts w:hint="eastAsia"/>
        </w:rPr>
        <w:t>本期实际核销的应收利息情况</w:t>
      </w:r>
    </w:p>
    <w:sdt>
      <w:sdtPr>
        <w:rPr>
          <w:color w:val="000000" w:themeColor="text1"/>
          <w14:textFill>
            <w14:solidFill>
              <w14:schemeClr w14:val="tx1"/>
            </w14:solidFill>
          </w14:textFill>
        </w:rPr>
        <w:alias w:val="是否适用：实际核销的情况[双击切换]"/>
        <w:tag w:val="_GBC_4b850c38d1264ec6b7921671d08b78eb"/>
        <w:id w:val="147455830"/>
        <w:placeholder>
          <w:docPart w:val="GBC22222222222222222222222222222"/>
        </w:placeholder>
      </w:sdtPr>
      <w:sdtEndPr>
        <w:rPr>
          <w:color w:val="000000" w:themeColor="text1"/>
          <w14:textFill>
            <w14:solidFill>
              <w14:schemeClr w14:val="tx1"/>
            </w14:solidFill>
          </w14:textFill>
        </w:rPr>
      </w:sdtEndPr>
      <w:sdtContent>
        <w:p w14:paraId="1352E2D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E01C288">
      <w:pPr>
        <w:rPr>
          <w:color w:val="000000" w:themeColor="text1"/>
          <w14:textFill>
            <w14:solidFill>
              <w14:schemeClr w14:val="tx1"/>
            </w14:solidFill>
          </w14:textFill>
        </w:rPr>
      </w:pPr>
    </w:p>
    <w:p w14:paraId="09FDF64D">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其中重要的应收利息核销情况</w:t>
      </w:r>
    </w:p>
    <w:sdt>
      <w:sdtPr>
        <w:rPr>
          <w:rFonts w:hint="eastAsia"/>
          <w:color w:val="000000" w:themeColor="text1"/>
          <w14:textFill>
            <w14:solidFill>
              <w14:schemeClr w14:val="tx1"/>
            </w14:solidFill>
          </w14:textFill>
        </w:rPr>
        <w:alias w:val="是否适用：重要的核销情况[双击切换]"/>
        <w:tag w:val="_GBC_01d7a4e15dbb43749e9afdba26e20527"/>
        <w:id w:val="147455799"/>
        <w:placeholder>
          <w:docPart w:val="GBC22222222222222222222222222222"/>
        </w:placeholder>
      </w:sdtPr>
      <w:sdtEndPr>
        <w:rPr>
          <w:rFonts w:hint="eastAsia"/>
          <w:color w:val="000000" w:themeColor="text1"/>
          <w14:textFill>
            <w14:solidFill>
              <w14:schemeClr w14:val="tx1"/>
            </w14:solidFill>
          </w14:textFill>
        </w:rPr>
      </w:sdtEndPr>
      <w:sdtContent>
        <w:p w14:paraId="1830E4D6">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29F0146">
      <w:pPr>
        <w:snapToGrid w:val="0"/>
        <w:spacing w:line="240" w:lineRule="atLeast"/>
        <w:rPr>
          <w:color w:val="000000" w:themeColor="text1"/>
          <w14:textFill>
            <w14:solidFill>
              <w14:schemeClr w14:val="tx1"/>
            </w14:solidFill>
          </w14:textFill>
        </w:rPr>
      </w:pPr>
    </w:p>
    <w:p w14:paraId="0E5479D4">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fa943be869f247e4945a7336e3ce2e1f"/>
        <w:id w:val="147481925"/>
        <w:placeholder>
          <w:docPart w:val="GBC22222222222222222222222222222"/>
        </w:placeholder>
      </w:sdtPr>
      <w:sdtEndPr>
        <w:rPr>
          <w:color w:val="000000" w:themeColor="text1"/>
          <w14:textFill>
            <w14:solidFill>
              <w14:schemeClr w14:val="tx1"/>
            </w14:solidFill>
          </w14:textFill>
        </w:rPr>
      </w:sdtEndPr>
      <w:sdtContent>
        <w:p w14:paraId="79A19A2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B2E1A63">
      <w:pPr>
        <w:rPr>
          <w:color w:val="000000" w:themeColor="text1"/>
          <w14:textFill>
            <w14:solidFill>
              <w14:schemeClr w14:val="tx1"/>
            </w14:solidFill>
          </w14:textFill>
        </w:rPr>
      </w:pPr>
    </w:p>
    <w:bookmarkEnd w:id="244"/>
    <w:bookmarkEnd w:id="245"/>
    <w:p w14:paraId="4E1776F6">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收利息的说明[双击切换]"/>
        <w:tag w:val="_GBC_9fcbab94f58048baace4761ca17ae925"/>
        <w:id w:val="147452187"/>
        <w:placeholder>
          <w:docPart w:val="GBC22222222222222222222222222222"/>
        </w:placeholder>
      </w:sdtPr>
      <w:sdtEndPr>
        <w:rPr>
          <w:color w:val="000000" w:themeColor="text1"/>
          <w14:textFill>
            <w14:solidFill>
              <w14:schemeClr w14:val="tx1"/>
            </w14:solidFill>
          </w14:textFill>
        </w:rPr>
      </w:sdtEndPr>
      <w:sdtContent>
        <w:p w14:paraId="2ECB063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2B166B">
      <w:pPr>
        <w:rPr>
          <w:color w:val="000000" w:themeColor="text1"/>
          <w14:textFill>
            <w14:solidFill>
              <w14:schemeClr w14:val="tx1"/>
            </w14:solidFill>
          </w14:textFill>
        </w:rPr>
      </w:pPr>
    </w:p>
    <w:p w14:paraId="2240CA2E">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应收股利</w:t>
      </w:r>
    </w:p>
    <w:p w14:paraId="19E5A089">
      <w:pPr>
        <w:pStyle w:val="59"/>
        <w:numPr>
          <w:ilvl w:val="0"/>
          <w:numId w:val="61"/>
        </w:numPr>
      </w:pPr>
      <w:r>
        <w:rPr>
          <w:rFonts w:hint="eastAsia"/>
        </w:rPr>
        <w:t>应收股利</w:t>
      </w:r>
    </w:p>
    <w:sdt>
      <w:sdtPr>
        <w:rPr>
          <w:color w:val="000000" w:themeColor="text1"/>
          <w14:textFill>
            <w14:solidFill>
              <w14:schemeClr w14:val="tx1"/>
            </w14:solidFill>
          </w14:textFill>
        </w:rPr>
        <w:alias w:val="是否适用：应收股利[双击切换]"/>
        <w:tag w:val="_GBC_002b8ba295db406eb34a179aa27a4801"/>
        <w:id w:val="147457645"/>
        <w:placeholder>
          <w:docPart w:val="GBC22222222222222222222222222222"/>
        </w:placeholder>
      </w:sdtPr>
      <w:sdtEndPr>
        <w:rPr>
          <w:color w:val="000000" w:themeColor="text1"/>
          <w14:textFill>
            <w14:solidFill>
              <w14:schemeClr w14:val="tx1"/>
            </w14:solidFill>
          </w14:textFill>
        </w:rPr>
      </w:sdtEndPr>
      <w:sdtContent>
        <w:p w14:paraId="5438201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255B83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收股利"/>
          <w:tag w:val="_GBC_21cf7178837042889094b06d89cb1845"/>
          <w:id w:val="1474569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股利"/>
          <w:tag w:val="_GBC_d4486348b4bd4056afd97c6bb061623e"/>
          <w:id w:val="1474801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2"/>
        <w:gridCol w:w="2811"/>
        <w:gridCol w:w="2826"/>
      </w:tblGrid>
      <w:tr w14:paraId="5B0D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a240773011804aa5a4245c98b5f473de"/>
            <w:id w:val="147454916"/>
          </w:sdtPr>
          <w:sdtEndPr>
            <w:rPr>
              <w:rFonts w:cs="Times New Roman"/>
            </w:rPr>
          </w:sdtEndPr>
          <w:sdtContent>
            <w:tc>
              <w:tcPr>
                <w:tcW w:w="1885" w:type="pct"/>
                <w:vAlign w:val="center"/>
              </w:tcPr>
              <w:p w14:paraId="7D19618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项目(或被投资单位)</w:t>
                </w:r>
              </w:p>
            </w:tc>
          </w:sdtContent>
        </w:sdt>
        <w:sdt>
          <w:sdtPr>
            <w:rPr>
              <w:rFonts w:cs="Times New Roman"/>
            </w:rPr>
            <w:tag w:val="_PLD_cadc07ed6f504e63b41def670f3c2338"/>
            <w:id w:val="147451368"/>
          </w:sdtPr>
          <w:sdtEndPr>
            <w:rPr>
              <w:rFonts w:cs="Times New Roman"/>
            </w:rPr>
          </w:sdtEndPr>
          <w:sdtContent>
            <w:tc>
              <w:tcPr>
                <w:tcW w:w="1553" w:type="pct"/>
                <w:vAlign w:val="center"/>
              </w:tcPr>
              <w:p w14:paraId="2AE2365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33c992e918b546739aa3d8a0d43ef633"/>
            <w:id w:val="147455092"/>
          </w:sdtPr>
          <w:sdtEndPr>
            <w:rPr>
              <w:rFonts w:cs="Times New Roman"/>
            </w:rPr>
          </w:sdtEndPr>
          <w:sdtContent>
            <w:tc>
              <w:tcPr>
                <w:tcW w:w="1561" w:type="pct"/>
                <w:vAlign w:val="center"/>
              </w:tcPr>
              <w:p w14:paraId="1A08E34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758D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pct"/>
          </w:tcPr>
          <w:p w14:paraId="73ED8613">
            <w:pPr>
              <w:textAlignment w:val="top"/>
              <w:rPr>
                <w:rFonts w:cs="Times New Roman"/>
              </w:rPr>
            </w:pPr>
            <w:r>
              <w:rPr>
                <w:rFonts w:cs="Times New Roman"/>
                <w:color w:val="000000"/>
                <w:lang w:bidi="ar"/>
              </w:rPr>
              <w:t>新兴际华投资有限公司</w:t>
            </w:r>
          </w:p>
        </w:tc>
        <w:tc>
          <w:tcPr>
            <w:tcW w:w="1553" w:type="pct"/>
            <w:vAlign w:val="bottom"/>
          </w:tcPr>
          <w:p w14:paraId="4AE16B59">
            <w:pPr>
              <w:jc w:val="right"/>
              <w:textAlignment w:val="bottom"/>
              <w:rPr>
                <w:rFonts w:cs="Times New Roman"/>
              </w:rPr>
            </w:pPr>
            <w:r>
              <w:rPr>
                <w:rFonts w:cs="Times New Roman"/>
                <w:color w:val="000000"/>
              </w:rPr>
              <w:t>52,107,547.75</w:t>
            </w:r>
          </w:p>
        </w:tc>
        <w:tc>
          <w:tcPr>
            <w:tcW w:w="1561" w:type="pct"/>
            <w:vAlign w:val="bottom"/>
          </w:tcPr>
          <w:p w14:paraId="4E7F23C1">
            <w:pPr>
              <w:jc w:val="right"/>
              <w:textAlignment w:val="bottom"/>
              <w:rPr>
                <w:rFonts w:cs="Times New Roman"/>
              </w:rPr>
            </w:pPr>
            <w:r>
              <w:rPr>
                <w:rFonts w:cs="Times New Roman"/>
                <w:color w:val="000000"/>
              </w:rPr>
              <w:t>52,107,547.75</w:t>
            </w:r>
          </w:p>
        </w:tc>
      </w:tr>
      <w:tr w14:paraId="4B53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pct"/>
            <w:vAlign w:val="center"/>
          </w:tcPr>
          <w:p w14:paraId="5262631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553" w:type="pct"/>
            <w:vAlign w:val="bottom"/>
          </w:tcPr>
          <w:p w14:paraId="3D668F60">
            <w:pPr>
              <w:jc w:val="right"/>
              <w:textAlignment w:val="bottom"/>
              <w:rPr>
                <w:rFonts w:cs="Times New Roman"/>
              </w:rPr>
            </w:pPr>
            <w:r>
              <w:rPr>
                <w:rFonts w:cs="Times New Roman"/>
                <w:color w:val="000000"/>
              </w:rPr>
              <w:t>52,107,547.75</w:t>
            </w:r>
          </w:p>
        </w:tc>
        <w:tc>
          <w:tcPr>
            <w:tcW w:w="1561" w:type="pct"/>
            <w:vAlign w:val="bottom"/>
          </w:tcPr>
          <w:p w14:paraId="1DF0066E">
            <w:pPr>
              <w:jc w:val="right"/>
              <w:textAlignment w:val="bottom"/>
              <w:rPr>
                <w:rFonts w:cs="Times New Roman"/>
              </w:rPr>
            </w:pPr>
            <w:r>
              <w:rPr>
                <w:rFonts w:cs="Times New Roman"/>
                <w:color w:val="000000"/>
              </w:rPr>
              <w:t>52,107,547.75</w:t>
            </w:r>
          </w:p>
        </w:tc>
      </w:tr>
    </w:tbl>
    <w:p w14:paraId="41F463F3">
      <w:pPr>
        <w:rPr>
          <w:color w:val="000000" w:themeColor="text1"/>
          <w14:textFill>
            <w14:solidFill>
              <w14:schemeClr w14:val="tx1"/>
            </w14:solidFill>
          </w14:textFill>
        </w:rPr>
      </w:pPr>
    </w:p>
    <w:p w14:paraId="2742C7FC">
      <w:pPr>
        <w:pStyle w:val="59"/>
        <w:numPr>
          <w:ilvl w:val="0"/>
          <w:numId w:val="61"/>
        </w:numPr>
      </w:pPr>
      <w:r>
        <w:rPr>
          <w:rFonts w:hint="eastAsia"/>
        </w:rPr>
        <w:t>重要的账龄超过1年的应收股利</w:t>
      </w:r>
    </w:p>
    <w:p w14:paraId="3A5D7253">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重要的账龄超过1年的应收股利[双击切换]"/>
          <w:tag w:val="_GBC_9aa7ef4a3c0c40638901a5b7f6224231"/>
          <w:id w:val="147461175"/>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tbl>
      <w:tblPr>
        <w:tblStyle w:val="37"/>
        <w:tblpPr w:leftFromText="180" w:rightFromText="180" w:vertAnchor="text" w:horzAnchor="page" w:tblpX="1791" w:tblpY="27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407"/>
        <w:gridCol w:w="1793"/>
        <w:gridCol w:w="1144"/>
        <w:gridCol w:w="1520"/>
        <w:gridCol w:w="2029"/>
      </w:tblGrid>
      <w:tr w14:paraId="0AC4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54325778de824e9297cb1c149c22dd25"/>
            <w:id w:val="147480970"/>
          </w:sdtPr>
          <w:sdtEndPr>
            <w:rPr>
              <w:rFonts w:cs="Times New Roman"/>
            </w:rPr>
          </w:sdtEndPr>
          <w:sdtContent>
            <w:tc>
              <w:tcPr>
                <w:tcW w:w="1353" w:type="pct"/>
                <w:vAlign w:val="center"/>
              </w:tcPr>
              <w:p w14:paraId="2D99C0D1">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项目(或被投资单位)</w:t>
                </w:r>
              </w:p>
            </w:tc>
          </w:sdtContent>
        </w:sdt>
        <w:sdt>
          <w:sdtPr>
            <w:rPr>
              <w:rFonts w:cs="Times New Roman"/>
            </w:rPr>
            <w:tag w:val="_PLD_3c6fcc2eeb2e43f884e135de407bf935"/>
            <w:id w:val="147482042"/>
          </w:sdtPr>
          <w:sdtEndPr>
            <w:rPr>
              <w:rFonts w:cs="Times New Roman"/>
            </w:rPr>
          </w:sdtEndPr>
          <w:sdtContent>
            <w:tc>
              <w:tcPr>
                <w:tcW w:w="1008" w:type="pct"/>
                <w:vAlign w:val="center"/>
              </w:tcPr>
              <w:p w14:paraId="513C9340">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5753b571b76c4818b08432ac4b75a19b"/>
            <w:id w:val="147461298"/>
          </w:sdtPr>
          <w:sdtEndPr>
            <w:rPr>
              <w:rFonts w:cs="Times New Roman"/>
            </w:rPr>
          </w:sdtEndPr>
          <w:sdtContent>
            <w:tc>
              <w:tcPr>
                <w:tcW w:w="643" w:type="pct"/>
                <w:vAlign w:val="center"/>
              </w:tcPr>
              <w:p w14:paraId="169CBB89">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账龄</w:t>
                </w:r>
              </w:p>
            </w:tc>
          </w:sdtContent>
        </w:sdt>
        <w:sdt>
          <w:sdtPr>
            <w:rPr>
              <w:rFonts w:cs="Times New Roman"/>
            </w:rPr>
            <w:tag w:val="_PLD_0152ee4fb8ae4030adfa916347591a85"/>
            <w:id w:val="147479300"/>
          </w:sdtPr>
          <w:sdtEndPr>
            <w:rPr>
              <w:rFonts w:cs="Times New Roman"/>
            </w:rPr>
          </w:sdtEndPr>
          <w:sdtContent>
            <w:tc>
              <w:tcPr>
                <w:tcW w:w="854" w:type="pct"/>
                <w:vAlign w:val="center"/>
              </w:tcPr>
              <w:p w14:paraId="2018FCF4">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未收回的原因</w:t>
                </w:r>
              </w:p>
            </w:tc>
          </w:sdtContent>
        </w:sdt>
        <w:sdt>
          <w:sdtPr>
            <w:rPr>
              <w:rFonts w:cs="Times New Roman"/>
            </w:rPr>
            <w:tag w:val="_PLD_3bb7e6ec4cc148b7a30573dbbf2a2707"/>
            <w:id w:val="147471599"/>
          </w:sdtPr>
          <w:sdtEndPr>
            <w:rPr>
              <w:rFonts w:cs="Times New Roman"/>
            </w:rPr>
          </w:sdtEndPr>
          <w:sdtContent>
            <w:tc>
              <w:tcPr>
                <w:tcW w:w="1140" w:type="pct"/>
                <w:vAlign w:val="center"/>
              </w:tcPr>
              <w:p w14:paraId="520236F6">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是否发生减值及其判断依据</w:t>
                </w:r>
              </w:p>
            </w:tc>
          </w:sdtContent>
        </w:sdt>
      </w:tr>
      <w:tr w14:paraId="48E2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353" w:type="pct"/>
            <w:vAlign w:val="center"/>
          </w:tcPr>
          <w:p w14:paraId="4E35EA85">
            <w:pPr>
              <w:jc w:val="center"/>
              <w:textAlignment w:val="center"/>
              <w:rPr>
                <w:rFonts w:cs="Times New Roman"/>
              </w:rPr>
            </w:pPr>
            <w:r>
              <w:rPr>
                <w:rFonts w:cs="Times New Roman"/>
                <w:color w:val="000000"/>
                <w:lang w:bidi="ar"/>
              </w:rPr>
              <w:t>新兴际华投资有限公司</w:t>
            </w:r>
          </w:p>
        </w:tc>
        <w:tc>
          <w:tcPr>
            <w:tcW w:w="1008" w:type="pct"/>
            <w:vAlign w:val="bottom"/>
          </w:tcPr>
          <w:p w14:paraId="24B2E1D8">
            <w:pPr>
              <w:jc w:val="right"/>
              <w:textAlignment w:val="bottom"/>
              <w:rPr>
                <w:rFonts w:cs="Times New Roman"/>
              </w:rPr>
            </w:pPr>
            <w:r>
              <w:rPr>
                <w:rFonts w:eastAsia="Arial Narrow" w:cs="Times New Roman"/>
                <w:color w:val="000000"/>
                <w:lang w:bidi="ar"/>
              </w:rPr>
              <w:t>44,854,927.40</w:t>
            </w:r>
          </w:p>
        </w:tc>
        <w:tc>
          <w:tcPr>
            <w:tcW w:w="643" w:type="pct"/>
            <w:vAlign w:val="center"/>
          </w:tcPr>
          <w:p w14:paraId="773C22F6">
            <w:pPr>
              <w:jc w:val="center"/>
              <w:textAlignment w:val="center"/>
              <w:rPr>
                <w:rFonts w:cs="Times New Roman"/>
              </w:rPr>
            </w:pPr>
            <w:r>
              <w:rPr>
                <w:rFonts w:eastAsia="Arial Narrow" w:cs="Times New Roman"/>
                <w:color w:val="000000"/>
                <w:lang w:bidi="ar"/>
              </w:rPr>
              <w:t>3-4</w:t>
            </w:r>
            <w:r>
              <w:rPr>
                <w:rFonts w:cs="Times New Roman"/>
                <w:color w:val="000000"/>
                <w:lang w:bidi="ar"/>
              </w:rPr>
              <w:t>年</w:t>
            </w:r>
          </w:p>
        </w:tc>
        <w:tc>
          <w:tcPr>
            <w:tcW w:w="854" w:type="pct"/>
            <w:vAlign w:val="center"/>
          </w:tcPr>
          <w:p w14:paraId="1B6C6974">
            <w:pPr>
              <w:jc w:val="center"/>
              <w:textAlignment w:val="center"/>
              <w:rPr>
                <w:rFonts w:cs="Times New Roman"/>
              </w:rPr>
            </w:pPr>
            <w:r>
              <w:rPr>
                <w:rFonts w:hint="eastAsia" w:asciiTheme="minorEastAsia" w:hAnsiTheme="minorEastAsia" w:eastAsiaTheme="minorEastAsia" w:cstheme="minorEastAsia"/>
                <w:color w:val="000000"/>
                <w:lang w:bidi="ar"/>
              </w:rPr>
              <w:t>尚未发放</w:t>
            </w:r>
          </w:p>
        </w:tc>
        <w:tc>
          <w:tcPr>
            <w:tcW w:w="1140" w:type="pct"/>
            <w:vAlign w:val="center"/>
          </w:tcPr>
          <w:p w14:paraId="028718D5">
            <w:pPr>
              <w:jc w:val="center"/>
              <w:textAlignment w:val="center"/>
              <w:rPr>
                <w:rFonts w:cs="Times New Roman"/>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否</w:t>
            </w:r>
          </w:p>
        </w:tc>
      </w:tr>
      <w:tr w14:paraId="7509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353" w:type="pct"/>
            <w:vAlign w:val="center"/>
          </w:tcPr>
          <w:p w14:paraId="7CCCC357">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008" w:type="pct"/>
            <w:vAlign w:val="bottom"/>
          </w:tcPr>
          <w:p w14:paraId="38488684">
            <w:pPr>
              <w:jc w:val="right"/>
              <w:textAlignment w:val="bottom"/>
              <w:rPr>
                <w:rFonts w:cs="Times New Roman"/>
              </w:rPr>
            </w:pPr>
            <w:r>
              <w:rPr>
                <w:rFonts w:eastAsia="Arial Narrow" w:cs="Times New Roman"/>
                <w:color w:val="000000"/>
                <w:lang w:bidi="ar"/>
              </w:rPr>
              <w:t>44,854,927.40</w:t>
            </w:r>
          </w:p>
        </w:tc>
        <w:tc>
          <w:tcPr>
            <w:tcW w:w="643" w:type="pct"/>
            <w:vAlign w:val="center"/>
          </w:tcPr>
          <w:p w14:paraId="793F59C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854" w:type="pct"/>
            <w:vAlign w:val="center"/>
          </w:tcPr>
          <w:p w14:paraId="59F741C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1140" w:type="pct"/>
            <w:vAlign w:val="center"/>
          </w:tcPr>
          <w:p w14:paraId="5CCBF11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1FA1812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账龄超过1年的应收股利"/>
          <w:tag w:val="_GBC_f08fb2c53aeb449bb75e121ee3aeca9c"/>
          <w:id w:val="1474835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账龄超过1年的应收股利"/>
          <w:tag w:val="_GBC_bd52ead6e46444738b8ef3b24c67296e"/>
          <w:id w:val="1474594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p w14:paraId="68A05544">
      <w:pPr>
        <w:rPr>
          <w:rFonts w:cs="Times New Roman"/>
          <w:color w:val="000000" w:themeColor="text1"/>
          <w14:textFill>
            <w14:solidFill>
              <w14:schemeClr w14:val="tx1"/>
            </w14:solidFill>
          </w14:textFill>
        </w:rPr>
      </w:pPr>
    </w:p>
    <w:p w14:paraId="2DAA4B70">
      <w:pPr>
        <w:pStyle w:val="59"/>
        <w:numPr>
          <w:ilvl w:val="0"/>
          <w:numId w:val="61"/>
        </w:numPr>
      </w:pPr>
      <w:bookmarkStart w:id="246" w:name="_Hlk153377225"/>
      <w:bookmarkStart w:id="247" w:name="_Hlk167889908"/>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8b70ad2470ad4f7fa9d5783df04c53e3"/>
        <w:id w:val="147467484"/>
        <w:placeholder>
          <w:docPart w:val="GBC22222222222222222222222222222"/>
        </w:placeholder>
      </w:sdtPr>
      <w:sdtEndPr>
        <w:rPr>
          <w:color w:val="000000" w:themeColor="text1"/>
          <w14:textFill>
            <w14:solidFill>
              <w14:schemeClr w14:val="tx1"/>
            </w14:solidFill>
          </w14:textFill>
        </w:rPr>
      </w:sdtEndPr>
      <w:sdtContent>
        <w:p w14:paraId="329C270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6E5202">
      <w:pPr>
        <w:rPr>
          <w:color w:val="000000" w:themeColor="text1"/>
          <w14:textFill>
            <w14:solidFill>
              <w14:schemeClr w14:val="tx1"/>
            </w14:solidFill>
          </w14:textFill>
        </w:rPr>
      </w:pPr>
    </w:p>
    <w:p w14:paraId="18DCD38E">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483991b4a15b41e5972cf3114089a5f0"/>
        <w:id w:val="147472157"/>
        <w:placeholder>
          <w:docPart w:val="GBC22222222222222222222222222222"/>
        </w:placeholder>
      </w:sdtPr>
      <w:sdtEndPr>
        <w:rPr>
          <w:color w:val="000000" w:themeColor="text1"/>
          <w14:textFill>
            <w14:solidFill>
              <w14:schemeClr w14:val="tx1"/>
            </w14:solidFill>
          </w14:textFill>
        </w:rPr>
      </w:sdtEndPr>
      <w:sdtContent>
        <w:p w14:paraId="128B2F4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68BA15">
      <w:pPr>
        <w:rPr>
          <w:color w:val="000000" w:themeColor="text1"/>
          <w14:textFill>
            <w14:solidFill>
              <w14:schemeClr w14:val="tx1"/>
            </w14:solidFill>
          </w14:textFill>
        </w:rPr>
      </w:pPr>
    </w:p>
    <w:p w14:paraId="68E2ACB1">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d7afb2e278434689a41c386c91ae5fd8"/>
        <w:id w:val="147470611"/>
        <w:placeholder>
          <w:docPart w:val="GBC22222222222222222222222222222"/>
        </w:placeholder>
      </w:sdtPr>
      <w:sdtEndPr>
        <w:rPr>
          <w:color w:val="000000" w:themeColor="text1"/>
          <w14:textFill>
            <w14:solidFill>
              <w14:schemeClr w14:val="tx1"/>
            </w14:solidFill>
          </w14:textFill>
        </w:rPr>
      </w:sdtEndPr>
      <w:sdtContent>
        <w:p w14:paraId="0007790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97F8276">
      <w:pPr>
        <w:rPr>
          <w:color w:val="000000" w:themeColor="text1"/>
          <w14:textFill>
            <w14:solidFill>
              <w14:schemeClr w14:val="tx1"/>
            </w14:solidFill>
          </w14:textFill>
        </w:rPr>
      </w:pPr>
    </w:p>
    <w:p w14:paraId="790DDD6A">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37434366d06a4e49b22522b1d88358dd"/>
        <w:id w:val="147453074"/>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640AC4CA">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1A7613B0">
      <w:pPr>
        <w:rPr>
          <w:rFonts w:ascii="Calibri" w:hAnsi="Calibri" w:cs="Times New Roman"/>
          <w:b/>
          <w:bCs w:val="0"/>
          <w:color w:val="000000" w:themeColor="text1"/>
          <w:szCs w:val="22"/>
          <w14:textFill>
            <w14:solidFill>
              <w14:schemeClr w14:val="tx1"/>
            </w14:solidFill>
          </w14:textFill>
        </w:rPr>
      </w:pPr>
    </w:p>
    <w:bookmarkEnd w:id="246"/>
    <w:bookmarkEnd w:id="247"/>
    <w:p w14:paraId="0589990B">
      <w:pPr>
        <w:pStyle w:val="59"/>
        <w:numPr>
          <w:ilvl w:val="0"/>
          <w:numId w:val="61"/>
        </w:numPr>
      </w:pPr>
      <w:bookmarkStart w:id="248" w:name="_Hlk10468610"/>
      <w:r>
        <w:rPr>
          <w:rFonts w:hint="eastAsia"/>
        </w:rPr>
        <w:t>按预期信用损失一般模型计提坏账准备</w:t>
      </w:r>
    </w:p>
    <w:sdt>
      <w:sdtPr>
        <w:rPr>
          <w:color w:val="000000" w:themeColor="text1"/>
          <w14:textFill>
            <w14:solidFill>
              <w14:schemeClr w14:val="tx1"/>
            </w14:solidFill>
          </w14:textFill>
        </w:rPr>
        <w:alias w:val="是否适用：应收股利坏账准备调节表[双击切换]"/>
        <w:tag w:val="_GBC_5a51eb2bfb0643eb8b9c73cdd0dbec60"/>
        <w:id w:val="147477308"/>
        <w:placeholder>
          <w:docPart w:val="GBC22222222222222222222222222222"/>
        </w:placeholder>
      </w:sdtPr>
      <w:sdtEndPr>
        <w:rPr>
          <w:color w:val="000000" w:themeColor="text1"/>
          <w14:textFill>
            <w14:solidFill>
              <w14:schemeClr w14:val="tx1"/>
            </w14:solidFill>
          </w14:textFill>
        </w:rPr>
      </w:sdtEndPr>
      <w:sdtContent>
        <w:p w14:paraId="7C18EE6B">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F351AB">
      <w:pPr>
        <w:rPr>
          <w:color w:val="000000" w:themeColor="text1"/>
          <w14:textFill>
            <w14:solidFill>
              <w14:schemeClr w14:val="tx1"/>
            </w14:solidFill>
          </w14:textFill>
        </w:rPr>
      </w:pPr>
    </w:p>
    <w:bookmarkEnd w:id="248"/>
    <w:p w14:paraId="2F5C2A2E">
      <w:pPr>
        <w:pStyle w:val="59"/>
        <w:numPr>
          <w:ilvl w:val="0"/>
          <w:numId w:val="61"/>
        </w:numPr>
      </w:pPr>
      <w:bookmarkStart w:id="249" w:name="_Hlk153377452"/>
      <w:bookmarkStart w:id="250" w:name="_Hlk167890094"/>
      <w:r>
        <w:rPr>
          <w:rFonts w:hint="eastAsia"/>
        </w:rPr>
        <w:t>坏账准备的情况</w:t>
      </w:r>
    </w:p>
    <w:sdt>
      <w:sdtPr>
        <w:rPr>
          <w:color w:val="000000" w:themeColor="text1"/>
          <w14:textFill>
            <w14:solidFill>
              <w14:schemeClr w14:val="tx1"/>
            </w14:solidFill>
          </w14:textFill>
        </w:rPr>
        <w:alias w:val="是否适用：坏账准备情况[双击切换]"/>
        <w:tag w:val="_GBC_27a4f54f16d145c384ec77d7ec602dbc"/>
        <w:id w:val="147463130"/>
        <w:placeholder>
          <w:docPart w:val="GBC22222222222222222222222222222"/>
        </w:placeholder>
      </w:sdtPr>
      <w:sdtEndPr>
        <w:rPr>
          <w:color w:val="000000" w:themeColor="text1"/>
          <w14:textFill>
            <w14:solidFill>
              <w14:schemeClr w14:val="tx1"/>
            </w14:solidFill>
          </w14:textFill>
        </w:rPr>
      </w:sdtEndPr>
      <w:sdtContent>
        <w:p w14:paraId="412446C9">
          <w:pPr>
            <w:pStyle w:val="67"/>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AB46FA1">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e4fd140c18e841efba2e4cb5bf308654"/>
        <w:id w:val="147459069"/>
        <w:placeholder>
          <w:docPart w:val="GBC22222222222222222222222222222"/>
        </w:placeholder>
      </w:sdtPr>
      <w:sdtEndPr>
        <w:rPr>
          <w:color w:val="000000" w:themeColor="text1"/>
          <w14:textFill>
            <w14:solidFill>
              <w14:schemeClr w14:val="tx1"/>
            </w14:solidFill>
          </w14:textFill>
        </w:rPr>
      </w:sdtEndPr>
      <w:sdtContent>
        <w:p w14:paraId="5E8D0E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75A92B0">
      <w:pPr>
        <w:rPr>
          <w:color w:val="000000" w:themeColor="text1"/>
          <w14:textFill>
            <w14:solidFill>
              <w14:schemeClr w14:val="tx1"/>
            </w14:solidFill>
          </w14:textFill>
        </w:rPr>
      </w:pPr>
    </w:p>
    <w:p w14:paraId="5C839D2A">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414c7640b0394cf3a868f0350c981765"/>
        <w:id w:val="147469869"/>
        <w:placeholder>
          <w:docPart w:val="GBC22222222222222222222222222222"/>
        </w:placeholder>
      </w:sdtPr>
      <w:sdtEndPr>
        <w:rPr>
          <w:color w:val="000000" w:themeColor="text1"/>
          <w14:textFill>
            <w14:solidFill>
              <w14:schemeClr w14:val="tx1"/>
            </w14:solidFill>
          </w14:textFill>
        </w:rPr>
      </w:sdtEndPr>
      <w:sdtContent>
        <w:p w14:paraId="53420F1A">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88E87B1">
      <w:pPr>
        <w:ind w:right="-1594" w:rightChars="-759"/>
        <w:rPr>
          <w:color w:val="000000" w:themeColor="text1"/>
          <w14:textFill>
            <w14:solidFill>
              <w14:schemeClr w14:val="tx1"/>
            </w14:solidFill>
          </w14:textFill>
        </w:rPr>
      </w:pPr>
    </w:p>
    <w:p w14:paraId="163E8BA9">
      <w:pPr>
        <w:pStyle w:val="59"/>
        <w:numPr>
          <w:ilvl w:val="0"/>
          <w:numId w:val="61"/>
        </w:numPr>
      </w:pPr>
      <w:r>
        <w:rPr>
          <w:rFonts w:hint="eastAsia"/>
        </w:rPr>
        <w:t>本期实际核销的应收股利情况</w:t>
      </w:r>
    </w:p>
    <w:sdt>
      <w:sdtPr>
        <w:rPr>
          <w:color w:val="000000" w:themeColor="text1"/>
          <w14:textFill>
            <w14:solidFill>
              <w14:schemeClr w14:val="tx1"/>
            </w14:solidFill>
          </w14:textFill>
        </w:rPr>
        <w:alias w:val="是否适用：实际核销的情况[双击切换]"/>
        <w:tag w:val="_GBC_9eaf5a867a514dab9094fbf8401be69b"/>
        <w:id w:val="147455521"/>
        <w:placeholder>
          <w:docPart w:val="GBC22222222222222222222222222222"/>
        </w:placeholder>
      </w:sdtPr>
      <w:sdtEndPr>
        <w:rPr>
          <w:color w:val="000000" w:themeColor="text1"/>
          <w14:textFill>
            <w14:solidFill>
              <w14:schemeClr w14:val="tx1"/>
            </w14:solidFill>
          </w14:textFill>
        </w:rPr>
      </w:sdtEndPr>
      <w:sdtContent>
        <w:p w14:paraId="55BF7B6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DAD45A6">
      <w:pPr>
        <w:rPr>
          <w:color w:val="000000" w:themeColor="text1"/>
          <w14:textFill>
            <w14:solidFill>
              <w14:schemeClr w14:val="tx1"/>
            </w14:solidFill>
          </w14:textFill>
        </w:rPr>
      </w:pPr>
    </w:p>
    <w:p w14:paraId="5602031E">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其中重要的应收股利核销情况</w:t>
      </w:r>
    </w:p>
    <w:sdt>
      <w:sdtPr>
        <w:rPr>
          <w:rFonts w:hint="eastAsia"/>
          <w:color w:val="000000" w:themeColor="text1"/>
          <w14:textFill>
            <w14:solidFill>
              <w14:schemeClr w14:val="tx1"/>
            </w14:solidFill>
          </w14:textFill>
        </w:rPr>
        <w:alias w:val="是否适用：重要的核销情况[双击切换]"/>
        <w:tag w:val="_GBC_5cf96e8ce96146ed94b21417af438fca"/>
        <w:id w:val="147451850"/>
        <w:placeholder>
          <w:docPart w:val="GBC22222222222222222222222222222"/>
        </w:placeholder>
      </w:sdtPr>
      <w:sdtEndPr>
        <w:rPr>
          <w:rFonts w:hint="eastAsia"/>
          <w:color w:val="000000" w:themeColor="text1"/>
          <w14:textFill>
            <w14:solidFill>
              <w14:schemeClr w14:val="tx1"/>
            </w14:solidFill>
          </w14:textFill>
        </w:rPr>
      </w:sdtEndPr>
      <w:sdtContent>
        <w:p w14:paraId="6AADA76A">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44C18F6">
      <w:pPr>
        <w:snapToGrid w:val="0"/>
        <w:spacing w:line="240" w:lineRule="atLeast"/>
        <w:rPr>
          <w:color w:val="000000" w:themeColor="text1"/>
          <w14:textFill>
            <w14:solidFill>
              <w14:schemeClr w14:val="tx1"/>
            </w14:solidFill>
          </w14:textFill>
        </w:rPr>
      </w:pPr>
    </w:p>
    <w:p w14:paraId="02399D63">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cdab003e34144d27a769732520f8f54a"/>
        <w:id w:val="147466002"/>
        <w:placeholder>
          <w:docPart w:val="GBC22222222222222222222222222222"/>
        </w:placeholder>
      </w:sdtPr>
      <w:sdtEndPr>
        <w:rPr>
          <w:color w:val="000000" w:themeColor="text1"/>
          <w14:textFill>
            <w14:solidFill>
              <w14:schemeClr w14:val="tx1"/>
            </w14:solidFill>
          </w14:textFill>
        </w:rPr>
      </w:sdtEndPr>
      <w:sdtContent>
        <w:p w14:paraId="17B84D3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82F4F2">
      <w:pPr>
        <w:rPr>
          <w:color w:val="000000" w:themeColor="text1"/>
          <w14:textFill>
            <w14:solidFill>
              <w14:schemeClr w14:val="tx1"/>
            </w14:solidFill>
          </w14:textFill>
        </w:rPr>
      </w:pPr>
    </w:p>
    <w:bookmarkEnd w:id="249"/>
    <w:bookmarkEnd w:id="250"/>
    <w:p w14:paraId="319D9D7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收股利的说明[双击切换]"/>
        <w:tag w:val="_GBC_108dd924d7ca4fa78961046db5cd354e"/>
        <w:id w:val="147481086"/>
        <w:placeholder>
          <w:docPart w:val="GBC22222222222222222222222222222"/>
        </w:placeholder>
      </w:sdtPr>
      <w:sdtEndPr>
        <w:rPr>
          <w:color w:val="000000" w:themeColor="text1"/>
          <w14:textFill>
            <w14:solidFill>
              <w14:schemeClr w14:val="tx1"/>
            </w14:solidFill>
          </w14:textFill>
        </w:rPr>
      </w:sdtEndPr>
      <w:sdtContent>
        <w:p w14:paraId="6793C1E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E5C534D">
      <w:pPr>
        <w:snapToGrid w:val="0"/>
        <w:spacing w:line="240" w:lineRule="atLeast"/>
        <w:ind w:right="25" w:rightChars="12"/>
        <w:rPr>
          <w:color w:val="000000" w:themeColor="text1"/>
          <w14:textFill>
            <w14:solidFill>
              <w14:schemeClr w14:val="tx1"/>
            </w14:solidFill>
          </w14:textFill>
        </w:rPr>
      </w:pPr>
    </w:p>
    <w:p w14:paraId="6D245A44">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其他应收款</w:t>
      </w:r>
    </w:p>
    <w:p w14:paraId="5A39D000">
      <w:pPr>
        <w:pStyle w:val="6"/>
        <w:numPr>
          <w:ilvl w:val="0"/>
          <w:numId w:val="62"/>
        </w:numPr>
      </w:pPr>
      <w:bookmarkStart w:id="251" w:name="_Hlk167890330"/>
      <w:r>
        <w:rPr>
          <w:rFonts w:hint="eastAsia"/>
        </w:rPr>
        <w:t>按账龄披露</w:t>
      </w:r>
    </w:p>
    <w:sdt>
      <w:sdtPr>
        <w:rPr>
          <w:rFonts w:hint="eastAsia"/>
          <w:color w:val="000000" w:themeColor="text1"/>
          <w14:textFill>
            <w14:solidFill>
              <w14:schemeClr w14:val="tx1"/>
            </w14:solidFill>
          </w14:textFill>
        </w:rPr>
        <w:alias w:val="是否适用：组合中，按账龄分析法计提坏账准备的其他应收账款[双击切换]"/>
        <w:tag w:val="_GBC_2dc7496d7daf42fabc670f597f99f9a3"/>
        <w:id w:val="237371206"/>
      </w:sdtPr>
      <w:sdtEndPr>
        <w:rPr>
          <w:rFonts w:hint="eastAsia"/>
          <w:color w:val="000000" w:themeColor="text1"/>
          <w14:textFill>
            <w14:solidFill>
              <w14:schemeClr w14:val="tx1"/>
            </w14:solidFill>
          </w14:textFill>
        </w:rPr>
      </w:sdtEndPr>
      <w:sdtContent>
        <w:p w14:paraId="6B89775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45FDE3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单项金额不重大但按信用风险特征组合后该组合的风险较大的其他应收账款"/>
          <w:tag w:val="_GBC_cdb739275e9048aba4230ed9bd146a45"/>
          <w:id w:val="-2039800863"/>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单项金额不重大但按信用风险特征组合后该组合的风险较大的其他应收账款"/>
          <w:tag w:val="_GBC_3fef54d9cee94f85a0131be89bc468aa"/>
          <w:id w:val="-71528236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073"/>
        <w:gridCol w:w="2993"/>
        <w:gridCol w:w="2993"/>
      </w:tblGrid>
      <w:tr w14:paraId="799B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6e27a2b2e82491eabe1f7ae934a9024"/>
            <w:id w:val="572777227"/>
          </w:sdtPr>
          <w:sdtContent>
            <w:tc>
              <w:tcPr>
                <w:tcW w:w="1696" w:type="pct"/>
                <w:tcBorders>
                  <w:top w:val="single" w:color="auto" w:sz="4" w:space="0"/>
                  <w:left w:val="single" w:color="auto" w:sz="4" w:space="0"/>
                  <w:bottom w:val="single" w:color="auto" w:sz="4" w:space="0"/>
                  <w:right w:val="single" w:color="auto" w:sz="4" w:space="0"/>
                </w:tcBorders>
                <w:vAlign w:val="center"/>
              </w:tcPr>
              <w:p w14:paraId="30A5CC6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1ec6a999d56e428c86b4b1d15e441db3"/>
            <w:id w:val="-1712412474"/>
          </w:sdtPr>
          <w:sdtContent>
            <w:tc>
              <w:tcPr>
                <w:tcW w:w="1651" w:type="pct"/>
                <w:tcBorders>
                  <w:top w:val="single" w:color="auto" w:sz="4" w:space="0"/>
                  <w:left w:val="single" w:color="auto" w:sz="4" w:space="0"/>
                  <w:bottom w:val="single" w:color="auto" w:sz="4" w:space="0"/>
                  <w:right w:val="single" w:color="auto" w:sz="4" w:space="0"/>
                </w:tcBorders>
                <w:vAlign w:val="center"/>
              </w:tcPr>
              <w:p w14:paraId="7BC4271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tc>
          <w:tcPr>
            <w:tcW w:w="1651" w:type="pct"/>
            <w:tcBorders>
              <w:top w:val="single" w:color="auto" w:sz="4" w:space="0"/>
              <w:left w:val="single" w:color="auto" w:sz="4" w:space="0"/>
              <w:bottom w:val="single" w:color="auto" w:sz="4" w:space="0"/>
              <w:right w:val="single" w:color="auto" w:sz="4" w:space="0"/>
            </w:tcBorders>
          </w:tcPr>
          <w:sdt>
            <w:sdtPr>
              <w:tag w:val="_PLD_7e4dd2ab04c74f9b948d19d48ec6182e"/>
              <w:id w:val="402802837"/>
            </w:sdtPr>
            <w:sdtContent>
              <w:p w14:paraId="21796F0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sdtContent>
          </w:sdt>
        </w:tc>
      </w:tr>
      <w:tr w14:paraId="4D1E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f92a15823e8c4c6b81cf1a2d6edf8107"/>
            <w:id w:val="-730696649"/>
          </w:sdtPr>
          <w:sdtContent>
            <w:tc>
              <w:tcPr>
                <w:tcW w:w="1696" w:type="pct"/>
                <w:tcBorders>
                  <w:top w:val="single" w:color="auto" w:sz="4" w:space="0"/>
                  <w:left w:val="single" w:color="auto" w:sz="4" w:space="0"/>
                  <w:bottom w:val="single" w:color="auto" w:sz="4" w:space="0"/>
                  <w:right w:val="single" w:color="auto" w:sz="4" w:space="0"/>
                </w:tcBorders>
              </w:tcPr>
              <w:p w14:paraId="015C9BA5">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1FFDED36">
            <w:pPr>
              <w:jc w:val="right"/>
              <w:textAlignment w:val="center"/>
              <w:rPr>
                <w:rFonts w:cs="Times New Roman"/>
              </w:rPr>
            </w:pPr>
            <w:r>
              <w:rPr>
                <w:rFonts w:eastAsia="Arial Narrow" w:cs="Times New Roman"/>
                <w:color w:val="000000"/>
                <w:lang w:bidi="ar"/>
              </w:rPr>
              <w:t>291,637,195.96</w:t>
            </w:r>
          </w:p>
        </w:tc>
        <w:tc>
          <w:tcPr>
            <w:tcW w:w="1651" w:type="pct"/>
            <w:tcBorders>
              <w:top w:val="single" w:color="auto" w:sz="4" w:space="0"/>
              <w:left w:val="single" w:color="auto" w:sz="4" w:space="0"/>
              <w:bottom w:val="single" w:color="auto" w:sz="4" w:space="0"/>
              <w:right w:val="single" w:color="auto" w:sz="4" w:space="0"/>
            </w:tcBorders>
            <w:vAlign w:val="center"/>
          </w:tcPr>
          <w:p w14:paraId="6B2AE604">
            <w:pPr>
              <w:jc w:val="right"/>
              <w:rPr>
                <w:rFonts w:cs="Times New Roman"/>
              </w:rPr>
            </w:pPr>
            <w:r>
              <w:rPr>
                <w:rFonts w:cs="Times New Roman"/>
              </w:rPr>
              <w:t>211,009,198.67</w:t>
            </w:r>
          </w:p>
        </w:tc>
      </w:tr>
      <w:sdt>
        <w:sdtPr>
          <w:rPr>
            <w:rFonts w:hint="eastAsia"/>
            <w:color w:val="000000" w:themeColor="text1"/>
            <w14:textFill>
              <w14:solidFill>
                <w14:schemeClr w14:val="tx1"/>
              </w14:solidFill>
            </w14:textFill>
          </w:rPr>
          <w:alias w:val="一年以内其他应收款金额明细"/>
          <w:tag w:val="_TUP_9657fd9a14d248d6b5760bd521376fca"/>
          <w:id w:val="-886562373"/>
          <w:placeholder>
            <w:docPart w:val="{b1467952-0f0f-4b1e-a167-fdb4424c5074}"/>
          </w:placeholder>
        </w:sdtPr>
        <w:sdtEndPr>
          <w:rPr>
            <w:rFonts w:hint="default" w:cs="Times New Roman"/>
            <w:color w:val="000000" w:themeColor="text1"/>
            <w14:textFill>
              <w14:solidFill>
                <w14:schemeClr w14:val="tx1"/>
              </w14:solidFill>
            </w14:textFill>
          </w:rPr>
        </w:sdtEndPr>
        <w:sdtContent>
          <w:tr w14:paraId="70CA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5E530C1A">
                <w:r>
                  <w:rPr>
                    <w:rFonts w:hint="eastAsia"/>
                  </w:rPr>
                  <w:t>1年以内小计</w:t>
                </w:r>
              </w:p>
            </w:tc>
            <w:tc>
              <w:tcPr>
                <w:tcW w:w="2993" w:type="dxa"/>
                <w:tcBorders>
                  <w:top w:val="single" w:color="auto" w:sz="4" w:space="0"/>
                  <w:left w:val="single" w:color="auto" w:sz="4" w:space="0"/>
                  <w:bottom w:val="single" w:color="auto" w:sz="4" w:space="0"/>
                  <w:right w:val="single" w:color="auto" w:sz="4" w:space="0"/>
                </w:tcBorders>
                <w:vAlign w:val="center"/>
              </w:tcPr>
              <w:p w14:paraId="46D1E272">
                <w:pPr>
                  <w:jc w:val="right"/>
                  <w:textAlignment w:val="center"/>
                  <w:rPr>
                    <w:rFonts w:cs="Times New Roman"/>
                  </w:rPr>
                </w:pPr>
                <w:r>
                  <w:rPr>
                    <w:rFonts w:eastAsia="Arial Narrow" w:cs="Times New Roman"/>
                    <w:color w:val="000000"/>
                    <w:lang w:bidi="ar"/>
                  </w:rPr>
                  <w:t>291,637,195.96</w:t>
                </w:r>
              </w:p>
            </w:tc>
            <w:tc>
              <w:tcPr>
                <w:tcW w:w="1651" w:type="pct"/>
                <w:tcBorders>
                  <w:top w:val="single" w:color="auto" w:sz="4" w:space="0"/>
                  <w:left w:val="single" w:color="auto" w:sz="4" w:space="0"/>
                  <w:bottom w:val="single" w:color="auto" w:sz="4" w:space="0"/>
                  <w:right w:val="single" w:color="auto" w:sz="4" w:space="0"/>
                </w:tcBorders>
                <w:vAlign w:val="center"/>
              </w:tcPr>
              <w:p w14:paraId="510B539F">
                <w:pPr>
                  <w:jc w:val="right"/>
                  <w:rPr>
                    <w:rFonts w:cs="Times New Roman"/>
                  </w:rPr>
                </w:pPr>
                <w:r>
                  <w:rPr>
                    <w:rFonts w:cs="Times New Roman"/>
                  </w:rPr>
                  <w:t>211,009,198.67</w:t>
                </w:r>
              </w:p>
            </w:tc>
          </w:tr>
        </w:sdtContent>
      </w:sdt>
      <w:sdt>
        <w:sdtPr>
          <w:alias w:val="一年以内其他应收款金额明细"/>
          <w:tag w:val="_TUP_9657fd9a14d248d6b5760bd521376fca"/>
          <w:id w:val="1167902987"/>
          <w:placeholder>
            <w:docPart w:val="{b1467952-0f0f-4b1e-a167-fdb4424c5074}"/>
          </w:placeholder>
        </w:sdtPr>
        <w:sdtEndPr>
          <w:rPr>
            <w:rFonts w:cs="Times New Roman"/>
          </w:rPr>
        </w:sdtEndPr>
        <w:sdtContent>
          <w:tr w14:paraId="087A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7ed955778e404c8ea48c566f9db6e1e8"/>
                <w:id w:val="1608841054"/>
              </w:sdtPr>
              <w:sdtContent>
                <w:tc>
                  <w:tcPr>
                    <w:tcW w:w="1696" w:type="pct"/>
                    <w:tcBorders>
                      <w:top w:val="single" w:color="auto" w:sz="4" w:space="0"/>
                      <w:left w:val="single" w:color="auto" w:sz="4" w:space="0"/>
                      <w:bottom w:val="single" w:color="auto" w:sz="4" w:space="0"/>
                      <w:right w:val="single" w:color="auto" w:sz="4" w:space="0"/>
                    </w:tcBorders>
                  </w:tcPr>
                  <w:p w14:paraId="02ED19DD">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1DF26380">
                <w:pPr>
                  <w:jc w:val="right"/>
                  <w:textAlignment w:val="center"/>
                  <w:rPr>
                    <w:rFonts w:cs="Times New Roman"/>
                  </w:rPr>
                </w:pPr>
                <w:r>
                  <w:rPr>
                    <w:rFonts w:eastAsia="Arial Narrow" w:cs="Times New Roman"/>
                    <w:color w:val="000000"/>
                    <w:lang w:bidi="ar"/>
                  </w:rPr>
                  <w:t>96,457,640.56</w:t>
                </w:r>
              </w:p>
            </w:tc>
            <w:tc>
              <w:tcPr>
                <w:tcW w:w="1651" w:type="pct"/>
                <w:tcBorders>
                  <w:top w:val="single" w:color="auto" w:sz="4" w:space="0"/>
                  <w:left w:val="single" w:color="auto" w:sz="4" w:space="0"/>
                  <w:bottom w:val="single" w:color="auto" w:sz="4" w:space="0"/>
                  <w:right w:val="single" w:color="auto" w:sz="4" w:space="0"/>
                </w:tcBorders>
                <w:vAlign w:val="center"/>
              </w:tcPr>
              <w:p w14:paraId="642A6C10">
                <w:pPr>
                  <w:jc w:val="right"/>
                  <w:rPr>
                    <w:rFonts w:cs="Times New Roman"/>
                  </w:rPr>
                </w:pPr>
                <w:r>
                  <w:rPr>
                    <w:rFonts w:cs="Times New Roman"/>
                  </w:rPr>
                  <w:t>139,539,147.22</w:t>
                </w:r>
              </w:p>
            </w:tc>
          </w:tr>
        </w:sdtContent>
      </w:sdt>
      <w:tr w14:paraId="7909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2c310667e2f84a449ed516027c5c988d"/>
            <w:id w:val="247863641"/>
          </w:sdtPr>
          <w:sdtContent>
            <w:tc>
              <w:tcPr>
                <w:tcW w:w="1696" w:type="pct"/>
                <w:tcBorders>
                  <w:top w:val="single" w:color="auto" w:sz="4" w:space="0"/>
                  <w:left w:val="single" w:color="auto" w:sz="4" w:space="0"/>
                  <w:bottom w:val="single" w:color="auto" w:sz="4" w:space="0"/>
                  <w:right w:val="single" w:color="auto" w:sz="4" w:space="0"/>
                </w:tcBorders>
              </w:tcPr>
              <w:p w14:paraId="77DAA38F">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6F2CB8A2">
            <w:pPr>
              <w:jc w:val="right"/>
              <w:textAlignment w:val="center"/>
              <w:rPr>
                <w:rFonts w:cs="Times New Roman"/>
              </w:rPr>
            </w:pPr>
            <w:r>
              <w:rPr>
                <w:rFonts w:eastAsia="Arial Narrow" w:cs="Times New Roman"/>
                <w:color w:val="000000"/>
                <w:lang w:bidi="ar"/>
              </w:rPr>
              <w:t>156,241,048.88</w:t>
            </w:r>
          </w:p>
        </w:tc>
        <w:tc>
          <w:tcPr>
            <w:tcW w:w="1651" w:type="pct"/>
            <w:tcBorders>
              <w:top w:val="single" w:color="auto" w:sz="4" w:space="0"/>
              <w:left w:val="single" w:color="auto" w:sz="4" w:space="0"/>
              <w:bottom w:val="single" w:color="auto" w:sz="4" w:space="0"/>
              <w:right w:val="single" w:color="auto" w:sz="4" w:space="0"/>
            </w:tcBorders>
            <w:vAlign w:val="center"/>
          </w:tcPr>
          <w:p w14:paraId="519126C1">
            <w:pPr>
              <w:jc w:val="right"/>
              <w:rPr>
                <w:rFonts w:cs="Times New Roman"/>
              </w:rPr>
            </w:pPr>
            <w:r>
              <w:rPr>
                <w:rFonts w:cs="Times New Roman"/>
              </w:rPr>
              <w:t>161,707,101.44</w:t>
            </w:r>
          </w:p>
        </w:tc>
      </w:tr>
      <w:tr w14:paraId="1156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5b152c7cc204819a78863560b31e87a"/>
            <w:id w:val="-998656102"/>
          </w:sdtPr>
          <w:sdtContent>
            <w:tc>
              <w:tcPr>
                <w:tcW w:w="1696" w:type="pct"/>
                <w:tcBorders>
                  <w:top w:val="single" w:color="auto" w:sz="4" w:space="0"/>
                  <w:left w:val="single" w:color="auto" w:sz="4" w:space="0"/>
                  <w:bottom w:val="single" w:color="auto" w:sz="4" w:space="0"/>
                  <w:right w:val="single" w:color="auto" w:sz="4" w:space="0"/>
                </w:tcBorders>
              </w:tcPr>
              <w:p w14:paraId="63517FF5">
                <w:pPr>
                  <w:rPr>
                    <w:color w:val="000000" w:themeColor="text1"/>
                    <w14:textFill>
                      <w14:solidFill>
                        <w14:schemeClr w14:val="tx1"/>
                      </w14:solidFill>
                    </w14:textFill>
                  </w:rPr>
                </w:pPr>
                <w:r>
                  <w:rPr>
                    <w:rFonts w:hint="eastAsia"/>
                    <w:color w:val="000000" w:themeColor="text1"/>
                    <w14:textFill>
                      <w14:solidFill>
                        <w14:schemeClr w14:val="tx1"/>
                      </w14:solidFill>
                    </w14:textFill>
                  </w:rPr>
                  <w:t>3至4年</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4CFEC3ED">
            <w:pPr>
              <w:jc w:val="right"/>
              <w:textAlignment w:val="center"/>
              <w:rPr>
                <w:rFonts w:cs="Times New Roman"/>
              </w:rPr>
            </w:pPr>
            <w:r>
              <w:rPr>
                <w:rFonts w:eastAsia="Arial Narrow" w:cs="Times New Roman"/>
                <w:color w:val="000000"/>
                <w:lang w:bidi="ar"/>
              </w:rPr>
              <w:t>63,160,945.27</w:t>
            </w:r>
          </w:p>
        </w:tc>
        <w:tc>
          <w:tcPr>
            <w:tcW w:w="1651" w:type="pct"/>
            <w:tcBorders>
              <w:top w:val="single" w:color="auto" w:sz="4" w:space="0"/>
              <w:left w:val="single" w:color="auto" w:sz="4" w:space="0"/>
              <w:bottom w:val="single" w:color="auto" w:sz="4" w:space="0"/>
              <w:right w:val="single" w:color="auto" w:sz="4" w:space="0"/>
            </w:tcBorders>
            <w:vAlign w:val="center"/>
          </w:tcPr>
          <w:p w14:paraId="5D896202">
            <w:pPr>
              <w:jc w:val="right"/>
              <w:rPr>
                <w:rFonts w:cs="Times New Roman"/>
              </w:rPr>
            </w:pPr>
            <w:r>
              <w:rPr>
                <w:rFonts w:cs="Times New Roman"/>
              </w:rPr>
              <w:t>106,915,200.36</w:t>
            </w:r>
          </w:p>
        </w:tc>
      </w:tr>
      <w:tr w14:paraId="1086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a03b5ab3a8940fb9d5c4ee2ff3466e7"/>
            <w:id w:val="-449327205"/>
          </w:sdtPr>
          <w:sdtContent>
            <w:tc>
              <w:tcPr>
                <w:tcW w:w="1696" w:type="pct"/>
                <w:tcBorders>
                  <w:top w:val="single" w:color="auto" w:sz="4" w:space="0"/>
                  <w:left w:val="single" w:color="auto" w:sz="4" w:space="0"/>
                  <w:bottom w:val="single" w:color="auto" w:sz="4" w:space="0"/>
                  <w:right w:val="single" w:color="auto" w:sz="4" w:space="0"/>
                </w:tcBorders>
              </w:tcPr>
              <w:p w14:paraId="1DEECCAF">
                <w:pPr>
                  <w:rPr>
                    <w:color w:val="000000" w:themeColor="text1"/>
                    <w14:textFill>
                      <w14:solidFill>
                        <w14:schemeClr w14:val="tx1"/>
                      </w14:solidFill>
                    </w14:textFill>
                  </w:rPr>
                </w:pPr>
                <w:r>
                  <w:rPr>
                    <w:rFonts w:hint="eastAsia"/>
                    <w:color w:val="000000" w:themeColor="text1"/>
                    <w14:textFill>
                      <w14:solidFill>
                        <w14:schemeClr w14:val="tx1"/>
                      </w14:solidFill>
                    </w14:textFill>
                  </w:rPr>
                  <w:t>4至5年</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5D060A5C">
            <w:pPr>
              <w:jc w:val="right"/>
              <w:textAlignment w:val="center"/>
              <w:rPr>
                <w:rFonts w:cs="Times New Roman"/>
              </w:rPr>
            </w:pPr>
            <w:r>
              <w:rPr>
                <w:rFonts w:eastAsia="Arial Narrow" w:cs="Times New Roman"/>
                <w:color w:val="000000"/>
                <w:lang w:bidi="ar"/>
              </w:rPr>
              <w:t>153,583,694.37</w:t>
            </w:r>
          </w:p>
        </w:tc>
        <w:tc>
          <w:tcPr>
            <w:tcW w:w="1651" w:type="pct"/>
            <w:tcBorders>
              <w:top w:val="single" w:color="auto" w:sz="4" w:space="0"/>
              <w:left w:val="single" w:color="auto" w:sz="4" w:space="0"/>
              <w:bottom w:val="single" w:color="auto" w:sz="4" w:space="0"/>
              <w:right w:val="single" w:color="auto" w:sz="4" w:space="0"/>
            </w:tcBorders>
            <w:vAlign w:val="center"/>
          </w:tcPr>
          <w:p w14:paraId="44F911E7">
            <w:pPr>
              <w:jc w:val="right"/>
              <w:rPr>
                <w:rFonts w:cs="Times New Roman"/>
              </w:rPr>
            </w:pPr>
            <w:r>
              <w:rPr>
                <w:rFonts w:cs="Times New Roman"/>
              </w:rPr>
              <w:t>667,922,594.12</w:t>
            </w:r>
          </w:p>
        </w:tc>
      </w:tr>
      <w:tr w14:paraId="1FFC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502a774e6de84cb1877f4de9276c6c03"/>
            <w:id w:val="-915558254"/>
          </w:sdtPr>
          <w:sdtContent>
            <w:tc>
              <w:tcPr>
                <w:tcW w:w="1696" w:type="pct"/>
                <w:tcBorders>
                  <w:top w:val="single" w:color="auto" w:sz="4" w:space="0"/>
                  <w:left w:val="single" w:color="auto" w:sz="4" w:space="0"/>
                  <w:bottom w:val="single" w:color="auto" w:sz="4" w:space="0"/>
                  <w:right w:val="single" w:color="auto" w:sz="4" w:space="0"/>
                </w:tcBorders>
              </w:tcPr>
              <w:p w14:paraId="5453BBD9">
                <w:pPr>
                  <w:rPr>
                    <w:color w:val="000000" w:themeColor="text1"/>
                    <w14:textFill>
                      <w14:solidFill>
                        <w14:schemeClr w14:val="tx1"/>
                      </w14:solidFill>
                    </w14:textFill>
                  </w:rPr>
                </w:pPr>
                <w:r>
                  <w:rPr>
                    <w:rFonts w:hint="eastAsia"/>
                    <w:color w:val="000000" w:themeColor="text1"/>
                    <w14:textFill>
                      <w14:solidFill>
                        <w14:schemeClr w14:val="tx1"/>
                      </w14:solidFill>
                    </w14:textFill>
                  </w:rPr>
                  <w:t>5年以上</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5CCBE5B7">
            <w:pPr>
              <w:jc w:val="right"/>
              <w:textAlignment w:val="center"/>
              <w:rPr>
                <w:rFonts w:cs="Times New Roman"/>
              </w:rPr>
            </w:pPr>
            <w:r>
              <w:rPr>
                <w:rFonts w:eastAsia="Arial Narrow" w:cs="Times New Roman"/>
                <w:color w:val="000000"/>
                <w:lang w:bidi="ar"/>
              </w:rPr>
              <w:t>1,299,701,654.98</w:t>
            </w:r>
          </w:p>
        </w:tc>
        <w:tc>
          <w:tcPr>
            <w:tcW w:w="1651" w:type="pct"/>
            <w:tcBorders>
              <w:top w:val="single" w:color="auto" w:sz="4" w:space="0"/>
              <w:left w:val="single" w:color="auto" w:sz="4" w:space="0"/>
              <w:bottom w:val="single" w:color="auto" w:sz="4" w:space="0"/>
              <w:right w:val="single" w:color="auto" w:sz="4" w:space="0"/>
            </w:tcBorders>
            <w:vAlign w:val="center"/>
          </w:tcPr>
          <w:p w14:paraId="74FB8054">
            <w:pPr>
              <w:jc w:val="right"/>
              <w:rPr>
                <w:rFonts w:cs="Times New Roman"/>
              </w:rPr>
            </w:pPr>
            <w:r>
              <w:rPr>
                <w:rFonts w:cs="Times New Roman"/>
              </w:rPr>
              <w:t>789,580,447.10</w:t>
            </w:r>
          </w:p>
        </w:tc>
      </w:tr>
      <w:sdt>
        <w:sdtPr>
          <w:alias w:val="按账龄分析法计提坏账准备的其他应收款明细"/>
          <w:tag w:val="_TUP_2f86aef020064c61b40edf0a7b7b1d62"/>
          <w:id w:val="1281693021"/>
          <w:placeholder>
            <w:docPart w:val="{b1467952-0f0f-4b1e-a167-fdb4424c5074}"/>
          </w:placeholder>
        </w:sdtPr>
        <w:sdtEndPr>
          <w:rPr>
            <w:rFonts w:cs="Times New Roman"/>
          </w:rPr>
        </w:sdtEndPr>
        <w:sdtContent>
          <w:sdt>
            <w:sdtPr>
              <w:alias w:val="按账龄分析法计提坏账准备的其他应收款明细"/>
              <w:tag w:val="_TUP_2f86aef020064c61b40edf0a7b7b1d62"/>
              <w:id w:val="-352342130"/>
              <w:placeholder>
                <w:docPart w:val="{b1467952-0f0f-4b1e-a167-fdb4424c5074}"/>
              </w:placeholder>
            </w:sdtPr>
            <w:sdtEndPr>
              <w:rPr>
                <w:rFonts w:cs="Times New Roman"/>
              </w:rPr>
            </w:sdtEndPr>
            <w:sdtContent>
              <w:tr w14:paraId="39E6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d6ef2110aa3849b7b2f44fd2be8b2a9a"/>
                    <w:id w:val="702449351"/>
                  </w:sdtPr>
                  <w:sdtContent>
                    <w:tc>
                      <w:tcPr>
                        <w:tcW w:w="1696" w:type="pct"/>
                        <w:tcBorders>
                          <w:top w:val="single" w:color="auto" w:sz="4" w:space="0"/>
                          <w:left w:val="single" w:color="auto" w:sz="4" w:space="0"/>
                          <w:bottom w:val="single" w:color="auto" w:sz="4" w:space="0"/>
                          <w:right w:val="single" w:color="auto" w:sz="4" w:space="0"/>
                        </w:tcBorders>
                        <w:vAlign w:val="center"/>
                      </w:tcPr>
                      <w:p w14:paraId="2A9F0ED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2993" w:type="dxa"/>
                    <w:tcBorders>
                      <w:top w:val="single" w:color="auto" w:sz="4" w:space="0"/>
                      <w:left w:val="single" w:color="auto" w:sz="4" w:space="0"/>
                      <w:bottom w:val="single" w:color="auto" w:sz="4" w:space="0"/>
                      <w:right w:val="single" w:color="auto" w:sz="4" w:space="0"/>
                    </w:tcBorders>
                    <w:vAlign w:val="center"/>
                  </w:tcPr>
                  <w:p w14:paraId="59BB6C22">
                    <w:pPr>
                      <w:jc w:val="right"/>
                      <w:textAlignment w:val="center"/>
                      <w:rPr>
                        <w:rFonts w:cs="Times New Roman"/>
                      </w:rPr>
                    </w:pPr>
                    <w:r>
                      <w:rPr>
                        <w:rFonts w:eastAsia="Arial Narrow" w:cs="Times New Roman"/>
                        <w:color w:val="000000"/>
                        <w:lang w:bidi="ar"/>
                      </w:rPr>
                      <w:t>2,060,782,180.02</w:t>
                    </w:r>
                  </w:p>
                </w:tc>
                <w:tc>
                  <w:tcPr>
                    <w:tcW w:w="1651" w:type="pct"/>
                    <w:tcBorders>
                      <w:top w:val="single" w:color="auto" w:sz="4" w:space="0"/>
                      <w:left w:val="single" w:color="auto" w:sz="4" w:space="0"/>
                      <w:bottom w:val="single" w:color="auto" w:sz="4" w:space="0"/>
                      <w:right w:val="single" w:color="auto" w:sz="4" w:space="0"/>
                    </w:tcBorders>
                    <w:vAlign w:val="center"/>
                  </w:tcPr>
                  <w:p w14:paraId="15478D71">
                    <w:pPr>
                      <w:jc w:val="right"/>
                      <w:rPr>
                        <w:rFonts w:cs="Times New Roman"/>
                      </w:rPr>
                    </w:pPr>
                    <w:r>
                      <w:rPr>
                        <w:rFonts w:cs="Times New Roman"/>
                      </w:rPr>
                      <w:t>2,076,673,688.91</w:t>
                    </w:r>
                  </w:p>
                </w:tc>
              </w:tr>
            </w:sdtContent>
          </w:sdt>
        </w:sdtContent>
      </w:sdt>
    </w:tbl>
    <w:p w14:paraId="6824151B"/>
    <w:bookmarkEnd w:id="251"/>
    <w:p w14:paraId="72DBE7D3">
      <w:pPr>
        <w:pStyle w:val="6"/>
        <w:numPr>
          <w:ilvl w:val="0"/>
          <w:numId w:val="62"/>
        </w:numPr>
      </w:pPr>
      <w:r>
        <w:rPr>
          <w:rFonts w:hint="eastAsia"/>
        </w:rPr>
        <w:t>按款项性质分类情况</w:t>
      </w:r>
    </w:p>
    <w:sdt>
      <w:sdtPr>
        <w:rPr>
          <w:color w:val="000000" w:themeColor="text1"/>
          <w14:textFill>
            <w14:solidFill>
              <w14:schemeClr w14:val="tx1"/>
            </w14:solidFill>
          </w14:textFill>
        </w:rPr>
        <w:alias w:val="是否适用：其他应收款按款项性质分类情况[双击切换]"/>
        <w:tag w:val="_GBC_43f55a27297f4f93b1b4f668134ac6be"/>
        <w:id w:val="147459444"/>
        <w:placeholder>
          <w:docPart w:val="GBC22222222222222222222222222222"/>
        </w:placeholder>
      </w:sdtPr>
      <w:sdtEndPr>
        <w:rPr>
          <w:color w:val="000000" w:themeColor="text1"/>
          <w14:textFill>
            <w14:solidFill>
              <w14:schemeClr w14:val="tx1"/>
            </w14:solidFill>
          </w14:textFill>
        </w:rPr>
      </w:sdtEndPr>
      <w:sdtContent>
        <w:p w14:paraId="6CB8801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B89691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收款按款项性质分类情况"/>
          <w:tag w:val="_GBC_9a3af1171f5640cd83ea2c41e0145167"/>
          <w:id w:val="1474691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收款按款项性质分类情况"/>
          <w:tag w:val="_GBC_0d096e7260294092a6e9a8405d01bc70"/>
          <w:id w:val="1474607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7"/>
        <w:gridCol w:w="2980"/>
        <w:gridCol w:w="2992"/>
      </w:tblGrid>
      <w:tr w14:paraId="56F1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e66a0098cd34ad6a335156852121360"/>
            <w:id w:val="147482953"/>
          </w:sdtPr>
          <w:sdtContent>
            <w:tc>
              <w:tcPr>
                <w:tcW w:w="1700" w:type="pct"/>
                <w:vAlign w:val="center"/>
              </w:tcPr>
              <w:p w14:paraId="5F6325B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款项性质</w:t>
                </w:r>
              </w:p>
            </w:tc>
          </w:sdtContent>
        </w:sdt>
        <w:sdt>
          <w:sdtPr>
            <w:tag w:val="_PLD_51fee06f6d3944a9bbc7bac249ed63b6"/>
            <w:id w:val="147463715"/>
          </w:sdtPr>
          <w:sdtContent>
            <w:tc>
              <w:tcPr>
                <w:tcW w:w="1647" w:type="pct"/>
                <w:vAlign w:val="center"/>
              </w:tcPr>
              <w:p w14:paraId="4F3A149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0297dadecff24ff8926a98d0267a917b"/>
            <w:id w:val="147474683"/>
          </w:sdtPr>
          <w:sdtContent>
            <w:tc>
              <w:tcPr>
                <w:tcW w:w="1653" w:type="pct"/>
                <w:vAlign w:val="center"/>
              </w:tcPr>
              <w:p w14:paraId="4EAB926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14:paraId="1AD1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1577684">
            <w:pPr>
              <w:textAlignment w:val="top"/>
            </w:pPr>
            <w:r>
              <w:rPr>
                <w:rFonts w:hint="eastAsia" w:ascii="宋体" w:hAnsi="宋体"/>
                <w:color w:val="000000"/>
                <w:lang w:bidi="ar"/>
              </w:rPr>
              <w:t>往来款</w:t>
            </w:r>
          </w:p>
        </w:tc>
        <w:tc>
          <w:tcPr>
            <w:tcW w:w="2980" w:type="dxa"/>
            <w:vAlign w:val="center"/>
          </w:tcPr>
          <w:p w14:paraId="5E5EB708">
            <w:pPr>
              <w:jc w:val="right"/>
              <w:textAlignment w:val="center"/>
              <w:rPr>
                <w:rFonts w:cs="Times New Roman"/>
              </w:rPr>
            </w:pPr>
            <w:r>
              <w:rPr>
                <w:rFonts w:eastAsia="Arial Narrow" w:cs="Times New Roman"/>
                <w:color w:val="000000"/>
                <w:lang w:bidi="ar"/>
              </w:rPr>
              <w:t>1,310,050,151.09</w:t>
            </w:r>
          </w:p>
        </w:tc>
        <w:tc>
          <w:tcPr>
            <w:tcW w:w="1653" w:type="pct"/>
            <w:vAlign w:val="center"/>
          </w:tcPr>
          <w:p w14:paraId="57EAD6C6">
            <w:pPr>
              <w:jc w:val="right"/>
              <w:textAlignment w:val="center"/>
              <w:rPr>
                <w:rFonts w:cs="Times New Roman"/>
              </w:rPr>
            </w:pPr>
            <w:r>
              <w:rPr>
                <w:rFonts w:cs="Times New Roman"/>
                <w:color w:val="000000"/>
              </w:rPr>
              <w:t>1,323,669,160.28</w:t>
            </w:r>
          </w:p>
        </w:tc>
      </w:tr>
      <w:tr w14:paraId="6742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607E38D8">
            <w:pPr>
              <w:textAlignment w:val="top"/>
            </w:pPr>
            <w:r>
              <w:rPr>
                <w:rFonts w:hint="eastAsia" w:ascii="宋体" w:hAnsi="宋体"/>
                <w:color w:val="000000"/>
                <w:lang w:bidi="ar"/>
              </w:rPr>
              <w:t>涉诉往来款</w:t>
            </w:r>
          </w:p>
        </w:tc>
        <w:tc>
          <w:tcPr>
            <w:tcW w:w="2980" w:type="dxa"/>
            <w:vAlign w:val="center"/>
          </w:tcPr>
          <w:p w14:paraId="597DE0F1">
            <w:pPr>
              <w:jc w:val="right"/>
              <w:textAlignment w:val="center"/>
              <w:rPr>
                <w:rFonts w:cs="Times New Roman"/>
              </w:rPr>
            </w:pPr>
            <w:r>
              <w:rPr>
                <w:rFonts w:eastAsia="Arial Narrow" w:cs="Times New Roman"/>
                <w:color w:val="000000"/>
                <w:lang w:bidi="ar"/>
              </w:rPr>
              <w:t>480,528,300.00</w:t>
            </w:r>
          </w:p>
        </w:tc>
        <w:tc>
          <w:tcPr>
            <w:tcW w:w="1653" w:type="pct"/>
            <w:vAlign w:val="center"/>
          </w:tcPr>
          <w:p w14:paraId="1EC33765">
            <w:pPr>
              <w:jc w:val="right"/>
              <w:textAlignment w:val="center"/>
              <w:rPr>
                <w:rFonts w:cs="Times New Roman"/>
              </w:rPr>
            </w:pPr>
            <w:r>
              <w:rPr>
                <w:rFonts w:cs="Times New Roman"/>
                <w:color w:val="000000"/>
              </w:rPr>
              <w:t>480,528,300.00</w:t>
            </w:r>
          </w:p>
        </w:tc>
      </w:tr>
      <w:tr w14:paraId="01C8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506A104C">
            <w:pPr>
              <w:textAlignment w:val="top"/>
            </w:pPr>
            <w:r>
              <w:rPr>
                <w:rFonts w:hint="eastAsia" w:ascii="宋体" w:hAnsi="宋体"/>
                <w:color w:val="000000"/>
                <w:lang w:bidi="ar"/>
              </w:rPr>
              <w:t>押金及保证金</w:t>
            </w:r>
          </w:p>
        </w:tc>
        <w:tc>
          <w:tcPr>
            <w:tcW w:w="2980" w:type="dxa"/>
            <w:vAlign w:val="center"/>
          </w:tcPr>
          <w:p w14:paraId="27496EF6">
            <w:pPr>
              <w:jc w:val="right"/>
              <w:textAlignment w:val="center"/>
              <w:rPr>
                <w:rFonts w:cs="Times New Roman"/>
              </w:rPr>
            </w:pPr>
            <w:r>
              <w:rPr>
                <w:rFonts w:eastAsia="Arial Narrow" w:cs="Times New Roman"/>
                <w:color w:val="000000"/>
                <w:lang w:bidi="ar"/>
              </w:rPr>
              <w:t>193,487,481.22</w:t>
            </w:r>
          </w:p>
        </w:tc>
        <w:tc>
          <w:tcPr>
            <w:tcW w:w="1653" w:type="pct"/>
            <w:vAlign w:val="center"/>
          </w:tcPr>
          <w:p w14:paraId="0117AB50">
            <w:pPr>
              <w:jc w:val="right"/>
              <w:textAlignment w:val="center"/>
              <w:rPr>
                <w:rFonts w:cs="Times New Roman"/>
              </w:rPr>
            </w:pPr>
            <w:r>
              <w:rPr>
                <w:rFonts w:cs="Times New Roman"/>
                <w:color w:val="000000"/>
              </w:rPr>
              <w:t>200,490,769.26</w:t>
            </w:r>
          </w:p>
        </w:tc>
      </w:tr>
      <w:tr w14:paraId="23ED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232F026C">
            <w:pPr>
              <w:textAlignment w:val="top"/>
            </w:pPr>
            <w:r>
              <w:rPr>
                <w:rFonts w:hint="eastAsia" w:ascii="宋体" w:hAnsi="宋体"/>
                <w:color w:val="000000"/>
                <w:lang w:bidi="ar"/>
              </w:rPr>
              <w:t>应收出口退税款</w:t>
            </w:r>
          </w:p>
        </w:tc>
        <w:tc>
          <w:tcPr>
            <w:tcW w:w="2980" w:type="dxa"/>
            <w:vAlign w:val="center"/>
          </w:tcPr>
          <w:p w14:paraId="7B49F511">
            <w:pPr>
              <w:jc w:val="right"/>
              <w:textAlignment w:val="center"/>
              <w:rPr>
                <w:rFonts w:cs="Times New Roman"/>
              </w:rPr>
            </w:pPr>
            <w:r>
              <w:rPr>
                <w:rFonts w:eastAsia="Arial Narrow" w:cs="Times New Roman"/>
                <w:color w:val="000000"/>
                <w:lang w:bidi="ar"/>
              </w:rPr>
              <w:t>12,423,404.77</w:t>
            </w:r>
          </w:p>
        </w:tc>
        <w:tc>
          <w:tcPr>
            <w:tcW w:w="1653" w:type="pct"/>
            <w:vAlign w:val="center"/>
          </w:tcPr>
          <w:p w14:paraId="11101738">
            <w:pPr>
              <w:jc w:val="right"/>
              <w:textAlignment w:val="center"/>
              <w:rPr>
                <w:rFonts w:cs="Times New Roman"/>
              </w:rPr>
            </w:pPr>
            <w:r>
              <w:rPr>
                <w:rFonts w:cs="Times New Roman"/>
                <w:color w:val="000000"/>
              </w:rPr>
              <w:t>14,365,284.72</w:t>
            </w:r>
          </w:p>
        </w:tc>
      </w:tr>
      <w:tr w14:paraId="3A2A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50A67360">
            <w:pPr>
              <w:textAlignment w:val="top"/>
            </w:pPr>
            <w:r>
              <w:rPr>
                <w:rFonts w:hint="eastAsia" w:ascii="宋体" w:hAnsi="宋体"/>
                <w:color w:val="000000"/>
                <w:lang w:bidi="ar"/>
              </w:rPr>
              <w:t>代垫款</w:t>
            </w:r>
          </w:p>
        </w:tc>
        <w:tc>
          <w:tcPr>
            <w:tcW w:w="2980" w:type="dxa"/>
            <w:vAlign w:val="center"/>
          </w:tcPr>
          <w:p w14:paraId="6E3DF012">
            <w:pPr>
              <w:jc w:val="right"/>
              <w:textAlignment w:val="center"/>
              <w:rPr>
                <w:rFonts w:cs="Times New Roman"/>
              </w:rPr>
            </w:pPr>
            <w:r>
              <w:rPr>
                <w:rFonts w:eastAsia="Arial Narrow" w:cs="Times New Roman"/>
                <w:color w:val="000000"/>
                <w:lang w:bidi="ar"/>
              </w:rPr>
              <w:t>17,009,714.29</w:t>
            </w:r>
          </w:p>
        </w:tc>
        <w:tc>
          <w:tcPr>
            <w:tcW w:w="1653" w:type="pct"/>
            <w:vAlign w:val="center"/>
          </w:tcPr>
          <w:p w14:paraId="7C4A4A25">
            <w:pPr>
              <w:jc w:val="right"/>
              <w:textAlignment w:val="center"/>
              <w:rPr>
                <w:rFonts w:cs="Times New Roman"/>
              </w:rPr>
            </w:pPr>
            <w:r>
              <w:rPr>
                <w:rFonts w:cs="Times New Roman"/>
                <w:color w:val="000000"/>
              </w:rPr>
              <w:t>16,845,246.31</w:t>
            </w:r>
          </w:p>
        </w:tc>
      </w:tr>
      <w:tr w14:paraId="4095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E4CE832">
            <w:pPr>
              <w:textAlignment w:val="top"/>
            </w:pPr>
            <w:r>
              <w:rPr>
                <w:rFonts w:hint="eastAsia" w:ascii="宋体" w:hAnsi="宋体"/>
                <w:color w:val="000000"/>
                <w:lang w:bidi="ar"/>
              </w:rPr>
              <w:t>备用金</w:t>
            </w:r>
          </w:p>
        </w:tc>
        <w:tc>
          <w:tcPr>
            <w:tcW w:w="2980" w:type="dxa"/>
            <w:vAlign w:val="center"/>
          </w:tcPr>
          <w:p w14:paraId="0825E09C">
            <w:pPr>
              <w:jc w:val="right"/>
              <w:textAlignment w:val="center"/>
              <w:rPr>
                <w:rFonts w:cs="Times New Roman"/>
              </w:rPr>
            </w:pPr>
            <w:r>
              <w:rPr>
                <w:rFonts w:eastAsia="Arial Narrow" w:cs="Times New Roman"/>
                <w:color w:val="000000"/>
                <w:lang w:bidi="ar"/>
              </w:rPr>
              <w:t>14,052,127.79</w:t>
            </w:r>
          </w:p>
        </w:tc>
        <w:tc>
          <w:tcPr>
            <w:tcW w:w="1653" w:type="pct"/>
            <w:vAlign w:val="center"/>
          </w:tcPr>
          <w:p w14:paraId="07F79687">
            <w:pPr>
              <w:jc w:val="right"/>
              <w:textAlignment w:val="center"/>
              <w:rPr>
                <w:rFonts w:cs="Times New Roman"/>
              </w:rPr>
            </w:pPr>
            <w:r>
              <w:rPr>
                <w:rFonts w:cs="Times New Roman"/>
                <w:color w:val="000000"/>
              </w:rPr>
              <w:t>9,566,810.55</w:t>
            </w:r>
          </w:p>
        </w:tc>
      </w:tr>
      <w:tr w14:paraId="340A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4E85504A">
            <w:pPr>
              <w:textAlignment w:val="top"/>
            </w:pPr>
            <w:r>
              <w:rPr>
                <w:rFonts w:hint="eastAsia" w:ascii="宋体" w:hAnsi="宋体"/>
                <w:color w:val="000000"/>
                <w:lang w:bidi="ar"/>
              </w:rPr>
              <w:t>其他</w:t>
            </w:r>
          </w:p>
        </w:tc>
        <w:tc>
          <w:tcPr>
            <w:tcW w:w="2980" w:type="dxa"/>
            <w:vAlign w:val="center"/>
          </w:tcPr>
          <w:p w14:paraId="3B52CF88">
            <w:pPr>
              <w:jc w:val="right"/>
              <w:textAlignment w:val="center"/>
              <w:rPr>
                <w:rFonts w:cs="Times New Roman"/>
              </w:rPr>
            </w:pPr>
            <w:r>
              <w:rPr>
                <w:rFonts w:eastAsia="Arial Narrow" w:cs="Times New Roman"/>
                <w:color w:val="000000"/>
                <w:lang w:bidi="ar"/>
              </w:rPr>
              <w:t>33,231,000.86</w:t>
            </w:r>
          </w:p>
        </w:tc>
        <w:tc>
          <w:tcPr>
            <w:tcW w:w="1653" w:type="pct"/>
            <w:vAlign w:val="center"/>
          </w:tcPr>
          <w:p w14:paraId="062DCEE4">
            <w:pPr>
              <w:jc w:val="right"/>
              <w:textAlignment w:val="center"/>
              <w:rPr>
                <w:rFonts w:cs="Times New Roman"/>
              </w:rPr>
            </w:pPr>
            <w:r>
              <w:rPr>
                <w:rFonts w:cs="Times New Roman"/>
                <w:color w:val="000000"/>
              </w:rPr>
              <w:t>31,208,117.79</w:t>
            </w:r>
          </w:p>
        </w:tc>
      </w:tr>
      <w:tr w14:paraId="68C5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673D5358">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2980" w:type="dxa"/>
            <w:vAlign w:val="center"/>
          </w:tcPr>
          <w:p w14:paraId="3C04DAF0">
            <w:pPr>
              <w:jc w:val="right"/>
              <w:textAlignment w:val="center"/>
              <w:rPr>
                <w:rFonts w:cs="Times New Roman"/>
              </w:rPr>
            </w:pPr>
            <w:r>
              <w:rPr>
                <w:rFonts w:eastAsia="Arial Narrow" w:cs="Times New Roman"/>
                <w:color w:val="000000"/>
                <w:lang w:bidi="ar"/>
              </w:rPr>
              <w:t>2,060,782,180.02</w:t>
            </w:r>
          </w:p>
        </w:tc>
        <w:tc>
          <w:tcPr>
            <w:tcW w:w="1653" w:type="pct"/>
            <w:vAlign w:val="center"/>
          </w:tcPr>
          <w:p w14:paraId="72E42D5B">
            <w:pPr>
              <w:jc w:val="right"/>
              <w:textAlignment w:val="center"/>
              <w:rPr>
                <w:rFonts w:cs="Times New Roman"/>
              </w:rPr>
            </w:pPr>
            <w:r>
              <w:rPr>
                <w:rFonts w:cs="Times New Roman"/>
                <w:color w:val="000000"/>
              </w:rPr>
              <w:t>2,076,673,688.91</w:t>
            </w:r>
          </w:p>
        </w:tc>
      </w:tr>
    </w:tbl>
    <w:p w14:paraId="2200BA9B">
      <w:pPr>
        <w:rPr>
          <w:color w:val="000000" w:themeColor="text1"/>
          <w14:textFill>
            <w14:solidFill>
              <w14:schemeClr w14:val="tx1"/>
            </w14:solidFill>
          </w14:textFill>
        </w:rPr>
      </w:pPr>
    </w:p>
    <w:p w14:paraId="023890E5">
      <w:pPr>
        <w:pStyle w:val="6"/>
        <w:numPr>
          <w:ilvl w:val="0"/>
          <w:numId w:val="62"/>
        </w:numPr>
      </w:pPr>
      <w:bookmarkStart w:id="252" w:name="_Hlk10469799"/>
      <w:r>
        <w:rPr>
          <w:rFonts w:hint="eastAsia"/>
        </w:rPr>
        <w:t>坏账准备计提情况</w:t>
      </w:r>
    </w:p>
    <w:sdt>
      <w:sdtPr>
        <w:rPr>
          <w:color w:val="000000" w:themeColor="text1"/>
          <w14:textFill>
            <w14:solidFill>
              <w14:schemeClr w14:val="tx1"/>
            </w14:solidFill>
          </w14:textFill>
        </w:rPr>
        <w:alias w:val="是否适用：其他应收款坏账准备调节表[双击切换]"/>
        <w:tag w:val="_GBC_29d0c5a1588a4f6589b1f8148c9ef180"/>
        <w:id w:val="-364911642"/>
      </w:sdtPr>
      <w:sdtEndPr>
        <w:rPr>
          <w:color w:val="000000" w:themeColor="text1"/>
          <w14:textFill>
            <w14:solidFill>
              <w14:schemeClr w14:val="tx1"/>
            </w14:solidFill>
          </w14:textFill>
        </w:rPr>
      </w:sdtEndPr>
      <w:sdtContent>
        <w:p w14:paraId="0DB79F6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4DDD183">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收款坏账准备调节表"/>
          <w:tag w:val="_GBC_c65b82e3cfaf4fde8d75eac8c9a6e9f9"/>
          <w:id w:val="149383900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收款坏账准备调节表"/>
          <w:tag w:val="_GBC_08cd78a434cc441cbfff10030c5a8719"/>
          <w:id w:val="145267226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7"/>
        <w:gridCol w:w="1758"/>
        <w:gridCol w:w="1624"/>
        <w:gridCol w:w="1929"/>
        <w:gridCol w:w="1721"/>
      </w:tblGrid>
      <w:tr w14:paraId="0858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df16deeb9614db49d9aa88a31229d9a"/>
            <w:id w:val="-1103413069"/>
          </w:sdtPr>
          <w:sdtContent>
            <w:tc>
              <w:tcPr>
                <w:tcW w:w="1114" w:type="pct"/>
                <w:vMerge w:val="restart"/>
                <w:vAlign w:val="center"/>
              </w:tcPr>
              <w:p w14:paraId="16299B56">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坏账准备</w:t>
                </w:r>
              </w:p>
            </w:tc>
          </w:sdtContent>
        </w:sdt>
        <w:sdt>
          <w:sdtPr>
            <w:tag w:val="_PLD_f47baed0f5d14c0486b4530b2aa1cb4c"/>
            <w:id w:val="1585637877"/>
          </w:sdtPr>
          <w:sdtContent>
            <w:tc>
              <w:tcPr>
                <w:tcW w:w="971" w:type="pct"/>
                <w:vAlign w:val="center"/>
              </w:tcPr>
              <w:p w14:paraId="1C0C676B">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第一阶段</w:t>
                </w:r>
              </w:p>
            </w:tc>
          </w:sdtContent>
        </w:sdt>
        <w:sdt>
          <w:sdtPr>
            <w:tag w:val="_PLD_a29dd4725bec4eb78b246b92252a24df"/>
            <w:id w:val="-868677993"/>
          </w:sdtPr>
          <w:sdtContent>
            <w:tc>
              <w:tcPr>
                <w:tcW w:w="897" w:type="pct"/>
                <w:vAlign w:val="center"/>
              </w:tcPr>
              <w:p w14:paraId="2870AC93">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第二阶段</w:t>
                </w:r>
              </w:p>
            </w:tc>
          </w:sdtContent>
        </w:sdt>
        <w:sdt>
          <w:sdtPr>
            <w:tag w:val="_PLD_c495a5d3c56f4cb9a0bd5cc9cc9b5410"/>
            <w:id w:val="719167721"/>
          </w:sdtPr>
          <w:sdtContent>
            <w:tc>
              <w:tcPr>
                <w:tcW w:w="1065" w:type="pct"/>
                <w:vAlign w:val="center"/>
              </w:tcPr>
              <w:p w14:paraId="2AF41D85">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第三阶段</w:t>
                </w:r>
              </w:p>
            </w:tc>
          </w:sdtContent>
        </w:sdt>
        <w:sdt>
          <w:sdtPr>
            <w:tag w:val="_PLD_0dc8bab0b7424c1295b83fcc97ca7554"/>
            <w:id w:val="1693638425"/>
          </w:sdtPr>
          <w:sdtContent>
            <w:tc>
              <w:tcPr>
                <w:tcW w:w="950" w:type="pct"/>
                <w:vMerge w:val="restart"/>
                <w:vAlign w:val="center"/>
              </w:tcPr>
              <w:p w14:paraId="5FD87F0D">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合计</w:t>
                </w:r>
              </w:p>
            </w:tc>
          </w:sdtContent>
        </w:sdt>
      </w:tr>
      <w:tr w14:paraId="7502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vMerge w:val="continue"/>
            <w:vAlign w:val="center"/>
          </w:tcPr>
          <w:p w14:paraId="3203BFD4">
            <w:pPr>
              <w:jc w:val="center"/>
              <w:rPr>
                <w:color w:val="000000" w:themeColor="text1"/>
                <w14:textFill>
                  <w14:solidFill>
                    <w14:schemeClr w14:val="tx1"/>
                  </w14:solidFill>
                </w14:textFill>
              </w:rPr>
            </w:pPr>
          </w:p>
        </w:tc>
        <w:sdt>
          <w:sdtPr>
            <w:tag w:val="_PLD_08f8b6a1fd974f0d8ae0c04f27849740"/>
            <w:id w:val="936184228"/>
          </w:sdtPr>
          <w:sdtContent>
            <w:tc>
              <w:tcPr>
                <w:tcW w:w="971" w:type="pct"/>
                <w:vAlign w:val="center"/>
              </w:tcPr>
              <w:p w14:paraId="6F230A5C">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未来12个月预期信用损失</w:t>
                </w:r>
              </w:p>
            </w:tc>
          </w:sdtContent>
        </w:sdt>
        <w:sdt>
          <w:sdtPr>
            <w:tag w:val="_PLD_c85cfe8f6d6a4ab0af13d30e76cd7800"/>
            <w:id w:val="712158072"/>
          </w:sdtPr>
          <w:sdtContent>
            <w:tc>
              <w:tcPr>
                <w:tcW w:w="897" w:type="pct"/>
                <w:vAlign w:val="center"/>
              </w:tcPr>
              <w:p w14:paraId="0843A285">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整个存续期预期信用损失(未发生信用减值)</w:t>
                </w:r>
              </w:p>
            </w:tc>
          </w:sdtContent>
        </w:sdt>
        <w:sdt>
          <w:sdtPr>
            <w:tag w:val="_PLD_2df6c7466f224906aa04a411975e6f79"/>
            <w:id w:val="-2134546678"/>
          </w:sdtPr>
          <w:sdtContent>
            <w:tc>
              <w:tcPr>
                <w:tcW w:w="1065" w:type="pct"/>
                <w:vAlign w:val="center"/>
              </w:tcPr>
              <w:p w14:paraId="52F20C81">
                <w:pPr>
                  <w:pStyle w:val="255"/>
                  <w:spacing w:after="0" w:line="240" w:lineRule="auto"/>
                  <w:jc w:val="center"/>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整个存续期预期信用损失(已发生信用减值)</w:t>
                </w:r>
              </w:p>
            </w:tc>
          </w:sdtContent>
        </w:sdt>
        <w:tc>
          <w:tcPr>
            <w:tcW w:w="950" w:type="pct"/>
            <w:vMerge w:val="continue"/>
          </w:tcPr>
          <w:p w14:paraId="5457573E">
            <w:pPr>
              <w:jc w:val="center"/>
              <w:rPr>
                <w:color w:val="000000" w:themeColor="text1"/>
                <w14:textFill>
                  <w14:solidFill>
                    <w14:schemeClr w14:val="tx1"/>
                  </w14:solidFill>
                </w14:textFill>
              </w:rPr>
            </w:pPr>
          </w:p>
        </w:tc>
      </w:tr>
      <w:tr w14:paraId="7C73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d320061b2c04b43aa4ffcb4160cc3e9"/>
            <w:id w:val="999702005"/>
          </w:sdtPr>
          <w:sdtContent>
            <w:tc>
              <w:tcPr>
                <w:tcW w:w="1114" w:type="pct"/>
                <w:vAlign w:val="center"/>
              </w:tcPr>
              <w:p w14:paraId="06AC14ED">
                <w:pPr>
                  <w:pStyle w:val="255"/>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2025年</w:t>
                </w:r>
                <w:r>
                  <w:rPr>
                    <w:rFonts w:hint="eastAsia" w:ascii="宋体" w:hAnsi="宋体" w:eastAsia="宋体" w:cs="宋体"/>
                    <w:color w:val="000000" w:themeColor="text1"/>
                    <w:sz w:val="21"/>
                    <w:szCs w:val="21"/>
                    <w:lang w:eastAsia="zh-CN"/>
                    <w14:textFill>
                      <w14:solidFill>
                        <w14:schemeClr w14:val="tx1"/>
                      </w14:solidFill>
                    </w14:textFill>
                  </w:rPr>
                  <w:t>1月1日余额</w:t>
                </w:r>
              </w:p>
            </w:tc>
          </w:sdtContent>
        </w:sdt>
        <w:tc>
          <w:tcPr>
            <w:tcW w:w="971" w:type="pct"/>
            <w:vAlign w:val="center"/>
          </w:tcPr>
          <w:p w14:paraId="6C4C8AD9">
            <w:pPr>
              <w:jc w:val="right"/>
              <w:rPr>
                <w:rFonts w:cs="Times New Roman"/>
              </w:rPr>
            </w:pPr>
            <w:r>
              <w:rPr>
                <w:rFonts w:cs="Times New Roman"/>
              </w:rPr>
              <w:t>121,704,480.11</w:t>
            </w:r>
          </w:p>
        </w:tc>
        <w:tc>
          <w:tcPr>
            <w:tcW w:w="897" w:type="pct"/>
          </w:tcPr>
          <w:p w14:paraId="00A919DD">
            <w:pPr>
              <w:jc w:val="right"/>
              <w:rPr>
                <w:rFonts w:cs="Times New Roman"/>
              </w:rPr>
            </w:pPr>
          </w:p>
        </w:tc>
        <w:tc>
          <w:tcPr>
            <w:tcW w:w="1065" w:type="pct"/>
            <w:vAlign w:val="center"/>
          </w:tcPr>
          <w:p w14:paraId="51BA1BD7">
            <w:pPr>
              <w:jc w:val="right"/>
              <w:rPr>
                <w:rFonts w:cs="Times New Roman"/>
              </w:rPr>
            </w:pPr>
            <w:r>
              <w:rPr>
                <w:rFonts w:cs="Times New Roman"/>
              </w:rPr>
              <w:t>1,362,503,906.57</w:t>
            </w:r>
          </w:p>
        </w:tc>
        <w:tc>
          <w:tcPr>
            <w:tcW w:w="950" w:type="pct"/>
            <w:vAlign w:val="center"/>
          </w:tcPr>
          <w:p w14:paraId="57BEE40B">
            <w:pPr>
              <w:jc w:val="right"/>
              <w:rPr>
                <w:rFonts w:cs="Times New Roman"/>
              </w:rPr>
            </w:pPr>
            <w:r>
              <w:rPr>
                <w:rFonts w:cs="Times New Roman"/>
              </w:rPr>
              <w:t>1,484,208,386.68</w:t>
            </w:r>
          </w:p>
        </w:tc>
      </w:tr>
      <w:tr w14:paraId="58AE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39b03f459c4452c8b986b7b696cbc3f"/>
            <w:id w:val="1090207443"/>
          </w:sdtPr>
          <w:sdtContent>
            <w:tc>
              <w:tcPr>
                <w:tcW w:w="1114" w:type="pct"/>
                <w:vAlign w:val="center"/>
              </w:tcPr>
              <w:p w14:paraId="2646A56D">
                <w:pPr>
                  <w:pStyle w:val="255"/>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sdtContent>
        </w:sdt>
        <w:tc>
          <w:tcPr>
            <w:tcW w:w="971" w:type="pct"/>
            <w:vAlign w:val="center"/>
          </w:tcPr>
          <w:p w14:paraId="4978E9E6">
            <w:pPr>
              <w:jc w:val="right"/>
              <w:rPr>
                <w:rFonts w:cs="Times New Roman"/>
              </w:rPr>
            </w:pPr>
            <w:r>
              <w:rPr>
                <w:rFonts w:cs="Times New Roman"/>
              </w:rPr>
              <w:t>-2,096,478.96</w:t>
            </w:r>
          </w:p>
        </w:tc>
        <w:tc>
          <w:tcPr>
            <w:tcW w:w="897" w:type="pct"/>
          </w:tcPr>
          <w:p w14:paraId="104FE362">
            <w:pPr>
              <w:jc w:val="right"/>
              <w:rPr>
                <w:rFonts w:cs="Times New Roman"/>
              </w:rPr>
            </w:pPr>
          </w:p>
        </w:tc>
        <w:tc>
          <w:tcPr>
            <w:tcW w:w="1065" w:type="pct"/>
            <w:vAlign w:val="center"/>
          </w:tcPr>
          <w:p w14:paraId="52189CE1">
            <w:pPr>
              <w:jc w:val="right"/>
              <w:rPr>
                <w:rFonts w:cs="Times New Roman"/>
              </w:rPr>
            </w:pPr>
            <w:r>
              <w:rPr>
                <w:rFonts w:cs="Times New Roman"/>
              </w:rPr>
              <w:t>21,858,979.96</w:t>
            </w:r>
          </w:p>
        </w:tc>
        <w:tc>
          <w:tcPr>
            <w:tcW w:w="950" w:type="pct"/>
            <w:vAlign w:val="center"/>
          </w:tcPr>
          <w:p w14:paraId="6BC0CC31">
            <w:pPr>
              <w:jc w:val="right"/>
              <w:rPr>
                <w:rFonts w:cs="Times New Roman"/>
              </w:rPr>
            </w:pPr>
            <w:r>
              <w:rPr>
                <w:rFonts w:cs="Times New Roman"/>
              </w:rPr>
              <w:t>19,762,501.00</w:t>
            </w:r>
          </w:p>
        </w:tc>
      </w:tr>
      <w:tr w14:paraId="3E94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vAlign w:val="center"/>
          </w:tcPr>
          <w:sdt>
            <w:sdtPr>
              <w:tag w:val="_PLD_ddcd4306bc5c4cc89da3fd6a733c0801"/>
              <w:id w:val="-2133849423"/>
            </w:sdtPr>
            <w:sdtContent>
              <w:p w14:paraId="3E052D2C">
                <w:pPr>
                  <w:pStyle w:val="255"/>
                  <w:spacing w:after="0" w:line="240" w:lineRule="auto"/>
                  <w:jc w:val="both"/>
                  <w:rPr>
                    <w:rFonts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本期转回</w:t>
                </w:r>
              </w:p>
            </w:sdtContent>
          </w:sdt>
        </w:tc>
        <w:tc>
          <w:tcPr>
            <w:tcW w:w="971" w:type="pct"/>
          </w:tcPr>
          <w:p w14:paraId="54BB15F0">
            <w:pPr>
              <w:jc w:val="right"/>
              <w:rPr>
                <w:rFonts w:cs="Times New Roman"/>
              </w:rPr>
            </w:pPr>
          </w:p>
        </w:tc>
        <w:tc>
          <w:tcPr>
            <w:tcW w:w="897" w:type="pct"/>
          </w:tcPr>
          <w:p w14:paraId="28CBE42E">
            <w:pPr>
              <w:jc w:val="right"/>
              <w:rPr>
                <w:rFonts w:cs="Times New Roman"/>
              </w:rPr>
            </w:pPr>
          </w:p>
        </w:tc>
        <w:tc>
          <w:tcPr>
            <w:tcW w:w="1065" w:type="pct"/>
            <w:vAlign w:val="center"/>
          </w:tcPr>
          <w:p w14:paraId="14E0DCA1">
            <w:pPr>
              <w:jc w:val="right"/>
              <w:textAlignment w:val="center"/>
              <w:rPr>
                <w:rFonts w:cs="Times New Roman"/>
              </w:rPr>
            </w:pPr>
            <w:r>
              <w:rPr>
                <w:rFonts w:eastAsia="Arial Narrow" w:cs="Times New Roman"/>
                <w:color w:val="000000"/>
                <w:lang w:bidi="ar"/>
              </w:rPr>
              <w:t>100,000.00</w:t>
            </w:r>
          </w:p>
        </w:tc>
        <w:tc>
          <w:tcPr>
            <w:tcW w:w="950" w:type="pct"/>
            <w:vAlign w:val="center"/>
          </w:tcPr>
          <w:p w14:paraId="7EE3F0BB">
            <w:pPr>
              <w:jc w:val="right"/>
              <w:textAlignment w:val="center"/>
              <w:rPr>
                <w:rFonts w:cs="Times New Roman"/>
              </w:rPr>
            </w:pPr>
            <w:r>
              <w:rPr>
                <w:rFonts w:eastAsia="Arial Narrow" w:cs="Times New Roman"/>
                <w:color w:val="000000"/>
                <w:lang w:bidi="ar"/>
              </w:rPr>
              <w:t>100,000.00</w:t>
            </w:r>
          </w:p>
        </w:tc>
      </w:tr>
      <w:tr w14:paraId="0DED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0203c10cb0c468dbd7a48669ddd0f63"/>
            <w:id w:val="2071301093"/>
          </w:sdtPr>
          <w:sdtContent>
            <w:tc>
              <w:tcPr>
                <w:tcW w:w="1114" w:type="pct"/>
                <w:vAlign w:val="center"/>
              </w:tcPr>
              <w:p w14:paraId="2F1F29EE">
                <w:pPr>
                  <w:pStyle w:val="255"/>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其他变动</w:t>
                </w:r>
              </w:p>
            </w:tc>
          </w:sdtContent>
        </w:sdt>
        <w:tc>
          <w:tcPr>
            <w:tcW w:w="971" w:type="pct"/>
            <w:vAlign w:val="center"/>
          </w:tcPr>
          <w:p w14:paraId="1E45098B">
            <w:pPr>
              <w:jc w:val="right"/>
              <w:rPr>
                <w:rFonts w:cs="Times New Roman"/>
              </w:rPr>
            </w:pPr>
            <w:r>
              <w:rPr>
                <w:rFonts w:cs="Times New Roman"/>
              </w:rPr>
              <w:t>-576,011.56</w:t>
            </w:r>
          </w:p>
        </w:tc>
        <w:tc>
          <w:tcPr>
            <w:tcW w:w="897" w:type="pct"/>
          </w:tcPr>
          <w:p w14:paraId="39E7DF87">
            <w:pPr>
              <w:jc w:val="right"/>
              <w:rPr>
                <w:rFonts w:cs="Times New Roman"/>
              </w:rPr>
            </w:pPr>
          </w:p>
        </w:tc>
        <w:tc>
          <w:tcPr>
            <w:tcW w:w="1065" w:type="pct"/>
            <w:vAlign w:val="center"/>
          </w:tcPr>
          <w:p w14:paraId="70BE1765">
            <w:pPr>
              <w:jc w:val="right"/>
              <w:rPr>
                <w:rFonts w:cs="Times New Roman"/>
              </w:rPr>
            </w:pPr>
            <w:r>
              <w:rPr>
                <w:rFonts w:cs="Times New Roman"/>
              </w:rPr>
              <w:t>-62,640,045.78</w:t>
            </w:r>
          </w:p>
        </w:tc>
        <w:tc>
          <w:tcPr>
            <w:tcW w:w="950" w:type="pct"/>
            <w:vAlign w:val="center"/>
          </w:tcPr>
          <w:p w14:paraId="2D251B72">
            <w:pPr>
              <w:jc w:val="right"/>
              <w:rPr>
                <w:rFonts w:cs="Times New Roman"/>
              </w:rPr>
            </w:pPr>
            <w:r>
              <w:rPr>
                <w:rFonts w:cs="Times New Roman"/>
              </w:rPr>
              <w:t>-63,216,057.34</w:t>
            </w:r>
          </w:p>
        </w:tc>
      </w:tr>
      <w:tr w14:paraId="12BE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b669c94f1734a70be90735195c143c3"/>
            <w:id w:val="851994222"/>
          </w:sdtPr>
          <w:sdtContent>
            <w:tc>
              <w:tcPr>
                <w:tcW w:w="1114" w:type="pct"/>
                <w:vAlign w:val="center"/>
              </w:tcPr>
              <w:p w14:paraId="7FF6150C">
                <w:pPr>
                  <w:pStyle w:val="255"/>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2025年6月30日</w:t>
                </w:r>
                <w:r>
                  <w:rPr>
                    <w:rFonts w:hint="eastAsia" w:ascii="宋体" w:hAnsi="宋体" w:eastAsia="宋体" w:cs="宋体"/>
                    <w:color w:val="000000" w:themeColor="text1"/>
                    <w:sz w:val="21"/>
                    <w:szCs w:val="21"/>
                    <w:lang w:eastAsia="zh-CN"/>
                    <w14:textFill>
                      <w14:solidFill>
                        <w14:schemeClr w14:val="tx1"/>
                      </w14:solidFill>
                    </w14:textFill>
                  </w:rPr>
                  <w:t>余额</w:t>
                </w:r>
              </w:p>
            </w:tc>
          </w:sdtContent>
        </w:sdt>
        <w:tc>
          <w:tcPr>
            <w:tcW w:w="971" w:type="pct"/>
            <w:vAlign w:val="center"/>
          </w:tcPr>
          <w:p w14:paraId="3024E823">
            <w:pPr>
              <w:jc w:val="right"/>
              <w:rPr>
                <w:rFonts w:cs="Times New Roman"/>
              </w:rPr>
            </w:pPr>
            <w:r>
              <w:rPr>
                <w:rFonts w:cs="Times New Roman"/>
              </w:rPr>
              <w:t>119,031,989.59</w:t>
            </w:r>
          </w:p>
        </w:tc>
        <w:tc>
          <w:tcPr>
            <w:tcW w:w="897" w:type="pct"/>
          </w:tcPr>
          <w:p w14:paraId="34D6D5EB">
            <w:pPr>
              <w:jc w:val="right"/>
              <w:rPr>
                <w:rFonts w:cs="Times New Roman"/>
              </w:rPr>
            </w:pPr>
          </w:p>
        </w:tc>
        <w:tc>
          <w:tcPr>
            <w:tcW w:w="1065" w:type="pct"/>
            <w:vAlign w:val="center"/>
          </w:tcPr>
          <w:p w14:paraId="247F79F9">
            <w:pPr>
              <w:jc w:val="right"/>
              <w:rPr>
                <w:rFonts w:cs="Times New Roman"/>
              </w:rPr>
            </w:pPr>
            <w:r>
              <w:rPr>
                <w:rFonts w:cs="Times New Roman"/>
              </w:rPr>
              <w:t>1,321,622,840.75</w:t>
            </w:r>
          </w:p>
        </w:tc>
        <w:tc>
          <w:tcPr>
            <w:tcW w:w="950" w:type="pct"/>
            <w:vAlign w:val="center"/>
          </w:tcPr>
          <w:p w14:paraId="769A9FC2">
            <w:pPr>
              <w:jc w:val="right"/>
              <w:rPr>
                <w:rFonts w:cs="Times New Roman"/>
              </w:rPr>
            </w:pPr>
            <w:r>
              <w:rPr>
                <w:rFonts w:cs="Times New Roman"/>
              </w:rPr>
              <w:t>1,440,654,830.34</w:t>
            </w:r>
          </w:p>
        </w:tc>
      </w:tr>
    </w:tbl>
    <w:p w14:paraId="1DAE28E0">
      <w:pPr>
        <w:autoSpaceDE w:val="0"/>
        <w:autoSpaceDN w:val="0"/>
        <w:adjustRightInd w:val="0"/>
        <w:ind w:right="105" w:rightChars="50"/>
        <w:rPr>
          <w:color w:val="000000" w:themeColor="text1"/>
          <w14:textFill>
            <w14:solidFill>
              <w14:schemeClr w14:val="tx1"/>
            </w14:solidFill>
          </w14:textFill>
        </w:rPr>
      </w:pPr>
    </w:p>
    <w:p w14:paraId="3761C1AE">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其他应收款各阶段划分依据和坏账准备计提比例"/>
        <w:tag w:val="_GBC_db1ccc25244541ad82774f0488b4825b"/>
        <w:id w:val="-429203256"/>
      </w:sdtPr>
      <w:sdtEndPr>
        <w:rPr>
          <w:rFonts w:cs="Times New Roman"/>
          <w:bCs w:val="0"/>
          <w:color w:val="000000" w:themeColor="text1"/>
          <w:szCs w:val="22"/>
          <w14:textFill>
            <w14:solidFill>
              <w14:schemeClr w14:val="tx1"/>
            </w14:solidFill>
          </w14:textFill>
        </w:rPr>
      </w:sdtEndPr>
      <w:sdtContent>
        <w:p w14:paraId="5A7662D9">
          <w:pPr>
            <w:rPr>
              <w:rFonts w:cs="Times New Roman"/>
              <w:bCs w:val="0"/>
              <w:color w:val="000000" w:themeColor="text1"/>
              <w:szCs w:val="22"/>
              <w14:textFill>
                <w14:solidFill>
                  <w14:schemeClr w14:val="tx1"/>
                </w14:solidFill>
              </w14:textFill>
            </w:rPr>
          </w:pPr>
          <w:r>
            <w:rPr>
              <w:rFonts w:cs="Times New Roman"/>
              <w:bCs w:val="0"/>
              <w:color w:val="000000" w:themeColor="text1"/>
              <w:szCs w:val="22"/>
              <w14:textFill>
                <w14:solidFill>
                  <w14:schemeClr w14:val="tx1"/>
                </w14:solidFill>
              </w14:textFill>
            </w:rPr>
            <w:t>无</w:t>
          </w:r>
        </w:p>
      </w:sdtContent>
    </w:sdt>
    <w:p w14:paraId="6AA510A5">
      <w:pPr>
        <w:rPr>
          <w:color w:val="000000" w:themeColor="text1"/>
          <w14:textFill>
            <w14:solidFill>
              <w14:schemeClr w14:val="tx1"/>
            </w14:solidFill>
          </w14:textFill>
        </w:rPr>
      </w:pPr>
    </w:p>
    <w:p w14:paraId="75FC33B9">
      <w:pPr>
        <w:pStyle w:val="239"/>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对本期发生损失准备变动的其他应收款账面余额显著变动的情况说明：</w:t>
      </w:r>
    </w:p>
    <w:sdt>
      <w:sdtPr>
        <w:rPr>
          <w:color w:val="000000" w:themeColor="text1"/>
          <w14:textFill>
            <w14:solidFill>
              <w14:schemeClr w14:val="tx1"/>
            </w14:solidFill>
          </w14:textFill>
        </w:rPr>
        <w:alias w:val="是否适用：其他应收款本期发生损失准备变动且账面余额显著变动的情况说明[双击切换]"/>
        <w:tag w:val="_GBC_32e9d68fc5194869baa30fe15720ff13"/>
        <w:id w:val="-1232917508"/>
      </w:sdtPr>
      <w:sdtEndPr>
        <w:rPr>
          <w:color w:val="000000" w:themeColor="text1"/>
          <w14:textFill>
            <w14:solidFill>
              <w14:schemeClr w14:val="tx1"/>
            </w14:solidFill>
          </w14:textFill>
        </w:rPr>
      </w:sdtEndPr>
      <w:sdtContent>
        <w:p w14:paraId="66BE573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571333B3">
      <w:pPr>
        <w:rPr>
          <w:color w:val="000000" w:themeColor="text1"/>
          <w14:textFill>
            <w14:solidFill>
              <w14:schemeClr w14:val="tx1"/>
            </w14:solidFill>
          </w14:textFill>
        </w:rPr>
      </w:pPr>
    </w:p>
    <w:p w14:paraId="3F38C044">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其他应收款本期坏账准备计提金额以及评估金融工具的信用风险显著增加的采用依据[双击切换]"/>
        <w:tag w:val="_GBC_dde26fcf385445edb7b0e96dab2a2b3e"/>
        <w:id w:val="-1200312088"/>
      </w:sdtPr>
      <w:sdtEndPr>
        <w:rPr>
          <w:color w:val="000000" w:themeColor="text1"/>
          <w14:textFill>
            <w14:solidFill>
              <w14:schemeClr w14:val="tx1"/>
            </w14:solidFill>
          </w14:textFill>
        </w:rPr>
      </w:sdtEndPr>
      <w:sdtContent>
        <w:p w14:paraId="3405AF9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55E8546D">
      <w:pPr>
        <w:rPr>
          <w:color w:val="000000" w:themeColor="text1"/>
          <w14:textFill>
            <w14:solidFill>
              <w14:schemeClr w14:val="tx1"/>
            </w14:solidFill>
          </w14:textFill>
        </w:rPr>
      </w:pPr>
    </w:p>
    <w:bookmarkEnd w:id="252"/>
    <w:p w14:paraId="074EC318">
      <w:pPr>
        <w:pStyle w:val="6"/>
        <w:numPr>
          <w:ilvl w:val="0"/>
          <w:numId w:val="62"/>
        </w:numPr>
      </w:pPr>
      <w:bookmarkStart w:id="253" w:name="_Hlk10469877"/>
      <w:r>
        <w:rPr>
          <w:rFonts w:hint="eastAsia"/>
        </w:rPr>
        <w:t>坏账准备的情况</w:t>
      </w:r>
    </w:p>
    <w:sdt>
      <w:sdtPr>
        <w:rPr>
          <w:color w:val="000000" w:themeColor="text1"/>
          <w14:textFill>
            <w14:solidFill>
              <w14:schemeClr w14:val="tx1"/>
            </w14:solidFill>
          </w14:textFill>
        </w:rPr>
        <w:alias w:val="是否适用：其他应收款坏账准备[双击切换]"/>
        <w:tag w:val="_GBC_b3f4f88802a54b1da539ba2563000c5c"/>
        <w:id w:val="147480733"/>
        <w:placeholder>
          <w:docPart w:val="GBC22222222222222222222222222222"/>
        </w:placeholder>
      </w:sdtPr>
      <w:sdtEndPr>
        <w:rPr>
          <w:color w:val="000000" w:themeColor="text1"/>
          <w14:textFill>
            <w14:solidFill>
              <w14:schemeClr w14:val="tx1"/>
            </w14:solidFill>
          </w14:textFill>
        </w:rPr>
      </w:sdtEndPr>
      <w:sdtContent>
        <w:p w14:paraId="0D48310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28280D">
      <w:pPr>
        <w:pStyle w:val="63"/>
        <w:snapToGrid w:val="0"/>
        <w:spacing w:line="240" w:lineRule="atLeast"/>
        <w:ind w:left="42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其他应收款坏账准备"/>
          <w:tag w:val="_GBC_1cb0ccc9627340bb9775e68ec1d11af7"/>
          <w:id w:val="1474693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其他应收款坏账准备"/>
          <w:tag w:val="_GBC_14d59c8ccaef434da24604201125f1f0"/>
          <w:id w:val="1474670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279"/>
        <w:gridCol w:w="1609"/>
        <w:gridCol w:w="1364"/>
        <w:gridCol w:w="1118"/>
        <w:gridCol w:w="719"/>
        <w:gridCol w:w="1364"/>
        <w:gridCol w:w="1606"/>
      </w:tblGrid>
      <w:tr w14:paraId="4399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31bfbbc8809c484e8788c004875b73f7"/>
            <w:id w:val="147481379"/>
          </w:sdtPr>
          <w:sdtContent>
            <w:tc>
              <w:tcPr>
                <w:tcW w:w="706" w:type="pct"/>
                <w:vMerge w:val="restart"/>
                <w:shd w:val="clear" w:color="auto" w:fill="auto"/>
                <w:vAlign w:val="center"/>
              </w:tcPr>
              <w:p w14:paraId="236EF81A">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8a84de1ffd5c434f9fdf644972838511"/>
            <w:id w:val="147476341"/>
          </w:sdtPr>
          <w:sdtContent>
            <w:tc>
              <w:tcPr>
                <w:tcW w:w="888" w:type="pct"/>
                <w:vMerge w:val="restart"/>
                <w:shd w:val="clear" w:color="auto" w:fill="auto"/>
                <w:vAlign w:val="center"/>
              </w:tcPr>
              <w:p w14:paraId="4CC0F36C">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98e8a6b913f14f6ca45be028ca7fe9b3"/>
            <w:id w:val="147475876"/>
          </w:sdtPr>
          <w:sdtContent>
            <w:tc>
              <w:tcPr>
                <w:tcW w:w="2518" w:type="pct"/>
                <w:gridSpan w:val="4"/>
                <w:shd w:val="clear" w:color="auto" w:fill="auto"/>
                <w:vAlign w:val="center"/>
              </w:tcPr>
              <w:p w14:paraId="59095ADF">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79cbcdb53d6946aa8890a6614ae8fa7c"/>
            <w:id w:val="147474617"/>
          </w:sdtPr>
          <w:sdtContent>
            <w:tc>
              <w:tcPr>
                <w:tcW w:w="888" w:type="pct"/>
                <w:vMerge w:val="restart"/>
                <w:shd w:val="clear" w:color="auto" w:fill="auto"/>
                <w:vAlign w:val="center"/>
              </w:tcPr>
              <w:p w14:paraId="1A62557F">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4D36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06" w:type="pct"/>
            <w:vMerge w:val="continue"/>
            <w:shd w:val="clear" w:color="auto" w:fill="FFFFFF"/>
          </w:tcPr>
          <w:p w14:paraId="54557893">
            <w:pPr>
              <w:widowControl w:val="0"/>
              <w:jc w:val="center"/>
              <w:rPr>
                <w:color w:val="000000" w:themeColor="text1"/>
                <w14:textFill>
                  <w14:solidFill>
                    <w14:schemeClr w14:val="tx1"/>
                  </w14:solidFill>
                </w14:textFill>
              </w:rPr>
            </w:pPr>
          </w:p>
        </w:tc>
        <w:tc>
          <w:tcPr>
            <w:tcW w:w="888" w:type="pct"/>
            <w:vMerge w:val="continue"/>
            <w:shd w:val="clear" w:color="auto" w:fill="FFFFFF"/>
          </w:tcPr>
          <w:p w14:paraId="214352FD">
            <w:pPr>
              <w:widowControl w:val="0"/>
              <w:jc w:val="center"/>
              <w:rPr>
                <w:color w:val="000000" w:themeColor="text1"/>
                <w14:textFill>
                  <w14:solidFill>
                    <w14:schemeClr w14:val="tx1"/>
                  </w14:solidFill>
                </w14:textFill>
              </w:rPr>
            </w:pPr>
          </w:p>
        </w:tc>
        <w:sdt>
          <w:sdtPr>
            <w:tag w:val="_PLD_e690235010e24ffc8796adbde1bb559c"/>
            <w:id w:val="147454305"/>
          </w:sdtPr>
          <w:sdtContent>
            <w:tc>
              <w:tcPr>
                <w:tcW w:w="753" w:type="pct"/>
                <w:shd w:val="clear" w:color="auto" w:fill="auto"/>
                <w:vAlign w:val="center"/>
              </w:tcPr>
              <w:p w14:paraId="3CBC4E38">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d059ae406aed4a3a8f46c2d712ef508e"/>
            <w:id w:val="147470655"/>
          </w:sdtPr>
          <w:sdtContent>
            <w:tc>
              <w:tcPr>
                <w:tcW w:w="617" w:type="pct"/>
                <w:shd w:val="clear" w:color="auto" w:fill="auto"/>
                <w:vAlign w:val="center"/>
              </w:tcPr>
              <w:p w14:paraId="325E59A0">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w:t>
                </w:r>
              </w:p>
              <w:p w14:paraId="6A7F37D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转回</w:t>
                </w:r>
              </w:p>
            </w:tc>
          </w:sdtContent>
        </w:sdt>
        <w:sdt>
          <w:sdtPr>
            <w:tag w:val="_PLD_da780fd6da3646febcd85bf9dbd8b64e"/>
            <w:id w:val="147463540"/>
          </w:sdtPr>
          <w:sdtContent>
            <w:tc>
              <w:tcPr>
                <w:tcW w:w="397" w:type="pct"/>
                <w:shd w:val="clear" w:color="auto" w:fill="auto"/>
                <w:vAlign w:val="center"/>
              </w:tcPr>
              <w:p w14:paraId="58E95718">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tc>
          </w:sdtContent>
        </w:sdt>
        <w:tc>
          <w:tcPr>
            <w:tcW w:w="753" w:type="pct"/>
            <w:shd w:val="clear" w:color="auto" w:fill="auto"/>
            <w:vAlign w:val="center"/>
          </w:tcPr>
          <w:sdt>
            <w:sdtPr>
              <w:tag w:val="_PLD_d6a9b9888c1a49429189a2a72159c309"/>
              <w:id w:val="147454331"/>
            </w:sdtPr>
            <w:sdtContent>
              <w:p w14:paraId="7EF1B7A1">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888" w:type="pct"/>
            <w:vMerge w:val="continue"/>
            <w:shd w:val="clear" w:color="auto" w:fill="FFFFFF"/>
          </w:tcPr>
          <w:p w14:paraId="555FC6A9">
            <w:pPr>
              <w:widowControl w:val="0"/>
              <w:jc w:val="right"/>
              <w:rPr>
                <w:color w:val="000000" w:themeColor="text1"/>
                <w14:textFill>
                  <w14:solidFill>
                    <w14:schemeClr w14:val="tx1"/>
                  </w14:solidFill>
                </w14:textFill>
              </w:rPr>
            </w:pPr>
          </w:p>
        </w:tc>
      </w:tr>
      <w:tr w14:paraId="2C0A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06" w:type="pct"/>
          </w:tcPr>
          <w:p w14:paraId="3127A99F">
            <w:pPr>
              <w:jc w:val="center"/>
              <w:textAlignment w:val="top"/>
            </w:pPr>
            <w:r>
              <w:rPr>
                <w:rFonts w:cs="Times New Roman"/>
                <w:color w:val="000000"/>
                <w:lang w:bidi="ar"/>
              </w:rPr>
              <w:t>坏账准备</w:t>
            </w:r>
          </w:p>
        </w:tc>
        <w:tc>
          <w:tcPr>
            <w:tcW w:w="1605" w:type="dxa"/>
            <w:vAlign w:val="center"/>
          </w:tcPr>
          <w:p w14:paraId="4278243D">
            <w:pPr>
              <w:jc w:val="right"/>
              <w:textAlignment w:val="center"/>
              <w:rPr>
                <w:rFonts w:cs="Times New Roman"/>
                <w:sz w:val="18"/>
                <w:szCs w:val="18"/>
              </w:rPr>
            </w:pPr>
            <w:r>
              <w:rPr>
                <w:rFonts w:eastAsia="Arial Narrow" w:cs="Times New Roman"/>
                <w:color w:val="000000"/>
                <w:sz w:val="18"/>
                <w:szCs w:val="18"/>
                <w:lang w:bidi="ar"/>
              </w:rPr>
              <w:t>1,484,208,386.68</w:t>
            </w:r>
          </w:p>
        </w:tc>
        <w:tc>
          <w:tcPr>
            <w:tcW w:w="1360" w:type="dxa"/>
            <w:vAlign w:val="center"/>
          </w:tcPr>
          <w:p w14:paraId="705F52EF">
            <w:pPr>
              <w:jc w:val="right"/>
              <w:textAlignment w:val="center"/>
              <w:rPr>
                <w:rFonts w:cs="Times New Roman"/>
                <w:sz w:val="18"/>
                <w:szCs w:val="18"/>
              </w:rPr>
            </w:pPr>
            <w:r>
              <w:rPr>
                <w:rFonts w:eastAsia="Arial Narrow" w:cs="Times New Roman"/>
                <w:color w:val="000000"/>
                <w:sz w:val="18"/>
                <w:szCs w:val="18"/>
                <w:lang w:bidi="ar"/>
              </w:rPr>
              <w:t>19,762,501.00</w:t>
            </w:r>
          </w:p>
        </w:tc>
        <w:tc>
          <w:tcPr>
            <w:tcW w:w="1115" w:type="dxa"/>
            <w:vAlign w:val="center"/>
          </w:tcPr>
          <w:p w14:paraId="59CC245D">
            <w:pPr>
              <w:jc w:val="right"/>
              <w:textAlignment w:val="center"/>
              <w:rPr>
                <w:rFonts w:cs="Times New Roman"/>
                <w:sz w:val="18"/>
                <w:szCs w:val="18"/>
              </w:rPr>
            </w:pPr>
            <w:r>
              <w:rPr>
                <w:rFonts w:eastAsia="Arial Narrow" w:cs="Times New Roman"/>
                <w:color w:val="000000"/>
                <w:sz w:val="18"/>
                <w:szCs w:val="18"/>
                <w:lang w:bidi="ar"/>
              </w:rPr>
              <w:t>100,000.00</w:t>
            </w:r>
          </w:p>
        </w:tc>
        <w:tc>
          <w:tcPr>
            <w:tcW w:w="716" w:type="dxa"/>
            <w:vAlign w:val="center"/>
          </w:tcPr>
          <w:p w14:paraId="32065495">
            <w:pPr>
              <w:jc w:val="right"/>
              <w:rPr>
                <w:rFonts w:cs="Times New Roman"/>
                <w:sz w:val="18"/>
                <w:szCs w:val="18"/>
              </w:rPr>
            </w:pPr>
          </w:p>
        </w:tc>
        <w:tc>
          <w:tcPr>
            <w:tcW w:w="1386" w:type="dxa"/>
            <w:vAlign w:val="center"/>
          </w:tcPr>
          <w:p w14:paraId="7636E7F2">
            <w:pPr>
              <w:jc w:val="right"/>
              <w:textAlignment w:val="center"/>
              <w:rPr>
                <w:rFonts w:cs="Times New Roman"/>
                <w:sz w:val="18"/>
                <w:szCs w:val="18"/>
              </w:rPr>
            </w:pPr>
            <w:r>
              <w:rPr>
                <w:rFonts w:eastAsia="Arial Narrow" w:cs="Times New Roman"/>
                <w:color w:val="000000"/>
                <w:sz w:val="18"/>
                <w:szCs w:val="18"/>
                <w:lang w:bidi="ar"/>
              </w:rPr>
              <w:t>-63,216,057.34</w:t>
            </w:r>
          </w:p>
        </w:tc>
        <w:tc>
          <w:tcPr>
            <w:tcW w:w="1602" w:type="dxa"/>
            <w:vAlign w:val="center"/>
          </w:tcPr>
          <w:p w14:paraId="3470FC6F">
            <w:pPr>
              <w:jc w:val="right"/>
              <w:textAlignment w:val="center"/>
              <w:rPr>
                <w:rFonts w:cs="Times New Roman"/>
                <w:sz w:val="18"/>
                <w:szCs w:val="18"/>
              </w:rPr>
            </w:pPr>
            <w:r>
              <w:rPr>
                <w:rFonts w:eastAsia="Arial Narrow" w:cs="Times New Roman"/>
                <w:color w:val="000000"/>
                <w:sz w:val="18"/>
                <w:szCs w:val="18"/>
                <w:lang w:bidi="ar"/>
              </w:rPr>
              <w:t>1,440,654,830.34</w:t>
            </w:r>
          </w:p>
        </w:tc>
      </w:tr>
      <w:tr w14:paraId="4ACD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06" w:type="pct"/>
          </w:tcPr>
          <w:p w14:paraId="1743D56E">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05" w:type="dxa"/>
            <w:vAlign w:val="center"/>
          </w:tcPr>
          <w:p w14:paraId="69E22D54">
            <w:pPr>
              <w:jc w:val="right"/>
              <w:textAlignment w:val="center"/>
              <w:rPr>
                <w:rFonts w:cs="Times New Roman"/>
                <w:sz w:val="18"/>
                <w:szCs w:val="18"/>
              </w:rPr>
            </w:pPr>
            <w:r>
              <w:rPr>
                <w:rFonts w:eastAsia="Arial Narrow" w:cs="Times New Roman"/>
                <w:color w:val="000000"/>
                <w:sz w:val="18"/>
                <w:szCs w:val="18"/>
                <w:lang w:bidi="ar"/>
              </w:rPr>
              <w:t>1,484,208,386.68</w:t>
            </w:r>
          </w:p>
        </w:tc>
        <w:tc>
          <w:tcPr>
            <w:tcW w:w="1360" w:type="dxa"/>
            <w:vAlign w:val="center"/>
          </w:tcPr>
          <w:p w14:paraId="385669A3">
            <w:pPr>
              <w:jc w:val="right"/>
              <w:textAlignment w:val="center"/>
              <w:rPr>
                <w:rFonts w:cs="Times New Roman"/>
                <w:sz w:val="18"/>
                <w:szCs w:val="18"/>
              </w:rPr>
            </w:pPr>
            <w:r>
              <w:rPr>
                <w:rFonts w:eastAsia="Arial Narrow" w:cs="Times New Roman"/>
                <w:color w:val="000000"/>
                <w:sz w:val="18"/>
                <w:szCs w:val="18"/>
                <w:lang w:bidi="ar"/>
              </w:rPr>
              <w:t>19,762,501.00</w:t>
            </w:r>
          </w:p>
        </w:tc>
        <w:tc>
          <w:tcPr>
            <w:tcW w:w="1115" w:type="dxa"/>
            <w:vAlign w:val="center"/>
          </w:tcPr>
          <w:p w14:paraId="5FE0242B">
            <w:pPr>
              <w:jc w:val="right"/>
              <w:textAlignment w:val="center"/>
              <w:rPr>
                <w:rFonts w:cs="Times New Roman"/>
                <w:sz w:val="18"/>
                <w:szCs w:val="18"/>
              </w:rPr>
            </w:pPr>
            <w:r>
              <w:rPr>
                <w:rFonts w:eastAsia="Arial Narrow" w:cs="Times New Roman"/>
                <w:color w:val="000000"/>
                <w:sz w:val="18"/>
                <w:szCs w:val="18"/>
                <w:lang w:bidi="ar"/>
              </w:rPr>
              <w:t>100,000.00</w:t>
            </w:r>
          </w:p>
        </w:tc>
        <w:tc>
          <w:tcPr>
            <w:tcW w:w="716" w:type="dxa"/>
            <w:vAlign w:val="center"/>
          </w:tcPr>
          <w:p w14:paraId="5C60C1E7">
            <w:pPr>
              <w:jc w:val="right"/>
              <w:rPr>
                <w:rFonts w:cs="Times New Roman"/>
                <w:sz w:val="18"/>
                <w:szCs w:val="18"/>
              </w:rPr>
            </w:pPr>
          </w:p>
        </w:tc>
        <w:tc>
          <w:tcPr>
            <w:tcW w:w="1386" w:type="dxa"/>
            <w:vAlign w:val="center"/>
          </w:tcPr>
          <w:p w14:paraId="7A425CBF">
            <w:pPr>
              <w:jc w:val="right"/>
              <w:textAlignment w:val="center"/>
              <w:rPr>
                <w:rFonts w:cs="Times New Roman"/>
                <w:sz w:val="18"/>
                <w:szCs w:val="18"/>
              </w:rPr>
            </w:pPr>
            <w:r>
              <w:rPr>
                <w:rFonts w:eastAsia="Arial Narrow" w:cs="Times New Roman"/>
                <w:color w:val="000000"/>
                <w:sz w:val="18"/>
                <w:szCs w:val="18"/>
                <w:lang w:bidi="ar"/>
              </w:rPr>
              <w:t>-63,216,057.34</w:t>
            </w:r>
          </w:p>
        </w:tc>
        <w:tc>
          <w:tcPr>
            <w:tcW w:w="1602" w:type="dxa"/>
            <w:vAlign w:val="center"/>
          </w:tcPr>
          <w:p w14:paraId="49F8A7A8">
            <w:pPr>
              <w:jc w:val="right"/>
              <w:textAlignment w:val="center"/>
              <w:rPr>
                <w:rFonts w:cs="Times New Roman"/>
                <w:sz w:val="18"/>
                <w:szCs w:val="18"/>
              </w:rPr>
            </w:pPr>
            <w:r>
              <w:rPr>
                <w:rFonts w:eastAsia="Arial Narrow" w:cs="Times New Roman"/>
                <w:color w:val="000000"/>
                <w:sz w:val="18"/>
                <w:szCs w:val="18"/>
                <w:lang w:bidi="ar"/>
              </w:rPr>
              <w:t>1,440,654,830.34</w:t>
            </w:r>
          </w:p>
        </w:tc>
      </w:tr>
    </w:tbl>
    <w:p w14:paraId="702909D3">
      <w:pPr>
        <w:rPr>
          <w:color w:val="000000" w:themeColor="text1"/>
          <w14:textFill>
            <w14:solidFill>
              <w14:schemeClr w14:val="tx1"/>
            </w14:solidFill>
          </w14:textFill>
        </w:rPr>
      </w:pPr>
    </w:p>
    <w:p w14:paraId="4A22D88D">
      <w:pPr>
        <w:rPr>
          <w:color w:val="000000" w:themeColor="text1"/>
          <w14:textFill>
            <w14:solidFill>
              <w14:schemeClr w14:val="tx1"/>
            </w14:solidFill>
          </w14:textFill>
        </w:rPr>
      </w:pPr>
      <w:bookmarkStart w:id="254" w:name="_Hlk167890685"/>
      <w:bookmarkStart w:id="255" w:name="_Hlk154157836"/>
      <w:r>
        <w:rPr>
          <w:rFonts w:hint="eastAsia"/>
          <w:color w:val="000000" w:themeColor="text1"/>
          <w14:textFill>
            <w14:solidFill>
              <w14:schemeClr w14:val="tx1"/>
            </w14:solidFill>
          </w14:textFill>
        </w:rPr>
        <w:t>其中本期坏账准备转回或收回金额重要的：</w:t>
      </w:r>
    </w:p>
    <w:sdt>
      <w:sdtPr>
        <w:rPr>
          <w:color w:val="000000" w:themeColor="text1"/>
          <w14:textFill>
            <w14:solidFill>
              <w14:schemeClr w14:val="tx1"/>
            </w14:solidFill>
          </w14:textFill>
        </w:rPr>
        <w:alias w:val="是否适用：其中本期其他应收账款坏账准备收回或转回金额重要的[双击切换]"/>
        <w:tag w:val="_GBC_eff381ff9a444ac19dde18c443ef3ff1"/>
        <w:id w:val="147468099"/>
        <w:placeholder>
          <w:docPart w:val="GBC22222222222222222222222222222"/>
        </w:placeholder>
      </w:sdtPr>
      <w:sdtEndPr>
        <w:rPr>
          <w:color w:val="000000" w:themeColor="text1"/>
          <w14:textFill>
            <w14:solidFill>
              <w14:schemeClr w14:val="tx1"/>
            </w14:solidFill>
          </w14:textFill>
        </w:rPr>
      </w:sdtEndPr>
      <w:sdtContent>
        <w:p w14:paraId="08BB716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7E800DC">
      <w:pPr>
        <w:rPr>
          <w:color w:val="000000" w:themeColor="text1"/>
          <w14:textFill>
            <w14:solidFill>
              <w14:schemeClr w14:val="tx1"/>
            </w14:solidFill>
          </w14:textFill>
        </w:rPr>
      </w:pPr>
    </w:p>
    <w:p w14:paraId="77749A9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其他应收款坏账准备情况的说明"/>
        <w:tag w:val="_GBC_11748f5205eb4dda805c8e59fe7ff0df"/>
        <w:id w:val="147473637"/>
        <w:placeholder>
          <w:docPart w:val="GBC22222222222222222222222222222"/>
        </w:placeholder>
      </w:sdtPr>
      <w:sdtEndPr>
        <w:rPr>
          <w:color w:val="000000" w:themeColor="text1"/>
          <w14:textFill>
            <w14:solidFill>
              <w14:schemeClr w14:val="tx1"/>
            </w14:solidFill>
          </w14:textFill>
        </w:rPr>
      </w:sdtEndPr>
      <w:sdtContent>
        <w:p w14:paraId="167C274C">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54"/>
    <w:bookmarkEnd w:id="255"/>
    <w:p w14:paraId="589A7C77">
      <w:pPr>
        <w:rPr>
          <w:color w:val="000000" w:themeColor="text1"/>
          <w14:textFill>
            <w14:solidFill>
              <w14:schemeClr w14:val="tx1"/>
            </w14:solidFill>
          </w14:textFill>
        </w:rPr>
      </w:pPr>
    </w:p>
    <w:bookmarkEnd w:id="253"/>
    <w:p w14:paraId="157FE8C1">
      <w:pPr>
        <w:pStyle w:val="6"/>
        <w:numPr>
          <w:ilvl w:val="0"/>
          <w:numId w:val="62"/>
        </w:numPr>
      </w:pPr>
      <w:r>
        <w:rPr>
          <w:rFonts w:hint="eastAsia"/>
        </w:rPr>
        <w:t>本期实际核销的其他应收款情况</w:t>
      </w:r>
    </w:p>
    <w:sdt>
      <w:sdtPr>
        <w:rPr>
          <w:color w:val="000000" w:themeColor="text1"/>
          <w14:textFill>
            <w14:solidFill>
              <w14:schemeClr w14:val="tx1"/>
            </w14:solidFill>
          </w14:textFill>
        </w:rPr>
        <w:alias w:val="是否适用：本期实际核销的其他应收款情况[双击切换]"/>
        <w:tag w:val="_GBC_99c0ad513e2447ba8b2267c169be5583"/>
        <w:id w:val="147480922"/>
        <w:placeholder>
          <w:docPart w:val="GBC22222222222222222222222222222"/>
        </w:placeholder>
      </w:sdtPr>
      <w:sdtEndPr>
        <w:rPr>
          <w:color w:val="000000" w:themeColor="text1"/>
          <w14:textFill>
            <w14:solidFill>
              <w14:schemeClr w14:val="tx1"/>
            </w14:solidFill>
          </w14:textFill>
        </w:rPr>
      </w:sdtEndPr>
      <w:sdtContent>
        <w:p w14:paraId="491030D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78CB094">
      <w:pPr>
        <w:rPr>
          <w:color w:val="000000" w:themeColor="text1"/>
          <w14:textFill>
            <w14:solidFill>
              <w14:schemeClr w14:val="tx1"/>
            </w14:solidFill>
          </w14:textFill>
        </w:rPr>
      </w:pPr>
    </w:p>
    <w:p w14:paraId="33014C26">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其中重要的其他应收款核销情况：</w:t>
      </w:r>
    </w:p>
    <w:sdt>
      <w:sdtPr>
        <w:rPr>
          <w:color w:val="000000" w:themeColor="text1"/>
          <w14:textFill>
            <w14:solidFill>
              <w14:schemeClr w14:val="tx1"/>
            </w14:solidFill>
          </w14:textFill>
        </w:rPr>
        <w:alias w:val="是否适用：其中重要的其他应收款核销情况[双击切换]"/>
        <w:tag w:val="_GBC_18f34d9f47f24d07986c3f3568dd2c70"/>
        <w:id w:val="147467514"/>
        <w:placeholder>
          <w:docPart w:val="GBC22222222222222222222222222222"/>
        </w:placeholder>
      </w:sdtPr>
      <w:sdtEndPr>
        <w:rPr>
          <w:color w:val="000000" w:themeColor="text1"/>
          <w14:textFill>
            <w14:solidFill>
              <w14:schemeClr w14:val="tx1"/>
            </w14:solidFill>
          </w14:textFill>
        </w:rPr>
      </w:sdtEndPr>
      <w:sdtContent>
        <w:p w14:paraId="3965603F">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9668A7F">
      <w:pPr>
        <w:snapToGrid w:val="0"/>
        <w:spacing w:line="240" w:lineRule="atLeast"/>
        <w:rPr>
          <w:color w:val="000000" w:themeColor="text1"/>
          <w14:textFill>
            <w14:solidFill>
              <w14:schemeClr w14:val="tx1"/>
            </w14:solidFill>
          </w14:textFill>
        </w:rPr>
      </w:pPr>
    </w:p>
    <w:p w14:paraId="467A163C">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其他应收款核销说明：</w:t>
      </w:r>
    </w:p>
    <w:sdt>
      <w:sdtPr>
        <w:rPr>
          <w:b/>
          <w:bCs w:val="0"/>
          <w:color w:val="000000" w:themeColor="text1"/>
          <w14:textFill>
            <w14:solidFill>
              <w14:schemeClr w14:val="tx1"/>
            </w14:solidFill>
          </w14:textFill>
        </w:rPr>
        <w:alias w:val="是否适用：其他应收款冲销坏帐明细的说明[双击切换]"/>
        <w:tag w:val="_GBC_04f9a50bf0244ec4a466448325e84289"/>
        <w:id w:val="147454959"/>
        <w:placeholder>
          <w:docPart w:val="GBC22222222222222222222222222222"/>
        </w:placeholder>
      </w:sdtPr>
      <w:sdtEndPr>
        <w:rPr>
          <w:b w:val="0"/>
          <w:bCs w:val="0"/>
          <w:color w:val="000000" w:themeColor="text1"/>
          <w14:textFill>
            <w14:solidFill>
              <w14:schemeClr w14:val="tx1"/>
            </w14:solidFill>
          </w14:textFill>
        </w:rPr>
      </w:sdtEndPr>
      <w:sdtContent>
        <w:p w14:paraId="7952CBDD">
          <w:pPr>
            <w:snapToGrid w:val="0"/>
            <w:spacing w:line="240" w:lineRule="atLeas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14:paraId="643A8973">
      <w:pPr>
        <w:rPr>
          <w:color w:val="000000" w:themeColor="text1"/>
          <w14:textFill>
            <w14:solidFill>
              <w14:schemeClr w14:val="tx1"/>
            </w14:solidFill>
          </w14:textFill>
        </w:rPr>
      </w:pPr>
    </w:p>
    <w:p w14:paraId="68332488">
      <w:pPr>
        <w:pStyle w:val="6"/>
        <w:numPr>
          <w:ilvl w:val="0"/>
          <w:numId w:val="62"/>
        </w:numPr>
      </w:pPr>
      <w:r>
        <w:rPr>
          <w:rFonts w:hint="eastAsia"/>
        </w:rPr>
        <w:t>按欠款方归集的期末余额前五名的其他应收款情况</w:t>
      </w:r>
    </w:p>
    <w:sdt>
      <w:sdtPr>
        <w:rPr>
          <w:color w:val="000000" w:themeColor="text1"/>
          <w14:textFill>
            <w14:solidFill>
              <w14:schemeClr w14:val="tx1"/>
            </w14:solidFill>
          </w14:textFill>
        </w:rPr>
        <w:alias w:val="是否适用：按欠款方归集的期末余额前五名的其他应收款情况[双击切换]"/>
        <w:tag w:val="_GBC_1ad831584f90441b93cce7d9b7baa3c9"/>
        <w:id w:val="147454759"/>
        <w:placeholder>
          <w:docPart w:val="GBC22222222222222222222222222222"/>
        </w:placeholder>
      </w:sdtPr>
      <w:sdtEndPr>
        <w:rPr>
          <w:color w:val="000000" w:themeColor="text1"/>
          <w14:textFill>
            <w14:solidFill>
              <w14:schemeClr w14:val="tx1"/>
            </w14:solidFill>
          </w14:textFill>
        </w:rPr>
      </w:sdtEndPr>
      <w:sdtContent>
        <w:p w14:paraId="1FD2554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7EB53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收账款前五名欠款情况"/>
          <w:tag w:val="_GBC_1f85b3036b0644cbaf6c33311b7f159d"/>
          <w:id w:val="1474530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收账款前五名欠款情况"/>
          <w:tag w:val="_GBC_bc5cf48306144a92af62fef51b293c5a"/>
          <w:id w:val="1474686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509"/>
        <w:gridCol w:w="1741"/>
        <w:gridCol w:w="1369"/>
        <w:gridCol w:w="1326"/>
        <w:gridCol w:w="1303"/>
        <w:gridCol w:w="1647"/>
      </w:tblGrid>
      <w:tr w14:paraId="798D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6d371f7abd044db6abe05c7f74810d89"/>
            <w:id w:val="147461657"/>
          </w:sdtPr>
          <w:sdtContent>
            <w:tc>
              <w:tcPr>
                <w:tcW w:w="848" w:type="pct"/>
                <w:vAlign w:val="center"/>
              </w:tcPr>
              <w:p w14:paraId="6BD6FAD8">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9561b3d624ee40c28568fb322a981ebc"/>
            <w:id w:val="147461395"/>
          </w:sdtPr>
          <w:sdtContent>
            <w:tc>
              <w:tcPr>
                <w:tcW w:w="978" w:type="pct"/>
                <w:vAlign w:val="center"/>
              </w:tcPr>
              <w:p w14:paraId="6FB28C2B">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2774c827e314521821234a0e399c2c1"/>
            <w:id w:val="147477575"/>
          </w:sdtPr>
          <w:sdtContent>
            <w:tc>
              <w:tcPr>
                <w:tcW w:w="769" w:type="pct"/>
                <w:vAlign w:val="center"/>
              </w:tcPr>
              <w:p w14:paraId="5C9BE86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占其他应收款期末余额合计数的比例(</w:t>
                </w:r>
                <w:r>
                  <w:rPr>
                    <w:color w:val="000000" w:themeColor="text1"/>
                    <w14:textFill>
                      <w14:solidFill>
                        <w14:schemeClr w14:val="tx1"/>
                      </w14:solidFill>
                    </w14:textFill>
                  </w:rPr>
                  <w:t>%)</w:t>
                </w:r>
              </w:p>
            </w:tc>
          </w:sdtContent>
        </w:sdt>
        <w:sdt>
          <w:sdtPr>
            <w:tag w:val="_PLD_538171446ab849ca976672ecf5055c60"/>
            <w:id w:val="147477847"/>
          </w:sdtPr>
          <w:sdtContent>
            <w:tc>
              <w:tcPr>
                <w:tcW w:w="745" w:type="pct"/>
                <w:vAlign w:val="center"/>
              </w:tcPr>
              <w:p w14:paraId="03915F2E">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款项的性质</w:t>
                </w:r>
              </w:p>
            </w:tc>
          </w:sdtContent>
        </w:sdt>
        <w:sdt>
          <w:sdtPr>
            <w:tag w:val="_PLD_a97392b37d5d4c709a23cfdece48161b"/>
            <w:id w:val="147455219"/>
          </w:sdtPr>
          <w:sdtContent>
            <w:tc>
              <w:tcPr>
                <w:tcW w:w="732" w:type="pct"/>
                <w:vAlign w:val="center"/>
              </w:tcPr>
              <w:p w14:paraId="47E85E45">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ac7ac1a39d1a46eb9269fc6979d54f6f"/>
            <w:id w:val="147460421"/>
          </w:sdtPr>
          <w:sdtContent>
            <w:tc>
              <w:tcPr>
                <w:tcW w:w="925" w:type="pct"/>
                <w:vAlign w:val="center"/>
              </w:tcPr>
              <w:p w14:paraId="21523CD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p w14:paraId="0A60FAD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732C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8" w:type="pct"/>
          </w:tcPr>
          <w:p w14:paraId="05F0969B">
            <w:pPr>
              <w:textAlignment w:val="top"/>
            </w:pPr>
            <w:r>
              <w:rPr>
                <w:rFonts w:cs="Times New Roman"/>
                <w:color w:val="000000"/>
                <w:lang w:bidi="ar"/>
              </w:rPr>
              <w:t>债务人一</w:t>
            </w:r>
          </w:p>
        </w:tc>
        <w:tc>
          <w:tcPr>
            <w:tcW w:w="978" w:type="pct"/>
            <w:vAlign w:val="center"/>
          </w:tcPr>
          <w:p w14:paraId="495F2A19">
            <w:pPr>
              <w:jc w:val="right"/>
              <w:textAlignment w:val="center"/>
              <w:rPr>
                <w:rFonts w:cs="Times New Roman"/>
              </w:rPr>
            </w:pPr>
            <w:r>
              <w:rPr>
                <w:rFonts w:eastAsia="Arial Narrow" w:cs="Times New Roman"/>
                <w:color w:val="000000"/>
                <w:lang w:bidi="ar"/>
              </w:rPr>
              <w:t>480,528,300.00</w:t>
            </w:r>
          </w:p>
        </w:tc>
        <w:tc>
          <w:tcPr>
            <w:tcW w:w="769" w:type="pct"/>
            <w:vAlign w:val="center"/>
          </w:tcPr>
          <w:p w14:paraId="4D75B33E">
            <w:pPr>
              <w:jc w:val="right"/>
              <w:textAlignment w:val="center"/>
              <w:rPr>
                <w:rFonts w:cs="Times New Roman"/>
              </w:rPr>
            </w:pPr>
            <w:r>
              <w:rPr>
                <w:rFonts w:eastAsia="Arial Narrow" w:cs="Times New Roman"/>
                <w:color w:val="000000"/>
                <w:lang w:bidi="ar"/>
              </w:rPr>
              <w:t>23.31</w:t>
            </w:r>
          </w:p>
        </w:tc>
        <w:tc>
          <w:tcPr>
            <w:tcW w:w="745" w:type="pct"/>
            <w:vAlign w:val="center"/>
          </w:tcPr>
          <w:p w14:paraId="31BCEB1A">
            <w:pPr>
              <w:jc w:val="center"/>
              <w:textAlignment w:val="center"/>
              <w:rPr>
                <w:rFonts w:cs="Times New Roman"/>
              </w:rPr>
            </w:pPr>
            <w:r>
              <w:rPr>
                <w:rFonts w:cs="Times New Roman"/>
                <w:color w:val="000000"/>
              </w:rPr>
              <w:t>涉诉往来款</w:t>
            </w:r>
          </w:p>
        </w:tc>
        <w:tc>
          <w:tcPr>
            <w:tcW w:w="732" w:type="pct"/>
            <w:vAlign w:val="center"/>
          </w:tcPr>
          <w:p w14:paraId="58F86C61">
            <w:pPr>
              <w:jc w:val="center"/>
              <w:textAlignment w:val="center"/>
              <w:rPr>
                <w:rFonts w:cs="Times New Roman"/>
              </w:rPr>
            </w:pPr>
            <w:r>
              <w:rPr>
                <w:rFonts w:cs="Times New Roman"/>
                <w:color w:val="000000"/>
              </w:rPr>
              <w:t>5年以上</w:t>
            </w:r>
          </w:p>
        </w:tc>
        <w:tc>
          <w:tcPr>
            <w:tcW w:w="925" w:type="pct"/>
            <w:vAlign w:val="center"/>
          </w:tcPr>
          <w:p w14:paraId="1739DAAE">
            <w:pPr>
              <w:jc w:val="right"/>
              <w:textAlignment w:val="center"/>
              <w:rPr>
                <w:rFonts w:cs="Times New Roman"/>
              </w:rPr>
            </w:pPr>
            <w:r>
              <w:rPr>
                <w:rFonts w:cs="Times New Roman"/>
                <w:color w:val="000000"/>
              </w:rPr>
              <w:t>353,670,368.00</w:t>
            </w:r>
          </w:p>
        </w:tc>
      </w:tr>
      <w:tr w14:paraId="75BB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8" w:type="pct"/>
          </w:tcPr>
          <w:p w14:paraId="6738C82A">
            <w:pPr>
              <w:textAlignment w:val="top"/>
            </w:pPr>
            <w:r>
              <w:rPr>
                <w:rFonts w:cs="Times New Roman"/>
                <w:color w:val="000000"/>
                <w:lang w:bidi="ar"/>
              </w:rPr>
              <w:t>债务人二</w:t>
            </w:r>
          </w:p>
        </w:tc>
        <w:tc>
          <w:tcPr>
            <w:tcW w:w="978" w:type="pct"/>
            <w:vAlign w:val="center"/>
          </w:tcPr>
          <w:p w14:paraId="1532508F">
            <w:pPr>
              <w:jc w:val="right"/>
              <w:textAlignment w:val="center"/>
              <w:rPr>
                <w:rFonts w:cs="Times New Roman"/>
              </w:rPr>
            </w:pPr>
            <w:r>
              <w:rPr>
                <w:rFonts w:eastAsia="Arial Narrow" w:cs="Times New Roman"/>
                <w:color w:val="000000"/>
                <w:lang w:bidi="ar"/>
              </w:rPr>
              <w:t>208,180,775.20</w:t>
            </w:r>
          </w:p>
        </w:tc>
        <w:tc>
          <w:tcPr>
            <w:tcW w:w="769" w:type="pct"/>
            <w:vAlign w:val="center"/>
          </w:tcPr>
          <w:p w14:paraId="0BD7CD46">
            <w:pPr>
              <w:jc w:val="right"/>
              <w:textAlignment w:val="center"/>
              <w:rPr>
                <w:rFonts w:cs="Times New Roman"/>
              </w:rPr>
            </w:pPr>
            <w:r>
              <w:rPr>
                <w:rFonts w:eastAsia="Arial Narrow" w:cs="Times New Roman"/>
                <w:color w:val="000000"/>
                <w:lang w:bidi="ar"/>
              </w:rPr>
              <w:t>10.10</w:t>
            </w:r>
          </w:p>
        </w:tc>
        <w:tc>
          <w:tcPr>
            <w:tcW w:w="745" w:type="pct"/>
            <w:vAlign w:val="center"/>
          </w:tcPr>
          <w:p w14:paraId="389E006D">
            <w:pPr>
              <w:jc w:val="center"/>
              <w:textAlignment w:val="center"/>
              <w:rPr>
                <w:rFonts w:cs="Times New Roman"/>
              </w:rPr>
            </w:pPr>
            <w:r>
              <w:rPr>
                <w:rFonts w:cs="Times New Roman"/>
                <w:color w:val="000000"/>
              </w:rPr>
              <w:t>往来款</w:t>
            </w:r>
          </w:p>
        </w:tc>
        <w:tc>
          <w:tcPr>
            <w:tcW w:w="732" w:type="pct"/>
            <w:vAlign w:val="center"/>
          </w:tcPr>
          <w:p w14:paraId="167A11DC">
            <w:pPr>
              <w:jc w:val="center"/>
              <w:textAlignment w:val="center"/>
              <w:rPr>
                <w:rFonts w:cs="Times New Roman"/>
              </w:rPr>
            </w:pPr>
            <w:r>
              <w:rPr>
                <w:rFonts w:cs="Times New Roman"/>
                <w:color w:val="000000"/>
              </w:rPr>
              <w:t>5年以上</w:t>
            </w:r>
          </w:p>
        </w:tc>
        <w:tc>
          <w:tcPr>
            <w:tcW w:w="925" w:type="pct"/>
            <w:vAlign w:val="center"/>
          </w:tcPr>
          <w:p w14:paraId="2DC59F61">
            <w:pPr>
              <w:jc w:val="right"/>
              <w:textAlignment w:val="center"/>
              <w:rPr>
                <w:rFonts w:cs="Times New Roman"/>
              </w:rPr>
            </w:pPr>
            <w:r>
              <w:rPr>
                <w:rFonts w:cs="Times New Roman"/>
                <w:color w:val="000000"/>
              </w:rPr>
              <w:t>208,180,775.20</w:t>
            </w:r>
          </w:p>
        </w:tc>
      </w:tr>
      <w:tr w14:paraId="274D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8" w:type="pct"/>
          </w:tcPr>
          <w:p w14:paraId="10300362">
            <w:pPr>
              <w:textAlignment w:val="top"/>
            </w:pPr>
            <w:r>
              <w:rPr>
                <w:rFonts w:cs="Times New Roman"/>
                <w:color w:val="000000"/>
                <w:lang w:bidi="ar"/>
              </w:rPr>
              <w:t>债务人三</w:t>
            </w:r>
          </w:p>
        </w:tc>
        <w:tc>
          <w:tcPr>
            <w:tcW w:w="978" w:type="pct"/>
            <w:vAlign w:val="center"/>
          </w:tcPr>
          <w:p w14:paraId="03905711">
            <w:pPr>
              <w:jc w:val="right"/>
              <w:textAlignment w:val="center"/>
              <w:rPr>
                <w:rFonts w:cs="Times New Roman"/>
              </w:rPr>
            </w:pPr>
            <w:r>
              <w:rPr>
                <w:rFonts w:eastAsia="Arial Narrow" w:cs="Times New Roman"/>
                <w:color w:val="000000"/>
                <w:lang w:bidi="ar"/>
              </w:rPr>
              <w:t>134,295,801.02</w:t>
            </w:r>
          </w:p>
        </w:tc>
        <w:tc>
          <w:tcPr>
            <w:tcW w:w="769" w:type="pct"/>
            <w:vAlign w:val="center"/>
          </w:tcPr>
          <w:p w14:paraId="0B28AD4F">
            <w:pPr>
              <w:jc w:val="right"/>
              <w:textAlignment w:val="center"/>
              <w:rPr>
                <w:rFonts w:cs="Times New Roman"/>
              </w:rPr>
            </w:pPr>
            <w:r>
              <w:rPr>
                <w:rFonts w:eastAsia="Arial Narrow" w:cs="Times New Roman"/>
                <w:color w:val="000000"/>
                <w:lang w:bidi="ar"/>
              </w:rPr>
              <w:t>6.52</w:t>
            </w:r>
          </w:p>
        </w:tc>
        <w:tc>
          <w:tcPr>
            <w:tcW w:w="745" w:type="pct"/>
            <w:vAlign w:val="center"/>
          </w:tcPr>
          <w:p w14:paraId="13F7618F">
            <w:pPr>
              <w:jc w:val="center"/>
              <w:textAlignment w:val="center"/>
              <w:rPr>
                <w:rFonts w:cs="Times New Roman"/>
              </w:rPr>
            </w:pPr>
            <w:r>
              <w:rPr>
                <w:rFonts w:cs="Times New Roman"/>
                <w:color w:val="000000"/>
              </w:rPr>
              <w:t>往来款</w:t>
            </w:r>
          </w:p>
        </w:tc>
        <w:tc>
          <w:tcPr>
            <w:tcW w:w="732" w:type="pct"/>
            <w:vAlign w:val="center"/>
          </w:tcPr>
          <w:p w14:paraId="5CD2B835">
            <w:pPr>
              <w:jc w:val="center"/>
              <w:textAlignment w:val="center"/>
              <w:rPr>
                <w:rFonts w:cs="Times New Roman"/>
              </w:rPr>
            </w:pPr>
            <w:r>
              <w:rPr>
                <w:rFonts w:cs="Times New Roman"/>
                <w:color w:val="000000"/>
              </w:rPr>
              <w:t>5年以上</w:t>
            </w:r>
          </w:p>
        </w:tc>
        <w:tc>
          <w:tcPr>
            <w:tcW w:w="925" w:type="pct"/>
            <w:vAlign w:val="center"/>
          </w:tcPr>
          <w:p w14:paraId="3E247FC7">
            <w:pPr>
              <w:jc w:val="right"/>
              <w:textAlignment w:val="center"/>
              <w:rPr>
                <w:rFonts w:cs="Times New Roman"/>
              </w:rPr>
            </w:pPr>
            <w:r>
              <w:rPr>
                <w:rFonts w:cs="Times New Roman"/>
                <w:color w:val="000000"/>
              </w:rPr>
              <w:t>134,295,801.02</w:t>
            </w:r>
          </w:p>
        </w:tc>
      </w:tr>
      <w:tr w14:paraId="6D23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8" w:type="pct"/>
          </w:tcPr>
          <w:p w14:paraId="1593977B">
            <w:pPr>
              <w:textAlignment w:val="top"/>
            </w:pPr>
            <w:r>
              <w:rPr>
                <w:rFonts w:cs="Times New Roman"/>
                <w:color w:val="000000"/>
                <w:lang w:bidi="ar"/>
              </w:rPr>
              <w:t>债务人四</w:t>
            </w:r>
          </w:p>
        </w:tc>
        <w:tc>
          <w:tcPr>
            <w:tcW w:w="978" w:type="pct"/>
            <w:vAlign w:val="center"/>
          </w:tcPr>
          <w:p w14:paraId="0A6215BF">
            <w:pPr>
              <w:jc w:val="right"/>
              <w:textAlignment w:val="center"/>
              <w:rPr>
                <w:rFonts w:cs="Times New Roman"/>
              </w:rPr>
            </w:pPr>
            <w:r>
              <w:rPr>
                <w:rFonts w:eastAsia="Arial Narrow" w:cs="Times New Roman"/>
                <w:color w:val="000000"/>
                <w:lang w:bidi="ar"/>
              </w:rPr>
              <w:t>103,786,567.99</w:t>
            </w:r>
          </w:p>
        </w:tc>
        <w:tc>
          <w:tcPr>
            <w:tcW w:w="769" w:type="pct"/>
            <w:vAlign w:val="center"/>
          </w:tcPr>
          <w:p w14:paraId="08007C2E">
            <w:pPr>
              <w:jc w:val="right"/>
              <w:textAlignment w:val="center"/>
              <w:rPr>
                <w:rFonts w:cs="Times New Roman"/>
              </w:rPr>
            </w:pPr>
            <w:r>
              <w:rPr>
                <w:rFonts w:eastAsia="Arial Narrow" w:cs="Times New Roman"/>
                <w:color w:val="000000"/>
                <w:lang w:bidi="ar"/>
              </w:rPr>
              <w:t>5.04</w:t>
            </w:r>
          </w:p>
        </w:tc>
        <w:tc>
          <w:tcPr>
            <w:tcW w:w="745" w:type="pct"/>
            <w:vAlign w:val="center"/>
          </w:tcPr>
          <w:p w14:paraId="77A64F10">
            <w:pPr>
              <w:jc w:val="center"/>
              <w:textAlignment w:val="center"/>
              <w:rPr>
                <w:rFonts w:cs="Times New Roman"/>
              </w:rPr>
            </w:pPr>
            <w:r>
              <w:rPr>
                <w:rFonts w:cs="Times New Roman"/>
                <w:color w:val="000000"/>
              </w:rPr>
              <w:t>往来款</w:t>
            </w:r>
          </w:p>
        </w:tc>
        <w:tc>
          <w:tcPr>
            <w:tcW w:w="732" w:type="pct"/>
            <w:vAlign w:val="center"/>
          </w:tcPr>
          <w:p w14:paraId="5F55B9CF">
            <w:pPr>
              <w:jc w:val="center"/>
              <w:textAlignment w:val="center"/>
              <w:rPr>
                <w:rFonts w:cs="Times New Roman"/>
              </w:rPr>
            </w:pPr>
            <w:r>
              <w:rPr>
                <w:rFonts w:cs="Times New Roman"/>
                <w:color w:val="000000"/>
              </w:rPr>
              <w:t>1-5年</w:t>
            </w:r>
          </w:p>
        </w:tc>
        <w:tc>
          <w:tcPr>
            <w:tcW w:w="925" w:type="pct"/>
            <w:vAlign w:val="center"/>
          </w:tcPr>
          <w:p w14:paraId="6B3C9944">
            <w:pPr>
              <w:jc w:val="right"/>
              <w:textAlignment w:val="center"/>
              <w:rPr>
                <w:rFonts w:cs="Times New Roman"/>
              </w:rPr>
            </w:pPr>
            <w:r>
              <w:rPr>
                <w:rFonts w:cs="Times New Roman"/>
                <w:color w:val="000000"/>
              </w:rPr>
              <w:t>103,786,567.99</w:t>
            </w:r>
          </w:p>
        </w:tc>
      </w:tr>
      <w:tr w14:paraId="6CFF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8" w:type="pct"/>
          </w:tcPr>
          <w:p w14:paraId="32E676B1">
            <w:pPr>
              <w:textAlignment w:val="top"/>
            </w:pPr>
            <w:r>
              <w:rPr>
                <w:rFonts w:cs="Times New Roman"/>
                <w:color w:val="000000"/>
                <w:lang w:bidi="ar"/>
              </w:rPr>
              <w:t>债务人五</w:t>
            </w:r>
          </w:p>
        </w:tc>
        <w:tc>
          <w:tcPr>
            <w:tcW w:w="978" w:type="pct"/>
            <w:vAlign w:val="center"/>
          </w:tcPr>
          <w:p w14:paraId="5AA5250C">
            <w:pPr>
              <w:jc w:val="right"/>
              <w:textAlignment w:val="center"/>
              <w:rPr>
                <w:rFonts w:cs="Times New Roman"/>
              </w:rPr>
            </w:pPr>
            <w:r>
              <w:rPr>
                <w:rFonts w:eastAsia="Arial Narrow" w:cs="Times New Roman"/>
                <w:color w:val="000000"/>
                <w:lang w:bidi="ar"/>
              </w:rPr>
              <w:t>63,633,872.83</w:t>
            </w:r>
          </w:p>
        </w:tc>
        <w:tc>
          <w:tcPr>
            <w:tcW w:w="769" w:type="pct"/>
            <w:vAlign w:val="center"/>
          </w:tcPr>
          <w:p w14:paraId="0E276A51">
            <w:pPr>
              <w:jc w:val="right"/>
              <w:textAlignment w:val="center"/>
              <w:rPr>
                <w:rFonts w:cs="Times New Roman"/>
              </w:rPr>
            </w:pPr>
            <w:r>
              <w:rPr>
                <w:rFonts w:eastAsia="Arial Narrow" w:cs="Times New Roman"/>
                <w:color w:val="000000"/>
                <w:lang w:bidi="ar"/>
              </w:rPr>
              <w:t>3.09</w:t>
            </w:r>
          </w:p>
        </w:tc>
        <w:tc>
          <w:tcPr>
            <w:tcW w:w="745" w:type="pct"/>
            <w:vAlign w:val="center"/>
          </w:tcPr>
          <w:p w14:paraId="58D2EAA2">
            <w:pPr>
              <w:jc w:val="center"/>
              <w:textAlignment w:val="center"/>
              <w:rPr>
                <w:rFonts w:cs="Times New Roman"/>
              </w:rPr>
            </w:pPr>
            <w:r>
              <w:rPr>
                <w:rFonts w:cs="Times New Roman"/>
                <w:color w:val="000000"/>
              </w:rPr>
              <w:t>往来款</w:t>
            </w:r>
          </w:p>
        </w:tc>
        <w:tc>
          <w:tcPr>
            <w:tcW w:w="732" w:type="pct"/>
            <w:vAlign w:val="center"/>
          </w:tcPr>
          <w:p w14:paraId="2F5DAC97">
            <w:pPr>
              <w:jc w:val="center"/>
              <w:textAlignment w:val="center"/>
              <w:rPr>
                <w:rFonts w:cs="Times New Roman"/>
              </w:rPr>
            </w:pPr>
            <w:r>
              <w:rPr>
                <w:rFonts w:cs="Times New Roman"/>
                <w:color w:val="000000"/>
              </w:rPr>
              <w:t>5年以上</w:t>
            </w:r>
          </w:p>
        </w:tc>
        <w:tc>
          <w:tcPr>
            <w:tcW w:w="925" w:type="pct"/>
            <w:vAlign w:val="center"/>
          </w:tcPr>
          <w:p w14:paraId="3D73BF9E">
            <w:pPr>
              <w:jc w:val="right"/>
              <w:textAlignment w:val="center"/>
              <w:rPr>
                <w:rFonts w:cs="Times New Roman"/>
              </w:rPr>
            </w:pPr>
            <w:r>
              <w:rPr>
                <w:rFonts w:cs="Times New Roman"/>
                <w:color w:val="000000"/>
              </w:rPr>
              <w:t>63,633,872.83</w:t>
            </w:r>
          </w:p>
        </w:tc>
      </w:tr>
      <w:tr w14:paraId="668B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8" w:type="pct"/>
          </w:tcPr>
          <w:p w14:paraId="7E14FB99">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78" w:type="pct"/>
            <w:vAlign w:val="center"/>
          </w:tcPr>
          <w:p w14:paraId="188BCE25">
            <w:pPr>
              <w:jc w:val="right"/>
              <w:textAlignment w:val="center"/>
              <w:rPr>
                <w:rFonts w:cs="Times New Roman"/>
              </w:rPr>
            </w:pPr>
            <w:r>
              <w:rPr>
                <w:rFonts w:eastAsia="Arial Narrow" w:cs="Times New Roman"/>
                <w:color w:val="000000"/>
                <w:lang w:bidi="ar"/>
              </w:rPr>
              <w:t>990,425,317.04</w:t>
            </w:r>
          </w:p>
        </w:tc>
        <w:tc>
          <w:tcPr>
            <w:tcW w:w="769" w:type="pct"/>
            <w:vAlign w:val="center"/>
          </w:tcPr>
          <w:p w14:paraId="3B1AB284">
            <w:pPr>
              <w:jc w:val="right"/>
              <w:textAlignment w:val="center"/>
              <w:rPr>
                <w:rFonts w:cs="Times New Roman"/>
              </w:rPr>
            </w:pPr>
            <w:r>
              <w:rPr>
                <w:rFonts w:eastAsia="Arial Narrow" w:cs="Times New Roman"/>
                <w:color w:val="000000"/>
                <w:lang w:bidi="ar"/>
              </w:rPr>
              <w:t>48.06</w:t>
            </w:r>
          </w:p>
        </w:tc>
        <w:tc>
          <w:tcPr>
            <w:tcW w:w="745" w:type="pct"/>
          </w:tcPr>
          <w:p w14:paraId="0AC64E5F">
            <w:pPr>
              <w:ind w:right="73"/>
              <w:jc w:val="center"/>
              <w:rPr>
                <w:rFonts w:cs="Times New Roman"/>
                <w:color w:val="000000" w:themeColor="text1"/>
                <w14:textFill>
                  <w14:solidFill>
                    <w14:schemeClr w14:val="tx1"/>
                  </w14:solidFill>
                </w14:textFill>
              </w:rPr>
            </w:pPr>
            <w:r>
              <w:rPr>
                <w:rFonts w:cs="Times New Roman"/>
                <w:color w:val="000000"/>
              </w:rPr>
              <w:t>/</w:t>
            </w:r>
          </w:p>
        </w:tc>
        <w:tc>
          <w:tcPr>
            <w:tcW w:w="732" w:type="pct"/>
          </w:tcPr>
          <w:p w14:paraId="20968EF1">
            <w:pPr>
              <w:ind w:right="73"/>
              <w:jc w:val="center"/>
              <w:rPr>
                <w:rFonts w:cs="Times New Roman"/>
                <w:color w:val="000000" w:themeColor="text1"/>
                <w14:textFill>
                  <w14:solidFill>
                    <w14:schemeClr w14:val="tx1"/>
                  </w14:solidFill>
                </w14:textFill>
              </w:rPr>
            </w:pPr>
            <w:r>
              <w:rPr>
                <w:rFonts w:cs="Times New Roman"/>
                <w:color w:val="000000"/>
              </w:rPr>
              <w:t>/</w:t>
            </w:r>
          </w:p>
        </w:tc>
        <w:tc>
          <w:tcPr>
            <w:tcW w:w="925" w:type="pct"/>
            <w:vAlign w:val="center"/>
          </w:tcPr>
          <w:p w14:paraId="125BC998">
            <w:pPr>
              <w:jc w:val="right"/>
              <w:textAlignment w:val="center"/>
              <w:rPr>
                <w:rFonts w:cs="Times New Roman"/>
              </w:rPr>
            </w:pPr>
            <w:r>
              <w:rPr>
                <w:rFonts w:cs="Times New Roman"/>
                <w:color w:val="000000"/>
              </w:rPr>
              <w:t>863,567,385.04</w:t>
            </w:r>
          </w:p>
        </w:tc>
      </w:tr>
    </w:tbl>
    <w:p w14:paraId="086DD5A7">
      <w:pPr>
        <w:snapToGrid w:val="0"/>
        <w:spacing w:line="240" w:lineRule="atLeast"/>
        <w:rPr>
          <w:color w:val="000000" w:themeColor="text1"/>
          <w14:textFill>
            <w14:solidFill>
              <w14:schemeClr w14:val="tx1"/>
            </w14:solidFill>
          </w14:textFill>
        </w:rPr>
      </w:pPr>
    </w:p>
    <w:p w14:paraId="6C1A19D5">
      <w:pPr>
        <w:pStyle w:val="6"/>
        <w:numPr>
          <w:ilvl w:val="0"/>
          <w:numId w:val="62"/>
        </w:numPr>
      </w:pPr>
      <w:bookmarkStart w:id="256" w:name="_Hlk167891115"/>
      <w:r>
        <w:rPr>
          <w:rFonts w:hint="eastAsia"/>
        </w:rPr>
        <w:t>因资金集中管理而列报于其他应收款</w:t>
      </w:r>
    </w:p>
    <w:sdt>
      <w:sdtPr>
        <w:rPr>
          <w:color w:val="000000" w:themeColor="text1"/>
          <w14:textFill>
            <w14:solidFill>
              <w14:schemeClr w14:val="tx1"/>
            </w14:solidFill>
          </w14:textFill>
        </w:rPr>
        <w:alias w:val="是否适用：因资金集中管理而列报于其他应收款[双击切换]"/>
        <w:tag w:val="_GBC_4dd617ad43cc44e08e5603fa324c6566"/>
        <w:id w:val="147476522"/>
        <w:placeholder>
          <w:docPart w:val="GBC22222222222222222222222222222"/>
        </w:placeholder>
      </w:sdtPr>
      <w:sdtEndPr>
        <w:rPr>
          <w:color w:val="000000" w:themeColor="text1"/>
          <w14:textFill>
            <w14:solidFill>
              <w14:schemeClr w14:val="tx1"/>
            </w14:solidFill>
          </w14:textFill>
        </w:rPr>
      </w:sdtEndPr>
      <w:sdtContent>
        <w:p w14:paraId="6EED2F9A">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56"/>
    <w:p w14:paraId="20A5B97E">
      <w:pPr>
        <w:snapToGrid w:val="0"/>
        <w:spacing w:line="240" w:lineRule="atLeast"/>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C73AC9F">
      <w:pPr>
        <w:snapToGrid w:val="0"/>
        <w:spacing w:line="240" w:lineRule="atLeast"/>
        <w:rPr>
          <w:color w:val="000000" w:themeColor="text1"/>
          <w14:textFill>
            <w14:solidFill>
              <w14:schemeClr w14:val="tx1"/>
            </w14:solidFill>
          </w14:textFill>
        </w:rPr>
      </w:pPr>
    </w:p>
    <w:p w14:paraId="7192031D">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是否适用：其他应收款的其他说明[双击切换]"/>
        <w:tag w:val="_GBC_55d570440c184744bd13a4938ba488d1"/>
        <w:id w:val="147458044"/>
        <w:placeholder>
          <w:docPart w:val="GBC22222222222222222222222222222"/>
        </w:placeholder>
      </w:sdtPr>
      <w:sdtEndPr>
        <w:rPr>
          <w:color w:val="000000" w:themeColor="text1"/>
          <w14:textFill>
            <w14:solidFill>
              <w14:schemeClr w14:val="tx1"/>
            </w14:solidFill>
          </w14:textFill>
        </w:rPr>
      </w:sdtEndPr>
      <w:sdtContent>
        <w:p w14:paraId="17C40FF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F71FCC9">
      <w:pPr>
        <w:rPr>
          <w:color w:val="000000" w:themeColor="text1"/>
          <w14:textFill>
            <w14:solidFill>
              <w14:schemeClr w14:val="tx1"/>
            </w14:solidFill>
          </w14:textFill>
        </w:rPr>
      </w:pPr>
    </w:p>
    <w:p w14:paraId="45E3E96A">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存货</w:t>
      </w:r>
    </w:p>
    <w:p w14:paraId="3F160C47">
      <w:pPr>
        <w:pStyle w:val="58"/>
        <w:numPr>
          <w:ilvl w:val="0"/>
          <w:numId w:val="63"/>
        </w:numPr>
        <w:tabs>
          <w:tab w:val="left" w:pos="630"/>
        </w:tabs>
        <w:rPr>
          <w:rFonts w:ascii="宋体" w:hAnsi="宋体"/>
          <w:color w:val="000000" w:themeColor="text1"/>
          <w14:textFill>
            <w14:solidFill>
              <w14:schemeClr w14:val="tx1"/>
            </w14:solidFill>
          </w14:textFill>
        </w:rPr>
      </w:pPr>
      <w:bookmarkStart w:id="257" w:name="_Hlk10470159"/>
      <w:r>
        <w:rPr>
          <w:rFonts w:hint="eastAsia" w:ascii="宋体" w:hAnsi="宋体"/>
          <w:color w:val="000000" w:themeColor="text1"/>
          <w14:textFill>
            <w14:solidFill>
              <w14:schemeClr w14:val="tx1"/>
            </w14:solidFill>
          </w14:textFill>
        </w:rPr>
        <w:t>存货分类</w:t>
      </w:r>
    </w:p>
    <w:sdt>
      <w:sdtPr>
        <w:rPr>
          <w:color w:val="000000" w:themeColor="text1"/>
          <w14:textFill>
            <w14:solidFill>
              <w14:schemeClr w14:val="tx1"/>
            </w14:solidFill>
          </w14:textFill>
        </w:rPr>
        <w:alias w:val="是否适用：存货分类[双击切换]"/>
        <w:tag w:val="_GBC_06c46a03a226418fb8e5e84326c47750"/>
        <w:id w:val="147451877"/>
        <w:placeholder>
          <w:docPart w:val="GBC22222222222222222222222222222"/>
        </w:placeholder>
      </w:sdtPr>
      <w:sdtEndPr>
        <w:rPr>
          <w:color w:val="000000" w:themeColor="text1"/>
          <w14:textFill>
            <w14:solidFill>
              <w14:schemeClr w14:val="tx1"/>
            </w14:solidFill>
          </w14:textFill>
        </w:rPr>
      </w:sdtEndPr>
      <w:sdtContent>
        <w:p w14:paraId="201FAF7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D8BE77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存货分类"/>
          <w:tag w:val="_GBC_cc6e1ec3be0141cbb25cf999a897b29b"/>
          <w:id w:val="1474636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存货分类"/>
          <w:tag w:val="_GBC_d85b2ad6790d4fa2ace1d773934cd4b3"/>
          <w:id w:val="1474614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181"/>
        <w:gridCol w:w="1915"/>
        <w:gridCol w:w="2093"/>
        <w:gridCol w:w="1915"/>
        <w:gridCol w:w="1915"/>
        <w:gridCol w:w="2004"/>
        <w:gridCol w:w="1912"/>
      </w:tblGrid>
      <w:tr w14:paraId="0766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48d855cd658044389f8d1cbe0016be78"/>
            <w:id w:val="147483295"/>
          </w:sdtPr>
          <w:sdtContent>
            <w:tc>
              <w:tcPr>
                <w:tcW w:w="783" w:type="pct"/>
                <w:vMerge w:val="restart"/>
                <w:vAlign w:val="center"/>
              </w:tcPr>
              <w:p w14:paraId="79D58A8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86606f595aa4fff8214f9b6209260b6"/>
            <w:id w:val="147470377"/>
          </w:sdtPr>
          <w:sdtContent>
            <w:tc>
              <w:tcPr>
                <w:tcW w:w="2125" w:type="pct"/>
                <w:gridSpan w:val="3"/>
                <w:vAlign w:val="center"/>
              </w:tcPr>
              <w:p w14:paraId="418CB0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1bbc97888494137a790328386c2b9d8"/>
            <w:id w:val="147464493"/>
          </w:sdtPr>
          <w:sdtContent>
            <w:tc>
              <w:tcPr>
                <w:tcW w:w="2093" w:type="pct"/>
                <w:gridSpan w:val="3"/>
                <w:vAlign w:val="center"/>
              </w:tcPr>
              <w:p w14:paraId="6AF6C22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4E9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vMerge w:val="continue"/>
          </w:tcPr>
          <w:p w14:paraId="18409837">
            <w:pPr>
              <w:ind w:right="5"/>
              <w:jc w:val="center"/>
              <w:rPr>
                <w:color w:val="000000" w:themeColor="text1"/>
                <w14:textFill>
                  <w14:solidFill>
                    <w14:schemeClr w14:val="tx1"/>
                  </w14:solidFill>
                </w14:textFill>
              </w:rPr>
            </w:pPr>
          </w:p>
        </w:tc>
        <w:sdt>
          <w:sdtPr>
            <w:tag w:val="_PLD_60368d835c2843d99b5061f4c84f8d8e"/>
            <w:id w:val="147456968"/>
          </w:sdtPr>
          <w:sdtContent>
            <w:tc>
              <w:tcPr>
                <w:tcW w:w="687" w:type="pct"/>
                <w:vAlign w:val="center"/>
              </w:tcPr>
              <w:p w14:paraId="602A00BE">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tc>
          <w:tcPr>
            <w:tcW w:w="751" w:type="pct"/>
            <w:vAlign w:val="center"/>
          </w:tcPr>
          <w:p w14:paraId="3805A57A">
            <w:pPr>
              <w:ind w:right="5"/>
              <w:jc w:val="center"/>
              <w:rPr>
                <w:color w:val="000000" w:themeColor="text1"/>
                <w14:textFill>
                  <w14:solidFill>
                    <w14:schemeClr w14:val="tx1"/>
                  </w14:solidFill>
                </w14:textFill>
              </w:rPr>
            </w:pPr>
            <w:sdt>
              <w:sdtPr>
                <w:tag w:val="_PLD_b5c53ce2a5004db988af9e72594f6b6a"/>
                <w:id w:val="147458900"/>
              </w:sdtPr>
              <w:sdtContent>
                <w:r>
                  <w:rPr>
                    <w:rFonts w:hint="eastAsia"/>
                    <w:color w:val="000000" w:themeColor="text1"/>
                    <w14:textFill>
                      <w14:solidFill>
                        <w14:schemeClr w14:val="tx1"/>
                      </w14:solidFill>
                    </w14:textFill>
                  </w:rPr>
                  <w:t>存货跌价准备</w:t>
                </w:r>
                <w:r>
                  <w:rPr>
                    <w:color w:val="000000" w:themeColor="text1"/>
                    <w14:textFill>
                      <w14:solidFill>
                        <w14:schemeClr w14:val="tx1"/>
                      </w14:solidFill>
                    </w14:textFill>
                  </w:rPr>
                  <w:t>/合同履约成本减值准备</w:t>
                </w:r>
              </w:sdtContent>
            </w:sdt>
          </w:p>
        </w:tc>
        <w:sdt>
          <w:sdtPr>
            <w:tag w:val="_PLD_f2691cf723784fbcbc9a900f61c6e250"/>
            <w:id w:val="147459493"/>
          </w:sdtPr>
          <w:sdtContent>
            <w:tc>
              <w:tcPr>
                <w:tcW w:w="687" w:type="pct"/>
                <w:vAlign w:val="center"/>
              </w:tcPr>
              <w:p w14:paraId="71B54F3B">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df34ec94af0b441bab962cb42fe65b1a"/>
            <w:id w:val="147457700"/>
          </w:sdtPr>
          <w:sdtContent>
            <w:tc>
              <w:tcPr>
                <w:tcW w:w="687" w:type="pct"/>
                <w:vAlign w:val="center"/>
              </w:tcPr>
              <w:p w14:paraId="149F2957">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tc>
          <w:tcPr>
            <w:tcW w:w="719" w:type="pct"/>
            <w:vAlign w:val="center"/>
          </w:tcPr>
          <w:p w14:paraId="0E907228">
            <w:pPr>
              <w:ind w:right="5"/>
              <w:jc w:val="center"/>
              <w:rPr>
                <w:color w:val="000000" w:themeColor="text1"/>
                <w14:textFill>
                  <w14:solidFill>
                    <w14:schemeClr w14:val="tx1"/>
                  </w14:solidFill>
                </w14:textFill>
              </w:rPr>
            </w:pPr>
            <w:sdt>
              <w:sdtPr>
                <w:tag w:val="_PLD_7a42c47b54924b47b9e161d8fd9fb840"/>
                <w:id w:val="147454817"/>
              </w:sdtPr>
              <w:sdtContent>
                <w:r>
                  <w:rPr>
                    <w:rFonts w:hint="eastAsia"/>
                    <w:color w:val="000000" w:themeColor="text1"/>
                    <w14:textFill>
                      <w14:solidFill>
                        <w14:schemeClr w14:val="tx1"/>
                      </w14:solidFill>
                    </w14:textFill>
                  </w:rPr>
                  <w:t>存货跌价准备</w:t>
                </w:r>
                <w:r>
                  <w:rPr>
                    <w:color w:val="000000" w:themeColor="text1"/>
                    <w14:textFill>
                      <w14:solidFill>
                        <w14:schemeClr w14:val="tx1"/>
                      </w14:solidFill>
                    </w14:textFill>
                  </w:rPr>
                  <w:t>/合同履约成本减值准备</w:t>
                </w:r>
              </w:sdtContent>
            </w:sdt>
          </w:p>
        </w:tc>
        <w:sdt>
          <w:sdtPr>
            <w:tag w:val="_PLD_0db3a7f82db34583bb111dc2a8e88f8c"/>
            <w:id w:val="147464017"/>
          </w:sdtPr>
          <w:sdtContent>
            <w:tc>
              <w:tcPr>
                <w:tcW w:w="687" w:type="pct"/>
                <w:vAlign w:val="center"/>
              </w:tcPr>
              <w:p w14:paraId="713F6FB7">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35F4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7CDA3CEE">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原材料</w:t>
            </w:r>
          </w:p>
        </w:tc>
        <w:tc>
          <w:tcPr>
            <w:tcW w:w="1403" w:type="dxa"/>
            <w:vAlign w:val="center"/>
          </w:tcPr>
          <w:p w14:paraId="50349DCA">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427,945,955.40</w:t>
            </w:r>
          </w:p>
        </w:tc>
        <w:tc>
          <w:tcPr>
            <w:tcW w:w="1260" w:type="dxa"/>
            <w:vAlign w:val="center"/>
          </w:tcPr>
          <w:p w14:paraId="2735D886">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94,371,368.78</w:t>
            </w:r>
          </w:p>
        </w:tc>
        <w:tc>
          <w:tcPr>
            <w:tcW w:w="1403" w:type="dxa"/>
            <w:vAlign w:val="center"/>
          </w:tcPr>
          <w:p w14:paraId="0C081DDE">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333,574,586.62</w:t>
            </w:r>
          </w:p>
        </w:tc>
        <w:tc>
          <w:tcPr>
            <w:tcW w:w="687" w:type="pct"/>
            <w:vAlign w:val="center"/>
          </w:tcPr>
          <w:p w14:paraId="23783472">
            <w:pPr>
              <w:jc w:val="right"/>
              <w:textAlignment w:val="center"/>
              <w:rPr>
                <w:rFonts w:cs="Times New Roman"/>
                <w:sz w:val="18"/>
                <w:szCs w:val="18"/>
              </w:rPr>
            </w:pPr>
            <w:r>
              <w:rPr>
                <w:rFonts w:cs="Times New Roman"/>
                <w:sz w:val="18"/>
                <w:szCs w:val="18"/>
              </w:rPr>
              <w:t>480,119,116.67</w:t>
            </w:r>
          </w:p>
        </w:tc>
        <w:tc>
          <w:tcPr>
            <w:tcW w:w="719" w:type="pct"/>
            <w:vAlign w:val="center"/>
          </w:tcPr>
          <w:p w14:paraId="44732AB2">
            <w:pPr>
              <w:jc w:val="right"/>
              <w:textAlignment w:val="center"/>
              <w:rPr>
                <w:rFonts w:cs="Times New Roman"/>
                <w:sz w:val="18"/>
                <w:szCs w:val="18"/>
              </w:rPr>
            </w:pPr>
            <w:r>
              <w:rPr>
                <w:rFonts w:cs="Times New Roman"/>
                <w:sz w:val="18"/>
                <w:szCs w:val="18"/>
              </w:rPr>
              <w:t>115,615,145.55</w:t>
            </w:r>
          </w:p>
        </w:tc>
        <w:tc>
          <w:tcPr>
            <w:tcW w:w="687" w:type="pct"/>
            <w:vAlign w:val="center"/>
          </w:tcPr>
          <w:p w14:paraId="3AF5DC90">
            <w:pPr>
              <w:jc w:val="right"/>
              <w:textAlignment w:val="center"/>
              <w:rPr>
                <w:rFonts w:cs="Times New Roman"/>
                <w:sz w:val="18"/>
                <w:szCs w:val="18"/>
              </w:rPr>
            </w:pPr>
            <w:r>
              <w:rPr>
                <w:rFonts w:cs="Times New Roman"/>
                <w:sz w:val="18"/>
                <w:szCs w:val="18"/>
              </w:rPr>
              <w:t>364,503,971.12</w:t>
            </w:r>
          </w:p>
        </w:tc>
      </w:tr>
      <w:tr w14:paraId="08B1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3E9E9F3E">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在产品</w:t>
            </w:r>
          </w:p>
        </w:tc>
        <w:tc>
          <w:tcPr>
            <w:tcW w:w="1403" w:type="dxa"/>
            <w:vAlign w:val="center"/>
          </w:tcPr>
          <w:p w14:paraId="53889AAC">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237,742,161.45</w:t>
            </w:r>
          </w:p>
        </w:tc>
        <w:tc>
          <w:tcPr>
            <w:tcW w:w="1260" w:type="dxa"/>
            <w:vAlign w:val="center"/>
          </w:tcPr>
          <w:p w14:paraId="483D78D0">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4,795,834.59</w:t>
            </w:r>
          </w:p>
        </w:tc>
        <w:tc>
          <w:tcPr>
            <w:tcW w:w="1403" w:type="dxa"/>
            <w:vAlign w:val="center"/>
          </w:tcPr>
          <w:p w14:paraId="43B33587">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232,946,326.86</w:t>
            </w:r>
          </w:p>
        </w:tc>
        <w:tc>
          <w:tcPr>
            <w:tcW w:w="687" w:type="pct"/>
            <w:vAlign w:val="center"/>
          </w:tcPr>
          <w:p w14:paraId="16E5CFE7">
            <w:pPr>
              <w:jc w:val="right"/>
              <w:textAlignment w:val="center"/>
              <w:rPr>
                <w:rFonts w:cs="Times New Roman"/>
                <w:sz w:val="18"/>
                <w:szCs w:val="18"/>
              </w:rPr>
            </w:pPr>
            <w:r>
              <w:rPr>
                <w:rFonts w:cs="Times New Roman"/>
                <w:sz w:val="18"/>
                <w:szCs w:val="18"/>
              </w:rPr>
              <w:t>335,719,270.18</w:t>
            </w:r>
          </w:p>
        </w:tc>
        <w:tc>
          <w:tcPr>
            <w:tcW w:w="719" w:type="pct"/>
            <w:vAlign w:val="center"/>
          </w:tcPr>
          <w:p w14:paraId="31CA94CE">
            <w:pPr>
              <w:jc w:val="right"/>
              <w:textAlignment w:val="center"/>
              <w:rPr>
                <w:rFonts w:cs="Times New Roman"/>
                <w:sz w:val="18"/>
                <w:szCs w:val="18"/>
              </w:rPr>
            </w:pPr>
            <w:r>
              <w:rPr>
                <w:rFonts w:cs="Times New Roman"/>
                <w:sz w:val="18"/>
                <w:szCs w:val="18"/>
              </w:rPr>
              <w:t>4,795,834.59</w:t>
            </w:r>
          </w:p>
        </w:tc>
        <w:tc>
          <w:tcPr>
            <w:tcW w:w="687" w:type="pct"/>
            <w:vAlign w:val="center"/>
          </w:tcPr>
          <w:p w14:paraId="1B3C353F">
            <w:pPr>
              <w:jc w:val="right"/>
              <w:textAlignment w:val="center"/>
              <w:rPr>
                <w:rFonts w:cs="Times New Roman"/>
                <w:sz w:val="18"/>
                <w:szCs w:val="18"/>
              </w:rPr>
            </w:pPr>
            <w:r>
              <w:rPr>
                <w:rFonts w:cs="Times New Roman"/>
                <w:sz w:val="18"/>
                <w:szCs w:val="18"/>
              </w:rPr>
              <w:t>330,923,435.59</w:t>
            </w:r>
          </w:p>
        </w:tc>
      </w:tr>
      <w:tr w14:paraId="5251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246A4D4D">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库存商品</w:t>
            </w:r>
          </w:p>
        </w:tc>
        <w:tc>
          <w:tcPr>
            <w:tcW w:w="1403" w:type="dxa"/>
            <w:vAlign w:val="center"/>
          </w:tcPr>
          <w:p w14:paraId="2F686A7D">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1,676,298,367.96</w:t>
            </w:r>
          </w:p>
        </w:tc>
        <w:tc>
          <w:tcPr>
            <w:tcW w:w="1260" w:type="dxa"/>
            <w:vAlign w:val="center"/>
          </w:tcPr>
          <w:p w14:paraId="1BAD9AAB">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464,755,420.18</w:t>
            </w:r>
          </w:p>
        </w:tc>
        <w:tc>
          <w:tcPr>
            <w:tcW w:w="1403" w:type="dxa"/>
            <w:vAlign w:val="center"/>
          </w:tcPr>
          <w:p w14:paraId="7DDD184F">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1,211,542,947.78</w:t>
            </w:r>
          </w:p>
        </w:tc>
        <w:tc>
          <w:tcPr>
            <w:tcW w:w="687" w:type="pct"/>
            <w:vAlign w:val="center"/>
          </w:tcPr>
          <w:p w14:paraId="4907F5DC">
            <w:pPr>
              <w:jc w:val="right"/>
              <w:textAlignment w:val="center"/>
              <w:rPr>
                <w:rFonts w:cs="Times New Roman"/>
                <w:sz w:val="18"/>
                <w:szCs w:val="18"/>
              </w:rPr>
            </w:pPr>
            <w:r>
              <w:rPr>
                <w:rFonts w:cs="Times New Roman"/>
                <w:sz w:val="18"/>
                <w:szCs w:val="18"/>
              </w:rPr>
              <w:t>1,970,296,723.26</w:t>
            </w:r>
          </w:p>
        </w:tc>
        <w:tc>
          <w:tcPr>
            <w:tcW w:w="719" w:type="pct"/>
            <w:vAlign w:val="center"/>
          </w:tcPr>
          <w:p w14:paraId="0722D0D5">
            <w:pPr>
              <w:jc w:val="right"/>
              <w:textAlignment w:val="center"/>
              <w:rPr>
                <w:rFonts w:cs="Times New Roman"/>
                <w:sz w:val="18"/>
                <w:szCs w:val="18"/>
              </w:rPr>
            </w:pPr>
            <w:r>
              <w:rPr>
                <w:rFonts w:cs="Times New Roman"/>
                <w:sz w:val="18"/>
                <w:szCs w:val="18"/>
              </w:rPr>
              <w:t>598,909,251.18</w:t>
            </w:r>
          </w:p>
        </w:tc>
        <w:tc>
          <w:tcPr>
            <w:tcW w:w="687" w:type="pct"/>
            <w:vAlign w:val="center"/>
          </w:tcPr>
          <w:p w14:paraId="5DA0A95C">
            <w:pPr>
              <w:jc w:val="right"/>
              <w:textAlignment w:val="center"/>
              <w:rPr>
                <w:rFonts w:cs="Times New Roman"/>
                <w:sz w:val="18"/>
                <w:szCs w:val="18"/>
              </w:rPr>
            </w:pPr>
            <w:r>
              <w:rPr>
                <w:rFonts w:cs="Times New Roman"/>
                <w:sz w:val="18"/>
                <w:szCs w:val="18"/>
              </w:rPr>
              <w:t>1,371,387,472.08</w:t>
            </w:r>
          </w:p>
        </w:tc>
      </w:tr>
      <w:tr w14:paraId="620B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6342A5A6">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周转材料</w:t>
            </w:r>
          </w:p>
        </w:tc>
        <w:tc>
          <w:tcPr>
            <w:tcW w:w="1403" w:type="dxa"/>
            <w:vAlign w:val="center"/>
          </w:tcPr>
          <w:p w14:paraId="4E24AAB2">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1,182,150.14</w:t>
            </w:r>
          </w:p>
        </w:tc>
        <w:tc>
          <w:tcPr>
            <w:tcW w:w="1260" w:type="dxa"/>
            <w:vAlign w:val="center"/>
          </w:tcPr>
          <w:p w14:paraId="5ACBC6B5">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1,651.49</w:t>
            </w:r>
          </w:p>
        </w:tc>
        <w:tc>
          <w:tcPr>
            <w:tcW w:w="1403" w:type="dxa"/>
            <w:vAlign w:val="center"/>
          </w:tcPr>
          <w:p w14:paraId="290EF557">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1,180,498.65</w:t>
            </w:r>
          </w:p>
        </w:tc>
        <w:tc>
          <w:tcPr>
            <w:tcW w:w="687" w:type="pct"/>
            <w:vAlign w:val="center"/>
          </w:tcPr>
          <w:p w14:paraId="5E815DFF">
            <w:pPr>
              <w:jc w:val="right"/>
              <w:textAlignment w:val="center"/>
              <w:rPr>
                <w:rFonts w:cs="Times New Roman"/>
                <w:sz w:val="18"/>
                <w:szCs w:val="18"/>
              </w:rPr>
            </w:pPr>
            <w:r>
              <w:rPr>
                <w:rFonts w:cs="Times New Roman"/>
                <w:sz w:val="18"/>
                <w:szCs w:val="18"/>
              </w:rPr>
              <w:t>2,228,027.95</w:t>
            </w:r>
          </w:p>
        </w:tc>
        <w:tc>
          <w:tcPr>
            <w:tcW w:w="719" w:type="pct"/>
            <w:vAlign w:val="center"/>
          </w:tcPr>
          <w:p w14:paraId="4759FEE1">
            <w:pPr>
              <w:jc w:val="right"/>
              <w:rPr>
                <w:rFonts w:cs="Times New Roman"/>
                <w:sz w:val="18"/>
                <w:szCs w:val="18"/>
              </w:rPr>
            </w:pPr>
          </w:p>
        </w:tc>
        <w:tc>
          <w:tcPr>
            <w:tcW w:w="687" w:type="pct"/>
            <w:vAlign w:val="center"/>
          </w:tcPr>
          <w:p w14:paraId="13319387">
            <w:pPr>
              <w:jc w:val="right"/>
              <w:textAlignment w:val="center"/>
              <w:rPr>
                <w:rFonts w:cs="Times New Roman"/>
                <w:sz w:val="18"/>
                <w:szCs w:val="18"/>
              </w:rPr>
            </w:pPr>
            <w:r>
              <w:rPr>
                <w:rFonts w:cs="Times New Roman"/>
                <w:sz w:val="18"/>
                <w:szCs w:val="18"/>
              </w:rPr>
              <w:t>2,228,027.95</w:t>
            </w:r>
          </w:p>
        </w:tc>
      </w:tr>
      <w:tr w14:paraId="6C8C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4EF4EC00">
            <w:pPr>
              <w:textAlignment w:val="top"/>
              <w:rPr>
                <w:color w:val="000000" w:themeColor="text1"/>
                <w14:textFill>
                  <w14:solidFill>
                    <w14:schemeClr w14:val="tx1"/>
                  </w14:solidFill>
                </w14:textFill>
              </w:rPr>
            </w:pPr>
            <w:r>
              <w:rPr>
                <w:rFonts w:hint="eastAsia" w:ascii="宋体" w:hAnsi="宋体"/>
                <w:color w:val="000000"/>
                <w:lang w:bidi="ar"/>
              </w:rPr>
              <w:t>发出商品</w:t>
            </w:r>
          </w:p>
        </w:tc>
        <w:tc>
          <w:tcPr>
            <w:tcW w:w="1403" w:type="dxa"/>
            <w:vAlign w:val="center"/>
          </w:tcPr>
          <w:p w14:paraId="47C66D1C">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209,928,695.90</w:t>
            </w:r>
          </w:p>
        </w:tc>
        <w:tc>
          <w:tcPr>
            <w:tcW w:w="1260" w:type="dxa"/>
            <w:vAlign w:val="center"/>
          </w:tcPr>
          <w:p w14:paraId="3ABD2903">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55,355,789.28</w:t>
            </w:r>
          </w:p>
        </w:tc>
        <w:tc>
          <w:tcPr>
            <w:tcW w:w="1403" w:type="dxa"/>
            <w:vAlign w:val="center"/>
          </w:tcPr>
          <w:p w14:paraId="35A451FE">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154,572,906.62</w:t>
            </w:r>
          </w:p>
        </w:tc>
        <w:tc>
          <w:tcPr>
            <w:tcW w:w="687" w:type="pct"/>
            <w:vAlign w:val="center"/>
          </w:tcPr>
          <w:p w14:paraId="6671932B">
            <w:pPr>
              <w:jc w:val="right"/>
              <w:textAlignment w:val="center"/>
              <w:rPr>
                <w:rFonts w:cs="Times New Roman"/>
                <w:sz w:val="18"/>
                <w:szCs w:val="18"/>
              </w:rPr>
            </w:pPr>
            <w:r>
              <w:rPr>
                <w:rFonts w:cs="Times New Roman"/>
                <w:sz w:val="18"/>
                <w:szCs w:val="18"/>
              </w:rPr>
              <w:t>161,042,797.29</w:t>
            </w:r>
          </w:p>
        </w:tc>
        <w:tc>
          <w:tcPr>
            <w:tcW w:w="719" w:type="pct"/>
            <w:vAlign w:val="center"/>
          </w:tcPr>
          <w:p w14:paraId="254A911E">
            <w:pPr>
              <w:jc w:val="right"/>
              <w:textAlignment w:val="center"/>
              <w:rPr>
                <w:rFonts w:cs="Times New Roman"/>
                <w:sz w:val="18"/>
                <w:szCs w:val="18"/>
              </w:rPr>
            </w:pPr>
            <w:r>
              <w:rPr>
                <w:rFonts w:cs="Times New Roman"/>
                <w:sz w:val="18"/>
                <w:szCs w:val="18"/>
              </w:rPr>
              <w:t>55,355,789.28</w:t>
            </w:r>
          </w:p>
        </w:tc>
        <w:tc>
          <w:tcPr>
            <w:tcW w:w="687" w:type="pct"/>
            <w:vAlign w:val="center"/>
          </w:tcPr>
          <w:p w14:paraId="79D05BAD">
            <w:pPr>
              <w:jc w:val="right"/>
              <w:textAlignment w:val="center"/>
              <w:rPr>
                <w:rFonts w:cs="Times New Roman"/>
                <w:sz w:val="18"/>
                <w:szCs w:val="18"/>
              </w:rPr>
            </w:pPr>
            <w:r>
              <w:rPr>
                <w:rFonts w:cs="Times New Roman"/>
                <w:sz w:val="18"/>
                <w:szCs w:val="18"/>
              </w:rPr>
              <w:t>105,687,008.01</w:t>
            </w:r>
          </w:p>
        </w:tc>
      </w:tr>
      <w:tr w14:paraId="67C3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785E5CF6">
            <w:pPr>
              <w:textAlignment w:val="top"/>
              <w:rPr>
                <w:color w:val="000000" w:themeColor="text1"/>
                <w14:textFill>
                  <w14:solidFill>
                    <w14:schemeClr w14:val="tx1"/>
                  </w14:solidFill>
                </w14:textFill>
              </w:rPr>
            </w:pPr>
            <w:r>
              <w:rPr>
                <w:rFonts w:hint="eastAsia" w:ascii="宋体" w:hAnsi="宋体"/>
                <w:color w:val="000000"/>
                <w:lang w:bidi="ar"/>
              </w:rPr>
              <w:t>委托加工物资</w:t>
            </w:r>
          </w:p>
        </w:tc>
        <w:tc>
          <w:tcPr>
            <w:tcW w:w="1403" w:type="dxa"/>
            <w:vAlign w:val="center"/>
          </w:tcPr>
          <w:p w14:paraId="7BE77675">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28,275,501.46</w:t>
            </w:r>
          </w:p>
        </w:tc>
        <w:tc>
          <w:tcPr>
            <w:tcW w:w="1260" w:type="dxa"/>
            <w:vAlign w:val="center"/>
          </w:tcPr>
          <w:p w14:paraId="474CE895">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10,515,209.15</w:t>
            </w:r>
          </w:p>
        </w:tc>
        <w:tc>
          <w:tcPr>
            <w:tcW w:w="1403" w:type="dxa"/>
            <w:vAlign w:val="center"/>
          </w:tcPr>
          <w:p w14:paraId="21464A7B">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17,760,292.31</w:t>
            </w:r>
          </w:p>
        </w:tc>
        <w:tc>
          <w:tcPr>
            <w:tcW w:w="687" w:type="pct"/>
            <w:vAlign w:val="center"/>
          </w:tcPr>
          <w:p w14:paraId="3800EB5C">
            <w:pPr>
              <w:jc w:val="right"/>
              <w:textAlignment w:val="center"/>
              <w:rPr>
                <w:rFonts w:cs="Times New Roman"/>
                <w:sz w:val="18"/>
                <w:szCs w:val="18"/>
              </w:rPr>
            </w:pPr>
            <w:r>
              <w:rPr>
                <w:rFonts w:cs="Times New Roman"/>
                <w:sz w:val="18"/>
                <w:szCs w:val="18"/>
              </w:rPr>
              <w:t>59,392,507.40</w:t>
            </w:r>
          </w:p>
        </w:tc>
        <w:tc>
          <w:tcPr>
            <w:tcW w:w="719" w:type="pct"/>
            <w:vAlign w:val="center"/>
          </w:tcPr>
          <w:p w14:paraId="3C4FC082">
            <w:pPr>
              <w:jc w:val="right"/>
              <w:textAlignment w:val="center"/>
              <w:rPr>
                <w:rFonts w:cs="Times New Roman"/>
                <w:sz w:val="18"/>
                <w:szCs w:val="18"/>
              </w:rPr>
            </w:pPr>
            <w:r>
              <w:rPr>
                <w:rFonts w:cs="Times New Roman"/>
                <w:sz w:val="18"/>
                <w:szCs w:val="18"/>
              </w:rPr>
              <w:t>10,515,209.15</w:t>
            </w:r>
          </w:p>
        </w:tc>
        <w:tc>
          <w:tcPr>
            <w:tcW w:w="687" w:type="pct"/>
            <w:vAlign w:val="center"/>
          </w:tcPr>
          <w:p w14:paraId="13210430">
            <w:pPr>
              <w:jc w:val="right"/>
              <w:textAlignment w:val="center"/>
              <w:rPr>
                <w:rFonts w:cs="Times New Roman"/>
                <w:sz w:val="18"/>
                <w:szCs w:val="18"/>
              </w:rPr>
            </w:pPr>
            <w:r>
              <w:rPr>
                <w:rFonts w:cs="Times New Roman"/>
                <w:sz w:val="18"/>
                <w:szCs w:val="18"/>
              </w:rPr>
              <w:t>48,877,298.25</w:t>
            </w:r>
          </w:p>
        </w:tc>
      </w:tr>
      <w:tr w14:paraId="21E3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05CDD126">
            <w:pPr>
              <w:textAlignment w:val="top"/>
            </w:pPr>
            <w:r>
              <w:rPr>
                <w:rFonts w:cs="Times New Roman"/>
                <w:color w:val="000000"/>
                <w:lang w:bidi="ar"/>
              </w:rPr>
              <w:t>自制半成品</w:t>
            </w:r>
          </w:p>
        </w:tc>
        <w:tc>
          <w:tcPr>
            <w:tcW w:w="1403" w:type="dxa"/>
            <w:vAlign w:val="center"/>
          </w:tcPr>
          <w:p w14:paraId="77FAE942">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34,174,697.63</w:t>
            </w:r>
          </w:p>
        </w:tc>
        <w:tc>
          <w:tcPr>
            <w:tcW w:w="1260" w:type="dxa"/>
            <w:vAlign w:val="center"/>
          </w:tcPr>
          <w:p w14:paraId="1905D485">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7,240,443.67</w:t>
            </w:r>
          </w:p>
        </w:tc>
        <w:tc>
          <w:tcPr>
            <w:tcW w:w="1403" w:type="dxa"/>
            <w:vAlign w:val="center"/>
          </w:tcPr>
          <w:p w14:paraId="54A9E5FD">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26,934,253.96</w:t>
            </w:r>
          </w:p>
        </w:tc>
        <w:tc>
          <w:tcPr>
            <w:tcW w:w="687" w:type="pct"/>
            <w:vAlign w:val="center"/>
          </w:tcPr>
          <w:p w14:paraId="7E1B1096">
            <w:pPr>
              <w:jc w:val="right"/>
              <w:textAlignment w:val="center"/>
              <w:rPr>
                <w:rFonts w:cs="Times New Roman"/>
                <w:sz w:val="18"/>
                <w:szCs w:val="18"/>
              </w:rPr>
            </w:pPr>
            <w:r>
              <w:rPr>
                <w:rFonts w:cs="Times New Roman"/>
                <w:sz w:val="18"/>
                <w:szCs w:val="18"/>
              </w:rPr>
              <w:t>45,970,269.80</w:t>
            </w:r>
          </w:p>
        </w:tc>
        <w:tc>
          <w:tcPr>
            <w:tcW w:w="719" w:type="pct"/>
            <w:vAlign w:val="center"/>
          </w:tcPr>
          <w:p w14:paraId="424E7D35">
            <w:pPr>
              <w:jc w:val="right"/>
              <w:textAlignment w:val="center"/>
              <w:rPr>
                <w:rFonts w:cs="Times New Roman"/>
                <w:sz w:val="18"/>
                <w:szCs w:val="18"/>
              </w:rPr>
            </w:pPr>
            <w:r>
              <w:rPr>
                <w:rFonts w:cs="Times New Roman"/>
                <w:sz w:val="18"/>
                <w:szCs w:val="18"/>
              </w:rPr>
              <w:t>25,396,190.19</w:t>
            </w:r>
          </w:p>
        </w:tc>
        <w:tc>
          <w:tcPr>
            <w:tcW w:w="687" w:type="pct"/>
            <w:vAlign w:val="center"/>
          </w:tcPr>
          <w:p w14:paraId="0203C4DA">
            <w:pPr>
              <w:jc w:val="right"/>
              <w:textAlignment w:val="center"/>
              <w:rPr>
                <w:rFonts w:cs="Times New Roman"/>
                <w:sz w:val="18"/>
                <w:szCs w:val="18"/>
              </w:rPr>
            </w:pPr>
            <w:r>
              <w:rPr>
                <w:rFonts w:cs="Times New Roman"/>
                <w:sz w:val="18"/>
                <w:szCs w:val="18"/>
              </w:rPr>
              <w:t>20,574,079.61</w:t>
            </w:r>
          </w:p>
        </w:tc>
      </w:tr>
      <w:tr w14:paraId="27F4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168DE0A5">
            <w:pPr>
              <w:textAlignment w:val="top"/>
            </w:pPr>
            <w:r>
              <w:rPr>
                <w:rFonts w:cs="Times New Roman"/>
                <w:color w:val="000000"/>
                <w:lang w:bidi="ar"/>
              </w:rPr>
              <w:t>开发成本</w:t>
            </w:r>
          </w:p>
        </w:tc>
        <w:tc>
          <w:tcPr>
            <w:tcW w:w="1403" w:type="dxa"/>
            <w:vAlign w:val="center"/>
          </w:tcPr>
          <w:p w14:paraId="6E372DFC">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445,781,235.27</w:t>
            </w:r>
          </w:p>
        </w:tc>
        <w:tc>
          <w:tcPr>
            <w:tcW w:w="1260" w:type="dxa"/>
            <w:vAlign w:val="center"/>
          </w:tcPr>
          <w:p w14:paraId="1118AFEB">
            <w:pPr>
              <w:jc w:val="right"/>
              <w:rPr>
                <w:rFonts w:cs="Times New Roman"/>
                <w:color w:val="000000" w:themeColor="text1"/>
                <w:sz w:val="18"/>
                <w:szCs w:val="18"/>
                <w14:textFill>
                  <w14:solidFill>
                    <w14:schemeClr w14:val="tx1"/>
                  </w14:solidFill>
                </w14:textFill>
              </w:rPr>
            </w:pPr>
          </w:p>
        </w:tc>
        <w:tc>
          <w:tcPr>
            <w:tcW w:w="1403" w:type="dxa"/>
            <w:vAlign w:val="center"/>
          </w:tcPr>
          <w:p w14:paraId="2574B7B4">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445,781,235.27</w:t>
            </w:r>
          </w:p>
        </w:tc>
        <w:tc>
          <w:tcPr>
            <w:tcW w:w="687" w:type="pct"/>
            <w:vAlign w:val="center"/>
          </w:tcPr>
          <w:p w14:paraId="094D1430">
            <w:pPr>
              <w:jc w:val="right"/>
              <w:textAlignment w:val="center"/>
              <w:rPr>
                <w:rFonts w:cs="Times New Roman"/>
                <w:sz w:val="18"/>
                <w:szCs w:val="18"/>
              </w:rPr>
            </w:pPr>
            <w:r>
              <w:rPr>
                <w:rFonts w:cs="Times New Roman"/>
                <w:sz w:val="18"/>
                <w:szCs w:val="18"/>
              </w:rPr>
              <w:t>363,552,665.70</w:t>
            </w:r>
          </w:p>
        </w:tc>
        <w:tc>
          <w:tcPr>
            <w:tcW w:w="719" w:type="pct"/>
            <w:vAlign w:val="center"/>
          </w:tcPr>
          <w:p w14:paraId="3993E0A5">
            <w:pPr>
              <w:jc w:val="right"/>
              <w:rPr>
                <w:rFonts w:cs="Times New Roman"/>
                <w:sz w:val="18"/>
                <w:szCs w:val="18"/>
              </w:rPr>
            </w:pPr>
          </w:p>
        </w:tc>
        <w:tc>
          <w:tcPr>
            <w:tcW w:w="687" w:type="pct"/>
            <w:vAlign w:val="center"/>
          </w:tcPr>
          <w:p w14:paraId="0DBBA1AB">
            <w:pPr>
              <w:jc w:val="right"/>
              <w:textAlignment w:val="center"/>
              <w:rPr>
                <w:rFonts w:cs="Times New Roman"/>
                <w:sz w:val="18"/>
                <w:szCs w:val="18"/>
              </w:rPr>
            </w:pPr>
            <w:r>
              <w:rPr>
                <w:rFonts w:cs="Times New Roman"/>
                <w:sz w:val="18"/>
                <w:szCs w:val="18"/>
              </w:rPr>
              <w:t>363,552,665.70</w:t>
            </w:r>
          </w:p>
        </w:tc>
      </w:tr>
      <w:tr w14:paraId="14CD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6CA3FE5D">
            <w:pPr>
              <w:textAlignment w:val="top"/>
            </w:pPr>
            <w:r>
              <w:rPr>
                <w:rFonts w:cs="Times New Roman"/>
                <w:color w:val="000000"/>
                <w:lang w:bidi="ar"/>
              </w:rPr>
              <w:t>开发产品</w:t>
            </w:r>
          </w:p>
        </w:tc>
        <w:tc>
          <w:tcPr>
            <w:tcW w:w="1403" w:type="dxa"/>
            <w:vAlign w:val="center"/>
          </w:tcPr>
          <w:p w14:paraId="6454CC86">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15,623,223.99</w:t>
            </w:r>
          </w:p>
        </w:tc>
        <w:tc>
          <w:tcPr>
            <w:tcW w:w="1260" w:type="dxa"/>
            <w:vAlign w:val="center"/>
          </w:tcPr>
          <w:p w14:paraId="1D8F7F64">
            <w:pPr>
              <w:jc w:val="right"/>
              <w:rPr>
                <w:rFonts w:cs="Times New Roman"/>
                <w:color w:val="000000" w:themeColor="text1"/>
                <w:sz w:val="18"/>
                <w:szCs w:val="18"/>
                <w14:textFill>
                  <w14:solidFill>
                    <w14:schemeClr w14:val="tx1"/>
                  </w14:solidFill>
                </w14:textFill>
              </w:rPr>
            </w:pPr>
          </w:p>
        </w:tc>
        <w:tc>
          <w:tcPr>
            <w:tcW w:w="1403" w:type="dxa"/>
            <w:vAlign w:val="center"/>
          </w:tcPr>
          <w:p w14:paraId="2F36D895">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15,623,223.99</w:t>
            </w:r>
          </w:p>
        </w:tc>
        <w:tc>
          <w:tcPr>
            <w:tcW w:w="687" w:type="pct"/>
            <w:vAlign w:val="center"/>
          </w:tcPr>
          <w:p w14:paraId="2F39381F">
            <w:pPr>
              <w:jc w:val="right"/>
              <w:textAlignment w:val="center"/>
              <w:rPr>
                <w:rFonts w:cs="Times New Roman"/>
                <w:sz w:val="18"/>
                <w:szCs w:val="18"/>
              </w:rPr>
            </w:pPr>
            <w:r>
              <w:rPr>
                <w:rFonts w:cs="Times New Roman"/>
                <w:sz w:val="18"/>
                <w:szCs w:val="18"/>
              </w:rPr>
              <w:t>15,623,223.99</w:t>
            </w:r>
          </w:p>
        </w:tc>
        <w:tc>
          <w:tcPr>
            <w:tcW w:w="719" w:type="pct"/>
            <w:vAlign w:val="center"/>
          </w:tcPr>
          <w:p w14:paraId="459E3555">
            <w:pPr>
              <w:jc w:val="right"/>
              <w:rPr>
                <w:rFonts w:cs="Times New Roman"/>
                <w:sz w:val="18"/>
                <w:szCs w:val="18"/>
              </w:rPr>
            </w:pPr>
          </w:p>
        </w:tc>
        <w:tc>
          <w:tcPr>
            <w:tcW w:w="687" w:type="pct"/>
            <w:vAlign w:val="center"/>
          </w:tcPr>
          <w:p w14:paraId="1741A5CF">
            <w:pPr>
              <w:jc w:val="right"/>
              <w:textAlignment w:val="center"/>
              <w:rPr>
                <w:rFonts w:cs="Times New Roman"/>
                <w:sz w:val="18"/>
                <w:szCs w:val="18"/>
              </w:rPr>
            </w:pPr>
            <w:r>
              <w:rPr>
                <w:rFonts w:cs="Times New Roman"/>
                <w:sz w:val="18"/>
                <w:szCs w:val="18"/>
              </w:rPr>
              <w:t>15,623,223.99</w:t>
            </w:r>
          </w:p>
        </w:tc>
      </w:tr>
      <w:tr w14:paraId="1B1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83" w:type="pct"/>
          </w:tcPr>
          <w:p w14:paraId="09A5A53B">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03" w:type="dxa"/>
            <w:vAlign w:val="center"/>
          </w:tcPr>
          <w:p w14:paraId="5068897C">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3,076,951,989.20</w:t>
            </w:r>
          </w:p>
        </w:tc>
        <w:tc>
          <w:tcPr>
            <w:tcW w:w="1260" w:type="dxa"/>
            <w:vAlign w:val="center"/>
          </w:tcPr>
          <w:p w14:paraId="14D0B354">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637,035,717.14</w:t>
            </w:r>
          </w:p>
        </w:tc>
        <w:tc>
          <w:tcPr>
            <w:tcW w:w="1403" w:type="dxa"/>
            <w:vAlign w:val="center"/>
          </w:tcPr>
          <w:p w14:paraId="37B1E424">
            <w:pPr>
              <w:jc w:val="right"/>
              <w:textAlignment w:val="center"/>
              <w:rPr>
                <w:rFonts w:cs="Times New Roman"/>
                <w:color w:val="000000" w:themeColor="text1"/>
                <w:sz w:val="18"/>
                <w:szCs w:val="18"/>
                <w14:textFill>
                  <w14:solidFill>
                    <w14:schemeClr w14:val="tx1"/>
                  </w14:solidFill>
                </w14:textFill>
              </w:rPr>
            </w:pPr>
            <w:r>
              <w:rPr>
                <w:rFonts w:eastAsia="Arial Narrow" w:cs="Times New Roman"/>
                <w:color w:val="000000"/>
                <w:sz w:val="18"/>
                <w:szCs w:val="18"/>
                <w:lang w:bidi="ar"/>
              </w:rPr>
              <w:t>2,439,916,272.06</w:t>
            </w:r>
          </w:p>
        </w:tc>
        <w:tc>
          <w:tcPr>
            <w:tcW w:w="687" w:type="pct"/>
            <w:vAlign w:val="center"/>
          </w:tcPr>
          <w:p w14:paraId="06C8D326">
            <w:pPr>
              <w:jc w:val="right"/>
              <w:textAlignment w:val="center"/>
              <w:rPr>
                <w:rFonts w:cs="Times New Roman"/>
                <w:sz w:val="18"/>
                <w:szCs w:val="18"/>
              </w:rPr>
            </w:pPr>
            <w:r>
              <w:rPr>
                <w:rFonts w:cs="Times New Roman"/>
                <w:sz w:val="18"/>
                <w:szCs w:val="18"/>
              </w:rPr>
              <w:t>3,433,944,602.24</w:t>
            </w:r>
          </w:p>
        </w:tc>
        <w:tc>
          <w:tcPr>
            <w:tcW w:w="719" w:type="pct"/>
            <w:vAlign w:val="center"/>
          </w:tcPr>
          <w:p w14:paraId="792ED742">
            <w:pPr>
              <w:jc w:val="right"/>
              <w:textAlignment w:val="center"/>
              <w:rPr>
                <w:rFonts w:cs="Times New Roman"/>
                <w:sz w:val="18"/>
                <w:szCs w:val="18"/>
              </w:rPr>
            </w:pPr>
            <w:r>
              <w:rPr>
                <w:rFonts w:cs="Times New Roman"/>
                <w:sz w:val="18"/>
                <w:szCs w:val="18"/>
              </w:rPr>
              <w:t>810,587,419.94</w:t>
            </w:r>
          </w:p>
        </w:tc>
        <w:tc>
          <w:tcPr>
            <w:tcW w:w="687" w:type="pct"/>
            <w:vAlign w:val="center"/>
          </w:tcPr>
          <w:p w14:paraId="7809273F">
            <w:pPr>
              <w:jc w:val="right"/>
              <w:textAlignment w:val="center"/>
              <w:rPr>
                <w:rFonts w:cs="Times New Roman"/>
                <w:sz w:val="18"/>
                <w:szCs w:val="18"/>
              </w:rPr>
            </w:pPr>
            <w:r>
              <w:rPr>
                <w:rFonts w:cs="Times New Roman"/>
                <w:sz w:val="18"/>
                <w:szCs w:val="18"/>
              </w:rPr>
              <w:t>2,623,357,182.30</w:t>
            </w:r>
          </w:p>
        </w:tc>
      </w:tr>
    </w:tbl>
    <w:p w14:paraId="0E239505">
      <w:pPr>
        <w:rPr>
          <w:color w:val="000000" w:themeColor="text1"/>
          <w14:textFill>
            <w14:solidFill>
              <w14:schemeClr w14:val="tx1"/>
            </w14:solidFill>
          </w14:textFill>
        </w:rPr>
      </w:pPr>
    </w:p>
    <w:p w14:paraId="54770D91">
      <w:pPr>
        <w:rPr>
          <w:color w:val="000000" w:themeColor="text1"/>
          <w14:textFill>
            <w14:solidFill>
              <w14:schemeClr w14:val="tx1"/>
            </w14:solidFill>
          </w14:textFill>
        </w:rPr>
      </w:pPr>
    </w:p>
    <w:bookmarkEnd w:id="257"/>
    <w:p w14:paraId="59069D13">
      <w:pPr>
        <w:pStyle w:val="58"/>
        <w:numPr>
          <w:ilvl w:val="0"/>
          <w:numId w:val="6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确认为存货的数据资源</w:t>
      </w:r>
    </w:p>
    <w:sdt>
      <w:sdtPr>
        <w:rPr>
          <w:rFonts w:hint="eastAsia"/>
          <w:color w:val="000000" w:themeColor="text1"/>
          <w14:textFill>
            <w14:solidFill>
              <w14:schemeClr w14:val="tx1"/>
            </w14:solidFill>
          </w14:textFill>
        </w:rPr>
        <w:alias w:val="是否适用：确认为存货的数据资源[双击切换]"/>
        <w:tag w:val="_GBC_b3f6ef82894a4eb29036b70065be8671"/>
        <w:id w:val="147458330"/>
        <w:placeholder>
          <w:docPart w:val="GBC22222222222222222222222222222"/>
        </w:placeholder>
      </w:sdtPr>
      <w:sdtEndPr>
        <w:rPr>
          <w:rFonts w:hint="eastAsia"/>
          <w:color w:val="000000" w:themeColor="text1"/>
          <w14:textFill>
            <w14:solidFill>
              <w14:schemeClr w14:val="tx1"/>
            </w14:solidFill>
          </w14:textFill>
        </w:rPr>
      </w:sdtEndPr>
      <w:sdtContent>
        <w:p w14:paraId="05674E6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3376FD">
      <w:pPr>
        <w:rPr>
          <w:color w:val="000000" w:themeColor="text1"/>
          <w14:textFill>
            <w14:solidFill>
              <w14:schemeClr w14:val="tx1"/>
            </w14:solidFill>
          </w14:textFill>
        </w:rPr>
      </w:pPr>
    </w:p>
    <w:p w14:paraId="3243C6D9">
      <w:pPr>
        <w:rPr>
          <w:color w:val="000000" w:themeColor="text1"/>
          <w14:textFill>
            <w14:solidFill>
              <w14:schemeClr w14:val="tx1"/>
            </w14:solidFill>
          </w14:textFill>
        </w:rPr>
      </w:pPr>
    </w:p>
    <w:p w14:paraId="339C6F53">
      <w:pPr>
        <w:rPr>
          <w:color w:val="000000" w:themeColor="text1"/>
          <w14:textFill>
            <w14:solidFill>
              <w14:schemeClr w14:val="tx1"/>
            </w14:solidFill>
          </w14:textFill>
        </w:rPr>
      </w:pPr>
    </w:p>
    <w:p w14:paraId="716E2CCA">
      <w:pPr>
        <w:pStyle w:val="58"/>
        <w:numPr>
          <w:ilvl w:val="0"/>
          <w:numId w:val="63"/>
        </w:numPr>
        <w:tabs>
          <w:tab w:val="left" w:pos="630"/>
        </w:tabs>
        <w:rPr>
          <w:rFonts w:ascii="宋体" w:hAnsi="宋体"/>
          <w:color w:val="000000" w:themeColor="text1"/>
          <w14:textFill>
            <w14:solidFill>
              <w14:schemeClr w14:val="tx1"/>
            </w14:solidFill>
          </w14:textFill>
        </w:rPr>
      </w:pPr>
      <w:bookmarkStart w:id="258" w:name="_Hlk10470459"/>
      <w:r>
        <w:rPr>
          <w:rFonts w:hint="eastAsia" w:ascii="宋体" w:hAnsi="宋体"/>
          <w:color w:val="000000" w:themeColor="text1"/>
          <w14:textFill>
            <w14:solidFill>
              <w14:schemeClr w14:val="tx1"/>
            </w14:solidFill>
          </w14:textFill>
        </w:rPr>
        <w:t>存货跌价准备及合同履约成本减值准备</w:t>
      </w:r>
    </w:p>
    <w:sdt>
      <w:sdtPr>
        <w:rPr>
          <w:color w:val="000000" w:themeColor="text1"/>
          <w14:textFill>
            <w14:solidFill>
              <w14:schemeClr w14:val="tx1"/>
            </w14:solidFill>
          </w14:textFill>
        </w:rPr>
        <w:alias w:val="是否适用：存货跌价准备[双击切换]"/>
        <w:tag w:val="_GBC_b9bd4a0fa089468ebded8bb61a86fbae"/>
        <w:id w:val="147453638"/>
        <w:placeholder>
          <w:docPart w:val="GBC22222222222222222222222222222"/>
        </w:placeholder>
      </w:sdtPr>
      <w:sdtEndPr>
        <w:rPr>
          <w:color w:val="000000" w:themeColor="text1"/>
          <w14:textFill>
            <w14:solidFill>
              <w14:schemeClr w14:val="tx1"/>
            </w14:solidFill>
          </w14:textFill>
        </w:rPr>
      </w:sdtEndPr>
      <w:sdtContent>
        <w:p w14:paraId="384A638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2169F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存货跌价准备"/>
          <w:tag w:val="_GBC_42225a9505da4f598594afea08f9738b"/>
          <w:id w:val="14748294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存货跌价准备"/>
          <w:tag w:val="_GBC_4de434e29d00482b8b3175d1e7874ff2"/>
          <w:id w:val="1474830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2"/>
        <w:gridCol w:w="2142"/>
        <w:gridCol w:w="1920"/>
        <w:gridCol w:w="1553"/>
        <w:gridCol w:w="2258"/>
        <w:gridCol w:w="2106"/>
        <w:gridCol w:w="2258"/>
      </w:tblGrid>
      <w:tr w14:paraId="489E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sdt>
          <w:sdtPr>
            <w:tag w:val="_PLD_08d27e088675483b81e6b09cfaf565b8"/>
            <w:id w:val="147456517"/>
          </w:sdtPr>
          <w:sdtContent>
            <w:tc>
              <w:tcPr>
                <w:tcW w:w="657" w:type="pct"/>
                <w:vMerge w:val="restart"/>
                <w:tcBorders>
                  <w:top w:val="single" w:color="auto" w:sz="4" w:space="0"/>
                  <w:left w:val="single" w:color="auto" w:sz="4" w:space="0"/>
                  <w:bottom w:val="single" w:color="auto" w:sz="4" w:space="0"/>
                  <w:right w:val="single" w:color="auto" w:sz="4" w:space="0"/>
                </w:tcBorders>
                <w:vAlign w:val="center"/>
              </w:tcPr>
              <w:p w14:paraId="5FF1248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31ae60526c9437f842913d632c47f24"/>
            <w:id w:val="147474694"/>
          </w:sdtPr>
          <w:sdtContent>
            <w:tc>
              <w:tcPr>
                <w:tcW w:w="760" w:type="pct"/>
                <w:vMerge w:val="restart"/>
                <w:tcBorders>
                  <w:top w:val="single" w:color="auto" w:sz="4" w:space="0"/>
                  <w:left w:val="single" w:color="auto" w:sz="4" w:space="0"/>
                  <w:bottom w:val="single" w:color="auto" w:sz="4" w:space="0"/>
                  <w:right w:val="single" w:color="auto" w:sz="4" w:space="0"/>
                </w:tcBorders>
                <w:vAlign w:val="center"/>
              </w:tcPr>
              <w:p w14:paraId="17C442C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bc39054479074b8ab34cb8519780a5f1"/>
            <w:id w:val="147451194"/>
          </w:sdtPr>
          <w:sdtContent>
            <w:tc>
              <w:tcPr>
                <w:tcW w:w="1232" w:type="pct"/>
                <w:gridSpan w:val="2"/>
                <w:tcBorders>
                  <w:top w:val="single" w:color="auto" w:sz="4" w:space="0"/>
                  <w:left w:val="single" w:color="auto" w:sz="4" w:space="0"/>
                  <w:right w:val="single" w:color="auto" w:sz="4" w:space="0"/>
                </w:tcBorders>
                <w:vAlign w:val="center"/>
              </w:tcPr>
              <w:p w14:paraId="1EC5D13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本期增加金额</w:t>
                </w:r>
              </w:p>
            </w:tc>
          </w:sdtContent>
        </w:sdt>
        <w:sdt>
          <w:sdtPr>
            <w:tag w:val="_PLD_a4a235b43e524c0c98a604df05693747"/>
            <w:id w:val="147478597"/>
          </w:sdtPr>
          <w:sdtContent>
            <w:tc>
              <w:tcPr>
                <w:tcW w:w="1548" w:type="pct"/>
                <w:gridSpan w:val="2"/>
                <w:tcBorders>
                  <w:top w:val="single" w:color="auto" w:sz="4" w:space="0"/>
                  <w:left w:val="single" w:color="auto" w:sz="4" w:space="0"/>
                  <w:right w:val="single" w:color="auto" w:sz="4" w:space="0"/>
                </w:tcBorders>
                <w:vAlign w:val="center"/>
              </w:tcPr>
              <w:p w14:paraId="6773BD2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本期减少金额</w:t>
                </w:r>
              </w:p>
            </w:tc>
          </w:sdtContent>
        </w:sdt>
        <w:sdt>
          <w:sdtPr>
            <w:tag w:val="_PLD_fcea706dd57f438c8205de888401e160"/>
            <w:id w:val="147457600"/>
          </w:sdtPr>
          <w:sdtContent>
            <w:tc>
              <w:tcPr>
                <w:tcW w:w="801" w:type="pct"/>
                <w:vMerge w:val="restart"/>
                <w:tcBorders>
                  <w:top w:val="single" w:color="auto" w:sz="4" w:space="0"/>
                  <w:left w:val="single" w:color="auto" w:sz="4" w:space="0"/>
                  <w:bottom w:val="single" w:color="auto" w:sz="4" w:space="0"/>
                  <w:right w:val="single" w:color="auto" w:sz="4" w:space="0"/>
                </w:tcBorders>
                <w:vAlign w:val="center"/>
              </w:tcPr>
              <w:p w14:paraId="2FD9585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2A80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57" w:type="pct"/>
            <w:vMerge w:val="continue"/>
            <w:tcBorders>
              <w:top w:val="single" w:color="auto" w:sz="4" w:space="0"/>
              <w:left w:val="single" w:color="auto" w:sz="4" w:space="0"/>
              <w:bottom w:val="single" w:color="auto" w:sz="4" w:space="0"/>
              <w:right w:val="single" w:color="auto" w:sz="4" w:space="0"/>
            </w:tcBorders>
          </w:tcPr>
          <w:p w14:paraId="4752D735">
            <w:pPr>
              <w:jc w:val="center"/>
              <w:rPr>
                <w:color w:val="000000" w:themeColor="text1"/>
                <w14:textFill>
                  <w14:solidFill>
                    <w14:schemeClr w14:val="tx1"/>
                  </w14:solidFill>
                </w14:textFill>
              </w:rPr>
            </w:pPr>
          </w:p>
        </w:tc>
        <w:tc>
          <w:tcPr>
            <w:tcW w:w="760" w:type="pct"/>
            <w:vMerge w:val="continue"/>
            <w:tcBorders>
              <w:top w:val="single" w:color="auto" w:sz="4" w:space="0"/>
              <w:left w:val="single" w:color="auto" w:sz="4" w:space="0"/>
              <w:bottom w:val="single" w:color="auto" w:sz="4" w:space="0"/>
              <w:right w:val="single" w:color="auto" w:sz="4" w:space="0"/>
            </w:tcBorders>
          </w:tcPr>
          <w:p w14:paraId="1DA90499">
            <w:pPr>
              <w:jc w:val="center"/>
              <w:rPr>
                <w:color w:val="000000" w:themeColor="text1"/>
                <w14:textFill>
                  <w14:solidFill>
                    <w14:schemeClr w14:val="tx1"/>
                  </w14:solidFill>
                </w14:textFill>
              </w:rPr>
            </w:pPr>
          </w:p>
        </w:tc>
        <w:sdt>
          <w:sdtPr>
            <w:tag w:val="_PLD_9355443eafab4f4a862c075a55d7e279"/>
            <w:id w:val="147459273"/>
          </w:sdtPr>
          <w:sdtContent>
            <w:tc>
              <w:tcPr>
                <w:tcW w:w="681" w:type="pct"/>
                <w:tcBorders>
                  <w:left w:val="single" w:color="auto" w:sz="4" w:space="0"/>
                  <w:bottom w:val="single" w:color="auto" w:sz="4" w:space="0"/>
                  <w:right w:val="single" w:color="auto" w:sz="4" w:space="0"/>
                </w:tcBorders>
                <w:vAlign w:val="center"/>
              </w:tcPr>
              <w:p w14:paraId="1EA24B4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w:t>
                </w:r>
              </w:p>
            </w:tc>
          </w:sdtContent>
        </w:sdt>
        <w:sdt>
          <w:sdtPr>
            <w:tag w:val="_PLD_e67cdd42c79245c980edb6a9d839ecd0"/>
            <w:id w:val="147451476"/>
          </w:sdtPr>
          <w:sdtContent>
            <w:tc>
              <w:tcPr>
                <w:tcW w:w="551" w:type="pct"/>
                <w:tcBorders>
                  <w:left w:val="single" w:color="auto" w:sz="4" w:space="0"/>
                  <w:bottom w:val="single" w:color="auto" w:sz="4" w:space="0"/>
                  <w:right w:val="single" w:color="auto" w:sz="4" w:space="0"/>
                </w:tcBorders>
                <w:vAlign w:val="center"/>
              </w:tcPr>
              <w:p w14:paraId="2C3D4A3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sdt>
          <w:sdtPr>
            <w:tag w:val="_PLD_d2a5b409858c40b5a77dea8d7f7c8500"/>
            <w:id w:val="147469967"/>
          </w:sdtPr>
          <w:sdtContent>
            <w:tc>
              <w:tcPr>
                <w:tcW w:w="801" w:type="pct"/>
                <w:tcBorders>
                  <w:top w:val="single" w:color="auto" w:sz="4" w:space="0"/>
                  <w:left w:val="single" w:color="auto" w:sz="4" w:space="0"/>
                  <w:bottom w:val="single" w:color="auto" w:sz="4" w:space="0"/>
                  <w:right w:val="single" w:color="auto" w:sz="4" w:space="0"/>
                </w:tcBorders>
                <w:vAlign w:val="center"/>
              </w:tcPr>
              <w:p w14:paraId="151FAA1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转回或转销</w:t>
                </w:r>
              </w:p>
            </w:tc>
          </w:sdtContent>
        </w:sdt>
        <w:sdt>
          <w:sdtPr>
            <w:tag w:val="_PLD_a0a39eeb19a049d18a777b0dc41ab25e"/>
            <w:id w:val="147452507"/>
          </w:sdtPr>
          <w:sdtContent>
            <w:tc>
              <w:tcPr>
                <w:tcW w:w="747" w:type="pct"/>
                <w:tcBorders>
                  <w:top w:val="single" w:color="auto" w:sz="4" w:space="0"/>
                  <w:left w:val="single" w:color="auto" w:sz="4" w:space="0"/>
                  <w:bottom w:val="single" w:color="auto" w:sz="4" w:space="0"/>
                  <w:right w:val="single" w:color="auto" w:sz="4" w:space="0"/>
                </w:tcBorders>
                <w:vAlign w:val="center"/>
              </w:tcPr>
              <w:p w14:paraId="15F77AE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801" w:type="pct"/>
            <w:vMerge w:val="continue"/>
            <w:tcBorders>
              <w:top w:val="single" w:color="auto" w:sz="4" w:space="0"/>
              <w:left w:val="single" w:color="auto" w:sz="4" w:space="0"/>
              <w:bottom w:val="single" w:color="auto" w:sz="4" w:space="0"/>
              <w:right w:val="single" w:color="auto" w:sz="4" w:space="0"/>
            </w:tcBorders>
            <w:vAlign w:val="center"/>
          </w:tcPr>
          <w:p w14:paraId="47D03E39">
            <w:pPr>
              <w:jc w:val="center"/>
              <w:rPr>
                <w:color w:val="000000" w:themeColor="text1"/>
                <w14:textFill>
                  <w14:solidFill>
                    <w14:schemeClr w14:val="tx1"/>
                  </w14:solidFill>
                </w14:textFill>
              </w:rPr>
            </w:pPr>
          </w:p>
        </w:tc>
      </w:tr>
      <w:tr w14:paraId="6AF8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2AE9612E">
            <w:pPr>
              <w:rPr>
                <w:color w:val="000000" w:themeColor="text1"/>
                <w14:textFill>
                  <w14:solidFill>
                    <w14:schemeClr w14:val="tx1"/>
                  </w14:solidFill>
                </w14:textFill>
              </w:rPr>
            </w:pPr>
            <w:r>
              <w:rPr>
                <w:rFonts w:hint="eastAsia"/>
                <w:color w:val="000000" w:themeColor="text1"/>
                <w14:textFill>
                  <w14:solidFill>
                    <w14:schemeClr w14:val="tx1"/>
                  </w14:solidFill>
                </w14:textFill>
              </w:rPr>
              <w:t>原材料</w:t>
            </w:r>
          </w:p>
        </w:tc>
        <w:tc>
          <w:tcPr>
            <w:tcW w:w="760" w:type="pct"/>
            <w:tcBorders>
              <w:top w:val="single" w:color="auto" w:sz="4" w:space="0"/>
              <w:left w:val="single" w:color="auto" w:sz="4" w:space="0"/>
              <w:bottom w:val="single" w:color="auto" w:sz="4" w:space="0"/>
              <w:right w:val="single" w:color="auto" w:sz="4" w:space="0"/>
            </w:tcBorders>
            <w:vAlign w:val="center"/>
          </w:tcPr>
          <w:p w14:paraId="0CAE3E98">
            <w:pPr>
              <w:jc w:val="right"/>
              <w:textAlignment w:val="center"/>
              <w:rPr>
                <w:rFonts w:cs="Times New Roman"/>
                <w:sz w:val="18"/>
                <w:szCs w:val="18"/>
              </w:rPr>
            </w:pPr>
            <w:r>
              <w:rPr>
                <w:rFonts w:eastAsia="Arial Narrow" w:cs="Times New Roman"/>
                <w:color w:val="000000"/>
                <w:sz w:val="18"/>
                <w:szCs w:val="18"/>
                <w:lang w:bidi="ar"/>
              </w:rPr>
              <w:t>115,615,145.55</w:t>
            </w:r>
          </w:p>
        </w:tc>
        <w:tc>
          <w:tcPr>
            <w:tcW w:w="681" w:type="pct"/>
            <w:tcBorders>
              <w:top w:val="single" w:color="auto" w:sz="4" w:space="0"/>
              <w:left w:val="single" w:color="auto" w:sz="4" w:space="0"/>
              <w:bottom w:val="single" w:color="auto" w:sz="4" w:space="0"/>
              <w:right w:val="single" w:color="auto" w:sz="4" w:space="0"/>
            </w:tcBorders>
            <w:vAlign w:val="center"/>
          </w:tcPr>
          <w:p w14:paraId="7029408F">
            <w:pPr>
              <w:jc w:val="right"/>
              <w:textAlignment w:val="center"/>
              <w:rPr>
                <w:rFonts w:cs="Times New Roman"/>
                <w:sz w:val="18"/>
                <w:szCs w:val="18"/>
              </w:rPr>
            </w:pPr>
            <w:r>
              <w:rPr>
                <w:rFonts w:eastAsia="Arial Narrow" w:cs="Times New Roman"/>
                <w:color w:val="000000"/>
                <w:sz w:val="18"/>
                <w:szCs w:val="18"/>
                <w:lang w:bidi="ar"/>
              </w:rPr>
              <w:t>2,884,309.98</w:t>
            </w:r>
          </w:p>
        </w:tc>
        <w:tc>
          <w:tcPr>
            <w:tcW w:w="551" w:type="pct"/>
            <w:tcBorders>
              <w:top w:val="single" w:color="auto" w:sz="4" w:space="0"/>
              <w:left w:val="single" w:color="auto" w:sz="4" w:space="0"/>
              <w:bottom w:val="single" w:color="auto" w:sz="4" w:space="0"/>
              <w:right w:val="single" w:color="auto" w:sz="4" w:space="0"/>
            </w:tcBorders>
            <w:vAlign w:val="center"/>
          </w:tcPr>
          <w:p w14:paraId="081B5E36">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08BA1471">
            <w:pPr>
              <w:jc w:val="right"/>
              <w:textAlignment w:val="center"/>
              <w:rPr>
                <w:rFonts w:cs="Times New Roman"/>
                <w:sz w:val="18"/>
                <w:szCs w:val="18"/>
              </w:rPr>
            </w:pPr>
            <w:r>
              <w:rPr>
                <w:rFonts w:eastAsia="Arial Narrow" w:cs="Times New Roman"/>
                <w:color w:val="000000"/>
                <w:sz w:val="18"/>
                <w:szCs w:val="18"/>
                <w:lang w:bidi="ar"/>
              </w:rPr>
              <w:t>20,593,851.96</w:t>
            </w:r>
          </w:p>
        </w:tc>
        <w:tc>
          <w:tcPr>
            <w:tcW w:w="747" w:type="pct"/>
            <w:tcBorders>
              <w:top w:val="single" w:color="auto" w:sz="4" w:space="0"/>
              <w:left w:val="single" w:color="auto" w:sz="4" w:space="0"/>
              <w:bottom w:val="single" w:color="auto" w:sz="4" w:space="0"/>
              <w:right w:val="single" w:color="auto" w:sz="4" w:space="0"/>
            </w:tcBorders>
            <w:vAlign w:val="center"/>
          </w:tcPr>
          <w:p w14:paraId="3FD8C4AB">
            <w:pPr>
              <w:jc w:val="right"/>
              <w:textAlignment w:val="center"/>
              <w:rPr>
                <w:rFonts w:cs="Times New Roman"/>
                <w:sz w:val="18"/>
                <w:szCs w:val="18"/>
              </w:rPr>
            </w:pPr>
            <w:r>
              <w:rPr>
                <w:rFonts w:eastAsia="Arial Narrow" w:cs="Times New Roman"/>
                <w:color w:val="000000"/>
                <w:sz w:val="18"/>
                <w:szCs w:val="18"/>
                <w:lang w:bidi="ar"/>
              </w:rPr>
              <w:t>3,534,234.79</w:t>
            </w:r>
          </w:p>
        </w:tc>
        <w:tc>
          <w:tcPr>
            <w:tcW w:w="801" w:type="pct"/>
            <w:tcBorders>
              <w:top w:val="single" w:color="auto" w:sz="4" w:space="0"/>
              <w:left w:val="single" w:color="auto" w:sz="4" w:space="0"/>
              <w:bottom w:val="single" w:color="auto" w:sz="4" w:space="0"/>
              <w:right w:val="single" w:color="auto" w:sz="4" w:space="0"/>
            </w:tcBorders>
            <w:vAlign w:val="center"/>
          </w:tcPr>
          <w:p w14:paraId="3BFE7E3E">
            <w:pPr>
              <w:jc w:val="right"/>
              <w:textAlignment w:val="center"/>
              <w:rPr>
                <w:rFonts w:cs="Times New Roman"/>
                <w:sz w:val="18"/>
                <w:szCs w:val="18"/>
              </w:rPr>
            </w:pPr>
            <w:r>
              <w:rPr>
                <w:rFonts w:eastAsia="Arial Narrow" w:cs="Times New Roman"/>
                <w:color w:val="000000"/>
                <w:sz w:val="18"/>
                <w:szCs w:val="18"/>
                <w:lang w:bidi="ar"/>
              </w:rPr>
              <w:t>94,371,368.78</w:t>
            </w:r>
          </w:p>
        </w:tc>
      </w:tr>
      <w:tr w14:paraId="6CAD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026E15C8">
            <w:pPr>
              <w:rPr>
                <w:color w:val="000000" w:themeColor="text1"/>
                <w14:textFill>
                  <w14:solidFill>
                    <w14:schemeClr w14:val="tx1"/>
                  </w14:solidFill>
                </w14:textFill>
              </w:rPr>
            </w:pPr>
            <w:r>
              <w:rPr>
                <w:rFonts w:hint="eastAsia"/>
                <w:color w:val="000000" w:themeColor="text1"/>
                <w14:textFill>
                  <w14:solidFill>
                    <w14:schemeClr w14:val="tx1"/>
                  </w14:solidFill>
                </w14:textFill>
              </w:rPr>
              <w:t>在产品</w:t>
            </w:r>
          </w:p>
        </w:tc>
        <w:tc>
          <w:tcPr>
            <w:tcW w:w="760" w:type="pct"/>
            <w:tcBorders>
              <w:top w:val="single" w:color="auto" w:sz="4" w:space="0"/>
              <w:left w:val="single" w:color="auto" w:sz="4" w:space="0"/>
              <w:bottom w:val="single" w:color="auto" w:sz="4" w:space="0"/>
              <w:right w:val="single" w:color="auto" w:sz="4" w:space="0"/>
            </w:tcBorders>
            <w:vAlign w:val="center"/>
          </w:tcPr>
          <w:p w14:paraId="04FE67E3">
            <w:pPr>
              <w:jc w:val="right"/>
              <w:textAlignment w:val="center"/>
              <w:rPr>
                <w:rFonts w:cs="Times New Roman"/>
                <w:sz w:val="18"/>
                <w:szCs w:val="18"/>
              </w:rPr>
            </w:pPr>
            <w:r>
              <w:rPr>
                <w:rFonts w:eastAsia="Arial Narrow" w:cs="Times New Roman"/>
                <w:color w:val="000000"/>
                <w:sz w:val="18"/>
                <w:szCs w:val="18"/>
                <w:lang w:bidi="ar"/>
              </w:rPr>
              <w:t>4,795,834.59</w:t>
            </w:r>
          </w:p>
        </w:tc>
        <w:tc>
          <w:tcPr>
            <w:tcW w:w="681" w:type="pct"/>
            <w:tcBorders>
              <w:top w:val="single" w:color="auto" w:sz="4" w:space="0"/>
              <w:left w:val="single" w:color="auto" w:sz="4" w:space="0"/>
              <w:bottom w:val="single" w:color="auto" w:sz="4" w:space="0"/>
              <w:right w:val="single" w:color="auto" w:sz="4" w:space="0"/>
            </w:tcBorders>
            <w:vAlign w:val="center"/>
          </w:tcPr>
          <w:p w14:paraId="2C082563">
            <w:pPr>
              <w:jc w:val="right"/>
              <w:rPr>
                <w:rFonts w:cs="Times New Roman"/>
                <w:sz w:val="18"/>
                <w:szCs w:val="18"/>
              </w:rPr>
            </w:pPr>
          </w:p>
        </w:tc>
        <w:tc>
          <w:tcPr>
            <w:tcW w:w="551" w:type="pct"/>
            <w:tcBorders>
              <w:top w:val="single" w:color="auto" w:sz="4" w:space="0"/>
              <w:left w:val="single" w:color="auto" w:sz="4" w:space="0"/>
              <w:bottom w:val="single" w:color="auto" w:sz="4" w:space="0"/>
              <w:right w:val="single" w:color="auto" w:sz="4" w:space="0"/>
            </w:tcBorders>
            <w:vAlign w:val="center"/>
          </w:tcPr>
          <w:p w14:paraId="7FE8A44B">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658DE678">
            <w:pPr>
              <w:jc w:val="right"/>
              <w:rPr>
                <w:rFonts w:cs="Times New Roman"/>
                <w:sz w:val="18"/>
                <w:szCs w:val="18"/>
              </w:rPr>
            </w:pPr>
          </w:p>
        </w:tc>
        <w:tc>
          <w:tcPr>
            <w:tcW w:w="747" w:type="pct"/>
            <w:tcBorders>
              <w:top w:val="single" w:color="auto" w:sz="4" w:space="0"/>
              <w:left w:val="single" w:color="auto" w:sz="4" w:space="0"/>
              <w:right w:val="single" w:color="auto" w:sz="4" w:space="0"/>
            </w:tcBorders>
            <w:vAlign w:val="center"/>
          </w:tcPr>
          <w:p w14:paraId="30600914">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376581A9">
            <w:pPr>
              <w:jc w:val="right"/>
              <w:textAlignment w:val="center"/>
              <w:rPr>
                <w:rFonts w:cs="Times New Roman"/>
                <w:sz w:val="18"/>
                <w:szCs w:val="18"/>
              </w:rPr>
            </w:pPr>
            <w:r>
              <w:rPr>
                <w:rFonts w:eastAsia="Arial Narrow" w:cs="Times New Roman"/>
                <w:color w:val="000000"/>
                <w:sz w:val="18"/>
                <w:szCs w:val="18"/>
                <w:lang w:bidi="ar"/>
              </w:rPr>
              <w:t>4,795,834.59</w:t>
            </w:r>
          </w:p>
        </w:tc>
      </w:tr>
      <w:tr w14:paraId="2EB3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590D1033">
            <w:pPr>
              <w:rPr>
                <w:color w:val="000000" w:themeColor="text1"/>
                <w14:textFill>
                  <w14:solidFill>
                    <w14:schemeClr w14:val="tx1"/>
                  </w14:solidFill>
                </w14:textFill>
              </w:rPr>
            </w:pPr>
            <w:r>
              <w:rPr>
                <w:rFonts w:hint="eastAsia"/>
                <w:color w:val="000000" w:themeColor="text1"/>
                <w14:textFill>
                  <w14:solidFill>
                    <w14:schemeClr w14:val="tx1"/>
                  </w14:solidFill>
                </w14:textFill>
              </w:rPr>
              <w:t>库存商品</w:t>
            </w:r>
          </w:p>
        </w:tc>
        <w:tc>
          <w:tcPr>
            <w:tcW w:w="760" w:type="pct"/>
            <w:tcBorders>
              <w:top w:val="single" w:color="auto" w:sz="4" w:space="0"/>
              <w:left w:val="single" w:color="auto" w:sz="4" w:space="0"/>
              <w:bottom w:val="single" w:color="auto" w:sz="4" w:space="0"/>
              <w:right w:val="single" w:color="auto" w:sz="4" w:space="0"/>
            </w:tcBorders>
            <w:vAlign w:val="center"/>
          </w:tcPr>
          <w:p w14:paraId="796BC0B5">
            <w:pPr>
              <w:jc w:val="right"/>
              <w:textAlignment w:val="center"/>
              <w:rPr>
                <w:rFonts w:cs="Times New Roman"/>
                <w:sz w:val="18"/>
                <w:szCs w:val="18"/>
              </w:rPr>
            </w:pPr>
            <w:r>
              <w:rPr>
                <w:rFonts w:eastAsia="Arial Narrow" w:cs="Times New Roman"/>
                <w:color w:val="000000"/>
                <w:sz w:val="18"/>
                <w:szCs w:val="18"/>
                <w:lang w:bidi="ar"/>
              </w:rPr>
              <w:t>598,909,251.18</w:t>
            </w:r>
          </w:p>
        </w:tc>
        <w:tc>
          <w:tcPr>
            <w:tcW w:w="681" w:type="pct"/>
            <w:tcBorders>
              <w:top w:val="single" w:color="auto" w:sz="4" w:space="0"/>
              <w:left w:val="single" w:color="auto" w:sz="4" w:space="0"/>
              <w:bottom w:val="single" w:color="auto" w:sz="4" w:space="0"/>
              <w:right w:val="single" w:color="auto" w:sz="4" w:space="0"/>
            </w:tcBorders>
            <w:vAlign w:val="center"/>
          </w:tcPr>
          <w:p w14:paraId="4568D481">
            <w:pPr>
              <w:jc w:val="right"/>
              <w:textAlignment w:val="center"/>
              <w:rPr>
                <w:rFonts w:cs="Times New Roman"/>
                <w:sz w:val="18"/>
                <w:szCs w:val="18"/>
              </w:rPr>
            </w:pPr>
            <w:r>
              <w:rPr>
                <w:rFonts w:eastAsia="Arial Narrow" w:cs="Times New Roman"/>
                <w:color w:val="000000"/>
                <w:sz w:val="18"/>
                <w:szCs w:val="18"/>
                <w:lang w:bidi="ar"/>
              </w:rPr>
              <w:t>14,624,680.64</w:t>
            </w:r>
          </w:p>
        </w:tc>
        <w:tc>
          <w:tcPr>
            <w:tcW w:w="551" w:type="pct"/>
            <w:tcBorders>
              <w:top w:val="single" w:color="auto" w:sz="4" w:space="0"/>
              <w:left w:val="single" w:color="auto" w:sz="4" w:space="0"/>
              <w:bottom w:val="single" w:color="auto" w:sz="4" w:space="0"/>
              <w:right w:val="single" w:color="auto" w:sz="4" w:space="0"/>
            </w:tcBorders>
            <w:vAlign w:val="center"/>
          </w:tcPr>
          <w:p w14:paraId="7D2E79B6">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0FF2BC34">
            <w:pPr>
              <w:jc w:val="right"/>
              <w:textAlignment w:val="center"/>
              <w:rPr>
                <w:rFonts w:cs="Times New Roman"/>
                <w:sz w:val="18"/>
                <w:szCs w:val="18"/>
              </w:rPr>
            </w:pPr>
            <w:r>
              <w:rPr>
                <w:rFonts w:eastAsia="Arial Narrow" w:cs="Times New Roman"/>
                <w:color w:val="000000"/>
                <w:sz w:val="18"/>
                <w:szCs w:val="18"/>
                <w:lang w:bidi="ar"/>
              </w:rPr>
              <w:t>78,686,723.39</w:t>
            </w:r>
          </w:p>
        </w:tc>
        <w:tc>
          <w:tcPr>
            <w:tcW w:w="747" w:type="pct"/>
            <w:tcBorders>
              <w:left w:val="single" w:color="auto" w:sz="4" w:space="0"/>
              <w:right w:val="single" w:color="auto" w:sz="4" w:space="0"/>
            </w:tcBorders>
            <w:vAlign w:val="center"/>
          </w:tcPr>
          <w:p w14:paraId="2E30F8AA">
            <w:pPr>
              <w:jc w:val="right"/>
              <w:textAlignment w:val="center"/>
              <w:rPr>
                <w:rFonts w:cs="Times New Roman"/>
                <w:sz w:val="18"/>
                <w:szCs w:val="18"/>
              </w:rPr>
            </w:pPr>
            <w:r>
              <w:rPr>
                <w:rFonts w:eastAsia="Arial Narrow" w:cs="Times New Roman"/>
                <w:color w:val="000000"/>
                <w:sz w:val="18"/>
                <w:szCs w:val="18"/>
                <w:lang w:bidi="ar"/>
              </w:rPr>
              <w:t>70,091,788.25</w:t>
            </w:r>
          </w:p>
        </w:tc>
        <w:tc>
          <w:tcPr>
            <w:tcW w:w="801" w:type="pct"/>
            <w:tcBorders>
              <w:top w:val="single" w:color="auto" w:sz="4" w:space="0"/>
              <w:left w:val="single" w:color="auto" w:sz="4" w:space="0"/>
              <w:bottom w:val="single" w:color="auto" w:sz="4" w:space="0"/>
              <w:right w:val="single" w:color="auto" w:sz="4" w:space="0"/>
            </w:tcBorders>
            <w:vAlign w:val="center"/>
          </w:tcPr>
          <w:p w14:paraId="6C133CBB">
            <w:pPr>
              <w:jc w:val="right"/>
              <w:textAlignment w:val="center"/>
              <w:rPr>
                <w:rFonts w:cs="Times New Roman"/>
                <w:sz w:val="18"/>
                <w:szCs w:val="18"/>
              </w:rPr>
            </w:pPr>
            <w:r>
              <w:rPr>
                <w:rFonts w:eastAsia="Arial Narrow" w:cs="Times New Roman"/>
                <w:color w:val="000000"/>
                <w:sz w:val="18"/>
                <w:szCs w:val="18"/>
                <w:lang w:bidi="ar"/>
              </w:rPr>
              <w:t>464,755,420.18</w:t>
            </w:r>
          </w:p>
        </w:tc>
      </w:tr>
      <w:tr w14:paraId="7C91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3C5E8EBB">
            <w:pPr>
              <w:rPr>
                <w:color w:val="000000" w:themeColor="text1"/>
                <w14:textFill>
                  <w14:solidFill>
                    <w14:schemeClr w14:val="tx1"/>
                  </w14:solidFill>
                </w14:textFill>
              </w:rPr>
            </w:pPr>
            <w:r>
              <w:rPr>
                <w:rFonts w:hint="eastAsia"/>
                <w:color w:val="000000" w:themeColor="text1"/>
                <w14:textFill>
                  <w14:solidFill>
                    <w14:schemeClr w14:val="tx1"/>
                  </w14:solidFill>
                </w14:textFill>
              </w:rPr>
              <w:t>周转材料</w:t>
            </w:r>
          </w:p>
        </w:tc>
        <w:tc>
          <w:tcPr>
            <w:tcW w:w="760" w:type="pct"/>
            <w:tcBorders>
              <w:top w:val="single" w:color="auto" w:sz="4" w:space="0"/>
              <w:left w:val="single" w:color="auto" w:sz="4" w:space="0"/>
              <w:bottom w:val="single" w:color="auto" w:sz="4" w:space="0"/>
              <w:right w:val="single" w:color="auto" w:sz="4" w:space="0"/>
            </w:tcBorders>
            <w:vAlign w:val="center"/>
          </w:tcPr>
          <w:p w14:paraId="7419E0D6">
            <w:pPr>
              <w:jc w:val="right"/>
              <w:rPr>
                <w:rFonts w:cs="Times New Roman"/>
                <w:sz w:val="18"/>
                <w:szCs w:val="18"/>
              </w:rPr>
            </w:pPr>
          </w:p>
        </w:tc>
        <w:tc>
          <w:tcPr>
            <w:tcW w:w="681" w:type="pct"/>
            <w:tcBorders>
              <w:top w:val="single" w:color="auto" w:sz="4" w:space="0"/>
              <w:left w:val="single" w:color="auto" w:sz="4" w:space="0"/>
              <w:bottom w:val="single" w:color="auto" w:sz="4" w:space="0"/>
              <w:right w:val="single" w:color="auto" w:sz="4" w:space="0"/>
            </w:tcBorders>
            <w:vAlign w:val="center"/>
          </w:tcPr>
          <w:p w14:paraId="45729C94">
            <w:pPr>
              <w:jc w:val="right"/>
              <w:textAlignment w:val="center"/>
              <w:rPr>
                <w:rFonts w:cs="Times New Roman"/>
                <w:sz w:val="18"/>
                <w:szCs w:val="18"/>
              </w:rPr>
            </w:pPr>
            <w:r>
              <w:rPr>
                <w:rFonts w:eastAsia="Arial Narrow" w:cs="Times New Roman"/>
                <w:color w:val="000000"/>
                <w:sz w:val="18"/>
                <w:szCs w:val="18"/>
                <w:lang w:bidi="ar"/>
              </w:rPr>
              <w:t>1,651.49</w:t>
            </w:r>
          </w:p>
        </w:tc>
        <w:tc>
          <w:tcPr>
            <w:tcW w:w="551" w:type="pct"/>
            <w:tcBorders>
              <w:top w:val="single" w:color="auto" w:sz="4" w:space="0"/>
              <w:left w:val="single" w:color="auto" w:sz="4" w:space="0"/>
              <w:bottom w:val="single" w:color="auto" w:sz="4" w:space="0"/>
              <w:right w:val="single" w:color="auto" w:sz="4" w:space="0"/>
            </w:tcBorders>
            <w:vAlign w:val="center"/>
          </w:tcPr>
          <w:p w14:paraId="292240A4">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2F6C3479">
            <w:pPr>
              <w:jc w:val="right"/>
              <w:rPr>
                <w:rFonts w:cs="Times New Roman"/>
                <w:sz w:val="18"/>
                <w:szCs w:val="18"/>
              </w:rPr>
            </w:pPr>
          </w:p>
        </w:tc>
        <w:tc>
          <w:tcPr>
            <w:tcW w:w="747" w:type="pct"/>
            <w:tcBorders>
              <w:left w:val="single" w:color="auto" w:sz="4" w:space="0"/>
              <w:right w:val="single" w:color="auto" w:sz="4" w:space="0"/>
            </w:tcBorders>
            <w:vAlign w:val="center"/>
          </w:tcPr>
          <w:p w14:paraId="6577B375">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791B0CF0">
            <w:pPr>
              <w:jc w:val="right"/>
              <w:textAlignment w:val="center"/>
              <w:rPr>
                <w:rFonts w:cs="Times New Roman"/>
                <w:sz w:val="18"/>
                <w:szCs w:val="18"/>
              </w:rPr>
            </w:pPr>
            <w:r>
              <w:rPr>
                <w:rFonts w:eastAsia="Arial Narrow" w:cs="Times New Roman"/>
                <w:color w:val="000000"/>
                <w:sz w:val="18"/>
                <w:szCs w:val="18"/>
                <w:lang w:bidi="ar"/>
              </w:rPr>
              <w:t>1,651.49</w:t>
            </w:r>
          </w:p>
        </w:tc>
      </w:tr>
      <w:tr w14:paraId="017E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35716F03">
            <w:pPr>
              <w:textAlignment w:val="top"/>
              <w:rPr>
                <w:color w:val="000000" w:themeColor="text1"/>
                <w14:textFill>
                  <w14:solidFill>
                    <w14:schemeClr w14:val="tx1"/>
                  </w14:solidFill>
                </w14:textFill>
              </w:rPr>
            </w:pPr>
            <w:r>
              <w:rPr>
                <w:rFonts w:hint="eastAsia" w:ascii="宋体" w:hAnsi="宋体"/>
                <w:color w:val="000000"/>
                <w:lang w:bidi="ar"/>
              </w:rPr>
              <w:t>发出商品</w:t>
            </w:r>
          </w:p>
        </w:tc>
        <w:tc>
          <w:tcPr>
            <w:tcW w:w="760" w:type="pct"/>
            <w:tcBorders>
              <w:top w:val="single" w:color="auto" w:sz="4" w:space="0"/>
              <w:left w:val="single" w:color="auto" w:sz="4" w:space="0"/>
              <w:bottom w:val="single" w:color="auto" w:sz="4" w:space="0"/>
              <w:right w:val="single" w:color="auto" w:sz="4" w:space="0"/>
            </w:tcBorders>
            <w:vAlign w:val="center"/>
          </w:tcPr>
          <w:p w14:paraId="064F36F5">
            <w:pPr>
              <w:jc w:val="right"/>
              <w:textAlignment w:val="center"/>
              <w:rPr>
                <w:rFonts w:cs="Times New Roman"/>
                <w:sz w:val="18"/>
                <w:szCs w:val="18"/>
              </w:rPr>
            </w:pPr>
            <w:r>
              <w:rPr>
                <w:rFonts w:eastAsia="Arial Narrow" w:cs="Times New Roman"/>
                <w:color w:val="000000"/>
                <w:sz w:val="18"/>
                <w:szCs w:val="18"/>
                <w:lang w:bidi="ar"/>
              </w:rPr>
              <w:t>55,355,789.28</w:t>
            </w:r>
          </w:p>
        </w:tc>
        <w:tc>
          <w:tcPr>
            <w:tcW w:w="681" w:type="pct"/>
            <w:tcBorders>
              <w:top w:val="single" w:color="auto" w:sz="4" w:space="0"/>
              <w:left w:val="single" w:color="auto" w:sz="4" w:space="0"/>
              <w:bottom w:val="single" w:color="auto" w:sz="4" w:space="0"/>
              <w:right w:val="single" w:color="auto" w:sz="4" w:space="0"/>
            </w:tcBorders>
            <w:vAlign w:val="center"/>
          </w:tcPr>
          <w:p w14:paraId="71312DE8">
            <w:pPr>
              <w:jc w:val="right"/>
              <w:rPr>
                <w:rFonts w:cs="Times New Roman"/>
                <w:sz w:val="18"/>
                <w:szCs w:val="18"/>
              </w:rPr>
            </w:pPr>
          </w:p>
        </w:tc>
        <w:tc>
          <w:tcPr>
            <w:tcW w:w="551" w:type="pct"/>
            <w:tcBorders>
              <w:top w:val="single" w:color="auto" w:sz="4" w:space="0"/>
              <w:left w:val="single" w:color="auto" w:sz="4" w:space="0"/>
              <w:bottom w:val="single" w:color="auto" w:sz="4" w:space="0"/>
              <w:right w:val="single" w:color="auto" w:sz="4" w:space="0"/>
            </w:tcBorders>
            <w:vAlign w:val="center"/>
          </w:tcPr>
          <w:p w14:paraId="3004A23C">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61C82207">
            <w:pPr>
              <w:jc w:val="right"/>
              <w:rPr>
                <w:rFonts w:cs="Times New Roman"/>
                <w:sz w:val="18"/>
                <w:szCs w:val="18"/>
              </w:rPr>
            </w:pPr>
          </w:p>
        </w:tc>
        <w:tc>
          <w:tcPr>
            <w:tcW w:w="747" w:type="pct"/>
            <w:tcBorders>
              <w:left w:val="single" w:color="auto" w:sz="4" w:space="0"/>
              <w:right w:val="single" w:color="auto" w:sz="4" w:space="0"/>
            </w:tcBorders>
            <w:vAlign w:val="center"/>
          </w:tcPr>
          <w:p w14:paraId="1F917BA0">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143FEE11">
            <w:pPr>
              <w:jc w:val="right"/>
              <w:textAlignment w:val="center"/>
              <w:rPr>
                <w:rFonts w:cs="Times New Roman"/>
                <w:sz w:val="18"/>
                <w:szCs w:val="18"/>
              </w:rPr>
            </w:pPr>
            <w:r>
              <w:rPr>
                <w:rFonts w:eastAsia="Arial Narrow" w:cs="Times New Roman"/>
                <w:color w:val="000000"/>
                <w:sz w:val="18"/>
                <w:szCs w:val="18"/>
                <w:lang w:bidi="ar"/>
              </w:rPr>
              <w:t>55,355,789.28</w:t>
            </w:r>
          </w:p>
        </w:tc>
      </w:tr>
      <w:tr w14:paraId="2DE9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23CB6770">
            <w:pPr>
              <w:textAlignment w:val="top"/>
              <w:rPr>
                <w:color w:val="000000" w:themeColor="text1"/>
                <w14:textFill>
                  <w14:solidFill>
                    <w14:schemeClr w14:val="tx1"/>
                  </w14:solidFill>
                </w14:textFill>
              </w:rPr>
            </w:pPr>
            <w:r>
              <w:rPr>
                <w:rFonts w:hint="eastAsia" w:ascii="宋体" w:hAnsi="宋体"/>
                <w:color w:val="000000"/>
                <w:lang w:bidi="ar"/>
              </w:rPr>
              <w:t>委托加工物资</w:t>
            </w:r>
          </w:p>
        </w:tc>
        <w:tc>
          <w:tcPr>
            <w:tcW w:w="760" w:type="pct"/>
            <w:tcBorders>
              <w:top w:val="single" w:color="auto" w:sz="4" w:space="0"/>
              <w:left w:val="single" w:color="auto" w:sz="4" w:space="0"/>
              <w:bottom w:val="single" w:color="auto" w:sz="4" w:space="0"/>
              <w:right w:val="single" w:color="auto" w:sz="4" w:space="0"/>
            </w:tcBorders>
            <w:vAlign w:val="center"/>
          </w:tcPr>
          <w:p w14:paraId="040F7F19">
            <w:pPr>
              <w:jc w:val="right"/>
              <w:textAlignment w:val="center"/>
              <w:rPr>
                <w:rFonts w:cs="Times New Roman"/>
                <w:sz w:val="18"/>
                <w:szCs w:val="18"/>
              </w:rPr>
            </w:pPr>
            <w:r>
              <w:rPr>
                <w:rFonts w:eastAsia="Arial Narrow" w:cs="Times New Roman"/>
                <w:color w:val="000000"/>
                <w:sz w:val="18"/>
                <w:szCs w:val="18"/>
                <w:lang w:bidi="ar"/>
              </w:rPr>
              <w:t>10,515,209.15</w:t>
            </w:r>
          </w:p>
        </w:tc>
        <w:tc>
          <w:tcPr>
            <w:tcW w:w="681" w:type="pct"/>
            <w:tcBorders>
              <w:top w:val="single" w:color="auto" w:sz="4" w:space="0"/>
              <w:left w:val="single" w:color="auto" w:sz="4" w:space="0"/>
              <w:bottom w:val="single" w:color="auto" w:sz="4" w:space="0"/>
              <w:right w:val="single" w:color="auto" w:sz="4" w:space="0"/>
            </w:tcBorders>
            <w:vAlign w:val="center"/>
          </w:tcPr>
          <w:p w14:paraId="4E020E4B">
            <w:pPr>
              <w:jc w:val="right"/>
              <w:rPr>
                <w:rFonts w:cs="Times New Roman"/>
                <w:sz w:val="18"/>
                <w:szCs w:val="18"/>
              </w:rPr>
            </w:pPr>
          </w:p>
        </w:tc>
        <w:tc>
          <w:tcPr>
            <w:tcW w:w="551" w:type="pct"/>
            <w:tcBorders>
              <w:top w:val="single" w:color="auto" w:sz="4" w:space="0"/>
              <w:left w:val="single" w:color="auto" w:sz="4" w:space="0"/>
              <w:bottom w:val="single" w:color="auto" w:sz="4" w:space="0"/>
              <w:right w:val="single" w:color="auto" w:sz="4" w:space="0"/>
            </w:tcBorders>
            <w:vAlign w:val="center"/>
          </w:tcPr>
          <w:p w14:paraId="33C801AA">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28CC0436">
            <w:pPr>
              <w:jc w:val="right"/>
              <w:rPr>
                <w:rFonts w:cs="Times New Roman"/>
                <w:sz w:val="18"/>
                <w:szCs w:val="18"/>
              </w:rPr>
            </w:pPr>
          </w:p>
        </w:tc>
        <w:tc>
          <w:tcPr>
            <w:tcW w:w="747" w:type="pct"/>
            <w:tcBorders>
              <w:left w:val="single" w:color="auto" w:sz="4" w:space="0"/>
              <w:right w:val="single" w:color="auto" w:sz="4" w:space="0"/>
            </w:tcBorders>
            <w:vAlign w:val="center"/>
          </w:tcPr>
          <w:p w14:paraId="4D80A7C2">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2C3DC145">
            <w:pPr>
              <w:jc w:val="right"/>
              <w:textAlignment w:val="center"/>
              <w:rPr>
                <w:rFonts w:cs="Times New Roman"/>
                <w:sz w:val="18"/>
                <w:szCs w:val="18"/>
              </w:rPr>
            </w:pPr>
            <w:r>
              <w:rPr>
                <w:rFonts w:eastAsia="Arial Narrow" w:cs="Times New Roman"/>
                <w:color w:val="000000"/>
                <w:sz w:val="18"/>
                <w:szCs w:val="18"/>
                <w:lang w:bidi="ar"/>
              </w:rPr>
              <w:t>10,515,209.15</w:t>
            </w:r>
          </w:p>
        </w:tc>
      </w:tr>
      <w:tr w14:paraId="5CC1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70575FA2">
            <w:pPr>
              <w:textAlignment w:val="top"/>
            </w:pPr>
            <w:r>
              <w:rPr>
                <w:rFonts w:hint="eastAsia" w:ascii="宋体" w:hAnsi="宋体"/>
                <w:color w:val="000000"/>
                <w:lang w:bidi="ar"/>
              </w:rPr>
              <w:t>自制半成品</w:t>
            </w:r>
          </w:p>
        </w:tc>
        <w:tc>
          <w:tcPr>
            <w:tcW w:w="760" w:type="pct"/>
            <w:tcBorders>
              <w:top w:val="single" w:color="auto" w:sz="4" w:space="0"/>
              <w:left w:val="single" w:color="auto" w:sz="4" w:space="0"/>
              <w:bottom w:val="single" w:color="auto" w:sz="4" w:space="0"/>
              <w:right w:val="single" w:color="auto" w:sz="4" w:space="0"/>
            </w:tcBorders>
            <w:vAlign w:val="center"/>
          </w:tcPr>
          <w:p w14:paraId="4345F9E6">
            <w:pPr>
              <w:jc w:val="right"/>
              <w:textAlignment w:val="center"/>
              <w:rPr>
                <w:rFonts w:cs="Times New Roman"/>
                <w:sz w:val="18"/>
                <w:szCs w:val="18"/>
              </w:rPr>
            </w:pPr>
            <w:r>
              <w:rPr>
                <w:rFonts w:eastAsia="Arial Narrow" w:cs="Times New Roman"/>
                <w:color w:val="000000"/>
                <w:sz w:val="18"/>
                <w:szCs w:val="18"/>
                <w:lang w:bidi="ar"/>
              </w:rPr>
              <w:t>25,396,190.19</w:t>
            </w:r>
          </w:p>
        </w:tc>
        <w:tc>
          <w:tcPr>
            <w:tcW w:w="681" w:type="pct"/>
            <w:tcBorders>
              <w:top w:val="single" w:color="auto" w:sz="4" w:space="0"/>
              <w:left w:val="single" w:color="auto" w:sz="4" w:space="0"/>
              <w:bottom w:val="single" w:color="auto" w:sz="4" w:space="0"/>
              <w:right w:val="single" w:color="auto" w:sz="4" w:space="0"/>
            </w:tcBorders>
            <w:vAlign w:val="center"/>
          </w:tcPr>
          <w:p w14:paraId="5015D64F">
            <w:pPr>
              <w:jc w:val="right"/>
              <w:rPr>
                <w:rFonts w:cs="Times New Roman"/>
                <w:sz w:val="18"/>
                <w:szCs w:val="18"/>
              </w:rPr>
            </w:pPr>
          </w:p>
        </w:tc>
        <w:tc>
          <w:tcPr>
            <w:tcW w:w="551" w:type="pct"/>
            <w:tcBorders>
              <w:top w:val="single" w:color="auto" w:sz="4" w:space="0"/>
              <w:left w:val="single" w:color="auto" w:sz="4" w:space="0"/>
              <w:bottom w:val="single" w:color="auto" w:sz="4" w:space="0"/>
              <w:right w:val="single" w:color="auto" w:sz="4" w:space="0"/>
            </w:tcBorders>
            <w:vAlign w:val="center"/>
          </w:tcPr>
          <w:p w14:paraId="2E3210D8">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477C3E01">
            <w:pPr>
              <w:jc w:val="right"/>
              <w:textAlignment w:val="center"/>
              <w:rPr>
                <w:rFonts w:cs="Times New Roman"/>
                <w:sz w:val="18"/>
                <w:szCs w:val="18"/>
              </w:rPr>
            </w:pPr>
            <w:r>
              <w:rPr>
                <w:rFonts w:eastAsia="Arial Narrow" w:cs="Times New Roman"/>
                <w:color w:val="000000"/>
                <w:sz w:val="18"/>
                <w:szCs w:val="18"/>
                <w:lang w:bidi="ar"/>
              </w:rPr>
              <w:t>18,155,746.52</w:t>
            </w:r>
          </w:p>
        </w:tc>
        <w:tc>
          <w:tcPr>
            <w:tcW w:w="747" w:type="pct"/>
            <w:tcBorders>
              <w:left w:val="single" w:color="auto" w:sz="4" w:space="0"/>
              <w:right w:val="single" w:color="auto" w:sz="4" w:space="0"/>
            </w:tcBorders>
            <w:vAlign w:val="center"/>
          </w:tcPr>
          <w:p w14:paraId="17DF81FB">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727C89EB">
            <w:pPr>
              <w:jc w:val="right"/>
              <w:textAlignment w:val="center"/>
              <w:rPr>
                <w:rFonts w:cs="Times New Roman"/>
                <w:sz w:val="18"/>
                <w:szCs w:val="18"/>
              </w:rPr>
            </w:pPr>
            <w:r>
              <w:rPr>
                <w:rFonts w:eastAsia="Arial Narrow" w:cs="Times New Roman"/>
                <w:color w:val="000000"/>
                <w:sz w:val="18"/>
                <w:szCs w:val="18"/>
                <w:lang w:bidi="ar"/>
              </w:rPr>
              <w:t>7,240,443.67</w:t>
            </w:r>
          </w:p>
        </w:tc>
      </w:tr>
      <w:tr w14:paraId="5459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0C59E737">
            <w:pPr>
              <w:textAlignment w:val="top"/>
            </w:pPr>
            <w:r>
              <w:rPr>
                <w:rFonts w:cs="Times New Roman"/>
                <w:color w:val="000000"/>
                <w:lang w:bidi="ar"/>
              </w:rPr>
              <w:t>开发成本</w:t>
            </w:r>
          </w:p>
        </w:tc>
        <w:tc>
          <w:tcPr>
            <w:tcW w:w="760" w:type="pct"/>
            <w:tcBorders>
              <w:top w:val="single" w:color="auto" w:sz="4" w:space="0"/>
              <w:left w:val="single" w:color="auto" w:sz="4" w:space="0"/>
              <w:bottom w:val="single" w:color="auto" w:sz="4" w:space="0"/>
              <w:right w:val="single" w:color="auto" w:sz="4" w:space="0"/>
            </w:tcBorders>
            <w:vAlign w:val="center"/>
          </w:tcPr>
          <w:p w14:paraId="10126C27">
            <w:pPr>
              <w:jc w:val="right"/>
              <w:rPr>
                <w:rFonts w:cs="Times New Roman"/>
                <w:sz w:val="18"/>
                <w:szCs w:val="18"/>
              </w:rPr>
            </w:pPr>
          </w:p>
        </w:tc>
        <w:tc>
          <w:tcPr>
            <w:tcW w:w="681" w:type="pct"/>
            <w:tcBorders>
              <w:top w:val="single" w:color="auto" w:sz="4" w:space="0"/>
              <w:left w:val="single" w:color="auto" w:sz="4" w:space="0"/>
              <w:bottom w:val="single" w:color="auto" w:sz="4" w:space="0"/>
              <w:right w:val="single" w:color="auto" w:sz="4" w:space="0"/>
            </w:tcBorders>
            <w:vAlign w:val="center"/>
          </w:tcPr>
          <w:p w14:paraId="49A933EA">
            <w:pPr>
              <w:jc w:val="right"/>
              <w:rPr>
                <w:rFonts w:cs="Times New Roman"/>
                <w:sz w:val="18"/>
                <w:szCs w:val="18"/>
              </w:rPr>
            </w:pPr>
          </w:p>
        </w:tc>
        <w:tc>
          <w:tcPr>
            <w:tcW w:w="551" w:type="pct"/>
            <w:tcBorders>
              <w:top w:val="single" w:color="auto" w:sz="4" w:space="0"/>
              <w:left w:val="single" w:color="auto" w:sz="4" w:space="0"/>
              <w:bottom w:val="single" w:color="auto" w:sz="4" w:space="0"/>
              <w:right w:val="single" w:color="auto" w:sz="4" w:space="0"/>
            </w:tcBorders>
            <w:vAlign w:val="center"/>
          </w:tcPr>
          <w:p w14:paraId="7A00A728">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5334A5B1">
            <w:pPr>
              <w:jc w:val="right"/>
              <w:rPr>
                <w:rFonts w:cs="Times New Roman"/>
                <w:sz w:val="18"/>
                <w:szCs w:val="18"/>
              </w:rPr>
            </w:pPr>
          </w:p>
        </w:tc>
        <w:tc>
          <w:tcPr>
            <w:tcW w:w="747" w:type="pct"/>
            <w:tcBorders>
              <w:left w:val="single" w:color="auto" w:sz="4" w:space="0"/>
              <w:right w:val="single" w:color="auto" w:sz="4" w:space="0"/>
            </w:tcBorders>
            <w:vAlign w:val="center"/>
          </w:tcPr>
          <w:p w14:paraId="5E153BBE">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3624F1D0">
            <w:pPr>
              <w:jc w:val="right"/>
              <w:rPr>
                <w:rFonts w:cs="Times New Roman"/>
                <w:sz w:val="18"/>
                <w:szCs w:val="18"/>
              </w:rPr>
            </w:pPr>
          </w:p>
        </w:tc>
      </w:tr>
      <w:tr w14:paraId="70BC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557F9CB4">
            <w:pPr>
              <w:textAlignment w:val="top"/>
            </w:pPr>
            <w:r>
              <w:rPr>
                <w:rFonts w:cs="Times New Roman"/>
                <w:color w:val="000000"/>
                <w:lang w:bidi="ar"/>
              </w:rPr>
              <w:t>开发产品</w:t>
            </w:r>
          </w:p>
        </w:tc>
        <w:tc>
          <w:tcPr>
            <w:tcW w:w="760" w:type="pct"/>
            <w:tcBorders>
              <w:top w:val="single" w:color="auto" w:sz="4" w:space="0"/>
              <w:left w:val="single" w:color="auto" w:sz="4" w:space="0"/>
              <w:bottom w:val="single" w:color="auto" w:sz="4" w:space="0"/>
              <w:right w:val="single" w:color="auto" w:sz="4" w:space="0"/>
            </w:tcBorders>
            <w:vAlign w:val="center"/>
          </w:tcPr>
          <w:p w14:paraId="1EDE2D35">
            <w:pPr>
              <w:jc w:val="right"/>
              <w:rPr>
                <w:rFonts w:cs="Times New Roman"/>
                <w:sz w:val="18"/>
                <w:szCs w:val="18"/>
              </w:rPr>
            </w:pPr>
          </w:p>
        </w:tc>
        <w:tc>
          <w:tcPr>
            <w:tcW w:w="681" w:type="pct"/>
            <w:tcBorders>
              <w:top w:val="single" w:color="auto" w:sz="4" w:space="0"/>
              <w:left w:val="single" w:color="auto" w:sz="4" w:space="0"/>
              <w:bottom w:val="single" w:color="auto" w:sz="4" w:space="0"/>
              <w:right w:val="single" w:color="auto" w:sz="4" w:space="0"/>
            </w:tcBorders>
            <w:vAlign w:val="center"/>
          </w:tcPr>
          <w:p w14:paraId="487C3DD3">
            <w:pPr>
              <w:jc w:val="right"/>
              <w:rPr>
                <w:rFonts w:cs="Times New Roman"/>
                <w:sz w:val="18"/>
                <w:szCs w:val="18"/>
              </w:rPr>
            </w:pPr>
          </w:p>
        </w:tc>
        <w:tc>
          <w:tcPr>
            <w:tcW w:w="551" w:type="pct"/>
            <w:tcBorders>
              <w:top w:val="single" w:color="auto" w:sz="4" w:space="0"/>
              <w:left w:val="single" w:color="auto" w:sz="4" w:space="0"/>
              <w:bottom w:val="single" w:color="auto" w:sz="4" w:space="0"/>
              <w:right w:val="single" w:color="auto" w:sz="4" w:space="0"/>
            </w:tcBorders>
            <w:vAlign w:val="center"/>
          </w:tcPr>
          <w:p w14:paraId="0FD03DD3">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11A09E7C">
            <w:pPr>
              <w:jc w:val="right"/>
              <w:rPr>
                <w:rFonts w:cs="Times New Roman"/>
                <w:sz w:val="18"/>
                <w:szCs w:val="18"/>
              </w:rPr>
            </w:pPr>
          </w:p>
        </w:tc>
        <w:tc>
          <w:tcPr>
            <w:tcW w:w="747" w:type="pct"/>
            <w:tcBorders>
              <w:left w:val="single" w:color="auto" w:sz="4" w:space="0"/>
              <w:right w:val="single" w:color="auto" w:sz="4" w:space="0"/>
            </w:tcBorders>
            <w:vAlign w:val="center"/>
          </w:tcPr>
          <w:p w14:paraId="5111BD45">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171299E7">
            <w:pPr>
              <w:jc w:val="right"/>
              <w:rPr>
                <w:rFonts w:cs="Times New Roman"/>
                <w:sz w:val="18"/>
                <w:szCs w:val="18"/>
              </w:rPr>
            </w:pPr>
          </w:p>
        </w:tc>
      </w:tr>
      <w:tr w14:paraId="1C4C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7" w:type="pct"/>
            <w:tcBorders>
              <w:top w:val="single" w:color="auto" w:sz="4" w:space="0"/>
              <w:left w:val="single" w:color="auto" w:sz="4" w:space="0"/>
              <w:bottom w:val="single" w:color="auto" w:sz="4" w:space="0"/>
              <w:right w:val="single" w:color="auto" w:sz="4" w:space="0"/>
            </w:tcBorders>
          </w:tcPr>
          <w:p w14:paraId="259805E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60" w:type="pct"/>
            <w:tcBorders>
              <w:top w:val="single" w:color="auto" w:sz="4" w:space="0"/>
              <w:left w:val="single" w:color="auto" w:sz="4" w:space="0"/>
              <w:bottom w:val="single" w:color="auto" w:sz="4" w:space="0"/>
              <w:right w:val="single" w:color="auto" w:sz="4" w:space="0"/>
            </w:tcBorders>
            <w:vAlign w:val="center"/>
          </w:tcPr>
          <w:p w14:paraId="068DE212">
            <w:pPr>
              <w:jc w:val="right"/>
              <w:textAlignment w:val="center"/>
              <w:rPr>
                <w:rFonts w:cs="Times New Roman"/>
                <w:sz w:val="18"/>
                <w:szCs w:val="18"/>
              </w:rPr>
            </w:pPr>
            <w:r>
              <w:rPr>
                <w:rFonts w:eastAsia="Arial Narrow" w:cs="Times New Roman"/>
                <w:color w:val="000000"/>
                <w:sz w:val="18"/>
                <w:szCs w:val="18"/>
                <w:lang w:bidi="ar"/>
              </w:rPr>
              <w:t>810,587,419.94</w:t>
            </w:r>
          </w:p>
        </w:tc>
        <w:tc>
          <w:tcPr>
            <w:tcW w:w="681" w:type="pct"/>
            <w:tcBorders>
              <w:top w:val="single" w:color="auto" w:sz="4" w:space="0"/>
              <w:left w:val="single" w:color="auto" w:sz="4" w:space="0"/>
              <w:bottom w:val="single" w:color="auto" w:sz="4" w:space="0"/>
              <w:right w:val="single" w:color="auto" w:sz="4" w:space="0"/>
            </w:tcBorders>
            <w:vAlign w:val="center"/>
          </w:tcPr>
          <w:p w14:paraId="210EF319">
            <w:pPr>
              <w:jc w:val="right"/>
              <w:textAlignment w:val="center"/>
              <w:rPr>
                <w:rFonts w:cs="Times New Roman"/>
                <w:sz w:val="18"/>
                <w:szCs w:val="18"/>
              </w:rPr>
            </w:pPr>
            <w:r>
              <w:rPr>
                <w:rFonts w:eastAsia="Arial Narrow" w:cs="Times New Roman"/>
                <w:color w:val="000000"/>
                <w:sz w:val="18"/>
                <w:szCs w:val="18"/>
                <w:lang w:bidi="ar"/>
              </w:rPr>
              <w:t>17,510,642.11</w:t>
            </w:r>
          </w:p>
        </w:tc>
        <w:tc>
          <w:tcPr>
            <w:tcW w:w="551" w:type="pct"/>
            <w:tcBorders>
              <w:top w:val="single" w:color="auto" w:sz="4" w:space="0"/>
              <w:left w:val="single" w:color="auto" w:sz="4" w:space="0"/>
              <w:bottom w:val="single" w:color="auto" w:sz="4" w:space="0"/>
              <w:right w:val="single" w:color="auto" w:sz="4" w:space="0"/>
            </w:tcBorders>
            <w:vAlign w:val="center"/>
          </w:tcPr>
          <w:p w14:paraId="5E98CA39">
            <w:pPr>
              <w:jc w:val="right"/>
              <w:rPr>
                <w:rFonts w:cs="Times New Roman"/>
                <w:sz w:val="18"/>
                <w:szCs w:val="18"/>
              </w:rPr>
            </w:pPr>
          </w:p>
        </w:tc>
        <w:tc>
          <w:tcPr>
            <w:tcW w:w="801" w:type="pct"/>
            <w:tcBorders>
              <w:top w:val="single" w:color="auto" w:sz="4" w:space="0"/>
              <w:left w:val="single" w:color="auto" w:sz="4" w:space="0"/>
              <w:bottom w:val="single" w:color="auto" w:sz="4" w:space="0"/>
              <w:right w:val="single" w:color="auto" w:sz="4" w:space="0"/>
            </w:tcBorders>
            <w:vAlign w:val="center"/>
          </w:tcPr>
          <w:p w14:paraId="3AADAA7D">
            <w:pPr>
              <w:jc w:val="right"/>
              <w:textAlignment w:val="center"/>
              <w:rPr>
                <w:rFonts w:cs="Times New Roman"/>
                <w:sz w:val="18"/>
                <w:szCs w:val="18"/>
              </w:rPr>
            </w:pPr>
            <w:r>
              <w:rPr>
                <w:rFonts w:eastAsia="Arial Narrow" w:cs="Times New Roman"/>
                <w:color w:val="000000"/>
                <w:sz w:val="18"/>
                <w:szCs w:val="18"/>
                <w:lang w:bidi="ar"/>
              </w:rPr>
              <w:t>117,436,321.87</w:t>
            </w:r>
          </w:p>
        </w:tc>
        <w:tc>
          <w:tcPr>
            <w:tcW w:w="747" w:type="pct"/>
            <w:tcBorders>
              <w:left w:val="single" w:color="auto" w:sz="4" w:space="0"/>
              <w:bottom w:val="single" w:color="auto" w:sz="4" w:space="0"/>
              <w:right w:val="single" w:color="auto" w:sz="4" w:space="0"/>
            </w:tcBorders>
            <w:vAlign w:val="center"/>
          </w:tcPr>
          <w:p w14:paraId="365F21B6">
            <w:pPr>
              <w:jc w:val="right"/>
              <w:textAlignment w:val="center"/>
              <w:rPr>
                <w:rFonts w:cs="Times New Roman"/>
                <w:sz w:val="18"/>
                <w:szCs w:val="18"/>
              </w:rPr>
            </w:pPr>
            <w:r>
              <w:rPr>
                <w:rFonts w:eastAsia="Arial Narrow" w:cs="Times New Roman"/>
                <w:color w:val="000000"/>
                <w:sz w:val="18"/>
                <w:szCs w:val="18"/>
                <w:lang w:bidi="ar"/>
              </w:rPr>
              <w:t>73,626,023.04</w:t>
            </w:r>
          </w:p>
        </w:tc>
        <w:tc>
          <w:tcPr>
            <w:tcW w:w="801" w:type="pct"/>
            <w:tcBorders>
              <w:top w:val="single" w:color="auto" w:sz="4" w:space="0"/>
              <w:left w:val="single" w:color="auto" w:sz="4" w:space="0"/>
              <w:bottom w:val="single" w:color="auto" w:sz="4" w:space="0"/>
              <w:right w:val="single" w:color="auto" w:sz="4" w:space="0"/>
            </w:tcBorders>
            <w:vAlign w:val="center"/>
          </w:tcPr>
          <w:p w14:paraId="67382ECC">
            <w:pPr>
              <w:jc w:val="right"/>
              <w:textAlignment w:val="center"/>
              <w:rPr>
                <w:rFonts w:cs="Times New Roman"/>
                <w:sz w:val="18"/>
                <w:szCs w:val="18"/>
              </w:rPr>
            </w:pPr>
            <w:r>
              <w:rPr>
                <w:rFonts w:eastAsia="Arial Narrow" w:cs="Times New Roman"/>
                <w:color w:val="000000"/>
                <w:sz w:val="18"/>
                <w:szCs w:val="18"/>
                <w:lang w:bidi="ar"/>
              </w:rPr>
              <w:t>637,035,717.14</w:t>
            </w:r>
          </w:p>
        </w:tc>
      </w:tr>
    </w:tbl>
    <w:p w14:paraId="3EE23C63">
      <w:pPr>
        <w:rPr>
          <w:color w:val="000000" w:themeColor="text1"/>
          <w14:textFill>
            <w14:solidFill>
              <w14:schemeClr w14:val="tx1"/>
            </w14:solidFill>
          </w14:textFill>
        </w:rPr>
      </w:pPr>
    </w:p>
    <w:bookmarkEnd w:id="258"/>
    <w:p w14:paraId="34022955">
      <w:pPr>
        <w:rPr>
          <w:color w:val="000000" w:themeColor="text1"/>
          <w14:textFill>
            <w14:solidFill>
              <w14:schemeClr w14:val="tx1"/>
            </w14:solidFill>
          </w14:textFill>
        </w:rPr>
      </w:pPr>
      <w:bookmarkStart w:id="259" w:name="_Hlk167891635"/>
      <w:r>
        <w:rPr>
          <w:color w:val="000000" w:themeColor="text1"/>
          <w14:textFill>
            <w14:solidFill>
              <w14:schemeClr w14:val="tx1"/>
            </w14:solidFill>
          </w14:textFill>
        </w:rPr>
        <w:t>本期转回或转销存货跌价准备的原因</w:t>
      </w:r>
    </w:p>
    <w:sdt>
      <w:sdtPr>
        <w:rPr>
          <w:color w:val="000000" w:themeColor="text1"/>
          <w14:textFill>
            <w14:solidFill>
              <w14:schemeClr w14:val="tx1"/>
            </w14:solidFill>
          </w14:textFill>
        </w:rPr>
        <w:alias w:val="是否适用：本期转回或转销存货跌价准备的原因[双击切换]"/>
        <w:tag w:val="_GBC_e27c6ef344f148c18ae56422278eafd6"/>
        <w:id w:val="147468365"/>
        <w:placeholder>
          <w:docPart w:val="GBC22222222222222222222222222222"/>
        </w:placeholder>
      </w:sdtPr>
      <w:sdtEndPr>
        <w:rPr>
          <w:color w:val="000000" w:themeColor="text1"/>
          <w14:textFill>
            <w14:solidFill>
              <w14:schemeClr w14:val="tx1"/>
            </w14:solidFill>
          </w14:textFill>
        </w:rPr>
      </w:sdtEndPr>
      <w:sdtContent>
        <w:p w14:paraId="35E54B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本期转回或转销存货跌价准备的原因"/>
        <w:tag w:val="_GBC_b6115b54c210477298ccbc4d1a5a3bfc"/>
        <w:id w:val="147478016"/>
        <w:placeholder>
          <w:docPart w:val="GBC22222222222222222222222222222"/>
        </w:placeholder>
      </w:sdtPr>
      <w:sdtEndPr>
        <w:rPr>
          <w:color w:val="000000" w:themeColor="text1"/>
          <w14:textFill>
            <w14:solidFill>
              <w14:schemeClr w14:val="tx1"/>
            </w14:solidFill>
          </w14:textFill>
        </w:rPr>
      </w:sdtEndPr>
      <w:sdtContent>
        <w:p w14:paraId="13DFD70F">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本期将已计提存货跌价准备的存货耗用、售出。</w:t>
          </w:r>
        </w:p>
      </w:sdtContent>
    </w:sdt>
    <w:p w14:paraId="171B54C7">
      <w:pPr>
        <w:rPr>
          <w:color w:val="000000" w:themeColor="text1"/>
          <w14:textFill>
            <w14:solidFill>
              <w14:schemeClr w14:val="tx1"/>
            </w14:solidFill>
          </w14:textFill>
        </w:rPr>
      </w:pPr>
    </w:p>
    <w:p w14:paraId="7052E425">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按组合计提存货跌价准备</w:t>
      </w:r>
    </w:p>
    <w:sdt>
      <w:sdtPr>
        <w:rPr>
          <w:color w:val="000000" w:themeColor="text1"/>
          <w14:textFill>
            <w14:solidFill>
              <w14:schemeClr w14:val="tx1"/>
            </w14:solidFill>
          </w14:textFill>
        </w:rPr>
        <w:alias w:val="是否适用：按组合计提存货跌价准备[双击切换]"/>
        <w:tag w:val="_GBC_f0fab92eec8647d68c06a12b3bc75549"/>
        <w:id w:val="147483548"/>
        <w:placeholder>
          <w:docPart w:val="GBC22222222222222222222222222222"/>
        </w:placeholder>
      </w:sdtPr>
      <w:sdtEndPr>
        <w:rPr>
          <w:color w:val="000000" w:themeColor="text1"/>
          <w14:textFill>
            <w14:solidFill>
              <w14:schemeClr w14:val="tx1"/>
            </w14:solidFill>
          </w14:textFill>
        </w:rPr>
      </w:sdtEndPr>
      <w:sdtContent>
        <w:p w14:paraId="6F97B26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CA1697">
      <w:pPr>
        <w:rPr>
          <w:color w:val="000000" w:themeColor="text1"/>
          <w14:textFill>
            <w14:solidFill>
              <w14:schemeClr w14:val="tx1"/>
            </w14:solidFill>
          </w14:textFill>
        </w:rPr>
      </w:pPr>
    </w:p>
    <w:p w14:paraId="2CAEF52E">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按组合计提存货跌价准备的计提标准</w:t>
      </w:r>
    </w:p>
    <w:sdt>
      <w:sdtPr>
        <w:rPr>
          <w:color w:val="000000" w:themeColor="text1"/>
          <w14:textFill>
            <w14:solidFill>
              <w14:schemeClr w14:val="tx1"/>
            </w14:solidFill>
          </w14:textFill>
        </w:rPr>
        <w:alias w:val="是否适用：按组合计提存货跌价准备的计提标准[双击切换]"/>
        <w:tag w:val="_GBC_d204ec862c304c1f8d4ec4644591e14e"/>
        <w:id w:val="147482299"/>
        <w:placeholder>
          <w:docPart w:val="GBC22222222222222222222222222222"/>
        </w:placeholder>
      </w:sdtPr>
      <w:sdtEndPr>
        <w:rPr>
          <w:color w:val="000000" w:themeColor="text1"/>
          <w14:textFill>
            <w14:solidFill>
              <w14:schemeClr w14:val="tx1"/>
            </w14:solidFill>
          </w14:textFill>
        </w:rPr>
      </w:sdtEndPr>
      <w:sdtContent>
        <w:p w14:paraId="79D339B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7C6FCD">
      <w:pPr>
        <w:rPr>
          <w:color w:val="000000" w:themeColor="text1"/>
          <w14:textFill>
            <w14:solidFill>
              <w14:schemeClr w14:val="tx1"/>
            </w14:solidFill>
          </w14:textFill>
        </w:rPr>
      </w:pPr>
    </w:p>
    <w:bookmarkEnd w:id="259"/>
    <w:p w14:paraId="343E952C">
      <w:pPr>
        <w:pStyle w:val="58"/>
        <w:numPr>
          <w:ilvl w:val="0"/>
          <w:numId w:val="63"/>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存货期末余额含有的借款费用资本化金额及其计算标准和依据</w:t>
      </w:r>
    </w:p>
    <w:sdt>
      <w:sdtPr>
        <w:rPr>
          <w:rFonts w:hint="eastAsia"/>
          <w:color w:val="000000" w:themeColor="text1"/>
          <w14:textFill>
            <w14:solidFill>
              <w14:schemeClr w14:val="tx1"/>
            </w14:solidFill>
          </w14:textFill>
        </w:rPr>
        <w:alias w:val="是否适用：存货期末余额含有借款费用资本化金额的说明[双击切换]"/>
        <w:tag w:val="_GBC_c4216db560c643b38b29d44401d464c9"/>
        <w:id w:val="147460442"/>
        <w:placeholder>
          <w:docPart w:val="GBC22222222222222222222222222222"/>
        </w:placeholder>
      </w:sdtPr>
      <w:sdtEndPr>
        <w:rPr>
          <w:rFonts w:hint="eastAsia"/>
          <w:color w:val="000000" w:themeColor="text1"/>
          <w14:textFill>
            <w14:solidFill>
              <w14:schemeClr w14:val="tx1"/>
            </w14:solidFill>
          </w14:textFill>
        </w:rPr>
      </w:sdtEndPr>
      <w:sdtContent>
        <w:p w14:paraId="165B0F58">
          <w:pPr>
            <w:ind w:firstLine="420" w:firstLineChars="20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8E27F8">
      <w:pPr>
        <w:rPr>
          <w:color w:val="000000" w:themeColor="text1"/>
          <w14:textFill>
            <w14:solidFill>
              <w14:schemeClr w14:val="tx1"/>
            </w14:solidFill>
          </w14:textFill>
        </w:rPr>
      </w:pPr>
    </w:p>
    <w:p w14:paraId="63313DE2">
      <w:pPr>
        <w:pStyle w:val="58"/>
        <w:numPr>
          <w:ilvl w:val="0"/>
          <w:numId w:val="63"/>
        </w:numPr>
        <w:tabs>
          <w:tab w:val="left" w:pos="630"/>
        </w:tabs>
        <w:rPr>
          <w:rFonts w:ascii="宋体" w:hAnsi="宋体"/>
          <w:color w:val="000000" w:themeColor="text1"/>
          <w14:textFill>
            <w14:solidFill>
              <w14:schemeClr w14:val="tx1"/>
            </w14:solidFill>
          </w14:textFill>
        </w:rPr>
      </w:pPr>
      <w:bookmarkStart w:id="260" w:name="_Hlk10470641"/>
      <w:r>
        <w:rPr>
          <w:rFonts w:hint="eastAsia" w:ascii="宋体" w:hAnsi="宋体"/>
          <w:color w:val="000000" w:themeColor="text1"/>
          <w14:textFill>
            <w14:solidFill>
              <w14:schemeClr w14:val="tx1"/>
            </w14:solidFill>
          </w14:textFill>
        </w:rPr>
        <w:t>合同履约成本本期摊销金额的说明</w:t>
      </w:r>
    </w:p>
    <w:sdt>
      <w:sdtPr>
        <w:rPr>
          <w:color w:val="000000" w:themeColor="text1"/>
          <w14:textFill>
            <w14:solidFill>
              <w14:schemeClr w14:val="tx1"/>
            </w14:solidFill>
          </w14:textFill>
        </w:rPr>
        <w:alias w:val="是否适用：合同履约成本本期摊销金额的说明[双击切换]"/>
        <w:tag w:val="_GBC_cd3513a7790e48d4a2a156e8ad6a629a"/>
        <w:id w:val="147451981"/>
        <w:placeholder>
          <w:docPart w:val="GBC22222222222222222222222222222"/>
        </w:placeholder>
      </w:sdtPr>
      <w:sdtEndPr>
        <w:rPr>
          <w:color w:val="000000" w:themeColor="text1"/>
          <w14:textFill>
            <w14:solidFill>
              <w14:schemeClr w14:val="tx1"/>
            </w14:solidFill>
          </w14:textFill>
        </w:rPr>
      </w:sdtEndPr>
      <w:sdtContent>
        <w:p w14:paraId="44E2D37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60"/>
    <w:p w14:paraId="09C739CB">
      <w:pPr>
        <w:rPr>
          <w:color w:val="000000" w:themeColor="text1"/>
          <w14:textFill>
            <w14:solidFill>
              <w14:schemeClr w14:val="tx1"/>
            </w14:solidFill>
          </w14:textFill>
        </w:rPr>
      </w:pPr>
    </w:p>
    <w:p w14:paraId="0B7EC54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存货的其他说明[双击切换]"/>
        <w:tag w:val="_GBC_bd31680428a448ecb64fdd4cbab90a42"/>
        <w:id w:val="147461487"/>
        <w:placeholder>
          <w:docPart w:val="GBC22222222222222222222222222222"/>
        </w:placeholder>
      </w:sdtPr>
      <w:sdtEndPr>
        <w:rPr>
          <w:color w:val="000000" w:themeColor="text1"/>
          <w14:textFill>
            <w14:solidFill>
              <w14:schemeClr w14:val="tx1"/>
            </w14:solidFill>
          </w14:textFill>
        </w:rPr>
      </w:sdtEndPr>
      <w:sdtContent>
        <w:p w14:paraId="3410A4E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存货的说明"/>
        <w:tag w:val="_GBC_ad879cdee72f496fb83dd2f40a910e28"/>
        <w:id w:val="147462425"/>
        <w:placeholder>
          <w:docPart w:val="{503833e8-437e-4ecf-9419-794de4febf9c}"/>
        </w:placeholder>
      </w:sdtPr>
      <w:sdtEndPr>
        <w:rPr>
          <w:color w:val="000000" w:themeColor="text1"/>
          <w14:textFill>
            <w14:solidFill>
              <w14:schemeClr w14:val="tx1"/>
            </w14:solidFill>
          </w14:textFill>
        </w:rPr>
      </w:sdtEndPr>
      <w:sdtContent>
        <w:p w14:paraId="2491CDD4">
          <w:pPr>
            <w:rPr>
              <w:color w:val="000000" w:themeColor="text1"/>
              <w14:textFill>
                <w14:solidFill>
                  <w14:schemeClr w14:val="tx1"/>
                </w14:solidFill>
              </w14:textFill>
            </w:rPr>
          </w:pPr>
          <w:r>
            <w:rPr>
              <w:rFonts w:hint="eastAsia"/>
              <w:color w:val="000000" w:themeColor="text1"/>
              <w14:textFill>
                <w14:solidFill>
                  <w14:schemeClr w14:val="tx1"/>
                </w14:solidFill>
              </w14:textFill>
            </w:rPr>
            <w:t>开发成本</w:t>
          </w:r>
        </w:p>
        <w:p w14:paraId="7B18023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存货跌价准备"/>
              <w:tag w:val="_GBC_42225a9505da4f598594afea08f9738b"/>
              <w:id w:val="147456939"/>
              <w:placeholder>
                <w:docPart w:val="{beeb64fa-c02e-4f99-87dc-bf4e389d90c6}"/>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存货跌价准备"/>
              <w:tag w:val="_GBC_4de434e29d00482b8b3175d1e7874ff2"/>
              <w:id w:val="147463585"/>
              <w:placeholder>
                <w:docPart w:val="{beeb64fa-c02e-4f99-87dc-bf4e389d90c6}"/>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1"/>
            <w:gridCol w:w="1398"/>
            <w:gridCol w:w="1494"/>
            <w:gridCol w:w="1759"/>
            <w:gridCol w:w="1759"/>
            <w:gridCol w:w="1759"/>
            <w:gridCol w:w="1759"/>
            <w:gridCol w:w="1770"/>
          </w:tblGrid>
          <w:tr w14:paraId="702F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pct"/>
              </w:tcPr>
              <w:p w14:paraId="41D3F2C1">
                <w:pPr>
                  <w:widowControl/>
                  <w:jc w:val="center"/>
                  <w:textAlignment w:val="top"/>
                  <w:rPr>
                    <w:color w:val="000000" w:themeColor="text1"/>
                    <w14:textFill>
                      <w14:solidFill>
                        <w14:schemeClr w14:val="tx1"/>
                      </w14:solidFill>
                    </w14:textFill>
                  </w:rPr>
                </w:pPr>
                <w:r>
                  <w:rPr>
                    <w:rFonts w:hint="eastAsia" w:ascii="宋体" w:hAnsi="宋体"/>
                    <w:color w:val="000000"/>
                    <w:lang w:bidi="ar"/>
                  </w:rPr>
                  <w:t>项目名称</w:t>
                </w:r>
              </w:p>
            </w:tc>
            <w:tc>
              <w:tcPr>
                <w:tcW w:w="496" w:type="pct"/>
              </w:tcPr>
              <w:p w14:paraId="517044A3">
                <w:pPr>
                  <w:widowControl/>
                  <w:jc w:val="center"/>
                  <w:textAlignment w:val="top"/>
                  <w:rPr>
                    <w:color w:val="000000" w:themeColor="text1"/>
                    <w14:textFill>
                      <w14:solidFill>
                        <w14:schemeClr w14:val="tx1"/>
                      </w14:solidFill>
                    </w14:textFill>
                  </w:rPr>
                </w:pPr>
                <w:r>
                  <w:rPr>
                    <w:rFonts w:hint="eastAsia" w:ascii="宋体" w:hAnsi="宋体"/>
                    <w:color w:val="000000"/>
                    <w:lang w:bidi="ar"/>
                  </w:rPr>
                  <w:t>开工时间</w:t>
                </w:r>
              </w:p>
            </w:tc>
            <w:tc>
              <w:tcPr>
                <w:tcW w:w="530" w:type="pct"/>
              </w:tcPr>
              <w:p w14:paraId="3F5D230E">
                <w:pPr>
                  <w:widowControl/>
                  <w:jc w:val="center"/>
                  <w:textAlignment w:val="top"/>
                  <w:rPr>
                    <w:color w:val="000000" w:themeColor="text1"/>
                    <w14:textFill>
                      <w14:solidFill>
                        <w14:schemeClr w14:val="tx1"/>
                      </w14:solidFill>
                    </w14:textFill>
                  </w:rPr>
                </w:pPr>
                <w:r>
                  <w:rPr>
                    <w:rFonts w:hint="eastAsia" w:ascii="宋体" w:hAnsi="宋体"/>
                    <w:color w:val="000000"/>
                    <w:lang w:bidi="ar"/>
                  </w:rPr>
                  <w:t>预计竣工时间</w:t>
                </w:r>
              </w:p>
            </w:tc>
            <w:tc>
              <w:tcPr>
                <w:tcW w:w="624" w:type="pct"/>
              </w:tcPr>
              <w:p w14:paraId="6F73076A">
                <w:pPr>
                  <w:widowControl/>
                  <w:jc w:val="center"/>
                  <w:textAlignment w:val="top"/>
                  <w:rPr>
                    <w:color w:val="000000" w:themeColor="text1"/>
                    <w14:textFill>
                      <w14:solidFill>
                        <w14:schemeClr w14:val="tx1"/>
                      </w14:solidFill>
                    </w14:textFill>
                  </w:rPr>
                </w:pPr>
                <w:r>
                  <w:rPr>
                    <w:rFonts w:hint="eastAsia" w:ascii="宋体" w:hAnsi="宋体"/>
                    <w:color w:val="000000"/>
                    <w:lang w:bidi="ar"/>
                  </w:rPr>
                  <w:t>预计投资总额</w:t>
                </w:r>
              </w:p>
            </w:tc>
            <w:tc>
              <w:tcPr>
                <w:tcW w:w="624" w:type="pct"/>
              </w:tcPr>
              <w:p w14:paraId="040C9EB7">
                <w:pPr>
                  <w:widowControl/>
                  <w:jc w:val="center"/>
                  <w:textAlignment w:val="top"/>
                  <w:rPr>
                    <w:color w:val="000000" w:themeColor="text1"/>
                    <w14:textFill>
                      <w14:solidFill>
                        <w14:schemeClr w14:val="tx1"/>
                      </w14:solidFill>
                    </w14:textFill>
                  </w:rPr>
                </w:pPr>
                <w:r>
                  <w:rPr>
                    <w:rFonts w:hint="eastAsia" w:ascii="宋体" w:hAnsi="宋体"/>
                    <w:color w:val="000000"/>
                    <w:lang w:bidi="ar"/>
                  </w:rPr>
                  <w:t>期初余额</w:t>
                </w:r>
              </w:p>
            </w:tc>
            <w:tc>
              <w:tcPr>
                <w:tcW w:w="624" w:type="pct"/>
              </w:tcPr>
              <w:p w14:paraId="669F8BC0">
                <w:pPr>
                  <w:widowControl/>
                  <w:jc w:val="center"/>
                  <w:textAlignment w:val="top"/>
                  <w:rPr>
                    <w:color w:val="000000" w:themeColor="text1"/>
                    <w14:textFill>
                      <w14:solidFill>
                        <w14:schemeClr w14:val="tx1"/>
                      </w14:solidFill>
                    </w14:textFill>
                  </w:rPr>
                </w:pPr>
                <w:r>
                  <w:rPr>
                    <w:rFonts w:hint="eastAsia" w:ascii="宋体" w:hAnsi="宋体"/>
                    <w:color w:val="000000"/>
                    <w:lang w:bidi="ar"/>
                  </w:rPr>
                  <w:t>本期增加</w:t>
                </w:r>
              </w:p>
            </w:tc>
            <w:tc>
              <w:tcPr>
                <w:tcW w:w="624" w:type="pct"/>
              </w:tcPr>
              <w:p w14:paraId="1F9AE943">
                <w:pPr>
                  <w:widowControl/>
                  <w:jc w:val="center"/>
                  <w:textAlignment w:val="top"/>
                  <w:rPr>
                    <w:color w:val="000000" w:themeColor="text1"/>
                    <w14:textFill>
                      <w14:solidFill>
                        <w14:schemeClr w14:val="tx1"/>
                      </w14:solidFill>
                    </w14:textFill>
                  </w:rPr>
                </w:pPr>
                <w:r>
                  <w:rPr>
                    <w:rFonts w:hint="eastAsia" w:ascii="宋体" w:hAnsi="宋体"/>
                    <w:color w:val="000000"/>
                    <w:lang w:bidi="ar"/>
                  </w:rPr>
                  <w:t>期末余额</w:t>
                </w:r>
              </w:p>
            </w:tc>
            <w:tc>
              <w:tcPr>
                <w:tcW w:w="628" w:type="pct"/>
              </w:tcPr>
              <w:p w14:paraId="5618618A">
                <w:pPr>
                  <w:widowControl/>
                  <w:jc w:val="center"/>
                  <w:textAlignment w:val="top"/>
                  <w:rPr>
                    <w:color w:val="000000" w:themeColor="text1"/>
                    <w14:textFill>
                      <w14:solidFill>
                        <w14:schemeClr w14:val="tx1"/>
                      </w14:solidFill>
                    </w14:textFill>
                  </w:rPr>
                </w:pPr>
                <w:r>
                  <w:rPr>
                    <w:rFonts w:hint="eastAsia" w:ascii="宋体" w:hAnsi="宋体"/>
                    <w:color w:val="000000"/>
                    <w:lang w:bidi="ar"/>
                  </w:rPr>
                  <w:t>资金来源</w:t>
                </w:r>
              </w:p>
            </w:tc>
          </w:tr>
          <w:tr w14:paraId="4382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pct"/>
              </w:tcPr>
              <w:p w14:paraId="639C2672">
                <w:pPr>
                  <w:widowControl/>
                  <w:jc w:val="both"/>
                  <w:textAlignment w:val="top"/>
                  <w:rPr>
                    <w:rFonts w:cs="Times New Roman"/>
                    <w:color w:val="000000" w:themeColor="text1"/>
                    <w14:textFill>
                      <w14:solidFill>
                        <w14:schemeClr w14:val="tx1"/>
                      </w14:solidFill>
                    </w14:textFill>
                  </w:rPr>
                </w:pPr>
                <w:r>
                  <w:rPr>
                    <w:rFonts w:cs="Times New Roman"/>
                    <w:color w:val="000000"/>
                    <w:lang w:bidi="ar"/>
                  </w:rPr>
                  <w:t>三五三六际华云端项目</w:t>
                </w:r>
              </w:p>
            </w:tc>
            <w:tc>
              <w:tcPr>
                <w:tcW w:w="496" w:type="pct"/>
                <w:vAlign w:val="bottom"/>
              </w:tcPr>
              <w:p w14:paraId="6660CAB6">
                <w:pPr>
                  <w:widowControl/>
                  <w:jc w:val="center"/>
                  <w:textAlignment w:val="bottom"/>
                  <w:rPr>
                    <w:rFonts w:cs="Times New Roman"/>
                    <w:color w:val="000000" w:themeColor="text1"/>
                    <w14:textFill>
                      <w14:solidFill>
                        <w14:schemeClr w14:val="tx1"/>
                      </w14:solidFill>
                    </w14:textFill>
                  </w:rPr>
                </w:pPr>
                <w:r>
                  <w:rPr>
                    <w:rFonts w:eastAsia="Arial Narrow" w:cs="Times New Roman"/>
                    <w:color w:val="000000"/>
                    <w:lang w:bidi="ar"/>
                  </w:rPr>
                  <w:t>2018</w:t>
                </w:r>
                <w:r>
                  <w:rPr>
                    <w:rFonts w:cs="Times New Roman"/>
                    <w:color w:val="000000"/>
                    <w:lang w:bidi="ar"/>
                  </w:rPr>
                  <w:t>年</w:t>
                </w:r>
                <w:r>
                  <w:rPr>
                    <w:rFonts w:eastAsia="Arial Narrow" w:cs="Times New Roman"/>
                    <w:color w:val="000000"/>
                    <w:lang w:bidi="ar"/>
                  </w:rPr>
                  <w:t>1</w:t>
                </w:r>
                <w:r>
                  <w:rPr>
                    <w:rFonts w:cs="Times New Roman"/>
                    <w:color w:val="000000"/>
                    <w:lang w:bidi="ar"/>
                  </w:rPr>
                  <w:t>月</w:t>
                </w:r>
              </w:p>
            </w:tc>
            <w:tc>
              <w:tcPr>
                <w:tcW w:w="530" w:type="pct"/>
                <w:vAlign w:val="bottom"/>
              </w:tcPr>
              <w:p w14:paraId="4164725D">
                <w:pPr>
                  <w:widowControl/>
                  <w:jc w:val="center"/>
                  <w:textAlignment w:val="bottom"/>
                  <w:rPr>
                    <w:rFonts w:cs="Times New Roman"/>
                    <w:color w:val="000000" w:themeColor="text1"/>
                    <w14:textFill>
                      <w14:solidFill>
                        <w14:schemeClr w14:val="tx1"/>
                      </w14:solidFill>
                    </w14:textFill>
                  </w:rPr>
                </w:pPr>
                <w:r>
                  <w:rPr>
                    <w:rFonts w:eastAsia="Arial Narrow" w:cs="Times New Roman"/>
                    <w:color w:val="000000"/>
                    <w:lang w:bidi="ar"/>
                  </w:rPr>
                  <w:t>2025</w:t>
                </w:r>
                <w:r>
                  <w:rPr>
                    <w:rFonts w:cs="Times New Roman"/>
                    <w:color w:val="000000"/>
                    <w:lang w:bidi="ar"/>
                  </w:rPr>
                  <w:t>年</w:t>
                </w:r>
                <w:r>
                  <w:rPr>
                    <w:rFonts w:eastAsia="Arial Narrow" w:cs="Times New Roman"/>
                    <w:color w:val="000000"/>
                    <w:lang w:bidi="ar"/>
                  </w:rPr>
                  <w:t>12</w:t>
                </w:r>
                <w:r>
                  <w:rPr>
                    <w:rFonts w:cs="Times New Roman"/>
                    <w:color w:val="000000"/>
                    <w:lang w:bidi="ar"/>
                  </w:rPr>
                  <w:t>月</w:t>
                </w:r>
              </w:p>
            </w:tc>
            <w:tc>
              <w:tcPr>
                <w:tcW w:w="624" w:type="pct"/>
                <w:vAlign w:val="center"/>
              </w:tcPr>
              <w:p w14:paraId="52995129">
                <w:pPr>
                  <w:widowControl/>
                  <w:jc w:val="right"/>
                  <w:textAlignment w:val="center"/>
                  <w:rPr>
                    <w:rFonts w:cs="Times New Roman"/>
                    <w:color w:val="000000" w:themeColor="text1"/>
                    <w14:textFill>
                      <w14:solidFill>
                        <w14:schemeClr w14:val="tx1"/>
                      </w14:solidFill>
                    </w14:textFill>
                  </w:rPr>
                </w:pPr>
                <w:r>
                  <w:rPr>
                    <w:rFonts w:cs="Times New Roman"/>
                    <w:color w:val="000000"/>
                  </w:rPr>
                  <w:t>46,000.00</w:t>
                </w:r>
              </w:p>
            </w:tc>
            <w:tc>
              <w:tcPr>
                <w:tcW w:w="624" w:type="pct"/>
                <w:vAlign w:val="center"/>
              </w:tcPr>
              <w:p w14:paraId="279DB43A">
                <w:pPr>
                  <w:widowControl/>
                  <w:jc w:val="right"/>
                  <w:textAlignment w:val="center"/>
                  <w:rPr>
                    <w:rFonts w:cs="Times New Roman"/>
                    <w:color w:val="000000" w:themeColor="text1"/>
                    <w14:textFill>
                      <w14:solidFill>
                        <w14:schemeClr w14:val="tx1"/>
                      </w14:solidFill>
                    </w14:textFill>
                  </w:rPr>
                </w:pPr>
                <w:r>
                  <w:rPr>
                    <w:rFonts w:cs="Times New Roman"/>
                    <w:color w:val="000000"/>
                  </w:rPr>
                  <w:t>34,369.94</w:t>
                </w:r>
              </w:p>
            </w:tc>
            <w:tc>
              <w:tcPr>
                <w:tcW w:w="624" w:type="pct"/>
                <w:vAlign w:val="center"/>
              </w:tcPr>
              <w:p w14:paraId="044EB0CD">
                <w:pPr>
                  <w:widowControl/>
                  <w:jc w:val="right"/>
                  <w:textAlignment w:val="center"/>
                  <w:rPr>
                    <w:rFonts w:cs="Times New Roman"/>
                    <w:color w:val="000000" w:themeColor="text1"/>
                    <w14:textFill>
                      <w14:solidFill>
                        <w14:schemeClr w14:val="tx1"/>
                      </w14:solidFill>
                    </w14:textFill>
                  </w:rPr>
                </w:pPr>
                <w:r>
                  <w:rPr>
                    <w:rFonts w:cs="Times New Roman"/>
                    <w:color w:val="000000"/>
                  </w:rPr>
                  <w:t>8,222.85</w:t>
                </w:r>
              </w:p>
            </w:tc>
            <w:tc>
              <w:tcPr>
                <w:tcW w:w="624" w:type="pct"/>
                <w:vAlign w:val="center"/>
              </w:tcPr>
              <w:p w14:paraId="53712330">
                <w:pPr>
                  <w:widowControl/>
                  <w:jc w:val="right"/>
                  <w:textAlignment w:val="center"/>
                  <w:rPr>
                    <w:rFonts w:cs="Times New Roman"/>
                    <w:color w:val="000000" w:themeColor="text1"/>
                    <w14:textFill>
                      <w14:solidFill>
                        <w14:schemeClr w14:val="tx1"/>
                      </w14:solidFill>
                    </w14:textFill>
                  </w:rPr>
                </w:pPr>
                <w:r>
                  <w:rPr>
                    <w:rFonts w:cs="Times New Roman"/>
                    <w:color w:val="000000"/>
                  </w:rPr>
                  <w:t>42,592.79</w:t>
                </w:r>
              </w:p>
            </w:tc>
            <w:tc>
              <w:tcPr>
                <w:tcW w:w="628" w:type="pct"/>
                <w:vAlign w:val="bottom"/>
              </w:tcPr>
              <w:p w14:paraId="445A463A">
                <w:pPr>
                  <w:widowControl/>
                  <w:jc w:val="both"/>
                  <w:textAlignment w:val="bottom"/>
                  <w:rPr>
                    <w:rFonts w:cs="Times New Roman"/>
                    <w:color w:val="000000" w:themeColor="text1"/>
                    <w14:textFill>
                      <w14:solidFill>
                        <w14:schemeClr w14:val="tx1"/>
                      </w14:solidFill>
                    </w14:textFill>
                  </w:rPr>
                </w:pPr>
                <w:r>
                  <w:rPr>
                    <w:rFonts w:cs="Times New Roman"/>
                    <w:color w:val="000000"/>
                    <w:lang w:bidi="ar"/>
                  </w:rPr>
                  <w:t>借款、自筹</w:t>
                </w:r>
              </w:p>
            </w:tc>
          </w:tr>
          <w:tr w14:paraId="6FB6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pct"/>
              </w:tcPr>
              <w:p w14:paraId="49DB2D10">
                <w:pPr>
                  <w:widowControl/>
                  <w:jc w:val="both"/>
                  <w:textAlignment w:val="top"/>
                  <w:rPr>
                    <w:rFonts w:cs="Times New Roman"/>
                    <w:color w:val="000000" w:themeColor="text1"/>
                    <w14:textFill>
                      <w14:solidFill>
                        <w14:schemeClr w14:val="tx1"/>
                      </w14:solidFill>
                    </w14:textFill>
                  </w:rPr>
                </w:pPr>
                <w:r>
                  <w:rPr>
                    <w:rFonts w:cs="Times New Roman"/>
                    <w:color w:val="000000"/>
                    <w:lang w:bidi="ar"/>
                  </w:rPr>
                  <w:t>三五三四二期工程</w:t>
                </w:r>
              </w:p>
            </w:tc>
            <w:tc>
              <w:tcPr>
                <w:tcW w:w="496" w:type="pct"/>
                <w:vAlign w:val="bottom"/>
              </w:tcPr>
              <w:p w14:paraId="22CA41F9">
                <w:pPr>
                  <w:widowControl/>
                  <w:jc w:val="center"/>
                  <w:textAlignment w:val="bottom"/>
                  <w:rPr>
                    <w:rFonts w:cs="Times New Roman"/>
                    <w:color w:val="000000" w:themeColor="text1"/>
                    <w14:textFill>
                      <w14:solidFill>
                        <w14:schemeClr w14:val="tx1"/>
                      </w14:solidFill>
                    </w14:textFill>
                  </w:rPr>
                </w:pPr>
                <w:r>
                  <w:rPr>
                    <w:rFonts w:eastAsia="Arial Narrow" w:cs="Times New Roman"/>
                    <w:color w:val="000000"/>
                    <w:lang w:bidi="ar"/>
                  </w:rPr>
                  <w:t>2013</w:t>
                </w:r>
                <w:r>
                  <w:rPr>
                    <w:rFonts w:cs="Times New Roman"/>
                    <w:color w:val="000000"/>
                    <w:lang w:bidi="ar"/>
                  </w:rPr>
                  <w:t>年</w:t>
                </w:r>
                <w:r>
                  <w:rPr>
                    <w:rFonts w:eastAsia="Arial Narrow" w:cs="Times New Roman"/>
                    <w:color w:val="000000"/>
                    <w:lang w:bidi="ar"/>
                  </w:rPr>
                  <w:t>9</w:t>
                </w:r>
                <w:r>
                  <w:rPr>
                    <w:rFonts w:cs="Times New Roman"/>
                    <w:color w:val="000000"/>
                    <w:lang w:bidi="ar"/>
                  </w:rPr>
                  <w:t>月</w:t>
                </w:r>
              </w:p>
            </w:tc>
            <w:tc>
              <w:tcPr>
                <w:tcW w:w="530" w:type="pct"/>
                <w:vAlign w:val="bottom"/>
              </w:tcPr>
              <w:p w14:paraId="416C237A">
                <w:pPr>
                  <w:widowControl/>
                  <w:jc w:val="center"/>
                  <w:textAlignment w:val="bottom"/>
                  <w:rPr>
                    <w:rFonts w:cs="Times New Roman"/>
                    <w:color w:val="000000" w:themeColor="text1"/>
                    <w14:textFill>
                      <w14:solidFill>
                        <w14:schemeClr w14:val="tx1"/>
                      </w14:solidFill>
                    </w14:textFill>
                  </w:rPr>
                </w:pPr>
                <w:r>
                  <w:rPr>
                    <w:rFonts w:eastAsia="Arial Narrow" w:cs="Times New Roman"/>
                    <w:color w:val="000000"/>
                    <w:lang w:bidi="ar"/>
                  </w:rPr>
                  <w:t>2025</w:t>
                </w:r>
                <w:r>
                  <w:rPr>
                    <w:rFonts w:cs="Times New Roman"/>
                    <w:color w:val="000000"/>
                    <w:lang w:bidi="ar"/>
                  </w:rPr>
                  <w:t>年</w:t>
                </w:r>
                <w:r>
                  <w:rPr>
                    <w:rFonts w:eastAsia="Arial Narrow" w:cs="Times New Roman"/>
                    <w:color w:val="000000"/>
                    <w:lang w:bidi="ar"/>
                  </w:rPr>
                  <w:t>12</w:t>
                </w:r>
                <w:r>
                  <w:rPr>
                    <w:rFonts w:cs="Times New Roman"/>
                    <w:color w:val="000000"/>
                    <w:lang w:bidi="ar"/>
                  </w:rPr>
                  <w:t>月</w:t>
                </w:r>
              </w:p>
            </w:tc>
            <w:tc>
              <w:tcPr>
                <w:tcW w:w="624" w:type="pct"/>
                <w:vAlign w:val="center"/>
              </w:tcPr>
              <w:p w14:paraId="6D8B981B">
                <w:pPr>
                  <w:widowControl/>
                  <w:jc w:val="right"/>
                  <w:textAlignment w:val="center"/>
                  <w:rPr>
                    <w:rFonts w:cs="Times New Roman"/>
                    <w:color w:val="000000" w:themeColor="text1"/>
                    <w14:textFill>
                      <w14:solidFill>
                        <w14:schemeClr w14:val="tx1"/>
                      </w14:solidFill>
                    </w14:textFill>
                  </w:rPr>
                </w:pPr>
                <w:r>
                  <w:rPr>
                    <w:rFonts w:cs="Times New Roman"/>
                    <w:color w:val="000000"/>
                  </w:rPr>
                  <w:t>13,825.00</w:t>
                </w:r>
              </w:p>
            </w:tc>
            <w:tc>
              <w:tcPr>
                <w:tcW w:w="624" w:type="pct"/>
                <w:vAlign w:val="center"/>
              </w:tcPr>
              <w:p w14:paraId="18A1B114">
                <w:pPr>
                  <w:widowControl/>
                  <w:jc w:val="right"/>
                  <w:textAlignment w:val="center"/>
                  <w:rPr>
                    <w:rFonts w:cs="Times New Roman"/>
                    <w:color w:val="000000" w:themeColor="text1"/>
                    <w14:textFill>
                      <w14:solidFill>
                        <w14:schemeClr w14:val="tx1"/>
                      </w14:solidFill>
                    </w14:textFill>
                  </w:rPr>
                </w:pPr>
                <w:r>
                  <w:rPr>
                    <w:rFonts w:cs="Times New Roman"/>
                    <w:color w:val="000000"/>
                  </w:rPr>
                  <w:t>1,985.33</w:t>
                </w:r>
              </w:p>
            </w:tc>
            <w:tc>
              <w:tcPr>
                <w:tcW w:w="624" w:type="pct"/>
                <w:vAlign w:val="center"/>
              </w:tcPr>
              <w:p w14:paraId="00DE1C62">
                <w:pPr>
                  <w:widowControl w:val="0"/>
                  <w:jc w:val="right"/>
                  <w:rPr>
                    <w:rFonts w:cs="Times New Roman"/>
                    <w:color w:val="000000" w:themeColor="text1"/>
                    <w14:textFill>
                      <w14:solidFill>
                        <w14:schemeClr w14:val="tx1"/>
                      </w14:solidFill>
                    </w14:textFill>
                  </w:rPr>
                </w:pPr>
              </w:p>
            </w:tc>
            <w:tc>
              <w:tcPr>
                <w:tcW w:w="624" w:type="pct"/>
                <w:vAlign w:val="center"/>
              </w:tcPr>
              <w:p w14:paraId="08D42418">
                <w:pPr>
                  <w:widowControl/>
                  <w:jc w:val="right"/>
                  <w:textAlignment w:val="center"/>
                  <w:rPr>
                    <w:rFonts w:cs="Times New Roman"/>
                    <w:color w:val="000000" w:themeColor="text1"/>
                    <w14:textFill>
                      <w14:solidFill>
                        <w14:schemeClr w14:val="tx1"/>
                      </w14:solidFill>
                    </w14:textFill>
                  </w:rPr>
                </w:pPr>
                <w:r>
                  <w:rPr>
                    <w:rFonts w:cs="Times New Roman"/>
                    <w:color w:val="000000"/>
                  </w:rPr>
                  <w:t>1,985.33</w:t>
                </w:r>
              </w:p>
            </w:tc>
            <w:tc>
              <w:tcPr>
                <w:tcW w:w="628" w:type="pct"/>
                <w:vAlign w:val="bottom"/>
              </w:tcPr>
              <w:p w14:paraId="2CB0F1FB">
                <w:pPr>
                  <w:widowControl/>
                  <w:jc w:val="both"/>
                  <w:textAlignment w:val="bottom"/>
                  <w:rPr>
                    <w:rFonts w:cs="Times New Roman"/>
                    <w:color w:val="000000" w:themeColor="text1"/>
                    <w14:textFill>
                      <w14:solidFill>
                        <w14:schemeClr w14:val="tx1"/>
                      </w14:solidFill>
                    </w14:textFill>
                  </w:rPr>
                </w:pPr>
                <w:r>
                  <w:rPr>
                    <w:rFonts w:cs="Times New Roman"/>
                    <w:color w:val="000000"/>
                    <w:lang w:bidi="ar"/>
                  </w:rPr>
                  <w:t>自筹</w:t>
                </w:r>
              </w:p>
            </w:tc>
          </w:tr>
          <w:tr w14:paraId="6F02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pct"/>
              </w:tcPr>
              <w:p w14:paraId="649664B8">
                <w:pPr>
                  <w:widowControl/>
                  <w:jc w:val="both"/>
                  <w:textAlignment w:val="top"/>
                  <w:rPr>
                    <w:rFonts w:cs="Times New Roman"/>
                    <w:color w:val="000000" w:themeColor="text1"/>
                    <w14:textFill>
                      <w14:solidFill>
                        <w14:schemeClr w14:val="tx1"/>
                      </w14:solidFill>
                    </w14:textFill>
                  </w:rPr>
                </w:pPr>
                <w:r>
                  <w:rPr>
                    <w:rFonts w:cs="Times New Roman"/>
                    <w:color w:val="000000"/>
                    <w:lang w:bidi="ar"/>
                  </w:rPr>
                  <w:t>合计</w:t>
                </w:r>
              </w:p>
            </w:tc>
            <w:tc>
              <w:tcPr>
                <w:tcW w:w="496" w:type="pct"/>
                <w:vAlign w:val="bottom"/>
              </w:tcPr>
              <w:p w14:paraId="33CB0590">
                <w:pPr>
                  <w:widowControl w:val="0"/>
                  <w:jc w:val="both"/>
                  <w:rPr>
                    <w:rFonts w:cs="Times New Roman"/>
                    <w:color w:val="000000" w:themeColor="text1"/>
                    <w14:textFill>
                      <w14:solidFill>
                        <w14:schemeClr w14:val="tx1"/>
                      </w14:solidFill>
                    </w14:textFill>
                  </w:rPr>
                </w:pPr>
              </w:p>
            </w:tc>
            <w:tc>
              <w:tcPr>
                <w:tcW w:w="530" w:type="pct"/>
                <w:vAlign w:val="bottom"/>
              </w:tcPr>
              <w:p w14:paraId="14F1DA82">
                <w:pPr>
                  <w:widowControl w:val="0"/>
                  <w:jc w:val="both"/>
                  <w:rPr>
                    <w:rFonts w:cs="Times New Roman"/>
                    <w:color w:val="000000" w:themeColor="text1"/>
                    <w14:textFill>
                      <w14:solidFill>
                        <w14:schemeClr w14:val="tx1"/>
                      </w14:solidFill>
                    </w14:textFill>
                  </w:rPr>
                </w:pPr>
              </w:p>
            </w:tc>
            <w:tc>
              <w:tcPr>
                <w:tcW w:w="624" w:type="pct"/>
                <w:vAlign w:val="center"/>
              </w:tcPr>
              <w:p w14:paraId="6AB26AD7">
                <w:pPr>
                  <w:widowControl/>
                  <w:jc w:val="right"/>
                  <w:textAlignment w:val="center"/>
                  <w:rPr>
                    <w:rFonts w:cs="Times New Roman"/>
                    <w:color w:val="000000" w:themeColor="text1"/>
                    <w14:textFill>
                      <w14:solidFill>
                        <w14:schemeClr w14:val="tx1"/>
                      </w14:solidFill>
                    </w14:textFill>
                  </w:rPr>
                </w:pPr>
                <w:r>
                  <w:rPr>
                    <w:rFonts w:cs="Times New Roman"/>
                    <w:color w:val="000000"/>
                  </w:rPr>
                  <w:t>59,825.00</w:t>
                </w:r>
              </w:p>
            </w:tc>
            <w:tc>
              <w:tcPr>
                <w:tcW w:w="624" w:type="pct"/>
                <w:vAlign w:val="center"/>
              </w:tcPr>
              <w:p w14:paraId="521E0550">
                <w:pPr>
                  <w:widowControl/>
                  <w:jc w:val="right"/>
                  <w:textAlignment w:val="center"/>
                  <w:rPr>
                    <w:rFonts w:cs="Times New Roman"/>
                    <w:color w:val="000000" w:themeColor="text1"/>
                    <w14:textFill>
                      <w14:solidFill>
                        <w14:schemeClr w14:val="tx1"/>
                      </w14:solidFill>
                    </w14:textFill>
                  </w:rPr>
                </w:pPr>
                <w:r>
                  <w:rPr>
                    <w:rFonts w:cs="Times New Roman"/>
                    <w:color w:val="000000"/>
                  </w:rPr>
                  <w:t>36,355.27</w:t>
                </w:r>
              </w:p>
            </w:tc>
            <w:tc>
              <w:tcPr>
                <w:tcW w:w="624" w:type="pct"/>
                <w:vAlign w:val="center"/>
              </w:tcPr>
              <w:p w14:paraId="26AB006C">
                <w:pPr>
                  <w:widowControl/>
                  <w:jc w:val="right"/>
                  <w:textAlignment w:val="center"/>
                  <w:rPr>
                    <w:rFonts w:cs="Times New Roman"/>
                    <w:color w:val="000000" w:themeColor="text1"/>
                    <w14:textFill>
                      <w14:solidFill>
                        <w14:schemeClr w14:val="tx1"/>
                      </w14:solidFill>
                    </w14:textFill>
                  </w:rPr>
                </w:pPr>
                <w:r>
                  <w:rPr>
                    <w:rFonts w:cs="Times New Roman"/>
                    <w:color w:val="000000"/>
                  </w:rPr>
                  <w:t>8,222.85</w:t>
                </w:r>
              </w:p>
            </w:tc>
            <w:tc>
              <w:tcPr>
                <w:tcW w:w="624" w:type="pct"/>
                <w:vAlign w:val="center"/>
              </w:tcPr>
              <w:p w14:paraId="51BFF9BF">
                <w:pPr>
                  <w:widowControl/>
                  <w:jc w:val="right"/>
                  <w:textAlignment w:val="center"/>
                  <w:rPr>
                    <w:rFonts w:cs="Times New Roman"/>
                    <w:color w:val="000000" w:themeColor="text1"/>
                    <w14:textFill>
                      <w14:solidFill>
                        <w14:schemeClr w14:val="tx1"/>
                      </w14:solidFill>
                    </w14:textFill>
                  </w:rPr>
                </w:pPr>
                <w:r>
                  <w:rPr>
                    <w:rFonts w:cs="Times New Roman"/>
                    <w:color w:val="000000"/>
                  </w:rPr>
                  <w:t>44,578.12</w:t>
                </w:r>
              </w:p>
            </w:tc>
            <w:tc>
              <w:tcPr>
                <w:tcW w:w="628" w:type="pct"/>
                <w:vAlign w:val="bottom"/>
              </w:tcPr>
              <w:p w14:paraId="2CED7C60">
                <w:pPr>
                  <w:widowControl w:val="0"/>
                  <w:jc w:val="both"/>
                  <w:rPr>
                    <w:rFonts w:cs="Times New Roman"/>
                    <w:color w:val="000000" w:themeColor="text1"/>
                    <w14:textFill>
                      <w14:solidFill>
                        <w14:schemeClr w14:val="tx1"/>
                      </w14:solidFill>
                    </w14:textFill>
                  </w:rPr>
                </w:pPr>
              </w:p>
            </w:tc>
          </w:tr>
        </w:tbl>
        <w:p w14:paraId="46473D58">
          <w:pPr>
            <w:rPr>
              <w:rFonts w:cs="Times New Roman"/>
              <w:color w:val="000000" w:themeColor="text1"/>
              <w14:textFill>
                <w14:solidFill>
                  <w14:schemeClr w14:val="tx1"/>
                </w14:solidFill>
              </w14:textFill>
            </w:rPr>
          </w:pPr>
        </w:p>
        <w:p w14:paraId="77AC952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开发产品</w:t>
          </w:r>
        </w:p>
        <w:p w14:paraId="4DE02B65">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单位：</w:t>
          </w:r>
          <w:sdt>
            <w:sdtPr>
              <w:rPr>
                <w:rFonts w:cs="Times New Roman"/>
                <w:color w:val="000000" w:themeColor="text1"/>
                <w14:textFill>
                  <w14:solidFill>
                    <w14:schemeClr w14:val="tx1"/>
                  </w14:solidFill>
                </w14:textFill>
              </w:rPr>
              <w:alias w:val="单位：存货跌价准备"/>
              <w:tag w:val="_GBC_42225a9505da4f598594afea08f9738b"/>
              <w:id w:val="147482898"/>
              <w:placeholder>
                <w:docPart w:val="{cd80f4b4-a2bf-43c4-b169-4fd9cf19172a}"/>
              </w:placeholder>
              <w:comboBox>
                <w:listItem w:displayText="元" w:value="1"/>
                <w:listItem w:displayText="千元" w:value="1000"/>
                <w:listItem w:displayText="万元" w:value="10000"/>
                <w:listItem w:displayText="百万元" w:value="1000000"/>
                <w:listItem w:displayText="亿元" w:value="100000000"/>
              </w:comboBox>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万元</w:t>
              </w:r>
            </w:sdtContent>
          </w:sdt>
          <w:r>
            <w:rPr>
              <w:rFonts w:cs="Times New Roman"/>
              <w:color w:val="000000" w:themeColor="text1"/>
              <w14:textFill>
                <w14:solidFill>
                  <w14:schemeClr w14:val="tx1"/>
                </w14:solidFill>
              </w14:textFill>
            </w:rPr>
            <w:t xml:space="preserve">  币种：</w:t>
          </w:r>
          <w:sdt>
            <w:sdtPr>
              <w:rPr>
                <w:rFonts w:cs="Times New Roman"/>
                <w:color w:val="000000" w:themeColor="text1"/>
                <w14:textFill>
                  <w14:solidFill>
                    <w14:schemeClr w14:val="tx1"/>
                  </w14:solidFill>
                </w14:textFill>
              </w:rPr>
              <w:alias w:val="币种：存货跌价准备"/>
              <w:tag w:val="_GBC_4de434e29d00482b8b3175d1e7874ff2"/>
              <w:id w:val="147465429"/>
              <w:placeholder>
                <w:docPart w:val="{cd80f4b4-a2bf-43c4-b169-4fd9cf19172a}"/>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人民币</w:t>
              </w:r>
            </w:sdtContent>
          </w:sdt>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7"/>
            <w:gridCol w:w="2347"/>
            <w:gridCol w:w="2347"/>
            <w:gridCol w:w="2347"/>
            <w:gridCol w:w="2347"/>
            <w:gridCol w:w="2348"/>
          </w:tblGrid>
          <w:tr w14:paraId="331A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bottom"/>
              </w:tcPr>
              <w:p w14:paraId="1FDA09D3">
                <w:pPr>
                  <w:widowControl/>
                  <w:jc w:val="center"/>
                  <w:textAlignment w:val="bottom"/>
                  <w:rPr>
                    <w:rFonts w:cs="Times New Roman"/>
                    <w:color w:val="000000" w:themeColor="text1"/>
                    <w14:textFill>
                      <w14:solidFill>
                        <w14:schemeClr w14:val="tx1"/>
                      </w14:solidFill>
                    </w14:textFill>
                  </w:rPr>
                </w:pPr>
                <w:r>
                  <w:rPr>
                    <w:rFonts w:cs="Times New Roman"/>
                    <w:color w:val="000000"/>
                    <w:lang w:bidi="ar"/>
                  </w:rPr>
                  <w:t>项目名称</w:t>
                </w:r>
              </w:p>
            </w:tc>
            <w:tc>
              <w:tcPr>
                <w:tcW w:w="833" w:type="pct"/>
                <w:vAlign w:val="bottom"/>
              </w:tcPr>
              <w:p w14:paraId="6B7F668E">
                <w:pPr>
                  <w:widowControl/>
                  <w:jc w:val="center"/>
                  <w:textAlignment w:val="bottom"/>
                  <w:rPr>
                    <w:rFonts w:cs="Times New Roman"/>
                    <w:color w:val="000000" w:themeColor="text1"/>
                    <w14:textFill>
                      <w14:solidFill>
                        <w14:schemeClr w14:val="tx1"/>
                      </w14:solidFill>
                    </w14:textFill>
                  </w:rPr>
                </w:pPr>
                <w:r>
                  <w:rPr>
                    <w:rFonts w:cs="Times New Roman"/>
                    <w:color w:val="000000"/>
                    <w:lang w:bidi="ar"/>
                  </w:rPr>
                  <w:t>竣工时间</w:t>
                </w:r>
              </w:p>
            </w:tc>
            <w:tc>
              <w:tcPr>
                <w:tcW w:w="833" w:type="pct"/>
                <w:vAlign w:val="bottom"/>
              </w:tcPr>
              <w:p w14:paraId="05DD800E">
                <w:pPr>
                  <w:widowControl/>
                  <w:jc w:val="center"/>
                  <w:textAlignment w:val="bottom"/>
                  <w:rPr>
                    <w:rFonts w:cs="Times New Roman"/>
                    <w:color w:val="000000" w:themeColor="text1"/>
                    <w14:textFill>
                      <w14:solidFill>
                        <w14:schemeClr w14:val="tx1"/>
                      </w14:solidFill>
                    </w14:textFill>
                  </w:rPr>
                </w:pPr>
                <w:r>
                  <w:rPr>
                    <w:rFonts w:cs="Times New Roman"/>
                    <w:color w:val="000000"/>
                    <w:lang w:bidi="ar"/>
                  </w:rPr>
                  <w:t>期初余额</w:t>
                </w:r>
              </w:p>
            </w:tc>
            <w:tc>
              <w:tcPr>
                <w:tcW w:w="833" w:type="pct"/>
                <w:vAlign w:val="bottom"/>
              </w:tcPr>
              <w:p w14:paraId="5FD1E1A3">
                <w:pPr>
                  <w:widowControl/>
                  <w:jc w:val="center"/>
                  <w:textAlignment w:val="bottom"/>
                  <w:rPr>
                    <w:rFonts w:cs="Times New Roman"/>
                    <w:color w:val="000000" w:themeColor="text1"/>
                    <w14:textFill>
                      <w14:solidFill>
                        <w14:schemeClr w14:val="tx1"/>
                      </w14:solidFill>
                    </w14:textFill>
                  </w:rPr>
                </w:pPr>
                <w:r>
                  <w:rPr>
                    <w:rFonts w:cs="Times New Roman"/>
                    <w:color w:val="000000"/>
                    <w:lang w:bidi="ar"/>
                  </w:rPr>
                  <w:t>本期增加</w:t>
                </w:r>
              </w:p>
            </w:tc>
            <w:tc>
              <w:tcPr>
                <w:tcW w:w="833" w:type="pct"/>
                <w:vAlign w:val="bottom"/>
              </w:tcPr>
              <w:p w14:paraId="2B95FE4F">
                <w:pPr>
                  <w:widowControl/>
                  <w:jc w:val="center"/>
                  <w:textAlignment w:val="bottom"/>
                  <w:rPr>
                    <w:rFonts w:cs="Times New Roman"/>
                    <w:color w:val="000000" w:themeColor="text1"/>
                    <w14:textFill>
                      <w14:solidFill>
                        <w14:schemeClr w14:val="tx1"/>
                      </w14:solidFill>
                    </w14:textFill>
                  </w:rPr>
                </w:pPr>
                <w:r>
                  <w:rPr>
                    <w:rFonts w:cs="Times New Roman"/>
                    <w:color w:val="000000"/>
                    <w:lang w:bidi="ar"/>
                  </w:rPr>
                  <w:t>本期减少</w:t>
                </w:r>
              </w:p>
            </w:tc>
            <w:tc>
              <w:tcPr>
                <w:tcW w:w="833" w:type="pct"/>
                <w:vAlign w:val="bottom"/>
              </w:tcPr>
              <w:p w14:paraId="7450B432">
                <w:pPr>
                  <w:widowControl/>
                  <w:jc w:val="center"/>
                  <w:textAlignment w:val="bottom"/>
                  <w:rPr>
                    <w:rFonts w:cs="Times New Roman"/>
                    <w:color w:val="000000" w:themeColor="text1"/>
                    <w14:textFill>
                      <w14:solidFill>
                        <w14:schemeClr w14:val="tx1"/>
                      </w14:solidFill>
                    </w14:textFill>
                  </w:rPr>
                </w:pPr>
                <w:r>
                  <w:rPr>
                    <w:rFonts w:cs="Times New Roman"/>
                    <w:color w:val="000000"/>
                    <w:lang w:bidi="ar"/>
                  </w:rPr>
                  <w:t>期末余额</w:t>
                </w:r>
              </w:p>
            </w:tc>
          </w:tr>
          <w:tr w14:paraId="4313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14:paraId="631DF59F">
                <w:pPr>
                  <w:widowControl/>
                  <w:jc w:val="both"/>
                  <w:textAlignment w:val="top"/>
                  <w:rPr>
                    <w:rFonts w:cs="Times New Roman"/>
                    <w:color w:val="000000" w:themeColor="text1"/>
                    <w14:textFill>
                      <w14:solidFill>
                        <w14:schemeClr w14:val="tx1"/>
                      </w14:solidFill>
                    </w14:textFill>
                  </w:rPr>
                </w:pPr>
                <w:r>
                  <w:rPr>
                    <w:rFonts w:cs="Times New Roman"/>
                    <w:color w:val="000000"/>
                    <w:lang w:bidi="ar"/>
                  </w:rPr>
                  <w:t>三五三四一期工程</w:t>
                </w:r>
              </w:p>
            </w:tc>
            <w:tc>
              <w:tcPr>
                <w:tcW w:w="833" w:type="pct"/>
                <w:vAlign w:val="bottom"/>
              </w:tcPr>
              <w:p w14:paraId="73BFB426">
                <w:pPr>
                  <w:widowControl/>
                  <w:jc w:val="center"/>
                  <w:textAlignment w:val="bottom"/>
                  <w:rPr>
                    <w:rFonts w:cs="Times New Roman"/>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2022年6月</w:t>
                </w:r>
              </w:p>
            </w:tc>
            <w:tc>
              <w:tcPr>
                <w:tcW w:w="833" w:type="pct"/>
                <w:vAlign w:val="center"/>
              </w:tcPr>
              <w:p w14:paraId="6A613B65">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1,562.32</w:t>
                </w:r>
              </w:p>
            </w:tc>
            <w:tc>
              <w:tcPr>
                <w:tcW w:w="833" w:type="pct"/>
                <w:vAlign w:val="center"/>
              </w:tcPr>
              <w:p w14:paraId="085F1940">
                <w:pPr>
                  <w:widowControl w:val="0"/>
                  <w:jc w:val="right"/>
                  <w:rPr>
                    <w:rFonts w:cs="Times New Roman"/>
                    <w:color w:val="000000" w:themeColor="text1"/>
                    <w14:textFill>
                      <w14:solidFill>
                        <w14:schemeClr w14:val="tx1"/>
                      </w14:solidFill>
                    </w14:textFill>
                  </w:rPr>
                </w:pPr>
              </w:p>
            </w:tc>
            <w:tc>
              <w:tcPr>
                <w:tcW w:w="833" w:type="pct"/>
                <w:vAlign w:val="center"/>
              </w:tcPr>
              <w:p w14:paraId="0F5EC20D">
                <w:pPr>
                  <w:widowControl w:val="0"/>
                  <w:jc w:val="right"/>
                  <w:rPr>
                    <w:rFonts w:cs="Times New Roman"/>
                    <w:color w:val="000000" w:themeColor="text1"/>
                    <w14:textFill>
                      <w14:solidFill>
                        <w14:schemeClr w14:val="tx1"/>
                      </w14:solidFill>
                    </w14:textFill>
                  </w:rPr>
                </w:pPr>
              </w:p>
            </w:tc>
            <w:tc>
              <w:tcPr>
                <w:tcW w:w="833" w:type="pct"/>
                <w:vAlign w:val="center"/>
              </w:tcPr>
              <w:p w14:paraId="67B2F221">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1,562.32</w:t>
                </w:r>
              </w:p>
            </w:tc>
          </w:tr>
        </w:tbl>
        <w:p w14:paraId="45D0C018">
          <w:pPr>
            <w:rPr>
              <w:color w:val="000000" w:themeColor="text1"/>
              <w14:textFill>
                <w14:solidFill>
                  <w14:schemeClr w14:val="tx1"/>
                </w14:solidFill>
              </w14:textFill>
            </w:rPr>
          </w:pPr>
        </w:p>
        <w:p w14:paraId="16B521F6">
          <w:pPr>
            <w:rPr>
              <w:color w:val="000000" w:themeColor="text1"/>
              <w14:textFill>
                <w14:solidFill>
                  <w14:schemeClr w14:val="tx1"/>
                </w14:solidFill>
              </w14:textFill>
            </w:rPr>
          </w:pPr>
        </w:p>
        <w:p w14:paraId="28E6CBBC">
          <w:pPr>
            <w:rPr>
              <w:color w:val="000000" w:themeColor="text1"/>
              <w14:textFill>
                <w14:solidFill>
                  <w14:schemeClr w14:val="tx1"/>
                </w14:solidFill>
              </w14:textFill>
            </w:rPr>
          </w:pPr>
        </w:p>
        <w:p w14:paraId="7318666B"/>
      </w:sdtContent>
    </w:sdt>
    <w:p w14:paraId="660981B7">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070FCE02">
      <w:pPr>
        <w:rPr>
          <w:color w:val="000000" w:themeColor="text1"/>
          <w14:textFill>
            <w14:solidFill>
              <w14:schemeClr w14:val="tx1"/>
            </w14:solidFill>
          </w14:textFill>
        </w:rPr>
      </w:pPr>
    </w:p>
    <w:p w14:paraId="7A12BFDA">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持有待售资产</w:t>
      </w:r>
    </w:p>
    <w:sdt>
      <w:sdtPr>
        <w:rPr>
          <w:color w:val="000000" w:themeColor="text1"/>
          <w14:textFill>
            <w14:solidFill>
              <w14:schemeClr w14:val="tx1"/>
            </w14:solidFill>
          </w14:textFill>
        </w:rPr>
        <w:alias w:val="是否适用：划分为持有待售的资产[双击切换]"/>
        <w:tag w:val="_GBC_a6517e0f93e04b1caa2e45201c8133b1"/>
        <w:id w:val="147456053"/>
        <w:placeholder>
          <w:docPart w:val="GBC22222222222222222222222222222"/>
        </w:placeholder>
      </w:sdtPr>
      <w:sdtEndPr>
        <w:rPr>
          <w:color w:val="000000" w:themeColor="text1"/>
          <w14:textFill>
            <w14:solidFill>
              <w14:schemeClr w14:val="tx1"/>
            </w14:solidFill>
          </w14:textFill>
        </w:rPr>
      </w:sdtEndPr>
      <w:sdtContent>
        <w:p w14:paraId="0CE303F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28DB6E">
      <w:pPr>
        <w:ind w:right="210"/>
        <w:rPr>
          <w:color w:val="000000" w:themeColor="text1"/>
          <w14:textFill>
            <w14:solidFill>
              <w14:schemeClr w14:val="tx1"/>
            </w14:solidFill>
          </w14:textFill>
        </w:rPr>
      </w:pPr>
    </w:p>
    <w:p w14:paraId="1B491146">
      <w:pPr>
        <w:pStyle w:val="57"/>
        <w:numPr>
          <w:ilvl w:val="0"/>
          <w:numId w:val="54"/>
        </w:numPr>
        <w:rPr>
          <w:color w:val="000000" w:themeColor="text1"/>
          <w:szCs w:val="21"/>
          <w14:textFill>
            <w14:solidFill>
              <w14:schemeClr w14:val="tx1"/>
            </w14:solidFill>
          </w14:textFill>
        </w:rPr>
      </w:pPr>
      <w:bookmarkStart w:id="261" w:name="_Hlk167891796"/>
      <w:bookmarkStart w:id="262" w:name="_Hlk10471081"/>
      <w:r>
        <w:rPr>
          <w:color w:val="000000" w:themeColor="text1"/>
          <w:szCs w:val="21"/>
          <w14:textFill>
            <w14:solidFill>
              <w14:schemeClr w14:val="tx1"/>
            </w14:solidFill>
          </w14:textFill>
        </w:rPr>
        <w:t>一年内到期的非流动资产</w:t>
      </w:r>
    </w:p>
    <w:sdt>
      <w:sdtPr>
        <w:rPr>
          <w:color w:val="000000" w:themeColor="text1"/>
          <w14:textFill>
            <w14:solidFill>
              <w14:schemeClr w14:val="tx1"/>
            </w14:solidFill>
          </w14:textFill>
        </w:rPr>
        <w:alias w:val="是否适用：一年内到期的非流动资产[双击切换]"/>
        <w:tag w:val="_GBC_3c3df002388d4bbe8dd8d4df7fe26ebc"/>
        <w:id w:val="147459962"/>
        <w:placeholder>
          <w:docPart w:val="GBC22222222222222222222222222222"/>
        </w:placeholder>
      </w:sdtPr>
      <w:sdtEndPr>
        <w:rPr>
          <w:color w:val="000000" w:themeColor="text1"/>
          <w14:textFill>
            <w14:solidFill>
              <w14:schemeClr w14:val="tx1"/>
            </w14:solidFill>
          </w14:textFill>
        </w:rPr>
      </w:sdtEndPr>
      <w:sdtContent>
        <w:p w14:paraId="14C9BCE6">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019B772">
      <w:pPr>
        <w:ind w:right="210"/>
        <w:rPr>
          <w:color w:val="000000" w:themeColor="text1"/>
          <w14:textFill>
            <w14:solidFill>
              <w14:schemeClr w14:val="tx1"/>
            </w14:solidFill>
          </w14:textFill>
        </w:rPr>
      </w:pPr>
    </w:p>
    <w:bookmarkEnd w:id="261"/>
    <w:p w14:paraId="28C95EFB">
      <w:pPr>
        <w:pStyle w:val="58"/>
        <w:rPr>
          <w:color w:val="000000" w:themeColor="text1"/>
          <w14:textFill>
            <w14:solidFill>
              <w14:schemeClr w14:val="tx1"/>
            </w14:solidFill>
          </w14:textFill>
        </w:rPr>
      </w:pPr>
      <w:bookmarkStart w:id="263" w:name="_Hlk167891921"/>
      <w:r>
        <w:rPr>
          <w:rFonts w:hint="eastAsia"/>
          <w:color w:val="000000" w:themeColor="text1"/>
          <w14:textFill>
            <w14:solidFill>
              <w14:schemeClr w14:val="tx1"/>
            </w14:solidFill>
          </w14:textFill>
        </w:rPr>
        <w:t>一年内到期的债权投资</w:t>
      </w:r>
    </w:p>
    <w:sdt>
      <w:sdtPr>
        <w:rPr>
          <w:color w:val="000000" w:themeColor="text1"/>
          <w14:textFill>
            <w14:solidFill>
              <w14:schemeClr w14:val="tx1"/>
            </w14:solidFill>
          </w14:textFill>
        </w:rPr>
        <w:alias w:val="是否适用：一年内到期的债权投资[双击切换]"/>
        <w:tag w:val="_GBC_ed748eccf06845059b7b75fbb321c08e"/>
        <w:id w:val="147464944"/>
        <w:placeholder>
          <w:docPart w:val="GBC22222222222222222222222222222"/>
        </w:placeholder>
      </w:sdtPr>
      <w:sdtEndPr>
        <w:rPr>
          <w:color w:val="000000" w:themeColor="text1"/>
          <w14:textFill>
            <w14:solidFill>
              <w14:schemeClr w14:val="tx1"/>
            </w14:solidFill>
          </w14:textFill>
        </w:rPr>
      </w:sdtEndPr>
      <w:sdtContent>
        <w:p w14:paraId="30975B27">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822F46">
      <w:pPr>
        <w:ind w:right="210"/>
        <w:rPr>
          <w:color w:val="000000" w:themeColor="text1"/>
          <w14:textFill>
            <w14:solidFill>
              <w14:schemeClr w14:val="tx1"/>
            </w14:solidFill>
          </w14:textFill>
        </w:rPr>
      </w:pPr>
    </w:p>
    <w:p w14:paraId="38D3F56A">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一年内到期的其他债权投资</w:t>
      </w:r>
    </w:p>
    <w:sdt>
      <w:sdtPr>
        <w:rPr>
          <w:color w:val="000000" w:themeColor="text1"/>
          <w14:textFill>
            <w14:solidFill>
              <w14:schemeClr w14:val="tx1"/>
            </w14:solidFill>
          </w14:textFill>
        </w:rPr>
        <w:alias w:val="是否适用：一年内到期的其他债权投资[双击切换]"/>
        <w:tag w:val="_GBC_4fffef07e644478cae129eff5661f608"/>
        <w:id w:val="147470220"/>
        <w:placeholder>
          <w:docPart w:val="GBC22222222222222222222222222222"/>
        </w:placeholder>
      </w:sdtPr>
      <w:sdtEndPr>
        <w:rPr>
          <w:color w:val="000000" w:themeColor="text1"/>
          <w14:textFill>
            <w14:solidFill>
              <w14:schemeClr w14:val="tx1"/>
            </w14:solidFill>
          </w14:textFill>
        </w:rPr>
      </w:sdtEndPr>
      <w:sdtContent>
        <w:p w14:paraId="539CC90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3FAC315">
      <w:pPr>
        <w:ind w:right="210"/>
        <w:rPr>
          <w:color w:val="000000" w:themeColor="text1"/>
          <w14:textFill>
            <w14:solidFill>
              <w14:schemeClr w14:val="tx1"/>
            </w14:solidFill>
          </w14:textFill>
        </w:rPr>
      </w:pPr>
    </w:p>
    <w:p w14:paraId="13A7FF6A">
      <w:pPr>
        <w:ind w:right="21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一年内到期的非流动资产的其他说明</w:t>
      </w:r>
    </w:p>
    <w:sdt>
      <w:sdtPr>
        <w:rPr>
          <w:color w:val="000000" w:themeColor="text1"/>
          <w14:textFill>
            <w14:solidFill>
              <w14:schemeClr w14:val="tx1"/>
            </w14:solidFill>
          </w14:textFill>
        </w:rPr>
        <w:alias w:val="一年内到期的非流动资产其他说明"/>
        <w:tag w:val="_GBC_218c0d81bbcc4458a19aa7e5806bac06"/>
        <w:id w:val="147467847"/>
        <w:placeholder>
          <w:docPart w:val="GBC22222222222222222222222222222"/>
        </w:placeholder>
      </w:sdtPr>
      <w:sdtEndPr>
        <w:rPr>
          <w:color w:val="000000" w:themeColor="text1"/>
          <w14:textFill>
            <w14:solidFill>
              <w14:schemeClr w14:val="tx1"/>
            </w14:solidFill>
          </w14:textFill>
        </w:rPr>
      </w:sdtEndPr>
      <w:sdtContent>
        <w:p w14:paraId="095F9917">
          <w:pPr>
            <w:ind w:right="21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4EF5304">
      <w:pPr>
        <w:ind w:right="210"/>
        <w:rPr>
          <w:color w:val="000000" w:themeColor="text1"/>
          <w14:textFill>
            <w14:solidFill>
              <w14:schemeClr w14:val="tx1"/>
            </w14:solidFill>
          </w14:textFill>
        </w:rPr>
      </w:pPr>
    </w:p>
    <w:bookmarkEnd w:id="263"/>
    <w:p w14:paraId="185206CE">
      <w:pPr>
        <w:ind w:right="210"/>
        <w:rPr>
          <w:color w:val="000000" w:themeColor="text1"/>
          <w14:textFill>
            <w14:solidFill>
              <w14:schemeClr w14:val="tx1"/>
            </w14:solidFill>
          </w14:textFill>
        </w:rPr>
      </w:pPr>
    </w:p>
    <w:bookmarkEnd w:id="262"/>
    <w:p w14:paraId="1BCD59AD">
      <w:pPr>
        <w:pStyle w:val="57"/>
        <w:numPr>
          <w:ilvl w:val="0"/>
          <w:numId w:val="54"/>
        </w:numPr>
        <w:rPr>
          <w:color w:val="000000" w:themeColor="text1"/>
          <w:szCs w:val="21"/>
          <w14:textFill>
            <w14:solidFill>
              <w14:schemeClr w14:val="tx1"/>
            </w14:solidFill>
          </w14:textFill>
        </w:rPr>
      </w:pPr>
      <w:bookmarkStart w:id="264" w:name="_Hlk10471163"/>
      <w:r>
        <w:rPr>
          <w:color w:val="000000" w:themeColor="text1"/>
          <w:szCs w:val="21"/>
          <w14:textFill>
            <w14:solidFill>
              <w14:schemeClr w14:val="tx1"/>
            </w14:solidFill>
          </w14:textFill>
        </w:rPr>
        <w:t>其他流动资产</w:t>
      </w:r>
    </w:p>
    <w:sdt>
      <w:sdtPr>
        <w:rPr>
          <w:color w:val="000000" w:themeColor="text1"/>
          <w14:textFill>
            <w14:solidFill>
              <w14:schemeClr w14:val="tx1"/>
            </w14:solidFill>
          </w14:textFill>
        </w:rPr>
        <w:alias w:val="是否适用：其他流动资产[双击切换]"/>
        <w:tag w:val="_GBC_7733d50365e24328b41020152f88028d"/>
        <w:id w:val="147453154"/>
        <w:placeholder>
          <w:docPart w:val="GBC22222222222222222222222222222"/>
        </w:placeholder>
      </w:sdtPr>
      <w:sdtEndPr>
        <w:rPr>
          <w:color w:val="000000" w:themeColor="text1"/>
          <w14:textFill>
            <w14:solidFill>
              <w14:schemeClr w14:val="tx1"/>
            </w14:solidFill>
          </w14:textFill>
        </w:rPr>
      </w:sdtEndPr>
      <w:sdtContent>
        <w:p w14:paraId="30A99AD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D6B269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流动资产"/>
          <w:tag w:val="_GBC_d0c62fc75d164678ad203d9ddb106538"/>
          <w:id w:val="1474586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流动资产"/>
          <w:tag w:val="_GBC_9196143d56d24a9ea7f7e31ce8a09024"/>
          <w:id w:val="1474617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7"/>
        <w:gridCol w:w="2917"/>
        <w:gridCol w:w="2845"/>
      </w:tblGrid>
      <w:tr w14:paraId="4D376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5bbfc7d41df4300abcae2e424cc6572"/>
            <w:id w:val="147481227"/>
          </w:sdtPr>
          <w:sdtContent>
            <w:tc>
              <w:tcPr>
                <w:tcW w:w="1816" w:type="pct"/>
                <w:vAlign w:val="center"/>
              </w:tcPr>
              <w:p w14:paraId="38C909FF">
                <w:pPr>
                  <w:jc w:val="center"/>
                  <w:rPr>
                    <w:color w:val="000000" w:themeColor="text1"/>
                    <w14:textFill>
                      <w14:solidFill>
                        <w14:schemeClr w14:val="tx1"/>
                      </w14:solidFill>
                    </w14:textFill>
                  </w:rPr>
                </w:pPr>
                <w:bookmarkStart w:id="265" w:name="_Hlk533421736"/>
                <w:r>
                  <w:rPr>
                    <w:rFonts w:hint="eastAsia"/>
                    <w:color w:val="000000" w:themeColor="text1"/>
                    <w14:textFill>
                      <w14:solidFill>
                        <w14:schemeClr w14:val="tx1"/>
                      </w14:solidFill>
                    </w14:textFill>
                  </w:rPr>
                  <w:t>项目</w:t>
                </w:r>
              </w:p>
            </w:tc>
          </w:sdtContent>
        </w:sdt>
        <w:sdt>
          <w:sdtPr>
            <w:tag w:val="_PLD_d2a222194eae4e958db2401139170ea2"/>
            <w:id w:val="147483201"/>
          </w:sdtPr>
          <w:sdtContent>
            <w:tc>
              <w:tcPr>
                <w:tcW w:w="1612" w:type="pct"/>
                <w:vAlign w:val="center"/>
              </w:tcPr>
              <w:p w14:paraId="03C1993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f3815799e9d4216b9506517d8e9b90c"/>
            <w:id w:val="147462285"/>
          </w:sdtPr>
          <w:sdtContent>
            <w:tc>
              <w:tcPr>
                <w:tcW w:w="1572" w:type="pct"/>
                <w:vAlign w:val="center"/>
              </w:tcPr>
              <w:p w14:paraId="7C969C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CAD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vAlign w:val="center"/>
          </w:tcPr>
          <w:p w14:paraId="5BD93E1D">
            <w:pPr>
              <w:textAlignment w:val="center"/>
              <w:rPr>
                <w:color w:val="000000" w:themeColor="text1"/>
                <w14:textFill>
                  <w14:solidFill>
                    <w14:schemeClr w14:val="tx1"/>
                  </w14:solidFill>
                </w14:textFill>
              </w:rPr>
            </w:pPr>
            <w:r>
              <w:rPr>
                <w:rFonts w:hint="eastAsia" w:ascii="宋体" w:hAnsi="宋体"/>
                <w:color w:val="000000"/>
                <w:lang w:bidi="ar"/>
              </w:rPr>
              <w:t>增值税留抵税额</w:t>
            </w:r>
          </w:p>
        </w:tc>
        <w:tc>
          <w:tcPr>
            <w:tcW w:w="1612" w:type="pct"/>
            <w:vAlign w:val="center"/>
          </w:tcPr>
          <w:p w14:paraId="0DDAB322">
            <w:pPr>
              <w:jc w:val="right"/>
              <w:textAlignment w:val="center"/>
              <w:rPr>
                <w:rFonts w:cs="Times New Roman"/>
              </w:rPr>
            </w:pPr>
            <w:r>
              <w:rPr>
                <w:rFonts w:cs="Times New Roman"/>
                <w:color w:val="000000"/>
              </w:rPr>
              <w:t>272,857,689.28</w:t>
            </w:r>
          </w:p>
        </w:tc>
        <w:tc>
          <w:tcPr>
            <w:tcW w:w="1572" w:type="pct"/>
            <w:vAlign w:val="center"/>
          </w:tcPr>
          <w:p w14:paraId="093E9F5C">
            <w:pPr>
              <w:jc w:val="right"/>
              <w:textAlignment w:val="center"/>
              <w:rPr>
                <w:rFonts w:cs="Times New Roman"/>
              </w:rPr>
            </w:pPr>
            <w:r>
              <w:rPr>
                <w:rFonts w:cs="Times New Roman"/>
                <w:color w:val="000000"/>
              </w:rPr>
              <w:t>262,557,606.25</w:t>
            </w:r>
          </w:p>
        </w:tc>
      </w:tr>
      <w:tr w14:paraId="3DA6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vAlign w:val="center"/>
          </w:tcPr>
          <w:p w14:paraId="54355925">
            <w:pPr>
              <w:textAlignment w:val="center"/>
              <w:rPr>
                <w:color w:val="000000" w:themeColor="text1"/>
                <w14:textFill>
                  <w14:solidFill>
                    <w14:schemeClr w14:val="tx1"/>
                  </w14:solidFill>
                </w14:textFill>
              </w:rPr>
            </w:pPr>
            <w:r>
              <w:rPr>
                <w:rFonts w:hint="eastAsia" w:ascii="宋体" w:hAnsi="宋体"/>
                <w:color w:val="000000"/>
                <w:lang w:bidi="ar"/>
              </w:rPr>
              <w:t>预缴税金</w:t>
            </w:r>
          </w:p>
        </w:tc>
        <w:tc>
          <w:tcPr>
            <w:tcW w:w="1612" w:type="pct"/>
            <w:vAlign w:val="center"/>
          </w:tcPr>
          <w:p w14:paraId="12E03CEC">
            <w:pPr>
              <w:jc w:val="right"/>
              <w:textAlignment w:val="center"/>
              <w:rPr>
                <w:rFonts w:cs="Times New Roman"/>
              </w:rPr>
            </w:pPr>
            <w:r>
              <w:rPr>
                <w:rFonts w:cs="Times New Roman"/>
                <w:color w:val="000000"/>
              </w:rPr>
              <w:t>44,022,398.91</w:t>
            </w:r>
          </w:p>
        </w:tc>
        <w:tc>
          <w:tcPr>
            <w:tcW w:w="1572" w:type="pct"/>
            <w:vAlign w:val="center"/>
          </w:tcPr>
          <w:p w14:paraId="34F95AD5">
            <w:pPr>
              <w:jc w:val="right"/>
              <w:textAlignment w:val="center"/>
              <w:rPr>
                <w:rFonts w:cs="Times New Roman"/>
              </w:rPr>
            </w:pPr>
            <w:r>
              <w:rPr>
                <w:rFonts w:cs="Times New Roman"/>
                <w:color w:val="000000"/>
              </w:rPr>
              <w:t>32,277,940.16</w:t>
            </w:r>
          </w:p>
        </w:tc>
      </w:tr>
      <w:tr w14:paraId="032D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vAlign w:val="center"/>
          </w:tcPr>
          <w:p w14:paraId="3CDF9296">
            <w:pPr>
              <w:snapToGrid w:val="0"/>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2" w:type="pct"/>
            <w:vAlign w:val="center"/>
          </w:tcPr>
          <w:p w14:paraId="2696FAA9">
            <w:pPr>
              <w:jc w:val="right"/>
              <w:textAlignment w:val="center"/>
              <w:rPr>
                <w:rFonts w:cs="Times New Roman"/>
              </w:rPr>
            </w:pPr>
            <w:r>
              <w:rPr>
                <w:rFonts w:cs="Times New Roman"/>
                <w:color w:val="000000"/>
              </w:rPr>
              <w:t>316,880,088.19</w:t>
            </w:r>
          </w:p>
        </w:tc>
        <w:tc>
          <w:tcPr>
            <w:tcW w:w="1572" w:type="pct"/>
            <w:vAlign w:val="center"/>
          </w:tcPr>
          <w:p w14:paraId="37990E35">
            <w:pPr>
              <w:jc w:val="right"/>
              <w:textAlignment w:val="center"/>
              <w:rPr>
                <w:rFonts w:cs="Times New Roman"/>
              </w:rPr>
            </w:pPr>
            <w:r>
              <w:rPr>
                <w:rFonts w:cs="Times New Roman"/>
                <w:color w:val="000000"/>
              </w:rPr>
              <w:t>294,835,546.41</w:t>
            </w:r>
          </w:p>
        </w:tc>
      </w:tr>
      <w:bookmarkEnd w:id="265"/>
    </w:tbl>
    <w:p w14:paraId="7EA6C86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其他流动资产说明"/>
        <w:tag w:val="_GBC_7955e529151148f394eed0e26977270b"/>
        <w:id w:val="147481333"/>
        <w:placeholder>
          <w:docPart w:val="GBC22222222222222222222222222222"/>
        </w:placeholder>
      </w:sdtPr>
      <w:sdtEndPr>
        <w:rPr>
          <w:rFonts w:hint="eastAsia"/>
          <w:color w:val="000000" w:themeColor="text1"/>
          <w14:textFill>
            <w14:solidFill>
              <w14:schemeClr w14:val="tx1"/>
            </w14:solidFill>
          </w14:textFill>
        </w:rPr>
      </w:sdtEndPr>
      <w:sdtContent>
        <w:p w14:paraId="7621F674">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64"/>
    <w:p w14:paraId="3304499F">
      <w:pPr>
        <w:ind w:right="210"/>
        <w:rPr>
          <w:color w:val="000000" w:themeColor="text1"/>
          <w14:textFill>
            <w14:solidFill>
              <w14:schemeClr w14:val="tx1"/>
            </w14:solidFill>
          </w14:textFill>
        </w:rPr>
      </w:pPr>
    </w:p>
    <w:p w14:paraId="419FA345">
      <w:pPr>
        <w:pStyle w:val="57"/>
        <w:numPr>
          <w:ilvl w:val="0"/>
          <w:numId w:val="54"/>
        </w:numPr>
        <w:rPr>
          <w:color w:val="000000" w:themeColor="text1"/>
          <w:szCs w:val="21"/>
          <w14:textFill>
            <w14:solidFill>
              <w14:schemeClr w14:val="tx1"/>
            </w14:solidFill>
          </w14:textFill>
        </w:rPr>
      </w:pPr>
      <w:bookmarkStart w:id="266" w:name="_Hlk10471390"/>
      <w:r>
        <w:rPr>
          <w:color w:val="000000" w:themeColor="text1"/>
          <w:szCs w:val="21"/>
          <w14:textFill>
            <w14:solidFill>
              <w14:schemeClr w14:val="tx1"/>
            </w14:solidFill>
          </w14:textFill>
        </w:rPr>
        <w:t>债权投资</w:t>
      </w:r>
    </w:p>
    <w:p w14:paraId="7538F009">
      <w:pPr>
        <w:pStyle w:val="58"/>
        <w:numPr>
          <w:ilvl w:val="3"/>
          <w:numId w:val="64"/>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债权投资情况</w:t>
      </w:r>
    </w:p>
    <w:sdt>
      <w:sdtPr>
        <w:rPr>
          <w:color w:val="000000" w:themeColor="text1"/>
          <w14:textFill>
            <w14:solidFill>
              <w14:schemeClr w14:val="tx1"/>
            </w14:solidFill>
          </w14:textFill>
        </w:rPr>
        <w:alias w:val="是否适用：以摊余成本计量的长期债权投资[双击切换]"/>
        <w:tag w:val="_GBC_22cb0188d98c4d37a97e0c6a9e34e10d"/>
        <w:id w:val="147465138"/>
        <w:placeholder>
          <w:docPart w:val="GBC22222222222222222222222222222"/>
        </w:placeholder>
      </w:sdtPr>
      <w:sdtEndPr>
        <w:rPr>
          <w:color w:val="000000" w:themeColor="text1"/>
          <w14:textFill>
            <w14:solidFill>
              <w14:schemeClr w14:val="tx1"/>
            </w14:solidFill>
          </w14:textFill>
        </w:rPr>
      </w:sdtEndPr>
      <w:sdtContent>
        <w:p w14:paraId="500F5BFE">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6253D4F">
      <w:pPr>
        <w:ind w:right="210"/>
        <w:rPr>
          <w:color w:val="000000" w:themeColor="text1"/>
          <w14:textFill>
            <w14:solidFill>
              <w14:schemeClr w14:val="tx1"/>
            </w14:solidFill>
          </w14:textFill>
        </w:rPr>
      </w:pPr>
    </w:p>
    <w:bookmarkEnd w:id="266"/>
    <w:p w14:paraId="51A15745">
      <w:pPr>
        <w:rPr>
          <w:color w:val="000000" w:themeColor="text1"/>
          <w14:textFill>
            <w14:solidFill>
              <w14:schemeClr w14:val="tx1"/>
            </w14:solidFill>
          </w14:textFill>
        </w:rPr>
      </w:pPr>
      <w:bookmarkStart w:id="267" w:name="_Hlk153455457"/>
      <w:bookmarkStart w:id="268" w:name="_Hlk167892259"/>
      <w:r>
        <w:rPr>
          <w:rFonts w:hint="eastAsia"/>
          <w:color w:val="000000" w:themeColor="text1"/>
          <w14:textFill>
            <w14:solidFill>
              <w14:schemeClr w14:val="tx1"/>
            </w14:solidFill>
          </w14:textFill>
        </w:rPr>
        <w:t>债权投资减值准备本期变动情况</w:t>
      </w:r>
    </w:p>
    <w:sdt>
      <w:sdtPr>
        <w:rPr>
          <w:color w:val="000000" w:themeColor="text1"/>
          <w14:textFill>
            <w14:solidFill>
              <w14:schemeClr w14:val="tx1"/>
            </w14:solidFill>
          </w14:textFill>
        </w:rPr>
        <w:alias w:val="是否适用：减值准备本期变动情况[双击切换]"/>
        <w:tag w:val="_GBC_50b72791ac8a452f88456ab4da535bab"/>
        <w:id w:val="147463471"/>
        <w:placeholder>
          <w:docPart w:val="GBC22222222222222222222222222222"/>
        </w:placeholder>
      </w:sdtPr>
      <w:sdtEndPr>
        <w:rPr>
          <w:color w:val="000000" w:themeColor="text1"/>
          <w14:textFill>
            <w14:solidFill>
              <w14:schemeClr w14:val="tx1"/>
            </w14:solidFill>
          </w14:textFill>
        </w:rPr>
      </w:sdtEndPr>
      <w:sdtContent>
        <w:p w14:paraId="609B01C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FA01900">
      <w:pPr>
        <w:rPr>
          <w:color w:val="000000" w:themeColor="text1"/>
          <w14:textFill>
            <w14:solidFill>
              <w14:schemeClr w14:val="tx1"/>
            </w14:solidFill>
          </w14:textFill>
        </w:rPr>
      </w:pPr>
    </w:p>
    <w:bookmarkEnd w:id="267"/>
    <w:bookmarkEnd w:id="268"/>
    <w:p w14:paraId="5C9FB83F">
      <w:pPr>
        <w:pStyle w:val="58"/>
        <w:numPr>
          <w:ilvl w:val="3"/>
          <w:numId w:val="64"/>
        </w:numPr>
        <w:ind w:left="426" w:hanging="426"/>
        <w:rPr>
          <w:rFonts w:ascii="宋体" w:hAnsi="宋体"/>
          <w:color w:val="000000" w:themeColor="text1"/>
          <w14:textFill>
            <w14:solidFill>
              <w14:schemeClr w14:val="tx1"/>
            </w14:solidFill>
          </w14:textFill>
        </w:rPr>
      </w:pPr>
      <w:bookmarkStart w:id="269" w:name="_Hlk532994191"/>
      <w:bookmarkStart w:id="270" w:name="_Hlk167892342"/>
      <w:r>
        <w:rPr>
          <w:rFonts w:hint="eastAsia" w:ascii="宋体" w:hAnsi="宋体"/>
          <w:color w:val="000000" w:themeColor="text1"/>
          <w14:textFill>
            <w14:solidFill>
              <w14:schemeClr w14:val="tx1"/>
            </w14:solidFill>
          </w14:textFill>
        </w:rPr>
        <w:t>期末重要的债权投资</w:t>
      </w:r>
    </w:p>
    <w:sdt>
      <w:sdtPr>
        <w:rPr>
          <w:color w:val="000000" w:themeColor="text1"/>
          <w14:textFill>
            <w14:solidFill>
              <w14:schemeClr w14:val="tx1"/>
            </w14:solidFill>
          </w14:textFill>
        </w:rPr>
        <w:alias w:val="是否适用：重要的债权投资[双击切换]"/>
        <w:tag w:val="_GBC_dfd6ab7a86864614a29dc0fb3c650c26"/>
        <w:id w:val="147466225"/>
        <w:placeholder>
          <w:docPart w:val="GBC22222222222222222222222222222"/>
        </w:placeholder>
      </w:sdtPr>
      <w:sdtEndPr>
        <w:rPr>
          <w:color w:val="000000" w:themeColor="text1"/>
          <w14:textFill>
            <w14:solidFill>
              <w14:schemeClr w14:val="tx1"/>
            </w14:solidFill>
          </w14:textFill>
        </w:rPr>
      </w:sdtEndPr>
      <w:sdtContent>
        <w:p w14:paraId="51BAAB2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273FC95">
      <w:pPr>
        <w:rPr>
          <w:color w:val="000000" w:themeColor="text1"/>
          <w14:textFill>
            <w14:solidFill>
              <w14:schemeClr w14:val="tx1"/>
            </w14:solidFill>
          </w14:textFill>
        </w:rPr>
      </w:pPr>
    </w:p>
    <w:bookmarkEnd w:id="269"/>
    <w:bookmarkEnd w:id="270"/>
    <w:p w14:paraId="4A863B3D">
      <w:pPr>
        <w:pStyle w:val="58"/>
        <w:numPr>
          <w:ilvl w:val="3"/>
          <w:numId w:val="64"/>
        </w:numPr>
        <w:ind w:left="426" w:hanging="426"/>
        <w:rPr>
          <w:rFonts w:ascii="宋体" w:hAnsi="宋体"/>
          <w:color w:val="000000" w:themeColor="text1"/>
          <w14:textFill>
            <w14:solidFill>
              <w14:schemeClr w14:val="tx1"/>
            </w14:solidFill>
          </w14:textFill>
        </w:rPr>
      </w:pPr>
      <w:bookmarkStart w:id="271" w:name="_Hlk10471472"/>
      <w:bookmarkStart w:id="272" w:name="_Hlk10471485"/>
      <w:r>
        <w:rPr>
          <w:rFonts w:hint="eastAsia" w:ascii="宋体" w:hAnsi="宋体"/>
          <w:color w:val="000000" w:themeColor="text1"/>
          <w14:textFill>
            <w14:solidFill>
              <w14:schemeClr w14:val="tx1"/>
            </w14:solidFill>
          </w14:textFill>
        </w:rPr>
        <w:t>减值准备计提情况</w:t>
      </w:r>
      <w:bookmarkEnd w:id="271"/>
    </w:p>
    <w:sdt>
      <w:sdtPr>
        <w:rPr>
          <w:color w:val="000000" w:themeColor="text1"/>
          <w14:textFill>
            <w14:solidFill>
              <w14:schemeClr w14:val="tx1"/>
            </w14:solidFill>
          </w14:textFill>
        </w:rPr>
        <w:alias w:val="是否适用：债权投资减值准备调节表[双击切换]"/>
        <w:tag w:val="_GBC_415a5cd43ad14136b13ac09b150da06f"/>
        <w:id w:val="147460237"/>
        <w:placeholder>
          <w:docPart w:val="GBC22222222222222222222222222222"/>
        </w:placeholder>
      </w:sdtPr>
      <w:sdtEndPr>
        <w:rPr>
          <w:color w:val="000000" w:themeColor="text1"/>
          <w14:textFill>
            <w14:solidFill>
              <w14:schemeClr w14:val="tx1"/>
            </w14:solidFill>
          </w14:textFill>
        </w:rPr>
      </w:sdtEndPr>
      <w:sdtContent>
        <w:p w14:paraId="0C056C9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B38B5FA">
      <w:pPr>
        <w:rPr>
          <w:color w:val="000000" w:themeColor="text1"/>
          <w14:textFill>
            <w14:solidFill>
              <w14:schemeClr w14:val="tx1"/>
            </w14:solidFill>
          </w14:textFill>
        </w:rPr>
      </w:pPr>
    </w:p>
    <w:p w14:paraId="2FB1EFD0">
      <w:pPr>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各阶段划分依据和减值准备计提比例：</w:t>
      </w:r>
    </w:p>
    <w:sdt>
      <w:sdtPr>
        <w:rPr>
          <w:color w:val="000000" w:themeColor="text1"/>
          <w14:textFill>
            <w14:solidFill>
              <w14:schemeClr w14:val="tx1"/>
            </w14:solidFill>
          </w14:textFill>
        </w:rPr>
        <w:alias w:val="债权投资各阶段划分依据和减值准备计提比例"/>
        <w:tag w:val="_GBC_251143413a6c4bb19036ef59ee403126"/>
        <w:id w:val="147456149"/>
        <w:placeholder>
          <w:docPart w:val="GBC22222222222222222222222222222"/>
        </w:placeholder>
      </w:sdtPr>
      <w:sdtEndPr>
        <w:rPr>
          <w:color w:val="000000" w:themeColor="text1"/>
          <w14:textFill>
            <w14:solidFill>
              <w14:schemeClr w14:val="tx1"/>
            </w14:solidFill>
          </w14:textFill>
        </w:rPr>
      </w:sdtEndPr>
      <w:sdtContent>
        <w:p w14:paraId="52CCEB23">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0E185C19">
      <w:pPr>
        <w:rPr>
          <w:color w:val="000000" w:themeColor="text1"/>
          <w14:textFill>
            <w14:solidFill>
              <w14:schemeClr w14:val="tx1"/>
            </w14:solidFill>
          </w14:textFill>
        </w:rPr>
      </w:pPr>
    </w:p>
    <w:p w14:paraId="63488F3F">
      <w:pPr>
        <w:rPr>
          <w:color w:val="000000" w:themeColor="text1"/>
          <w14:textFill>
            <w14:solidFill>
              <w14:schemeClr w14:val="tx1"/>
            </w14:solidFill>
          </w14:textFill>
        </w:rPr>
      </w:pPr>
    </w:p>
    <w:p w14:paraId="301476F5">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对本期发生损失准备变动的债权投资账面余额显著变动的情况说明：</w:t>
      </w:r>
    </w:p>
    <w:sdt>
      <w:sdtPr>
        <w:rPr>
          <w:color w:val="000000" w:themeColor="text1"/>
          <w14:textFill>
            <w14:solidFill>
              <w14:schemeClr w14:val="tx1"/>
            </w14:solidFill>
          </w14:textFill>
        </w:rPr>
        <w:alias w:val="是否适用：债权投资本期发生损失准备变动且账面余额显著变动的情况说明[双击切换]"/>
        <w:tag w:val="_GBC_c6e31a7a389c493bad1d2f0f97023edf"/>
        <w:id w:val="147480311"/>
        <w:placeholder>
          <w:docPart w:val="GBC22222222222222222222222222222"/>
        </w:placeholder>
      </w:sdtPr>
      <w:sdtEndPr>
        <w:rPr>
          <w:color w:val="000000" w:themeColor="text1"/>
          <w14:textFill>
            <w14:solidFill>
              <w14:schemeClr w14:val="tx1"/>
            </w14:solidFill>
          </w14:textFill>
        </w:rPr>
      </w:sdtEndPr>
      <w:sdtContent>
        <w:p w14:paraId="1E9C3553">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9E3A47">
      <w:pPr>
        <w:ind w:right="210"/>
        <w:rPr>
          <w:color w:val="000000" w:themeColor="text1"/>
          <w14:textFill>
            <w14:solidFill>
              <w14:schemeClr w14:val="tx1"/>
            </w14:solidFill>
          </w14:textFill>
        </w:rPr>
      </w:pPr>
    </w:p>
    <w:p w14:paraId="46459793">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期减</w:t>
      </w:r>
      <w:r>
        <w:rPr>
          <w:rFonts w:hint="eastAsia"/>
          <w:color w:val="000000" w:themeColor="text1"/>
          <w14:textFill>
            <w14:solidFill>
              <w14:schemeClr w14:val="tx1"/>
            </w14:solidFill>
          </w14:textFill>
        </w:rPr>
        <w:t>值</w:t>
      </w:r>
      <w:r>
        <w:rPr>
          <w:color w:val="000000" w:themeColor="text1"/>
          <w14:textFill>
            <w14:solidFill>
              <w14:schemeClr w14:val="tx1"/>
            </w14:solidFill>
          </w14:textFill>
        </w:rPr>
        <w:t>准备计提金额以及评估金融工具的</w:t>
      </w:r>
      <w:r>
        <w:rPr>
          <w:rFonts w:hint="eastAsia"/>
          <w:color w:val="000000" w:themeColor="text1"/>
          <w14:textFill>
            <w14:solidFill>
              <w14:schemeClr w14:val="tx1"/>
            </w14:solidFill>
          </w14:textFill>
        </w:rPr>
        <w:t>信用风险是否显著增加的采用依据：</w:t>
      </w:r>
    </w:p>
    <w:sdt>
      <w:sdtPr>
        <w:rPr>
          <w:color w:val="000000" w:themeColor="text1"/>
          <w14:textFill>
            <w14:solidFill>
              <w14:schemeClr w14:val="tx1"/>
            </w14:solidFill>
          </w14:textFill>
        </w:rPr>
        <w:alias w:val="是否适用：债权投资减值准备计提金额以及评估金融工具的信用风险显著增加的采用依据[双击切换]"/>
        <w:tag w:val="_GBC_9f2bcc7ec6104c84a1b0f948b57b7e7a"/>
        <w:id w:val="147452972"/>
        <w:placeholder>
          <w:docPart w:val="GBC22222222222222222222222222222"/>
        </w:placeholder>
      </w:sdtPr>
      <w:sdtEndPr>
        <w:rPr>
          <w:color w:val="000000" w:themeColor="text1"/>
          <w14:textFill>
            <w14:solidFill>
              <w14:schemeClr w14:val="tx1"/>
            </w14:solidFill>
          </w14:textFill>
        </w:rPr>
      </w:sdtEndPr>
      <w:sdtContent>
        <w:p w14:paraId="540544C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5786C85">
      <w:pPr>
        <w:ind w:right="210"/>
        <w:rPr>
          <w:color w:val="000000" w:themeColor="text1"/>
          <w14:textFill>
            <w14:solidFill>
              <w14:schemeClr w14:val="tx1"/>
            </w14:solidFill>
          </w14:textFill>
        </w:rPr>
      </w:pPr>
    </w:p>
    <w:bookmarkEnd w:id="272"/>
    <w:p w14:paraId="28FA90D7">
      <w:pPr>
        <w:pStyle w:val="58"/>
        <w:numPr>
          <w:ilvl w:val="3"/>
          <w:numId w:val="64"/>
        </w:numPr>
        <w:ind w:left="426" w:hanging="426"/>
        <w:rPr>
          <w:rFonts w:ascii="宋体" w:hAnsi="宋体"/>
          <w:color w:val="000000" w:themeColor="text1"/>
          <w14:textFill>
            <w14:solidFill>
              <w14:schemeClr w14:val="tx1"/>
            </w14:solidFill>
          </w14:textFill>
        </w:rPr>
      </w:pPr>
      <w:bookmarkStart w:id="273" w:name="_Hlk167892558"/>
      <w:bookmarkStart w:id="274" w:name="_Hlk153455555"/>
      <w:r>
        <w:rPr>
          <w:rFonts w:hint="eastAsia" w:ascii="宋体" w:hAnsi="宋体"/>
          <w:color w:val="000000" w:themeColor="text1"/>
          <w14:textFill>
            <w14:solidFill>
              <w14:schemeClr w14:val="tx1"/>
            </w14:solidFill>
          </w14:textFill>
        </w:rPr>
        <w:t>本期实际的核销债权投资情况</w:t>
      </w:r>
    </w:p>
    <w:sdt>
      <w:sdtPr>
        <w:rPr>
          <w:color w:val="000000" w:themeColor="text1"/>
          <w14:textFill>
            <w14:solidFill>
              <w14:schemeClr w14:val="tx1"/>
            </w14:solidFill>
          </w14:textFill>
        </w:rPr>
        <w:alias w:val="是否适用：实际核销的情况[双击切换]"/>
        <w:tag w:val="_GBC_3afef6300d7c49d48b6294a7214810bd"/>
        <w:id w:val="147468305"/>
        <w:placeholder>
          <w:docPart w:val="GBC22222222222222222222222222222"/>
        </w:placeholder>
      </w:sdtPr>
      <w:sdtEndPr>
        <w:rPr>
          <w:color w:val="000000" w:themeColor="text1"/>
          <w14:textFill>
            <w14:solidFill>
              <w14:schemeClr w14:val="tx1"/>
            </w14:solidFill>
          </w14:textFill>
        </w:rPr>
      </w:sdtEndPr>
      <w:sdtContent>
        <w:p w14:paraId="52B988E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FC2DFE">
      <w:pPr>
        <w:rPr>
          <w:color w:val="000000" w:themeColor="text1"/>
          <w14:textFill>
            <w14:solidFill>
              <w14:schemeClr w14:val="tx1"/>
            </w14:solidFill>
          </w14:textFill>
        </w:rPr>
      </w:pPr>
    </w:p>
    <w:p w14:paraId="616AEF45">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其中重要的债权投资</w:t>
      </w:r>
      <w:r>
        <w:rPr>
          <w:color w:val="000000" w:themeColor="text1"/>
          <w14:textFill>
            <w14:solidFill>
              <w14:schemeClr w14:val="tx1"/>
            </w14:solidFill>
          </w14:textFill>
        </w:rPr>
        <w:t>情况</w:t>
      </w:r>
      <w:r>
        <w:rPr>
          <w:rFonts w:hint="eastAsia"/>
          <w:color w:val="000000" w:themeColor="text1"/>
          <w14:textFill>
            <w14:solidFill>
              <w14:schemeClr w14:val="tx1"/>
            </w14:solidFill>
          </w14:textFill>
        </w:rPr>
        <w:t>核销情况</w:t>
      </w:r>
    </w:p>
    <w:sdt>
      <w:sdtPr>
        <w:rPr>
          <w:rFonts w:hint="eastAsia"/>
          <w:color w:val="000000" w:themeColor="text1"/>
          <w14:textFill>
            <w14:solidFill>
              <w14:schemeClr w14:val="tx1"/>
            </w14:solidFill>
          </w14:textFill>
        </w:rPr>
        <w:alias w:val="是否适用：重要的核销情况[双击切换]"/>
        <w:tag w:val="_GBC_dc0725e00c1d479dba02255be6332ac6"/>
        <w:id w:val="147465257"/>
        <w:placeholder>
          <w:docPart w:val="GBC22222222222222222222222222222"/>
        </w:placeholder>
      </w:sdtPr>
      <w:sdtEndPr>
        <w:rPr>
          <w:rFonts w:hint="eastAsia"/>
          <w:color w:val="000000" w:themeColor="text1"/>
          <w14:textFill>
            <w14:solidFill>
              <w14:schemeClr w14:val="tx1"/>
            </w14:solidFill>
          </w14:textFill>
        </w:rPr>
      </w:sdtEndPr>
      <w:sdtContent>
        <w:p w14:paraId="7E2F03E2">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2619CA0">
      <w:pPr>
        <w:snapToGrid w:val="0"/>
        <w:spacing w:line="240" w:lineRule="atLeast"/>
        <w:rPr>
          <w:color w:val="000000" w:themeColor="text1"/>
          <w14:textFill>
            <w14:solidFill>
              <w14:schemeClr w14:val="tx1"/>
            </w14:solidFill>
          </w14:textFill>
        </w:rPr>
      </w:pPr>
    </w:p>
    <w:p w14:paraId="0A0704A2">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债权投资的核销说明：</w:t>
      </w:r>
    </w:p>
    <w:sdt>
      <w:sdtPr>
        <w:rPr>
          <w:color w:val="000000" w:themeColor="text1"/>
          <w14:textFill>
            <w14:solidFill>
              <w14:schemeClr w14:val="tx1"/>
            </w14:solidFill>
          </w14:textFill>
        </w:rPr>
        <w:alias w:val="是否适用：核销说明[双击切换]"/>
        <w:tag w:val="_GBC_de5ab370e646496a8820f55eaf66a319"/>
        <w:id w:val="147472790"/>
        <w:placeholder>
          <w:docPart w:val="GBC22222222222222222222222222222"/>
        </w:placeholder>
      </w:sdtPr>
      <w:sdtEndPr>
        <w:rPr>
          <w:color w:val="000000" w:themeColor="text1"/>
          <w14:textFill>
            <w14:solidFill>
              <w14:schemeClr w14:val="tx1"/>
            </w14:solidFill>
          </w14:textFill>
        </w:rPr>
      </w:sdtEndPr>
      <w:sdtContent>
        <w:p w14:paraId="68D41F0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890424E">
      <w:pPr>
        <w:rPr>
          <w:color w:val="000000" w:themeColor="text1"/>
          <w14:textFill>
            <w14:solidFill>
              <w14:schemeClr w14:val="tx1"/>
            </w14:solidFill>
          </w14:textFill>
        </w:rPr>
      </w:pPr>
    </w:p>
    <w:bookmarkEnd w:id="273"/>
    <w:bookmarkEnd w:id="274"/>
    <w:p w14:paraId="73372C4E">
      <w:pPr>
        <w:ind w:right="210"/>
        <w:rPr>
          <w:color w:val="000000" w:themeColor="text1"/>
          <w14:textFill>
            <w14:solidFill>
              <w14:schemeClr w14:val="tx1"/>
            </w14:solidFill>
          </w14:textFill>
        </w:rPr>
      </w:pPr>
      <w:bookmarkStart w:id="275" w:name="_Hlk167892487"/>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债权投资其他说明"/>
        <w:tag w:val="_GBC_28b21821551847bca67b7c6c2e134e89"/>
        <w:id w:val="147482880"/>
        <w:placeholder>
          <w:docPart w:val="GBC22222222222222222222222222222"/>
        </w:placeholder>
      </w:sdtPr>
      <w:sdtEndPr>
        <w:rPr>
          <w:color w:val="000000" w:themeColor="text1"/>
          <w14:textFill>
            <w14:solidFill>
              <w14:schemeClr w14:val="tx1"/>
            </w14:solidFill>
          </w14:textFill>
        </w:rPr>
      </w:sdtEndPr>
      <w:sdtContent>
        <w:p w14:paraId="7C4AEADA">
          <w:pPr>
            <w:ind w:right="21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3F27D5BD">
      <w:pPr>
        <w:ind w:right="210"/>
        <w:rPr>
          <w:color w:val="000000" w:themeColor="text1"/>
          <w14:textFill>
            <w14:solidFill>
              <w14:schemeClr w14:val="tx1"/>
            </w14:solidFill>
          </w14:textFill>
        </w:rPr>
      </w:pPr>
    </w:p>
    <w:bookmarkEnd w:id="275"/>
    <w:p w14:paraId="75FB954F">
      <w:pPr>
        <w:pStyle w:val="57"/>
        <w:numPr>
          <w:ilvl w:val="0"/>
          <w:numId w:val="54"/>
        </w:numPr>
        <w:rPr>
          <w:color w:val="000000" w:themeColor="text1"/>
          <w:szCs w:val="21"/>
          <w14:textFill>
            <w14:solidFill>
              <w14:schemeClr w14:val="tx1"/>
            </w14:solidFill>
          </w14:textFill>
        </w:rPr>
      </w:pPr>
      <w:bookmarkStart w:id="276" w:name="_Hlk167892682"/>
      <w:r>
        <w:rPr>
          <w:color w:val="000000" w:themeColor="text1"/>
          <w:szCs w:val="21"/>
          <w14:textFill>
            <w14:solidFill>
              <w14:schemeClr w14:val="tx1"/>
            </w14:solidFill>
          </w14:textFill>
        </w:rPr>
        <w:t>其他债权投资</w:t>
      </w:r>
    </w:p>
    <w:p w14:paraId="005A577E">
      <w:pPr>
        <w:pStyle w:val="58"/>
        <w:numPr>
          <w:ilvl w:val="3"/>
          <w:numId w:val="65"/>
        </w:numPr>
        <w:ind w:left="426"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其他债权投资情况</w:t>
      </w:r>
    </w:p>
    <w:sdt>
      <w:sdtPr>
        <w:rPr>
          <w:color w:val="000000" w:themeColor="text1"/>
          <w14:textFill>
            <w14:solidFill>
              <w14:schemeClr w14:val="tx1"/>
            </w14:solidFill>
          </w14:textFill>
        </w:rPr>
        <w:alias w:val="是否适用：其他债权投资情况[双击切换]"/>
        <w:tag w:val="_GBC_92529f98ed0049e0b197213d2c9b7d0a"/>
        <w:id w:val="147470381"/>
        <w:placeholder>
          <w:docPart w:val="GBC22222222222222222222222222222"/>
        </w:placeholder>
      </w:sdtPr>
      <w:sdtEndPr>
        <w:rPr>
          <w:color w:val="000000" w:themeColor="text1"/>
          <w14:textFill>
            <w14:solidFill>
              <w14:schemeClr w14:val="tx1"/>
            </w14:solidFill>
          </w14:textFill>
        </w:rPr>
      </w:sdtEndPr>
      <w:sdtContent>
        <w:p w14:paraId="6BF5E710">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087E9C">
      <w:pPr>
        <w:ind w:right="210"/>
        <w:rPr>
          <w:color w:val="000000" w:themeColor="text1"/>
          <w14:textFill>
            <w14:solidFill>
              <w14:schemeClr w14:val="tx1"/>
            </w14:solidFill>
          </w14:textFill>
        </w:rPr>
      </w:pPr>
    </w:p>
    <w:p w14:paraId="0ED1975D">
      <w:pPr>
        <w:rPr>
          <w:color w:val="000000" w:themeColor="text1"/>
          <w14:textFill>
            <w14:solidFill>
              <w14:schemeClr w14:val="tx1"/>
            </w14:solidFill>
          </w14:textFill>
        </w:rPr>
      </w:pPr>
      <w:bookmarkStart w:id="277" w:name="_Hlk153455695"/>
      <w:r>
        <w:rPr>
          <w:rFonts w:hint="eastAsia"/>
          <w:color w:val="000000" w:themeColor="text1"/>
          <w14:textFill>
            <w14:solidFill>
              <w14:schemeClr w14:val="tx1"/>
            </w14:solidFill>
          </w14:textFill>
        </w:rPr>
        <w:t>其他债权投资减值准备本期变动情况</w:t>
      </w:r>
    </w:p>
    <w:sdt>
      <w:sdtPr>
        <w:rPr>
          <w:color w:val="000000" w:themeColor="text1"/>
          <w14:textFill>
            <w14:solidFill>
              <w14:schemeClr w14:val="tx1"/>
            </w14:solidFill>
          </w14:textFill>
        </w:rPr>
        <w:alias w:val="是否适用：减值准备本期变动情况[双击切换]"/>
        <w:tag w:val="_GBC_b9701012584a4eb3946302a1880256f3"/>
        <w:id w:val="147470348"/>
        <w:placeholder>
          <w:docPart w:val="GBC22222222222222222222222222222"/>
        </w:placeholder>
      </w:sdtPr>
      <w:sdtEndPr>
        <w:rPr>
          <w:color w:val="000000" w:themeColor="text1"/>
          <w14:textFill>
            <w14:solidFill>
              <w14:schemeClr w14:val="tx1"/>
            </w14:solidFill>
          </w14:textFill>
        </w:rPr>
      </w:sdtEndPr>
      <w:sdtContent>
        <w:p w14:paraId="6594A4D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76"/>
    <w:bookmarkEnd w:id="277"/>
    <w:p w14:paraId="7E1EC3B7">
      <w:pPr>
        <w:rPr>
          <w:color w:val="000000" w:themeColor="text1"/>
          <w14:textFill>
            <w14:solidFill>
              <w14:schemeClr w14:val="tx1"/>
            </w14:solidFill>
          </w14:textFill>
        </w:rPr>
      </w:pPr>
    </w:p>
    <w:p w14:paraId="0463B335">
      <w:pPr>
        <w:pStyle w:val="58"/>
        <w:numPr>
          <w:ilvl w:val="3"/>
          <w:numId w:val="65"/>
        </w:numPr>
        <w:ind w:left="426" w:hanging="426"/>
        <w:rPr>
          <w:color w:val="000000" w:themeColor="text1"/>
          <w14:textFill>
            <w14:solidFill>
              <w14:schemeClr w14:val="tx1"/>
            </w14:solidFill>
          </w14:textFill>
        </w:rPr>
      </w:pPr>
      <w:bookmarkStart w:id="278" w:name="_Hlk167892795"/>
      <w:bookmarkStart w:id="279" w:name="_Hlk533848078"/>
      <w:r>
        <w:rPr>
          <w:rFonts w:hint="eastAsia"/>
          <w:color w:val="000000" w:themeColor="text1"/>
          <w14:textFill>
            <w14:solidFill>
              <w14:schemeClr w14:val="tx1"/>
            </w14:solidFill>
          </w14:textFill>
        </w:rPr>
        <w:t>期末重要的其他债权投资</w:t>
      </w:r>
    </w:p>
    <w:sdt>
      <w:sdtPr>
        <w:rPr>
          <w:color w:val="000000" w:themeColor="text1"/>
          <w14:textFill>
            <w14:solidFill>
              <w14:schemeClr w14:val="tx1"/>
            </w14:solidFill>
          </w14:textFill>
        </w:rPr>
        <w:alias w:val="是否适用：重要的其他债权投资[双击切换]"/>
        <w:tag w:val="_GBC_00805fa375c74d288e1bd8def75cea7f"/>
        <w:id w:val="147472829"/>
        <w:placeholder>
          <w:docPart w:val="GBC22222222222222222222222222222"/>
        </w:placeholder>
      </w:sdtPr>
      <w:sdtEndPr>
        <w:rPr>
          <w:color w:val="000000" w:themeColor="text1"/>
          <w14:textFill>
            <w14:solidFill>
              <w14:schemeClr w14:val="tx1"/>
            </w14:solidFill>
          </w14:textFill>
        </w:rPr>
      </w:sdtEndPr>
      <w:sdtContent>
        <w:p w14:paraId="5B380E18">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038C88">
      <w:pPr>
        <w:ind w:right="210"/>
        <w:rPr>
          <w:color w:val="000000" w:themeColor="text1"/>
          <w14:textFill>
            <w14:solidFill>
              <w14:schemeClr w14:val="tx1"/>
            </w14:solidFill>
          </w14:textFill>
        </w:rPr>
      </w:pPr>
    </w:p>
    <w:bookmarkEnd w:id="278"/>
    <w:bookmarkEnd w:id="279"/>
    <w:p w14:paraId="0B908ECD">
      <w:pPr>
        <w:pStyle w:val="58"/>
        <w:numPr>
          <w:ilvl w:val="3"/>
          <w:numId w:val="65"/>
        </w:numPr>
        <w:ind w:left="426" w:hanging="426"/>
        <w:rPr>
          <w:color w:val="000000" w:themeColor="text1"/>
          <w14:textFill>
            <w14:solidFill>
              <w14:schemeClr w14:val="tx1"/>
            </w14:solidFill>
          </w14:textFill>
        </w:rPr>
      </w:pPr>
      <w:bookmarkStart w:id="280" w:name="_Hlk10471703"/>
      <w:bookmarkStart w:id="281" w:name="_Hlk10471716"/>
      <w:r>
        <w:rPr>
          <w:rFonts w:hint="eastAsia"/>
          <w:color w:val="000000" w:themeColor="text1"/>
          <w14:textFill>
            <w14:solidFill>
              <w14:schemeClr w14:val="tx1"/>
            </w14:solidFill>
          </w14:textFill>
        </w:rPr>
        <w:t>减值准备计提情况</w:t>
      </w:r>
      <w:bookmarkEnd w:id="280"/>
    </w:p>
    <w:sdt>
      <w:sdtPr>
        <w:rPr>
          <w:color w:val="000000" w:themeColor="text1"/>
          <w14:textFill>
            <w14:solidFill>
              <w14:schemeClr w14:val="tx1"/>
            </w14:solidFill>
          </w14:textFill>
        </w:rPr>
        <w:alias w:val="是否适用：其他债权投资减值准备调节表[双击切换]"/>
        <w:tag w:val="_GBC_038e4a0a4815442e91a9309c128001c1"/>
        <w:id w:val="147469259"/>
        <w:placeholder>
          <w:docPart w:val="GBC22222222222222222222222222222"/>
        </w:placeholder>
      </w:sdtPr>
      <w:sdtEndPr>
        <w:rPr>
          <w:color w:val="000000" w:themeColor="text1"/>
          <w14:textFill>
            <w14:solidFill>
              <w14:schemeClr w14:val="tx1"/>
            </w14:solidFill>
          </w14:textFill>
        </w:rPr>
      </w:sdtEndPr>
      <w:sdtContent>
        <w:p w14:paraId="7919BE61">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8897F8C">
      <w:pPr>
        <w:rPr>
          <w:color w:val="000000" w:themeColor="text1"/>
          <w14:textFill>
            <w14:solidFill>
              <w14:schemeClr w14:val="tx1"/>
            </w14:solidFill>
          </w14:textFill>
        </w:rPr>
      </w:pPr>
      <w:bookmarkStart w:id="282" w:name="_Hlk533848073"/>
    </w:p>
    <w:bookmarkEnd w:id="281"/>
    <w:bookmarkEnd w:id="282"/>
    <w:p w14:paraId="11E33069">
      <w:pPr>
        <w:pStyle w:val="58"/>
        <w:numPr>
          <w:ilvl w:val="3"/>
          <w:numId w:val="65"/>
        </w:numPr>
        <w:ind w:left="426" w:hanging="426"/>
        <w:rPr>
          <w:color w:val="000000" w:themeColor="text1"/>
          <w14:textFill>
            <w14:solidFill>
              <w14:schemeClr w14:val="tx1"/>
            </w14:solidFill>
          </w14:textFill>
        </w:rPr>
      </w:pPr>
      <w:bookmarkStart w:id="283" w:name="_Hlk167892961"/>
      <w:bookmarkStart w:id="284" w:name="_Hlk153456989"/>
      <w:r>
        <w:rPr>
          <w:rFonts w:hint="eastAsia"/>
          <w:color w:val="000000" w:themeColor="text1"/>
          <w14:textFill>
            <w14:solidFill>
              <w14:schemeClr w14:val="tx1"/>
            </w14:solidFill>
          </w14:textFill>
        </w:rPr>
        <w:t>本期实际核销的其他债权投资情况</w:t>
      </w:r>
    </w:p>
    <w:sdt>
      <w:sdtPr>
        <w:rPr>
          <w:color w:val="000000" w:themeColor="text1"/>
          <w14:textFill>
            <w14:solidFill>
              <w14:schemeClr w14:val="tx1"/>
            </w14:solidFill>
          </w14:textFill>
        </w:rPr>
        <w:alias w:val="是否适用：实际核销的情况[双击切换]"/>
        <w:tag w:val="_GBC_3f64bf41b4334743becf2e82476d4bae"/>
        <w:id w:val="147451662"/>
        <w:placeholder>
          <w:docPart w:val="GBC22222222222222222222222222222"/>
        </w:placeholder>
      </w:sdtPr>
      <w:sdtEndPr>
        <w:rPr>
          <w:color w:val="000000" w:themeColor="text1"/>
          <w14:textFill>
            <w14:solidFill>
              <w14:schemeClr w14:val="tx1"/>
            </w14:solidFill>
          </w14:textFill>
        </w:rPr>
      </w:sdtEndPr>
      <w:sdtContent>
        <w:p w14:paraId="57B02D3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8155C5F">
      <w:pPr>
        <w:rPr>
          <w:color w:val="000000" w:themeColor="text1"/>
          <w14:textFill>
            <w14:solidFill>
              <w14:schemeClr w14:val="tx1"/>
            </w14:solidFill>
          </w14:textFill>
        </w:rPr>
      </w:pPr>
    </w:p>
    <w:p w14:paraId="239CE8A7">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其中重要的其他债权投资</w:t>
      </w:r>
      <w:r>
        <w:rPr>
          <w:color w:val="000000" w:themeColor="text1"/>
          <w14:textFill>
            <w14:solidFill>
              <w14:schemeClr w14:val="tx1"/>
            </w14:solidFill>
          </w14:textFill>
        </w:rPr>
        <w:t>情况</w:t>
      </w:r>
      <w:r>
        <w:rPr>
          <w:rFonts w:hint="eastAsia"/>
          <w:color w:val="000000" w:themeColor="text1"/>
          <w14:textFill>
            <w14:solidFill>
              <w14:schemeClr w14:val="tx1"/>
            </w14:solidFill>
          </w14:textFill>
        </w:rPr>
        <w:t>核销情况</w:t>
      </w:r>
    </w:p>
    <w:sdt>
      <w:sdtPr>
        <w:rPr>
          <w:rFonts w:hint="eastAsia"/>
          <w:color w:val="000000" w:themeColor="text1"/>
          <w14:textFill>
            <w14:solidFill>
              <w14:schemeClr w14:val="tx1"/>
            </w14:solidFill>
          </w14:textFill>
        </w:rPr>
        <w:alias w:val="是否适用：重要的核销情况[双击切换]"/>
        <w:tag w:val="_GBC_c6a24c878fc2452199cbce9e12babe90"/>
        <w:id w:val="147459218"/>
        <w:placeholder>
          <w:docPart w:val="GBC22222222222222222222222222222"/>
        </w:placeholder>
      </w:sdtPr>
      <w:sdtEndPr>
        <w:rPr>
          <w:rFonts w:hint="eastAsia"/>
          <w:color w:val="000000" w:themeColor="text1"/>
          <w14:textFill>
            <w14:solidFill>
              <w14:schemeClr w14:val="tx1"/>
            </w14:solidFill>
          </w14:textFill>
        </w:rPr>
      </w:sdtEndPr>
      <w:sdtContent>
        <w:p w14:paraId="490E97D2">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9A9EBC">
      <w:pPr>
        <w:snapToGrid w:val="0"/>
        <w:spacing w:line="240" w:lineRule="atLeast"/>
        <w:rPr>
          <w:color w:val="000000" w:themeColor="text1"/>
          <w14:textFill>
            <w14:solidFill>
              <w14:schemeClr w14:val="tx1"/>
            </w14:solidFill>
          </w14:textFill>
        </w:rPr>
      </w:pPr>
    </w:p>
    <w:p w14:paraId="7F53DCC2">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其他债权投资的核销说明：</w:t>
      </w:r>
    </w:p>
    <w:sdt>
      <w:sdtPr>
        <w:rPr>
          <w:color w:val="000000" w:themeColor="text1"/>
          <w14:textFill>
            <w14:solidFill>
              <w14:schemeClr w14:val="tx1"/>
            </w14:solidFill>
          </w14:textFill>
        </w:rPr>
        <w:alias w:val="是否适用：核销说明[双击切换]"/>
        <w:tag w:val="_GBC_53efb454d66a4a18836780c1e0d7b273"/>
        <w:id w:val="147454832"/>
        <w:placeholder>
          <w:docPart w:val="GBC22222222222222222222222222222"/>
        </w:placeholder>
      </w:sdtPr>
      <w:sdtEndPr>
        <w:rPr>
          <w:color w:val="000000" w:themeColor="text1"/>
          <w14:textFill>
            <w14:solidFill>
              <w14:schemeClr w14:val="tx1"/>
            </w14:solidFill>
          </w14:textFill>
        </w:rPr>
      </w:sdtEndPr>
      <w:sdtContent>
        <w:p w14:paraId="0683267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E74326">
      <w:pPr>
        <w:rPr>
          <w:color w:val="000000" w:themeColor="text1"/>
          <w14:textFill>
            <w14:solidFill>
              <w14:schemeClr w14:val="tx1"/>
            </w14:solidFill>
          </w14:textFill>
        </w:rPr>
      </w:pPr>
    </w:p>
    <w:bookmarkEnd w:id="283"/>
    <w:bookmarkEnd w:id="284"/>
    <w:p w14:paraId="093FA166">
      <w:pPr>
        <w:rPr>
          <w:color w:val="000000" w:themeColor="text1"/>
          <w14:textFill>
            <w14:solidFill>
              <w14:schemeClr w14:val="tx1"/>
            </w14:solidFill>
          </w14:textFill>
        </w:rPr>
      </w:pPr>
      <w:bookmarkStart w:id="285" w:name="_Hlk533848097"/>
      <w:bookmarkStart w:id="286" w:name="_Hlk10471761"/>
      <w:r>
        <w:rPr>
          <w:rFonts w:hint="eastAsia"/>
          <w:color w:val="000000" w:themeColor="text1"/>
          <w14:textFill>
            <w14:solidFill>
              <w14:schemeClr w14:val="tx1"/>
            </w14:solidFill>
          </w14:textFill>
        </w:rPr>
        <w:t>其他说明：</w:t>
      </w:r>
      <w:bookmarkEnd w:id="285"/>
    </w:p>
    <w:sdt>
      <w:sdtPr>
        <w:rPr>
          <w:color w:val="000000" w:themeColor="text1"/>
          <w14:textFill>
            <w14:solidFill>
              <w14:schemeClr w14:val="tx1"/>
            </w14:solidFill>
          </w14:textFill>
        </w:rPr>
        <w:alias w:val="是否适用：其他债权投资其他说明[双击切换]"/>
        <w:tag w:val="_GBC_e37f3e78626b4cd0ad52d68ae2fcdecb"/>
        <w:id w:val="147454124"/>
        <w:placeholder>
          <w:docPart w:val="GBC22222222222222222222222222222"/>
        </w:placeholder>
      </w:sdtPr>
      <w:sdtEndPr>
        <w:rPr>
          <w:color w:val="000000" w:themeColor="text1"/>
          <w14:textFill>
            <w14:solidFill>
              <w14:schemeClr w14:val="tx1"/>
            </w14:solidFill>
          </w14:textFill>
        </w:rPr>
      </w:sdtEndPr>
      <w:sdtContent>
        <w:p w14:paraId="4D3C3FF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86"/>
    <w:p w14:paraId="5D351192">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5B276AD">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长期应收款</w:t>
      </w:r>
    </w:p>
    <w:p w14:paraId="68F746A2">
      <w:pPr>
        <w:pStyle w:val="58"/>
        <w:numPr>
          <w:ilvl w:val="0"/>
          <w:numId w:val="6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长期应收款情况</w:t>
      </w:r>
    </w:p>
    <w:sdt>
      <w:sdtPr>
        <w:rPr>
          <w:color w:val="000000" w:themeColor="text1"/>
          <w14:textFill>
            <w14:solidFill>
              <w14:schemeClr w14:val="tx1"/>
            </w14:solidFill>
          </w14:textFill>
        </w:rPr>
        <w:alias w:val="是否适用：长期应收款情况[双击切换]"/>
        <w:tag w:val="_GBC_03ba5a75d6d541f4a60fba2b18c9d548"/>
        <w:id w:val="289012557"/>
      </w:sdtPr>
      <w:sdtEndPr>
        <w:rPr>
          <w:color w:val="000000" w:themeColor="text1"/>
          <w14:textFill>
            <w14:solidFill>
              <w14:schemeClr w14:val="tx1"/>
            </w14:solidFill>
          </w14:textFill>
        </w:rPr>
      </w:sdtEndPr>
      <w:sdtContent>
        <w:p w14:paraId="234D2CF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048D78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收款"/>
          <w:tag w:val="_GBC_95baf3ea634a4a60970b09906c240d55"/>
          <w:id w:val="550888440"/>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收款"/>
          <w:tag w:val="_GBC_fe21d7e81e5548d09e30637bd81155e1"/>
          <w:id w:val="40666033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6"/>
        <w:gridCol w:w="1776"/>
        <w:gridCol w:w="1742"/>
        <w:gridCol w:w="1730"/>
        <w:gridCol w:w="1736"/>
        <w:gridCol w:w="1742"/>
        <w:gridCol w:w="1784"/>
      </w:tblGrid>
      <w:tr w14:paraId="7889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80648375054a09a15bfc6f9a7fb093"/>
            <w:id w:val="508950588"/>
          </w:sdtPr>
          <w:sdtContent>
            <w:tc>
              <w:tcPr>
                <w:tcW w:w="1269" w:type="pct"/>
                <w:vMerge w:val="restart"/>
                <w:vAlign w:val="center"/>
              </w:tcPr>
              <w:p w14:paraId="6A2204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9a93d1c2d6847be992e152b686ed22d"/>
            <w:id w:val="1917973945"/>
          </w:sdtPr>
          <w:sdtContent>
            <w:tc>
              <w:tcPr>
                <w:tcW w:w="1862" w:type="pct"/>
                <w:gridSpan w:val="3"/>
                <w:vAlign w:val="center"/>
              </w:tcPr>
              <w:p w14:paraId="28C0602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f41f953b597d46848a98bb222c5ebb8e"/>
            <w:id w:val="736442795"/>
          </w:sdtPr>
          <w:sdtContent>
            <w:tc>
              <w:tcPr>
                <w:tcW w:w="1867" w:type="pct"/>
                <w:gridSpan w:val="3"/>
                <w:vAlign w:val="center"/>
              </w:tcPr>
              <w:p w14:paraId="50EF524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20B2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269" w:type="pct"/>
            <w:vMerge w:val="continue"/>
            <w:tcBorders>
              <w:bottom w:val="single" w:color="auto" w:sz="4" w:space="0"/>
            </w:tcBorders>
            <w:vAlign w:val="center"/>
          </w:tcPr>
          <w:p w14:paraId="6E94990B">
            <w:pPr>
              <w:jc w:val="center"/>
              <w:rPr>
                <w:color w:val="000000" w:themeColor="text1"/>
                <w14:textFill>
                  <w14:solidFill>
                    <w14:schemeClr w14:val="tx1"/>
                  </w14:solidFill>
                </w14:textFill>
              </w:rPr>
            </w:pPr>
          </w:p>
        </w:tc>
        <w:sdt>
          <w:sdtPr>
            <w:tag w:val="_PLD_93de35b749ff4ac9a6b3c5ec236ed585"/>
            <w:id w:val="-1783723595"/>
          </w:sdtPr>
          <w:sdtContent>
            <w:tc>
              <w:tcPr>
                <w:tcW w:w="630" w:type="pct"/>
                <w:tcBorders>
                  <w:bottom w:val="single" w:color="auto" w:sz="4" w:space="0"/>
                </w:tcBorders>
                <w:vAlign w:val="center"/>
              </w:tcPr>
              <w:p w14:paraId="01C2FEF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eccd0387c0f24fa5a972b6cd6e1d4d30"/>
            <w:id w:val="819849046"/>
          </w:sdtPr>
          <w:sdtContent>
            <w:tc>
              <w:tcPr>
                <w:tcW w:w="618" w:type="pct"/>
                <w:tcBorders>
                  <w:bottom w:val="single" w:color="auto" w:sz="4" w:space="0"/>
                </w:tcBorders>
                <w:vAlign w:val="center"/>
              </w:tcPr>
              <w:p w14:paraId="389CAF7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9016cddeb6f34d55a584d277237a8ac1"/>
            <w:id w:val="810211957"/>
          </w:sdtPr>
          <w:sdtContent>
            <w:tc>
              <w:tcPr>
                <w:tcW w:w="613" w:type="pct"/>
                <w:tcBorders>
                  <w:bottom w:val="single" w:color="auto" w:sz="4" w:space="0"/>
                </w:tcBorders>
                <w:vAlign w:val="center"/>
              </w:tcPr>
              <w:p w14:paraId="037DBA8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db7d979714524efcab7433361aaac461"/>
            <w:id w:val="838043227"/>
          </w:sdtPr>
          <w:sdtContent>
            <w:tc>
              <w:tcPr>
                <w:tcW w:w="616" w:type="pct"/>
                <w:tcBorders>
                  <w:bottom w:val="single" w:color="auto" w:sz="4" w:space="0"/>
                </w:tcBorders>
                <w:vAlign w:val="center"/>
              </w:tcPr>
              <w:p w14:paraId="3E33448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395cf962072c462fb83f42db9e225402"/>
            <w:id w:val="-1445984754"/>
          </w:sdtPr>
          <w:sdtContent>
            <w:tc>
              <w:tcPr>
                <w:tcW w:w="618" w:type="pct"/>
                <w:tcBorders>
                  <w:bottom w:val="single" w:color="auto" w:sz="4" w:space="0"/>
                </w:tcBorders>
                <w:vAlign w:val="center"/>
              </w:tcPr>
              <w:p w14:paraId="46DFE89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505b96d943e341af8e22763be8ab91c7"/>
            <w:id w:val="131982133"/>
          </w:sdtPr>
          <w:sdtContent>
            <w:tc>
              <w:tcPr>
                <w:tcW w:w="633" w:type="pct"/>
                <w:tcBorders>
                  <w:bottom w:val="single" w:color="auto" w:sz="4" w:space="0"/>
                </w:tcBorders>
                <w:vAlign w:val="center"/>
              </w:tcPr>
              <w:p w14:paraId="27E770B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2ACC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sdt>
          <w:sdtPr>
            <w:tag w:val="_PLD_7e31ab337f9241e58c47845e66c25517"/>
            <w:id w:val="-542597064"/>
          </w:sdtPr>
          <w:sdtContent>
            <w:tc>
              <w:tcPr>
                <w:tcW w:w="1269" w:type="pct"/>
              </w:tcPr>
              <w:p w14:paraId="603BE8A9">
                <w:pPr>
                  <w:rPr>
                    <w:color w:val="000000" w:themeColor="text1"/>
                    <w14:textFill>
                      <w14:solidFill>
                        <w14:schemeClr w14:val="tx1"/>
                      </w14:solidFill>
                    </w14:textFill>
                  </w:rPr>
                </w:pPr>
                <w:r>
                  <w:rPr>
                    <w:rFonts w:hint="eastAsia"/>
                    <w:color w:val="000000" w:themeColor="text1"/>
                    <w14:textFill>
                      <w14:solidFill>
                        <w14:schemeClr w14:val="tx1"/>
                      </w14:solidFill>
                    </w14:textFill>
                  </w:rPr>
                  <w:t>分期收款销售商品</w:t>
                </w:r>
              </w:p>
            </w:tc>
          </w:sdtContent>
        </w:sdt>
        <w:tc>
          <w:tcPr>
            <w:tcW w:w="630" w:type="pct"/>
            <w:vAlign w:val="center"/>
          </w:tcPr>
          <w:p w14:paraId="4BF11AE7">
            <w:pPr>
              <w:jc w:val="right"/>
              <w:rPr>
                <w:rFonts w:cs="Times New Roman"/>
              </w:rPr>
            </w:pPr>
            <w:r>
              <w:rPr>
                <w:rFonts w:cs="Times New Roman"/>
              </w:rPr>
              <w:t>134,996,501.28</w:t>
            </w:r>
          </w:p>
        </w:tc>
        <w:tc>
          <w:tcPr>
            <w:tcW w:w="618" w:type="pct"/>
            <w:vAlign w:val="center"/>
          </w:tcPr>
          <w:p w14:paraId="7921AEE7">
            <w:pPr>
              <w:jc w:val="right"/>
              <w:rPr>
                <w:rFonts w:cs="Times New Roman"/>
              </w:rPr>
            </w:pPr>
            <w:r>
              <w:rPr>
                <w:rFonts w:cs="Times New Roman"/>
              </w:rPr>
              <w:t>80,623,665.27</w:t>
            </w:r>
          </w:p>
        </w:tc>
        <w:tc>
          <w:tcPr>
            <w:tcW w:w="613" w:type="pct"/>
            <w:vAlign w:val="center"/>
          </w:tcPr>
          <w:p w14:paraId="304E0CA5">
            <w:pPr>
              <w:jc w:val="right"/>
              <w:rPr>
                <w:rFonts w:cs="Times New Roman"/>
              </w:rPr>
            </w:pPr>
            <w:r>
              <w:rPr>
                <w:rFonts w:cs="Times New Roman"/>
              </w:rPr>
              <w:t>54,372,836.01</w:t>
            </w:r>
          </w:p>
        </w:tc>
        <w:tc>
          <w:tcPr>
            <w:tcW w:w="616" w:type="pct"/>
            <w:vAlign w:val="center"/>
          </w:tcPr>
          <w:p w14:paraId="6B8BDFF6">
            <w:pPr>
              <w:jc w:val="right"/>
              <w:rPr>
                <w:rFonts w:cs="Times New Roman"/>
              </w:rPr>
            </w:pPr>
            <w:r>
              <w:rPr>
                <w:rFonts w:cs="Times New Roman"/>
              </w:rPr>
              <w:t>149,461,734.98</w:t>
            </w:r>
          </w:p>
        </w:tc>
        <w:tc>
          <w:tcPr>
            <w:tcW w:w="618" w:type="pct"/>
            <w:vAlign w:val="center"/>
          </w:tcPr>
          <w:p w14:paraId="452CF6C8">
            <w:pPr>
              <w:jc w:val="right"/>
              <w:rPr>
                <w:rFonts w:cs="Times New Roman"/>
              </w:rPr>
            </w:pPr>
            <w:r>
              <w:rPr>
                <w:rFonts w:cs="Times New Roman"/>
              </w:rPr>
              <w:t>77,339,381.98</w:t>
            </w:r>
          </w:p>
        </w:tc>
        <w:tc>
          <w:tcPr>
            <w:tcW w:w="633" w:type="pct"/>
            <w:vAlign w:val="center"/>
          </w:tcPr>
          <w:p w14:paraId="14068B1F">
            <w:pPr>
              <w:jc w:val="right"/>
              <w:rPr>
                <w:rFonts w:cs="Times New Roman"/>
              </w:rPr>
            </w:pPr>
            <w:r>
              <w:rPr>
                <w:rFonts w:cs="Times New Roman"/>
              </w:rPr>
              <w:t>72,122,353.00</w:t>
            </w:r>
          </w:p>
        </w:tc>
      </w:tr>
      <w:sdt>
        <w:sdtPr>
          <w:rPr>
            <w:color w:val="000000" w:themeColor="text1"/>
            <w14:textFill>
              <w14:solidFill>
                <w14:schemeClr w14:val="tx1"/>
              </w14:solidFill>
            </w14:textFill>
          </w:rPr>
          <w:alias w:val="长期应收款情况明细"/>
          <w:tag w:val="_GBC_5a41f105be7341e4bda68c15cf69c9e0"/>
          <w:id w:val="-749118484"/>
          <w:placeholder>
            <w:docPart w:val="{65ebdb65-e673-4b5c-9d50-260e4db791de}"/>
          </w:placeholder>
        </w:sdtPr>
        <w:sdtEndPr>
          <w:rPr>
            <w:color w:val="000000" w:themeColor="text1"/>
            <w14:textFill>
              <w14:solidFill>
                <w14:schemeClr w14:val="tx1"/>
              </w14:solidFill>
            </w14:textFill>
          </w:rPr>
        </w:sdtEndPr>
        <w:sdtContent>
          <w:tr w14:paraId="15B5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269" w:type="pct"/>
              </w:tcPr>
              <w:p w14:paraId="0098B474">
                <w:r>
                  <w:rPr>
                    <w:rFonts w:hint="eastAsia"/>
                  </w:rPr>
                  <w:t>天津市永信房屋拆迁有限责任公司</w:t>
                </w:r>
              </w:p>
            </w:tc>
            <w:tc>
              <w:tcPr>
                <w:tcW w:w="630" w:type="pct"/>
                <w:vAlign w:val="center"/>
              </w:tcPr>
              <w:p w14:paraId="34C2531A">
                <w:pPr>
                  <w:jc w:val="right"/>
                  <w:rPr>
                    <w:rFonts w:cs="Times New Roman"/>
                  </w:rPr>
                </w:pPr>
                <w:r>
                  <w:rPr>
                    <w:rFonts w:cs="Times New Roman"/>
                  </w:rPr>
                  <w:t>168,000,000.00</w:t>
                </w:r>
              </w:p>
            </w:tc>
            <w:tc>
              <w:tcPr>
                <w:tcW w:w="618" w:type="pct"/>
                <w:vAlign w:val="center"/>
              </w:tcPr>
              <w:p w14:paraId="3D6FF988">
                <w:pPr>
                  <w:jc w:val="right"/>
                  <w:rPr>
                    <w:rFonts w:cs="Times New Roman"/>
                  </w:rPr>
                </w:pPr>
                <w:r>
                  <w:rPr>
                    <w:rFonts w:cs="Times New Roman"/>
                  </w:rPr>
                  <w:t>26,825,584.69</w:t>
                </w:r>
              </w:p>
            </w:tc>
            <w:tc>
              <w:tcPr>
                <w:tcW w:w="613" w:type="pct"/>
                <w:vAlign w:val="center"/>
              </w:tcPr>
              <w:p w14:paraId="49AE4AE1">
                <w:pPr>
                  <w:jc w:val="right"/>
                  <w:rPr>
                    <w:rFonts w:cs="Times New Roman"/>
                  </w:rPr>
                </w:pPr>
                <w:r>
                  <w:rPr>
                    <w:rFonts w:cs="Times New Roman"/>
                  </w:rPr>
                  <w:t>141,174,415.31</w:t>
                </w:r>
              </w:p>
            </w:tc>
            <w:tc>
              <w:tcPr>
                <w:tcW w:w="616" w:type="pct"/>
                <w:vAlign w:val="center"/>
              </w:tcPr>
              <w:p w14:paraId="777659CF">
                <w:pPr>
                  <w:jc w:val="right"/>
                  <w:rPr>
                    <w:rFonts w:cs="Times New Roman"/>
                  </w:rPr>
                </w:pPr>
                <w:r>
                  <w:rPr>
                    <w:rFonts w:cs="Times New Roman"/>
                  </w:rPr>
                  <w:t>168,000,000.00</w:t>
                </w:r>
              </w:p>
            </w:tc>
            <w:tc>
              <w:tcPr>
                <w:tcW w:w="618" w:type="pct"/>
                <w:vAlign w:val="center"/>
              </w:tcPr>
              <w:p w14:paraId="14E7EA40">
                <w:pPr>
                  <w:jc w:val="right"/>
                  <w:rPr>
                    <w:rFonts w:cs="Times New Roman"/>
                  </w:rPr>
                </w:pPr>
                <w:r>
                  <w:rPr>
                    <w:rFonts w:cs="Times New Roman"/>
                  </w:rPr>
                  <w:t>26,825,584.69</w:t>
                </w:r>
              </w:p>
            </w:tc>
            <w:tc>
              <w:tcPr>
                <w:tcW w:w="633" w:type="pct"/>
                <w:vAlign w:val="center"/>
              </w:tcPr>
              <w:p w14:paraId="2F067ADC">
                <w:pPr>
                  <w:jc w:val="right"/>
                  <w:rPr>
                    <w:rFonts w:cs="Times New Roman"/>
                  </w:rPr>
                </w:pPr>
                <w:r>
                  <w:rPr>
                    <w:rFonts w:cs="Times New Roman"/>
                  </w:rPr>
                  <w:t>141,174,415.31</w:t>
                </w:r>
              </w:p>
            </w:tc>
          </w:tr>
        </w:sdtContent>
      </w:sdt>
      <w:sdt>
        <w:sdtPr>
          <w:rPr>
            <w:color w:val="000000" w:themeColor="text1"/>
            <w14:textFill>
              <w14:solidFill>
                <w14:schemeClr w14:val="tx1"/>
              </w14:solidFill>
            </w14:textFill>
          </w:rPr>
          <w:alias w:val="长期应收款情况明细"/>
          <w:tag w:val="_GBC_5a41f105be7341e4bda68c15cf69c9e0"/>
          <w:id w:val="-1122848155"/>
          <w:placeholder>
            <w:docPart w:val="{65ebdb65-e673-4b5c-9d50-260e4db791de}"/>
          </w:placeholder>
        </w:sdtPr>
        <w:sdtEndPr>
          <w:rPr>
            <w:color w:val="000000" w:themeColor="text1"/>
            <w14:textFill>
              <w14:solidFill>
                <w14:schemeClr w14:val="tx1"/>
              </w14:solidFill>
            </w14:textFill>
          </w:rPr>
        </w:sdtEndPr>
        <w:sdtContent>
          <w:tr w14:paraId="638B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269" w:type="pct"/>
              </w:tcPr>
              <w:p w14:paraId="25B0E6F1">
                <w:r>
                  <w:rPr>
                    <w:rFonts w:hint="eastAsia"/>
                  </w:rPr>
                  <w:t>武汉星辰房地产开发有限公司</w:t>
                </w:r>
              </w:p>
            </w:tc>
            <w:tc>
              <w:tcPr>
                <w:tcW w:w="630" w:type="pct"/>
                <w:vAlign w:val="center"/>
              </w:tcPr>
              <w:p w14:paraId="4F8C657A">
                <w:pPr>
                  <w:jc w:val="right"/>
                  <w:rPr>
                    <w:rFonts w:cs="Times New Roman"/>
                  </w:rPr>
                </w:pPr>
                <w:r>
                  <w:rPr>
                    <w:rFonts w:cs="Times New Roman"/>
                  </w:rPr>
                  <w:t>206,268,393.63</w:t>
                </w:r>
              </w:p>
            </w:tc>
            <w:tc>
              <w:tcPr>
                <w:tcW w:w="618" w:type="pct"/>
              </w:tcPr>
              <w:p w14:paraId="2A4F156B">
                <w:pPr>
                  <w:jc w:val="right"/>
                  <w:rPr>
                    <w:rFonts w:cs="Times New Roman"/>
                  </w:rPr>
                </w:pPr>
              </w:p>
            </w:tc>
            <w:tc>
              <w:tcPr>
                <w:tcW w:w="613" w:type="pct"/>
                <w:vAlign w:val="center"/>
              </w:tcPr>
              <w:p w14:paraId="2D2D43E4">
                <w:pPr>
                  <w:jc w:val="right"/>
                  <w:rPr>
                    <w:rFonts w:cs="Times New Roman"/>
                  </w:rPr>
                </w:pPr>
                <w:r>
                  <w:rPr>
                    <w:rFonts w:cs="Times New Roman"/>
                  </w:rPr>
                  <w:t>206,268,393.63</w:t>
                </w:r>
              </w:p>
            </w:tc>
            <w:tc>
              <w:tcPr>
                <w:tcW w:w="616" w:type="pct"/>
                <w:vAlign w:val="center"/>
              </w:tcPr>
              <w:p w14:paraId="0A2CFC2E">
                <w:pPr>
                  <w:jc w:val="right"/>
                  <w:rPr>
                    <w:rFonts w:cs="Times New Roman"/>
                  </w:rPr>
                </w:pPr>
                <w:r>
                  <w:rPr>
                    <w:rFonts w:cs="Times New Roman"/>
                  </w:rPr>
                  <w:t>206,268,393.63</w:t>
                </w:r>
              </w:p>
            </w:tc>
            <w:tc>
              <w:tcPr>
                <w:tcW w:w="618" w:type="pct"/>
              </w:tcPr>
              <w:p w14:paraId="1EA1A534">
                <w:pPr>
                  <w:jc w:val="right"/>
                  <w:rPr>
                    <w:rFonts w:cs="Times New Roman"/>
                  </w:rPr>
                </w:pPr>
              </w:p>
            </w:tc>
            <w:tc>
              <w:tcPr>
                <w:tcW w:w="633" w:type="pct"/>
                <w:vAlign w:val="center"/>
              </w:tcPr>
              <w:p w14:paraId="33806DC8">
                <w:pPr>
                  <w:jc w:val="right"/>
                  <w:rPr>
                    <w:rFonts w:cs="Times New Roman"/>
                  </w:rPr>
                </w:pPr>
                <w:r>
                  <w:rPr>
                    <w:rFonts w:cs="Times New Roman"/>
                  </w:rPr>
                  <w:t>206,268,393.63</w:t>
                </w:r>
              </w:p>
            </w:tc>
          </w:tr>
        </w:sdtContent>
      </w:sdt>
      <w:sdt>
        <w:sdtPr>
          <w:rPr>
            <w:color w:val="000000" w:themeColor="text1"/>
            <w14:textFill>
              <w14:solidFill>
                <w14:schemeClr w14:val="tx1"/>
              </w14:solidFill>
            </w14:textFill>
          </w:rPr>
          <w:alias w:val="长期应收款情况明细"/>
          <w:tag w:val="_GBC_5a41f105be7341e4bda68c15cf69c9e0"/>
          <w:id w:val="669528638"/>
          <w:placeholder>
            <w:docPart w:val="{65ebdb65-e673-4b5c-9d50-260e4db791de}"/>
          </w:placeholder>
        </w:sdtPr>
        <w:sdtEndPr>
          <w:rPr>
            <w:color w:val="000000" w:themeColor="text1"/>
            <w14:textFill>
              <w14:solidFill>
                <w14:schemeClr w14:val="tx1"/>
              </w14:solidFill>
            </w14:textFill>
          </w:rPr>
        </w:sdtEndPr>
        <w:sdtContent>
          <w:tr w14:paraId="4544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269" w:type="pct"/>
              </w:tcPr>
              <w:p w14:paraId="6F0779AF">
                <w:r>
                  <w:rPr>
                    <w:rFonts w:hint="eastAsia"/>
                  </w:rPr>
                  <w:t>西安长刚置业有限责任公司</w:t>
                </w:r>
              </w:p>
            </w:tc>
            <w:tc>
              <w:tcPr>
                <w:tcW w:w="630" w:type="pct"/>
                <w:vAlign w:val="center"/>
              </w:tcPr>
              <w:p w14:paraId="5248E945">
                <w:pPr>
                  <w:jc w:val="right"/>
                  <w:rPr>
                    <w:rFonts w:cs="Times New Roman"/>
                  </w:rPr>
                </w:pPr>
                <w:r>
                  <w:rPr>
                    <w:rFonts w:cs="Times New Roman"/>
                  </w:rPr>
                  <w:t>5,910,000.00</w:t>
                </w:r>
              </w:p>
            </w:tc>
            <w:tc>
              <w:tcPr>
                <w:tcW w:w="618" w:type="pct"/>
                <w:vAlign w:val="center"/>
              </w:tcPr>
              <w:p w14:paraId="656FD534">
                <w:pPr>
                  <w:jc w:val="right"/>
                  <w:rPr>
                    <w:rFonts w:cs="Times New Roman"/>
                  </w:rPr>
                </w:pPr>
                <w:r>
                  <w:rPr>
                    <w:rFonts w:cs="Times New Roman"/>
                  </w:rPr>
                  <w:t>5,910,000.00</w:t>
                </w:r>
              </w:p>
            </w:tc>
            <w:tc>
              <w:tcPr>
                <w:tcW w:w="613" w:type="pct"/>
                <w:vAlign w:val="center"/>
              </w:tcPr>
              <w:p w14:paraId="1853FFC0">
                <w:pPr>
                  <w:jc w:val="right"/>
                  <w:rPr>
                    <w:rFonts w:cs="Times New Roman"/>
                  </w:rPr>
                </w:pPr>
              </w:p>
            </w:tc>
            <w:tc>
              <w:tcPr>
                <w:tcW w:w="616" w:type="pct"/>
                <w:vAlign w:val="center"/>
              </w:tcPr>
              <w:p w14:paraId="0266B57D">
                <w:pPr>
                  <w:jc w:val="right"/>
                  <w:rPr>
                    <w:rFonts w:cs="Times New Roman"/>
                  </w:rPr>
                </w:pPr>
                <w:r>
                  <w:rPr>
                    <w:rFonts w:cs="Times New Roman"/>
                  </w:rPr>
                  <w:t>5,910,000.00</w:t>
                </w:r>
              </w:p>
            </w:tc>
            <w:tc>
              <w:tcPr>
                <w:tcW w:w="618" w:type="pct"/>
                <w:vAlign w:val="center"/>
              </w:tcPr>
              <w:p w14:paraId="2CA5F57F">
                <w:pPr>
                  <w:jc w:val="right"/>
                  <w:rPr>
                    <w:rFonts w:cs="Times New Roman"/>
                  </w:rPr>
                </w:pPr>
                <w:r>
                  <w:rPr>
                    <w:rFonts w:cs="Times New Roman"/>
                  </w:rPr>
                  <w:t>5,910,000.00</w:t>
                </w:r>
              </w:p>
            </w:tc>
            <w:tc>
              <w:tcPr>
                <w:tcW w:w="633" w:type="pct"/>
                <w:vAlign w:val="center"/>
              </w:tcPr>
              <w:p w14:paraId="7F7674D1">
                <w:pPr>
                  <w:jc w:val="right"/>
                  <w:rPr>
                    <w:rFonts w:cs="Times New Roman"/>
                  </w:rPr>
                </w:pPr>
              </w:p>
            </w:tc>
          </w:tr>
        </w:sdtContent>
      </w:sdt>
      <w:sdt>
        <w:sdtPr>
          <w:rPr>
            <w:color w:val="000000" w:themeColor="text1"/>
            <w14:textFill>
              <w14:solidFill>
                <w14:schemeClr w14:val="tx1"/>
              </w14:solidFill>
            </w14:textFill>
          </w:rPr>
          <w:alias w:val="长期应收款情况明细"/>
          <w:tag w:val="_GBC_5a41f105be7341e4bda68c15cf69c9e0"/>
          <w:id w:val="-1132706558"/>
          <w:placeholder>
            <w:docPart w:val="{65ebdb65-e673-4b5c-9d50-260e4db791de}"/>
          </w:placeholder>
        </w:sdtPr>
        <w:sdtEndPr>
          <w:rPr>
            <w:color w:val="000000" w:themeColor="text1"/>
            <w14:textFill>
              <w14:solidFill>
                <w14:schemeClr w14:val="tx1"/>
              </w14:solidFill>
            </w14:textFill>
          </w:rPr>
        </w:sdtEndPr>
        <w:sdtContent>
          <w:tr w14:paraId="75A1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269" w:type="pct"/>
              </w:tcPr>
              <w:p w14:paraId="0B7C6AB8">
                <w:r>
                  <w:rPr>
                    <w:rFonts w:hint="eastAsia"/>
                  </w:rPr>
                  <w:t>南京江宁科学园发展有限公司</w:t>
                </w:r>
              </w:p>
            </w:tc>
            <w:tc>
              <w:tcPr>
                <w:tcW w:w="630" w:type="pct"/>
                <w:vAlign w:val="center"/>
              </w:tcPr>
              <w:p w14:paraId="0C7CF0D0">
                <w:pPr>
                  <w:jc w:val="right"/>
                  <w:rPr>
                    <w:rFonts w:cs="Times New Roman"/>
                  </w:rPr>
                </w:pPr>
                <w:r>
                  <w:rPr>
                    <w:rFonts w:cs="Times New Roman"/>
                  </w:rPr>
                  <w:t>140,000,000.00</w:t>
                </w:r>
              </w:p>
            </w:tc>
            <w:tc>
              <w:tcPr>
                <w:tcW w:w="618" w:type="pct"/>
                <w:vAlign w:val="center"/>
              </w:tcPr>
              <w:p w14:paraId="5A686899">
                <w:pPr>
                  <w:jc w:val="right"/>
                  <w:rPr>
                    <w:rFonts w:cs="Times New Roman"/>
                  </w:rPr>
                </w:pPr>
                <w:r>
                  <w:rPr>
                    <w:rFonts w:cs="Times New Roman"/>
                  </w:rPr>
                  <w:t>9,178,643.53</w:t>
                </w:r>
              </w:p>
            </w:tc>
            <w:tc>
              <w:tcPr>
                <w:tcW w:w="613" w:type="pct"/>
                <w:vAlign w:val="center"/>
              </w:tcPr>
              <w:p w14:paraId="2F0B76B4">
                <w:pPr>
                  <w:jc w:val="right"/>
                  <w:rPr>
                    <w:rFonts w:cs="Times New Roman"/>
                  </w:rPr>
                </w:pPr>
                <w:r>
                  <w:rPr>
                    <w:rFonts w:cs="Times New Roman"/>
                  </w:rPr>
                  <w:t>130,821,356.47</w:t>
                </w:r>
              </w:p>
            </w:tc>
            <w:tc>
              <w:tcPr>
                <w:tcW w:w="616" w:type="pct"/>
                <w:vAlign w:val="center"/>
              </w:tcPr>
              <w:p w14:paraId="71EEA1C4">
                <w:pPr>
                  <w:jc w:val="right"/>
                  <w:rPr>
                    <w:rFonts w:cs="Times New Roman"/>
                  </w:rPr>
                </w:pPr>
                <w:r>
                  <w:rPr>
                    <w:rFonts w:cs="Times New Roman"/>
                  </w:rPr>
                  <w:t>140,000,000.00</w:t>
                </w:r>
              </w:p>
            </w:tc>
            <w:tc>
              <w:tcPr>
                <w:tcW w:w="618" w:type="pct"/>
                <w:vAlign w:val="center"/>
              </w:tcPr>
              <w:p w14:paraId="26FD9BC7">
                <w:pPr>
                  <w:jc w:val="right"/>
                  <w:rPr>
                    <w:rFonts w:cs="Times New Roman"/>
                  </w:rPr>
                </w:pPr>
                <w:r>
                  <w:rPr>
                    <w:rFonts w:cs="Times New Roman"/>
                  </w:rPr>
                  <w:t>9,178,643.53</w:t>
                </w:r>
              </w:p>
            </w:tc>
            <w:tc>
              <w:tcPr>
                <w:tcW w:w="633" w:type="pct"/>
                <w:vAlign w:val="center"/>
              </w:tcPr>
              <w:p w14:paraId="711F8B66">
                <w:pPr>
                  <w:jc w:val="right"/>
                  <w:rPr>
                    <w:rFonts w:cs="Times New Roman"/>
                  </w:rPr>
                </w:pPr>
                <w:r>
                  <w:rPr>
                    <w:rFonts w:cs="Times New Roman"/>
                  </w:rPr>
                  <w:t>130,821,356.47</w:t>
                </w:r>
              </w:p>
            </w:tc>
          </w:tr>
        </w:sdtContent>
      </w:sdt>
      <w:sdt>
        <w:sdtPr>
          <w:rPr>
            <w:color w:val="000000" w:themeColor="text1"/>
            <w14:textFill>
              <w14:solidFill>
                <w14:schemeClr w14:val="tx1"/>
              </w14:solidFill>
            </w14:textFill>
          </w:rPr>
          <w:alias w:val="长期应收款情况明细"/>
          <w:tag w:val="_GBC_5a41f105be7341e4bda68c15cf69c9e0"/>
          <w:id w:val="-1227993487"/>
          <w:placeholder>
            <w:docPart w:val="{65ebdb65-e673-4b5c-9d50-260e4db791de}"/>
          </w:placeholder>
        </w:sdtPr>
        <w:sdtEndPr>
          <w:rPr>
            <w:color w:val="000000" w:themeColor="text1"/>
            <w14:textFill>
              <w14:solidFill>
                <w14:schemeClr w14:val="tx1"/>
              </w14:solidFill>
            </w14:textFill>
          </w:rPr>
        </w:sdtEndPr>
        <w:sdtContent>
          <w:tr w14:paraId="4FB1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269" w:type="pct"/>
              </w:tcPr>
              <w:p w14:paraId="6ED60D2A">
                <w:r>
                  <w:rPr>
                    <w:rFonts w:hint="eastAsia"/>
                  </w:rPr>
                  <w:t>岳阳市土地储备中心</w:t>
                </w:r>
              </w:p>
            </w:tc>
            <w:tc>
              <w:tcPr>
                <w:tcW w:w="630" w:type="pct"/>
                <w:vAlign w:val="center"/>
              </w:tcPr>
              <w:p w14:paraId="21CD4477">
                <w:pPr>
                  <w:jc w:val="right"/>
                  <w:rPr>
                    <w:rFonts w:cs="Times New Roman"/>
                  </w:rPr>
                </w:pPr>
                <w:r>
                  <w:rPr>
                    <w:rFonts w:cs="Times New Roman"/>
                  </w:rPr>
                  <w:t>224,263,381.00</w:t>
                </w:r>
              </w:p>
            </w:tc>
            <w:tc>
              <w:tcPr>
                <w:tcW w:w="618" w:type="pct"/>
                <w:vAlign w:val="center"/>
              </w:tcPr>
              <w:p w14:paraId="3CD5BDD9">
                <w:pPr>
                  <w:jc w:val="right"/>
                  <w:rPr>
                    <w:rFonts w:cs="Times New Roman"/>
                  </w:rPr>
                </w:pPr>
                <w:r>
                  <w:rPr>
                    <w:rFonts w:cs="Times New Roman"/>
                  </w:rPr>
                  <w:t>35,122,458.27</w:t>
                </w:r>
              </w:p>
            </w:tc>
            <w:tc>
              <w:tcPr>
                <w:tcW w:w="613" w:type="pct"/>
                <w:vAlign w:val="center"/>
              </w:tcPr>
              <w:p w14:paraId="7BC9EB44">
                <w:pPr>
                  <w:jc w:val="right"/>
                  <w:rPr>
                    <w:rFonts w:cs="Times New Roman"/>
                  </w:rPr>
                </w:pPr>
                <w:r>
                  <w:rPr>
                    <w:rFonts w:cs="Times New Roman"/>
                  </w:rPr>
                  <w:t>189,140,922.73</w:t>
                </w:r>
              </w:p>
            </w:tc>
            <w:tc>
              <w:tcPr>
                <w:tcW w:w="616" w:type="pct"/>
                <w:vAlign w:val="center"/>
              </w:tcPr>
              <w:p w14:paraId="4EC50627">
                <w:pPr>
                  <w:jc w:val="right"/>
                  <w:rPr>
                    <w:rFonts w:cs="Times New Roman"/>
                  </w:rPr>
                </w:pPr>
                <w:r>
                  <w:rPr>
                    <w:rFonts w:cs="Times New Roman"/>
                  </w:rPr>
                  <w:t>228,745,700.00</w:t>
                </w:r>
              </w:p>
            </w:tc>
            <w:tc>
              <w:tcPr>
                <w:tcW w:w="618" w:type="pct"/>
                <w:vAlign w:val="center"/>
              </w:tcPr>
              <w:p w14:paraId="53E9A44F">
                <w:pPr>
                  <w:jc w:val="right"/>
                  <w:rPr>
                    <w:rFonts w:cs="Times New Roman"/>
                  </w:rPr>
                </w:pPr>
                <w:r>
                  <w:rPr>
                    <w:rFonts w:cs="Times New Roman"/>
                  </w:rPr>
                  <w:t>35,122,458.27</w:t>
                </w:r>
              </w:p>
            </w:tc>
            <w:tc>
              <w:tcPr>
                <w:tcW w:w="633" w:type="pct"/>
                <w:vAlign w:val="center"/>
              </w:tcPr>
              <w:p w14:paraId="15DAD23B">
                <w:pPr>
                  <w:jc w:val="right"/>
                  <w:rPr>
                    <w:rFonts w:cs="Times New Roman"/>
                  </w:rPr>
                </w:pPr>
                <w:r>
                  <w:rPr>
                    <w:rFonts w:cs="Times New Roman"/>
                  </w:rPr>
                  <w:t>193,623,241.73</w:t>
                </w:r>
              </w:p>
            </w:tc>
          </w:tr>
        </w:sdtContent>
      </w:sdt>
      <w:tr w14:paraId="7740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sdt>
          <w:sdtPr>
            <w:tag w:val="_PLD_8bf46c35ccf64076b70a8027cfc753dc"/>
            <w:id w:val="-1632712698"/>
          </w:sdtPr>
          <w:sdtContent>
            <w:tc>
              <w:tcPr>
                <w:tcW w:w="1269" w:type="pct"/>
                <w:vAlign w:val="center"/>
              </w:tcPr>
              <w:p w14:paraId="4C1C0D3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630" w:type="pct"/>
            <w:vAlign w:val="center"/>
          </w:tcPr>
          <w:p w14:paraId="0D847E1F">
            <w:pPr>
              <w:jc w:val="right"/>
              <w:rPr>
                <w:rFonts w:cs="Times New Roman"/>
              </w:rPr>
            </w:pPr>
            <w:r>
              <w:rPr>
                <w:rFonts w:cs="Times New Roman"/>
              </w:rPr>
              <w:t>879,438,275.91</w:t>
            </w:r>
          </w:p>
        </w:tc>
        <w:tc>
          <w:tcPr>
            <w:tcW w:w="618" w:type="pct"/>
            <w:vAlign w:val="center"/>
          </w:tcPr>
          <w:p w14:paraId="215C08C6">
            <w:pPr>
              <w:jc w:val="right"/>
              <w:rPr>
                <w:rFonts w:cs="Times New Roman"/>
              </w:rPr>
            </w:pPr>
            <w:r>
              <w:rPr>
                <w:rFonts w:cs="Times New Roman"/>
              </w:rPr>
              <w:t>157,660,351.76</w:t>
            </w:r>
          </w:p>
        </w:tc>
        <w:tc>
          <w:tcPr>
            <w:tcW w:w="613" w:type="pct"/>
            <w:vAlign w:val="center"/>
          </w:tcPr>
          <w:p w14:paraId="2B8C725D">
            <w:pPr>
              <w:jc w:val="right"/>
              <w:rPr>
                <w:rFonts w:cs="Times New Roman"/>
              </w:rPr>
            </w:pPr>
            <w:r>
              <w:rPr>
                <w:rFonts w:cs="Times New Roman"/>
              </w:rPr>
              <w:t>721,777,924.15</w:t>
            </w:r>
          </w:p>
        </w:tc>
        <w:tc>
          <w:tcPr>
            <w:tcW w:w="616" w:type="pct"/>
            <w:vAlign w:val="center"/>
          </w:tcPr>
          <w:p w14:paraId="33ED1F36">
            <w:pPr>
              <w:jc w:val="right"/>
              <w:rPr>
                <w:rFonts w:cs="Times New Roman"/>
              </w:rPr>
            </w:pPr>
            <w:r>
              <w:rPr>
                <w:rFonts w:cs="Times New Roman"/>
              </w:rPr>
              <w:t>898,385,828.61</w:t>
            </w:r>
          </w:p>
        </w:tc>
        <w:tc>
          <w:tcPr>
            <w:tcW w:w="618" w:type="pct"/>
            <w:vAlign w:val="center"/>
          </w:tcPr>
          <w:p w14:paraId="2807D90B">
            <w:pPr>
              <w:jc w:val="right"/>
              <w:rPr>
                <w:rFonts w:cs="Times New Roman"/>
              </w:rPr>
            </w:pPr>
            <w:r>
              <w:rPr>
                <w:rFonts w:cs="Times New Roman"/>
              </w:rPr>
              <w:t>154,376,068.47</w:t>
            </w:r>
          </w:p>
        </w:tc>
        <w:tc>
          <w:tcPr>
            <w:tcW w:w="633" w:type="pct"/>
            <w:vAlign w:val="center"/>
          </w:tcPr>
          <w:p w14:paraId="2558E0F5">
            <w:pPr>
              <w:jc w:val="right"/>
              <w:rPr>
                <w:rFonts w:cs="Times New Roman"/>
              </w:rPr>
            </w:pPr>
            <w:r>
              <w:rPr>
                <w:rFonts w:cs="Times New Roman"/>
              </w:rPr>
              <w:t>744,009,760.14</w:t>
            </w:r>
          </w:p>
        </w:tc>
      </w:tr>
    </w:tbl>
    <w:p w14:paraId="7A9A042E">
      <w:pPr>
        <w:rPr>
          <w:color w:val="000000" w:themeColor="text1"/>
          <w14:textFill>
            <w14:solidFill>
              <w14:schemeClr w14:val="tx1"/>
            </w14:solidFill>
          </w14:textFill>
        </w:rPr>
      </w:pPr>
    </w:p>
    <w:p w14:paraId="0BCD39CA">
      <w:pPr>
        <w:pStyle w:val="58"/>
        <w:numPr>
          <w:ilvl w:val="0"/>
          <w:numId w:val="66"/>
        </w:numPr>
        <w:rPr>
          <w:rFonts w:ascii="宋体" w:hAnsi="宋体"/>
          <w:color w:val="000000" w:themeColor="text1"/>
          <w14:textFill>
            <w14:solidFill>
              <w14:schemeClr w14:val="tx1"/>
            </w14:solidFill>
          </w14:textFill>
        </w:rPr>
      </w:pPr>
      <w:bookmarkStart w:id="287" w:name="_Hlk153457348"/>
      <w:bookmarkStart w:id="288" w:name="_Hlk167893085"/>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2d08b03d640f42d686453149be03e5d9"/>
        <w:id w:val="147473016"/>
        <w:placeholder>
          <w:docPart w:val="GBC22222222222222222222222222222"/>
        </w:placeholder>
      </w:sdtPr>
      <w:sdtEndPr>
        <w:rPr>
          <w:color w:val="000000" w:themeColor="text1"/>
          <w14:textFill>
            <w14:solidFill>
              <w14:schemeClr w14:val="tx1"/>
            </w14:solidFill>
          </w14:textFill>
        </w:rPr>
      </w:sdtEndPr>
      <w:sdtContent>
        <w:p w14:paraId="299B33E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3ABE457">
      <w:pPr>
        <w:pStyle w:val="63"/>
        <w:autoSpaceDE w:val="0"/>
        <w:autoSpaceDN w:val="0"/>
        <w:adjustRightInd w:val="0"/>
        <w:ind w:left="425" w:right="10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按坏账计提方法分类披露"/>
          <w:tag w:val="_GBC_072cde81a2304307b9344c1e1fd5b987"/>
          <w:id w:val="14747406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按坏账计提方法分类披露"/>
          <w:tag w:val="_GBC_3357ae42f7de4283a5c2edd1989a4ce9"/>
          <w:id w:val="1474630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0"/>
        <w:gridCol w:w="1505"/>
        <w:gridCol w:w="849"/>
        <w:gridCol w:w="1409"/>
        <w:gridCol w:w="879"/>
        <w:gridCol w:w="1404"/>
        <w:gridCol w:w="1400"/>
        <w:gridCol w:w="766"/>
        <w:gridCol w:w="1454"/>
        <w:gridCol w:w="828"/>
        <w:gridCol w:w="1454"/>
      </w:tblGrid>
      <w:tr w14:paraId="77E5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tag w:val="_PLD_1d139a73888744fcacd9c87351156998"/>
            <w:id w:val="147467665"/>
          </w:sdtPr>
          <w:sdtContent>
            <w:tc>
              <w:tcPr>
                <w:tcW w:w="760" w:type="pct"/>
                <w:vMerge w:val="restart"/>
                <w:tcBorders>
                  <w:top w:val="single" w:color="auto" w:sz="4" w:space="0"/>
                  <w:left w:val="single" w:color="auto" w:sz="4" w:space="0"/>
                  <w:right w:val="single" w:color="auto" w:sz="4" w:space="0"/>
                </w:tcBorders>
                <w:vAlign w:val="center"/>
              </w:tcPr>
              <w:p w14:paraId="0E2F29A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567577d579ef47138c93c6e8d3c74be0"/>
            <w:id w:val="147482149"/>
          </w:sdtPr>
          <w:sdtContent>
            <w:tc>
              <w:tcPr>
                <w:tcW w:w="2145" w:type="pct"/>
                <w:gridSpan w:val="5"/>
                <w:tcBorders>
                  <w:top w:val="single" w:color="auto" w:sz="4" w:space="0"/>
                  <w:left w:val="single" w:color="auto" w:sz="4" w:space="0"/>
                  <w:right w:val="single" w:color="auto" w:sz="4" w:space="0"/>
                </w:tcBorders>
                <w:vAlign w:val="center"/>
              </w:tcPr>
              <w:p w14:paraId="6011DA50">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677a8bc6b294dd593820e271cdd6412"/>
            <w:id w:val="147475423"/>
          </w:sdtPr>
          <w:sdtContent>
            <w:tc>
              <w:tcPr>
                <w:tcW w:w="2095" w:type="pct"/>
                <w:gridSpan w:val="5"/>
                <w:tcBorders>
                  <w:top w:val="single" w:color="auto" w:sz="4" w:space="0"/>
                  <w:left w:val="single" w:color="auto" w:sz="4" w:space="0"/>
                  <w:right w:val="single" w:color="auto" w:sz="4" w:space="0"/>
                </w:tcBorders>
                <w:vAlign w:val="center"/>
              </w:tcPr>
              <w:p w14:paraId="4BE8137F">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352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760" w:type="pct"/>
            <w:vMerge w:val="continue"/>
            <w:tcBorders>
              <w:left w:val="single" w:color="auto" w:sz="4" w:space="0"/>
              <w:right w:val="single" w:color="auto" w:sz="4" w:space="0"/>
            </w:tcBorders>
            <w:vAlign w:val="center"/>
          </w:tcPr>
          <w:p w14:paraId="3633172F">
            <w:pPr>
              <w:rPr>
                <w:color w:val="000000" w:themeColor="text1"/>
                <w14:textFill>
                  <w14:solidFill>
                    <w14:schemeClr w14:val="tx1"/>
                  </w14:solidFill>
                </w14:textFill>
              </w:rPr>
            </w:pPr>
          </w:p>
        </w:tc>
        <w:sdt>
          <w:sdtPr>
            <w:tag w:val="_PLD_234bbf28719848eeb7db98e55d225301"/>
            <w:id w:val="147462754"/>
          </w:sdtPr>
          <w:sdtContent>
            <w:tc>
              <w:tcPr>
                <w:tcW w:w="835" w:type="pct"/>
                <w:gridSpan w:val="2"/>
                <w:tcBorders>
                  <w:top w:val="single" w:color="auto" w:sz="4" w:space="0"/>
                  <w:left w:val="single" w:color="auto" w:sz="4" w:space="0"/>
                  <w:bottom w:val="single" w:color="auto" w:sz="4" w:space="0"/>
                  <w:right w:val="single" w:color="auto" w:sz="4" w:space="0"/>
                </w:tcBorders>
                <w:vAlign w:val="center"/>
              </w:tcPr>
              <w:p w14:paraId="3EF7179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86baf3a2bb2442d2ad99cdffb20a5910"/>
            <w:id w:val="147482000"/>
          </w:sdtPr>
          <w:sdtContent>
            <w:tc>
              <w:tcPr>
                <w:tcW w:w="812" w:type="pct"/>
                <w:gridSpan w:val="2"/>
                <w:tcBorders>
                  <w:top w:val="single" w:color="auto" w:sz="4" w:space="0"/>
                  <w:left w:val="single" w:color="auto" w:sz="4" w:space="0"/>
                  <w:bottom w:val="single" w:color="auto" w:sz="4" w:space="0"/>
                  <w:right w:val="single" w:color="auto" w:sz="4" w:space="0"/>
                </w:tcBorders>
                <w:vAlign w:val="center"/>
              </w:tcPr>
              <w:p w14:paraId="7AD8DE9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cf28132dabc412dbdeb5167d04ab50a"/>
            <w:id w:val="147455603"/>
          </w:sdtPr>
          <w:sdtContent>
            <w:tc>
              <w:tcPr>
                <w:tcW w:w="498" w:type="pct"/>
                <w:vMerge w:val="restart"/>
                <w:tcBorders>
                  <w:top w:val="single" w:color="auto" w:sz="4" w:space="0"/>
                  <w:left w:val="single" w:color="auto" w:sz="4" w:space="0"/>
                  <w:right w:val="single" w:color="auto" w:sz="4" w:space="0"/>
                </w:tcBorders>
                <w:vAlign w:val="center"/>
              </w:tcPr>
              <w:p w14:paraId="272C8CD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14:paraId="7976E98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1a7b71bdb41643a4a5381efe177e2554"/>
            <w:id w:val="147466452"/>
          </w:sdtPr>
          <w:sdtContent>
            <w:tc>
              <w:tcPr>
                <w:tcW w:w="769" w:type="pct"/>
                <w:gridSpan w:val="2"/>
                <w:tcBorders>
                  <w:top w:val="single" w:color="auto" w:sz="4" w:space="0"/>
                  <w:left w:val="single" w:color="auto" w:sz="4" w:space="0"/>
                  <w:right w:val="single" w:color="auto" w:sz="4" w:space="0"/>
                </w:tcBorders>
                <w:vAlign w:val="center"/>
              </w:tcPr>
              <w:p w14:paraId="57EF938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f77275da27774db5806cdf5fada4c123"/>
            <w:id w:val="147479974"/>
          </w:sdtPr>
          <w:sdtContent>
            <w:tc>
              <w:tcPr>
                <w:tcW w:w="810" w:type="pct"/>
                <w:gridSpan w:val="2"/>
                <w:tcBorders>
                  <w:top w:val="single" w:color="auto" w:sz="4" w:space="0"/>
                  <w:left w:val="single" w:color="auto" w:sz="4" w:space="0"/>
                  <w:right w:val="single" w:color="auto" w:sz="4" w:space="0"/>
                </w:tcBorders>
                <w:vAlign w:val="center"/>
              </w:tcPr>
              <w:p w14:paraId="58473D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4eb65b1ec6849bab106cdd75efae98c"/>
            <w:id w:val="147466789"/>
          </w:sdtPr>
          <w:sdtContent>
            <w:tc>
              <w:tcPr>
                <w:tcW w:w="516" w:type="pct"/>
                <w:vMerge w:val="restart"/>
                <w:tcBorders>
                  <w:top w:val="single" w:color="auto" w:sz="4" w:space="0"/>
                  <w:left w:val="single" w:color="auto" w:sz="4" w:space="0"/>
                  <w:right w:val="single" w:color="auto" w:sz="4" w:space="0"/>
                </w:tcBorders>
                <w:vAlign w:val="center"/>
              </w:tcPr>
              <w:p w14:paraId="78AF048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14:paraId="3711FE6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14:paraId="5755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60" w:type="pct"/>
            <w:vMerge w:val="continue"/>
            <w:tcBorders>
              <w:left w:val="single" w:color="auto" w:sz="4" w:space="0"/>
              <w:bottom w:val="single" w:color="auto" w:sz="4" w:space="0"/>
              <w:right w:val="single" w:color="auto" w:sz="4" w:space="0"/>
            </w:tcBorders>
            <w:vAlign w:val="center"/>
          </w:tcPr>
          <w:p w14:paraId="78B69210">
            <w:pPr>
              <w:rPr>
                <w:color w:val="000000" w:themeColor="text1"/>
                <w14:textFill>
                  <w14:solidFill>
                    <w14:schemeClr w14:val="tx1"/>
                  </w14:solidFill>
                </w14:textFill>
              </w:rPr>
            </w:pPr>
          </w:p>
        </w:tc>
        <w:sdt>
          <w:sdtPr>
            <w:tag w:val="_PLD_4c74babe00bb4571937133c3ced595c8"/>
            <w:id w:val="147468120"/>
          </w:sdtPr>
          <w:sdtContent>
            <w:tc>
              <w:tcPr>
                <w:tcW w:w="534" w:type="pct"/>
                <w:tcBorders>
                  <w:left w:val="single" w:color="auto" w:sz="4" w:space="0"/>
                  <w:bottom w:val="single" w:color="auto" w:sz="4" w:space="0"/>
                  <w:right w:val="single" w:color="auto" w:sz="4" w:space="0"/>
                </w:tcBorders>
                <w:vAlign w:val="center"/>
              </w:tcPr>
              <w:p w14:paraId="580A4AD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29c7c07fe4a40c8a6f5b5199813be2d"/>
            <w:id w:val="147463425"/>
          </w:sdtPr>
          <w:sdtContent>
            <w:tc>
              <w:tcPr>
                <w:tcW w:w="301" w:type="pct"/>
                <w:tcBorders>
                  <w:left w:val="single" w:color="auto" w:sz="4" w:space="0"/>
                  <w:bottom w:val="single" w:color="auto" w:sz="4" w:space="0"/>
                  <w:right w:val="single" w:color="auto" w:sz="4" w:space="0"/>
                </w:tcBorders>
                <w:vAlign w:val="center"/>
              </w:tcPr>
              <w:p w14:paraId="3EEEB68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42f1a72bd68c4b72a8cde6cdc1b8613f"/>
            <w:id w:val="147481678"/>
          </w:sdtPr>
          <w:sdtContent>
            <w:tc>
              <w:tcPr>
                <w:tcW w:w="500" w:type="pct"/>
                <w:tcBorders>
                  <w:left w:val="single" w:color="auto" w:sz="4" w:space="0"/>
                  <w:bottom w:val="single" w:color="auto" w:sz="4" w:space="0"/>
                  <w:right w:val="single" w:color="auto" w:sz="4" w:space="0"/>
                </w:tcBorders>
                <w:vAlign w:val="center"/>
              </w:tcPr>
              <w:p w14:paraId="4C2A212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752830b82cc45e39c2dc5354bfcb683"/>
            <w:id w:val="147457376"/>
          </w:sdtPr>
          <w:sdtContent>
            <w:tc>
              <w:tcPr>
                <w:tcW w:w="312" w:type="pct"/>
                <w:tcBorders>
                  <w:left w:val="single" w:color="auto" w:sz="4" w:space="0"/>
                  <w:bottom w:val="single" w:color="auto" w:sz="4" w:space="0"/>
                  <w:right w:val="single" w:color="auto" w:sz="4" w:space="0"/>
                </w:tcBorders>
                <w:vAlign w:val="center"/>
              </w:tcPr>
              <w:p w14:paraId="5FEE315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498" w:type="pct"/>
            <w:vMerge w:val="continue"/>
            <w:tcBorders>
              <w:left w:val="single" w:color="auto" w:sz="4" w:space="0"/>
              <w:bottom w:val="single" w:color="auto" w:sz="4" w:space="0"/>
              <w:right w:val="single" w:color="auto" w:sz="4" w:space="0"/>
            </w:tcBorders>
            <w:vAlign w:val="center"/>
          </w:tcPr>
          <w:p w14:paraId="256E268D">
            <w:pPr>
              <w:jc w:val="center"/>
              <w:rPr>
                <w:color w:val="000000" w:themeColor="text1"/>
                <w14:textFill>
                  <w14:solidFill>
                    <w14:schemeClr w14:val="tx1"/>
                  </w14:solidFill>
                </w14:textFill>
              </w:rPr>
            </w:pPr>
          </w:p>
        </w:tc>
        <w:sdt>
          <w:sdtPr>
            <w:tag w:val="_PLD_93042a28c5384d07846d52135bd7e7d1"/>
            <w:id w:val="147457487"/>
          </w:sdtPr>
          <w:sdtContent>
            <w:tc>
              <w:tcPr>
                <w:tcW w:w="497" w:type="pct"/>
                <w:tcBorders>
                  <w:left w:val="single" w:color="auto" w:sz="4" w:space="0"/>
                  <w:bottom w:val="single" w:color="auto" w:sz="4" w:space="0"/>
                  <w:right w:val="single" w:color="auto" w:sz="4" w:space="0"/>
                </w:tcBorders>
                <w:vAlign w:val="center"/>
              </w:tcPr>
              <w:p w14:paraId="2B125DC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353de89f20d240d0a70ef38af3ea67bf"/>
            <w:id w:val="147472352"/>
          </w:sdtPr>
          <w:sdtContent>
            <w:tc>
              <w:tcPr>
                <w:tcW w:w="272" w:type="pct"/>
                <w:tcBorders>
                  <w:left w:val="single" w:color="auto" w:sz="4" w:space="0"/>
                  <w:bottom w:val="single" w:color="auto" w:sz="4" w:space="0"/>
                  <w:right w:val="single" w:color="auto" w:sz="4" w:space="0"/>
                </w:tcBorders>
                <w:vAlign w:val="center"/>
              </w:tcPr>
              <w:p w14:paraId="282913C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4bfc73d30caf4a529a41c32b56ee8803"/>
            <w:id w:val="147451037"/>
          </w:sdtPr>
          <w:sdtContent>
            <w:tc>
              <w:tcPr>
                <w:tcW w:w="516" w:type="pct"/>
                <w:tcBorders>
                  <w:left w:val="single" w:color="auto" w:sz="4" w:space="0"/>
                  <w:bottom w:val="single" w:color="auto" w:sz="4" w:space="0"/>
                  <w:right w:val="single" w:color="auto" w:sz="4" w:space="0"/>
                </w:tcBorders>
                <w:vAlign w:val="center"/>
              </w:tcPr>
              <w:p w14:paraId="2087D23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1725cfa2add4096bb798d099e0405eb"/>
            <w:id w:val="147451494"/>
          </w:sdtPr>
          <w:sdtContent>
            <w:tc>
              <w:tcPr>
                <w:tcW w:w="294" w:type="pct"/>
                <w:tcBorders>
                  <w:left w:val="single" w:color="auto" w:sz="4" w:space="0"/>
                  <w:bottom w:val="single" w:color="auto" w:sz="4" w:space="0"/>
                  <w:right w:val="single" w:color="auto" w:sz="4" w:space="0"/>
                </w:tcBorders>
                <w:vAlign w:val="center"/>
              </w:tcPr>
              <w:p w14:paraId="67BC19C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16" w:type="pct"/>
            <w:vMerge w:val="continue"/>
            <w:tcBorders>
              <w:left w:val="single" w:color="auto" w:sz="4" w:space="0"/>
              <w:bottom w:val="single" w:color="auto" w:sz="4" w:space="0"/>
              <w:right w:val="single" w:color="auto" w:sz="4" w:space="0"/>
            </w:tcBorders>
          </w:tcPr>
          <w:p w14:paraId="4C62BD1F">
            <w:pPr>
              <w:jc w:val="center"/>
              <w:rPr>
                <w:color w:val="000000" w:themeColor="text1"/>
                <w14:textFill>
                  <w14:solidFill>
                    <w14:schemeClr w14:val="tx1"/>
                  </w14:solidFill>
                </w14:textFill>
              </w:rPr>
            </w:pPr>
          </w:p>
        </w:tc>
      </w:tr>
      <w:tr w14:paraId="0278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60" w:type="pct"/>
            <w:tcBorders>
              <w:top w:val="single" w:color="auto" w:sz="4" w:space="0"/>
              <w:left w:val="single" w:color="auto" w:sz="4" w:space="0"/>
              <w:bottom w:val="single" w:color="auto" w:sz="4" w:space="0"/>
              <w:right w:val="single" w:color="auto" w:sz="4" w:space="0"/>
            </w:tcBorders>
          </w:tcPr>
          <w:p w14:paraId="1671FB0F">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534" w:type="pct"/>
            <w:tcBorders>
              <w:top w:val="single" w:color="auto" w:sz="4" w:space="0"/>
              <w:left w:val="single" w:color="auto" w:sz="4" w:space="0"/>
              <w:bottom w:val="single" w:color="auto" w:sz="4" w:space="0"/>
              <w:right w:val="single" w:color="auto" w:sz="4" w:space="0"/>
            </w:tcBorders>
            <w:vAlign w:val="center"/>
          </w:tcPr>
          <w:p w14:paraId="0D469637">
            <w:pPr>
              <w:jc w:val="right"/>
              <w:textAlignment w:val="center"/>
              <w:rPr>
                <w:rFonts w:cs="Times New Roman"/>
                <w:sz w:val="18"/>
                <w:szCs w:val="18"/>
              </w:rPr>
            </w:pPr>
            <w:r>
              <w:rPr>
                <w:rFonts w:cs="Times New Roman"/>
                <w:color w:val="000000"/>
                <w:sz w:val="18"/>
                <w:szCs w:val="18"/>
              </w:rPr>
              <w:t>744,441,774.63</w:t>
            </w:r>
          </w:p>
        </w:tc>
        <w:tc>
          <w:tcPr>
            <w:tcW w:w="301" w:type="pct"/>
            <w:tcBorders>
              <w:top w:val="single" w:color="auto" w:sz="4" w:space="0"/>
              <w:left w:val="single" w:color="auto" w:sz="4" w:space="0"/>
              <w:bottom w:val="single" w:color="auto" w:sz="4" w:space="0"/>
              <w:right w:val="single" w:color="auto" w:sz="4" w:space="0"/>
            </w:tcBorders>
            <w:vAlign w:val="center"/>
          </w:tcPr>
          <w:p w14:paraId="570DC64E">
            <w:pPr>
              <w:jc w:val="right"/>
              <w:textAlignment w:val="center"/>
              <w:rPr>
                <w:rFonts w:cs="Times New Roman"/>
                <w:sz w:val="18"/>
                <w:szCs w:val="18"/>
              </w:rPr>
            </w:pPr>
            <w:r>
              <w:rPr>
                <w:rFonts w:cs="Times New Roman"/>
                <w:color w:val="000000"/>
                <w:sz w:val="18"/>
                <w:szCs w:val="18"/>
              </w:rPr>
              <w:t>84.65</w:t>
            </w:r>
          </w:p>
        </w:tc>
        <w:tc>
          <w:tcPr>
            <w:tcW w:w="500" w:type="pct"/>
            <w:tcBorders>
              <w:top w:val="single" w:color="auto" w:sz="4" w:space="0"/>
              <w:left w:val="single" w:color="auto" w:sz="4" w:space="0"/>
              <w:bottom w:val="single" w:color="auto" w:sz="4" w:space="0"/>
              <w:right w:val="single" w:color="auto" w:sz="4" w:space="0"/>
            </w:tcBorders>
            <w:vAlign w:val="center"/>
          </w:tcPr>
          <w:p w14:paraId="4029E778">
            <w:pPr>
              <w:jc w:val="right"/>
              <w:textAlignment w:val="center"/>
              <w:rPr>
                <w:rFonts w:cs="Times New Roman"/>
                <w:sz w:val="18"/>
                <w:szCs w:val="18"/>
              </w:rPr>
            </w:pPr>
            <w:r>
              <w:rPr>
                <w:rFonts w:cs="Times New Roman"/>
                <w:color w:val="000000"/>
                <w:sz w:val="18"/>
                <w:szCs w:val="18"/>
              </w:rPr>
              <w:t>77,036,686.49</w:t>
            </w:r>
          </w:p>
        </w:tc>
        <w:tc>
          <w:tcPr>
            <w:tcW w:w="312" w:type="pct"/>
            <w:tcBorders>
              <w:top w:val="single" w:color="auto" w:sz="4" w:space="0"/>
              <w:left w:val="single" w:color="auto" w:sz="4" w:space="0"/>
              <w:bottom w:val="single" w:color="auto" w:sz="4" w:space="0"/>
              <w:right w:val="single" w:color="auto" w:sz="4" w:space="0"/>
            </w:tcBorders>
            <w:vAlign w:val="center"/>
          </w:tcPr>
          <w:p w14:paraId="2F9AA658">
            <w:pPr>
              <w:jc w:val="right"/>
              <w:textAlignment w:val="center"/>
              <w:rPr>
                <w:rFonts w:cs="Times New Roman"/>
                <w:sz w:val="18"/>
                <w:szCs w:val="18"/>
              </w:rPr>
            </w:pPr>
            <w:r>
              <w:rPr>
                <w:rFonts w:cs="Times New Roman"/>
                <w:color w:val="000000"/>
                <w:sz w:val="18"/>
                <w:szCs w:val="18"/>
              </w:rPr>
              <w:t>10.35</w:t>
            </w:r>
          </w:p>
        </w:tc>
        <w:tc>
          <w:tcPr>
            <w:tcW w:w="498" w:type="pct"/>
            <w:tcBorders>
              <w:top w:val="single" w:color="auto" w:sz="4" w:space="0"/>
              <w:left w:val="single" w:color="auto" w:sz="4" w:space="0"/>
              <w:bottom w:val="single" w:color="auto" w:sz="4" w:space="0"/>
              <w:right w:val="single" w:color="auto" w:sz="4" w:space="0"/>
            </w:tcBorders>
            <w:vAlign w:val="center"/>
          </w:tcPr>
          <w:p w14:paraId="09797E48">
            <w:pPr>
              <w:jc w:val="right"/>
              <w:textAlignment w:val="center"/>
              <w:rPr>
                <w:rFonts w:cs="Times New Roman"/>
                <w:sz w:val="18"/>
                <w:szCs w:val="18"/>
              </w:rPr>
            </w:pPr>
            <w:r>
              <w:rPr>
                <w:rFonts w:cs="Times New Roman"/>
                <w:color w:val="000000"/>
                <w:sz w:val="18"/>
                <w:szCs w:val="18"/>
              </w:rPr>
              <w:t>667,405,088.14</w:t>
            </w:r>
          </w:p>
        </w:tc>
        <w:tc>
          <w:tcPr>
            <w:tcW w:w="497" w:type="pct"/>
            <w:tcBorders>
              <w:top w:val="single" w:color="auto" w:sz="4" w:space="0"/>
              <w:left w:val="single" w:color="auto" w:sz="4" w:space="0"/>
              <w:bottom w:val="single" w:color="auto" w:sz="4" w:space="0"/>
              <w:right w:val="single" w:color="auto" w:sz="4" w:space="0"/>
            </w:tcBorders>
            <w:vAlign w:val="center"/>
          </w:tcPr>
          <w:p w14:paraId="6B94A335">
            <w:pPr>
              <w:jc w:val="right"/>
              <w:textAlignment w:val="center"/>
              <w:rPr>
                <w:rFonts w:cs="Times New Roman"/>
                <w:sz w:val="18"/>
                <w:szCs w:val="18"/>
              </w:rPr>
            </w:pPr>
            <w:r>
              <w:rPr>
                <w:rFonts w:cs="Times New Roman"/>
                <w:color w:val="000000"/>
                <w:sz w:val="18"/>
                <w:szCs w:val="18"/>
              </w:rPr>
              <w:t>748,924,093.63</w:t>
            </w:r>
          </w:p>
        </w:tc>
        <w:tc>
          <w:tcPr>
            <w:tcW w:w="272" w:type="pct"/>
            <w:tcBorders>
              <w:top w:val="single" w:color="auto" w:sz="4" w:space="0"/>
              <w:left w:val="single" w:color="auto" w:sz="4" w:space="0"/>
              <w:bottom w:val="single" w:color="auto" w:sz="4" w:space="0"/>
              <w:right w:val="single" w:color="auto" w:sz="4" w:space="0"/>
            </w:tcBorders>
            <w:vAlign w:val="center"/>
          </w:tcPr>
          <w:p w14:paraId="4FEBDCDF">
            <w:pPr>
              <w:jc w:val="right"/>
              <w:textAlignment w:val="center"/>
              <w:rPr>
                <w:rFonts w:cs="Times New Roman"/>
                <w:sz w:val="18"/>
                <w:szCs w:val="18"/>
              </w:rPr>
            </w:pPr>
            <w:r>
              <w:rPr>
                <w:rFonts w:cs="Times New Roman"/>
                <w:color w:val="000000"/>
                <w:sz w:val="18"/>
                <w:szCs w:val="18"/>
              </w:rPr>
              <w:t>83.36</w:t>
            </w:r>
          </w:p>
        </w:tc>
        <w:tc>
          <w:tcPr>
            <w:tcW w:w="516" w:type="pct"/>
            <w:tcBorders>
              <w:top w:val="single" w:color="auto" w:sz="4" w:space="0"/>
              <w:left w:val="single" w:color="auto" w:sz="4" w:space="0"/>
              <w:bottom w:val="single" w:color="auto" w:sz="4" w:space="0"/>
              <w:right w:val="single" w:color="auto" w:sz="4" w:space="0"/>
            </w:tcBorders>
            <w:vAlign w:val="center"/>
          </w:tcPr>
          <w:p w14:paraId="713926C3">
            <w:pPr>
              <w:jc w:val="right"/>
              <w:textAlignment w:val="center"/>
              <w:rPr>
                <w:rFonts w:cs="Times New Roman"/>
                <w:sz w:val="18"/>
                <w:szCs w:val="18"/>
              </w:rPr>
            </w:pPr>
            <w:r>
              <w:rPr>
                <w:rFonts w:cs="Times New Roman"/>
                <w:color w:val="000000"/>
                <w:sz w:val="18"/>
                <w:szCs w:val="18"/>
              </w:rPr>
              <w:t>77,036,686.49</w:t>
            </w:r>
          </w:p>
        </w:tc>
        <w:tc>
          <w:tcPr>
            <w:tcW w:w="294" w:type="pct"/>
            <w:tcBorders>
              <w:top w:val="single" w:color="auto" w:sz="4" w:space="0"/>
              <w:left w:val="single" w:color="auto" w:sz="4" w:space="0"/>
              <w:bottom w:val="single" w:color="auto" w:sz="4" w:space="0"/>
              <w:right w:val="single" w:color="auto" w:sz="4" w:space="0"/>
            </w:tcBorders>
            <w:vAlign w:val="center"/>
          </w:tcPr>
          <w:p w14:paraId="1C0C2A29">
            <w:pPr>
              <w:jc w:val="right"/>
              <w:textAlignment w:val="center"/>
              <w:rPr>
                <w:rFonts w:cs="Times New Roman"/>
                <w:sz w:val="18"/>
                <w:szCs w:val="18"/>
              </w:rPr>
            </w:pPr>
            <w:r>
              <w:rPr>
                <w:rFonts w:cs="Times New Roman"/>
                <w:color w:val="000000"/>
                <w:sz w:val="18"/>
                <w:szCs w:val="18"/>
              </w:rPr>
              <w:t>10.29</w:t>
            </w:r>
          </w:p>
        </w:tc>
        <w:tc>
          <w:tcPr>
            <w:tcW w:w="516" w:type="pct"/>
            <w:tcBorders>
              <w:top w:val="single" w:color="auto" w:sz="4" w:space="0"/>
              <w:left w:val="single" w:color="auto" w:sz="4" w:space="0"/>
              <w:bottom w:val="single" w:color="auto" w:sz="4" w:space="0"/>
              <w:right w:val="single" w:color="auto" w:sz="4" w:space="0"/>
            </w:tcBorders>
            <w:vAlign w:val="center"/>
          </w:tcPr>
          <w:p w14:paraId="794927FA">
            <w:pPr>
              <w:jc w:val="right"/>
              <w:textAlignment w:val="center"/>
              <w:rPr>
                <w:rFonts w:cs="Times New Roman"/>
                <w:sz w:val="18"/>
                <w:szCs w:val="18"/>
              </w:rPr>
            </w:pPr>
            <w:r>
              <w:rPr>
                <w:rFonts w:cs="Times New Roman"/>
                <w:color w:val="000000"/>
                <w:sz w:val="18"/>
                <w:szCs w:val="18"/>
              </w:rPr>
              <w:t>671,887,407.14</w:t>
            </w:r>
          </w:p>
        </w:tc>
      </w:tr>
      <w:tr w14:paraId="37C8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11"/>
            <w:tcBorders>
              <w:top w:val="single" w:color="auto" w:sz="4" w:space="0"/>
              <w:left w:val="single" w:color="auto" w:sz="4" w:space="0"/>
              <w:bottom w:val="single" w:color="auto" w:sz="4" w:space="0"/>
              <w:right w:val="single" w:color="auto" w:sz="4" w:space="0"/>
            </w:tcBorders>
          </w:tcPr>
          <w:sdt>
            <w:sdtPr>
              <w:rPr>
                <w:rFonts w:cs="Times New Roman"/>
              </w:rPr>
              <w:tag w:val="_PLD_629b345ab1aa41abb30ccf92a4c7730d"/>
              <w:id w:val="147474075"/>
            </w:sdtPr>
            <w:sdtEndPr>
              <w:rPr>
                <w:rFonts w:cs="Times New Roman"/>
              </w:rPr>
            </w:sdtEndPr>
            <w:sdtContent>
              <w:p w14:paraId="050899F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p>
            </w:sdtContent>
          </w:sdt>
        </w:tc>
      </w:tr>
      <w:tr w14:paraId="3D48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60" w:type="pct"/>
            <w:tcBorders>
              <w:top w:val="single" w:color="auto" w:sz="4" w:space="0"/>
              <w:left w:val="single" w:color="auto" w:sz="4" w:space="0"/>
              <w:bottom w:val="single" w:color="auto" w:sz="4" w:space="0"/>
              <w:right w:val="single" w:color="auto" w:sz="4" w:space="0"/>
            </w:tcBorders>
          </w:tcPr>
          <w:p w14:paraId="36E420F3">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534" w:type="pct"/>
            <w:tcBorders>
              <w:top w:val="single" w:color="auto" w:sz="4" w:space="0"/>
              <w:left w:val="single" w:color="auto" w:sz="4" w:space="0"/>
              <w:bottom w:val="single" w:color="auto" w:sz="4" w:space="0"/>
              <w:right w:val="single" w:color="auto" w:sz="4" w:space="0"/>
            </w:tcBorders>
            <w:vAlign w:val="center"/>
          </w:tcPr>
          <w:p w14:paraId="0F01B17C">
            <w:pPr>
              <w:jc w:val="right"/>
              <w:textAlignment w:val="center"/>
              <w:rPr>
                <w:rFonts w:cs="Times New Roman"/>
                <w:sz w:val="18"/>
                <w:szCs w:val="18"/>
              </w:rPr>
            </w:pPr>
            <w:r>
              <w:rPr>
                <w:rFonts w:cs="Times New Roman"/>
                <w:color w:val="000000"/>
                <w:sz w:val="18"/>
                <w:szCs w:val="18"/>
              </w:rPr>
              <w:t>134,996,501.28</w:t>
            </w:r>
          </w:p>
        </w:tc>
        <w:tc>
          <w:tcPr>
            <w:tcW w:w="301" w:type="pct"/>
            <w:tcBorders>
              <w:top w:val="single" w:color="auto" w:sz="4" w:space="0"/>
              <w:left w:val="single" w:color="auto" w:sz="4" w:space="0"/>
              <w:bottom w:val="single" w:color="auto" w:sz="4" w:space="0"/>
              <w:right w:val="single" w:color="auto" w:sz="4" w:space="0"/>
            </w:tcBorders>
            <w:vAlign w:val="center"/>
          </w:tcPr>
          <w:p w14:paraId="798FA14E">
            <w:pPr>
              <w:jc w:val="right"/>
              <w:textAlignment w:val="center"/>
              <w:rPr>
                <w:rFonts w:cs="Times New Roman"/>
                <w:sz w:val="18"/>
                <w:szCs w:val="18"/>
              </w:rPr>
            </w:pPr>
            <w:r>
              <w:rPr>
                <w:rFonts w:cs="Times New Roman"/>
                <w:color w:val="000000"/>
                <w:sz w:val="18"/>
                <w:szCs w:val="18"/>
              </w:rPr>
              <w:t>15.35</w:t>
            </w:r>
          </w:p>
        </w:tc>
        <w:tc>
          <w:tcPr>
            <w:tcW w:w="500" w:type="pct"/>
            <w:tcBorders>
              <w:top w:val="single" w:color="auto" w:sz="4" w:space="0"/>
              <w:left w:val="single" w:color="auto" w:sz="4" w:space="0"/>
              <w:bottom w:val="single" w:color="auto" w:sz="4" w:space="0"/>
              <w:right w:val="single" w:color="auto" w:sz="4" w:space="0"/>
            </w:tcBorders>
            <w:vAlign w:val="center"/>
          </w:tcPr>
          <w:p w14:paraId="741D93D0">
            <w:pPr>
              <w:jc w:val="right"/>
              <w:textAlignment w:val="center"/>
              <w:rPr>
                <w:rFonts w:cs="Times New Roman"/>
                <w:sz w:val="18"/>
                <w:szCs w:val="18"/>
              </w:rPr>
            </w:pPr>
            <w:r>
              <w:rPr>
                <w:rFonts w:cs="Times New Roman"/>
                <w:color w:val="000000"/>
                <w:sz w:val="18"/>
                <w:szCs w:val="18"/>
              </w:rPr>
              <w:t>80,623,665.27</w:t>
            </w:r>
          </w:p>
        </w:tc>
        <w:tc>
          <w:tcPr>
            <w:tcW w:w="312" w:type="pct"/>
            <w:tcBorders>
              <w:top w:val="single" w:color="auto" w:sz="4" w:space="0"/>
              <w:left w:val="single" w:color="auto" w:sz="4" w:space="0"/>
              <w:bottom w:val="single" w:color="auto" w:sz="4" w:space="0"/>
              <w:right w:val="single" w:color="auto" w:sz="4" w:space="0"/>
            </w:tcBorders>
            <w:vAlign w:val="center"/>
          </w:tcPr>
          <w:p w14:paraId="56A5BC2E">
            <w:pPr>
              <w:jc w:val="right"/>
              <w:textAlignment w:val="center"/>
              <w:rPr>
                <w:rFonts w:cs="Times New Roman"/>
                <w:sz w:val="18"/>
                <w:szCs w:val="18"/>
              </w:rPr>
            </w:pPr>
            <w:r>
              <w:rPr>
                <w:rFonts w:cs="Times New Roman"/>
                <w:color w:val="000000"/>
                <w:sz w:val="18"/>
                <w:szCs w:val="18"/>
              </w:rPr>
              <w:t>59.72</w:t>
            </w:r>
          </w:p>
        </w:tc>
        <w:tc>
          <w:tcPr>
            <w:tcW w:w="498" w:type="pct"/>
            <w:tcBorders>
              <w:top w:val="single" w:color="auto" w:sz="4" w:space="0"/>
              <w:left w:val="single" w:color="auto" w:sz="4" w:space="0"/>
              <w:bottom w:val="single" w:color="auto" w:sz="4" w:space="0"/>
              <w:right w:val="single" w:color="auto" w:sz="4" w:space="0"/>
            </w:tcBorders>
            <w:vAlign w:val="center"/>
          </w:tcPr>
          <w:p w14:paraId="10952DAD">
            <w:pPr>
              <w:jc w:val="right"/>
              <w:textAlignment w:val="center"/>
              <w:rPr>
                <w:rFonts w:cs="Times New Roman"/>
                <w:sz w:val="18"/>
                <w:szCs w:val="18"/>
              </w:rPr>
            </w:pPr>
            <w:r>
              <w:rPr>
                <w:rFonts w:cs="Times New Roman"/>
                <w:color w:val="000000"/>
                <w:sz w:val="18"/>
                <w:szCs w:val="18"/>
              </w:rPr>
              <w:t>54,372,836.01</w:t>
            </w:r>
          </w:p>
        </w:tc>
        <w:tc>
          <w:tcPr>
            <w:tcW w:w="497" w:type="pct"/>
            <w:tcBorders>
              <w:top w:val="single" w:color="auto" w:sz="4" w:space="0"/>
              <w:left w:val="single" w:color="auto" w:sz="4" w:space="0"/>
              <w:bottom w:val="single" w:color="auto" w:sz="4" w:space="0"/>
              <w:right w:val="single" w:color="auto" w:sz="4" w:space="0"/>
            </w:tcBorders>
            <w:vAlign w:val="center"/>
          </w:tcPr>
          <w:p w14:paraId="615C6D19">
            <w:pPr>
              <w:jc w:val="right"/>
              <w:textAlignment w:val="center"/>
              <w:rPr>
                <w:rFonts w:cs="Times New Roman"/>
                <w:sz w:val="18"/>
                <w:szCs w:val="18"/>
              </w:rPr>
            </w:pPr>
            <w:r>
              <w:rPr>
                <w:rFonts w:cs="Times New Roman"/>
                <w:color w:val="000000"/>
                <w:sz w:val="18"/>
                <w:szCs w:val="18"/>
              </w:rPr>
              <w:t>149,461,734.98</w:t>
            </w:r>
          </w:p>
        </w:tc>
        <w:tc>
          <w:tcPr>
            <w:tcW w:w="272" w:type="pct"/>
            <w:tcBorders>
              <w:top w:val="single" w:color="auto" w:sz="4" w:space="0"/>
              <w:left w:val="single" w:color="auto" w:sz="4" w:space="0"/>
              <w:bottom w:val="single" w:color="auto" w:sz="4" w:space="0"/>
              <w:right w:val="single" w:color="auto" w:sz="4" w:space="0"/>
            </w:tcBorders>
            <w:vAlign w:val="center"/>
          </w:tcPr>
          <w:p w14:paraId="3074B4AA">
            <w:pPr>
              <w:jc w:val="right"/>
              <w:textAlignment w:val="center"/>
              <w:rPr>
                <w:rFonts w:cs="Times New Roman"/>
                <w:sz w:val="18"/>
                <w:szCs w:val="18"/>
              </w:rPr>
            </w:pPr>
            <w:r>
              <w:rPr>
                <w:rFonts w:cs="Times New Roman"/>
                <w:color w:val="000000"/>
                <w:sz w:val="18"/>
                <w:szCs w:val="18"/>
              </w:rPr>
              <w:t>16.64</w:t>
            </w:r>
          </w:p>
        </w:tc>
        <w:tc>
          <w:tcPr>
            <w:tcW w:w="516" w:type="pct"/>
            <w:tcBorders>
              <w:top w:val="single" w:color="auto" w:sz="4" w:space="0"/>
              <w:left w:val="single" w:color="auto" w:sz="4" w:space="0"/>
              <w:bottom w:val="single" w:color="auto" w:sz="4" w:space="0"/>
              <w:right w:val="single" w:color="auto" w:sz="4" w:space="0"/>
            </w:tcBorders>
            <w:vAlign w:val="center"/>
          </w:tcPr>
          <w:p w14:paraId="65DBF8AF">
            <w:pPr>
              <w:jc w:val="right"/>
              <w:textAlignment w:val="center"/>
              <w:rPr>
                <w:rFonts w:cs="Times New Roman"/>
                <w:sz w:val="18"/>
                <w:szCs w:val="18"/>
              </w:rPr>
            </w:pPr>
            <w:r>
              <w:rPr>
                <w:rFonts w:cs="Times New Roman"/>
                <w:color w:val="000000"/>
                <w:sz w:val="18"/>
                <w:szCs w:val="18"/>
              </w:rPr>
              <w:t>77,339,381.98</w:t>
            </w:r>
          </w:p>
        </w:tc>
        <w:tc>
          <w:tcPr>
            <w:tcW w:w="294" w:type="pct"/>
            <w:tcBorders>
              <w:top w:val="single" w:color="auto" w:sz="4" w:space="0"/>
              <w:left w:val="single" w:color="auto" w:sz="4" w:space="0"/>
              <w:bottom w:val="single" w:color="auto" w:sz="4" w:space="0"/>
              <w:right w:val="single" w:color="auto" w:sz="4" w:space="0"/>
            </w:tcBorders>
            <w:vAlign w:val="center"/>
          </w:tcPr>
          <w:p w14:paraId="097C10E3">
            <w:pPr>
              <w:jc w:val="right"/>
              <w:textAlignment w:val="center"/>
              <w:rPr>
                <w:rFonts w:cs="Times New Roman"/>
                <w:sz w:val="18"/>
                <w:szCs w:val="18"/>
              </w:rPr>
            </w:pPr>
            <w:r>
              <w:rPr>
                <w:rFonts w:cs="Times New Roman"/>
                <w:color w:val="000000"/>
                <w:sz w:val="18"/>
                <w:szCs w:val="18"/>
              </w:rPr>
              <w:t>51.75</w:t>
            </w:r>
          </w:p>
        </w:tc>
        <w:tc>
          <w:tcPr>
            <w:tcW w:w="516" w:type="pct"/>
            <w:tcBorders>
              <w:top w:val="single" w:color="auto" w:sz="4" w:space="0"/>
              <w:left w:val="single" w:color="auto" w:sz="4" w:space="0"/>
              <w:bottom w:val="single" w:color="auto" w:sz="4" w:space="0"/>
              <w:right w:val="single" w:color="auto" w:sz="4" w:space="0"/>
            </w:tcBorders>
            <w:vAlign w:val="center"/>
          </w:tcPr>
          <w:p w14:paraId="27860394">
            <w:pPr>
              <w:jc w:val="right"/>
              <w:textAlignment w:val="center"/>
              <w:rPr>
                <w:rFonts w:cs="Times New Roman"/>
                <w:sz w:val="18"/>
                <w:szCs w:val="18"/>
              </w:rPr>
            </w:pPr>
            <w:r>
              <w:rPr>
                <w:rFonts w:cs="Times New Roman"/>
                <w:color w:val="000000"/>
                <w:sz w:val="18"/>
                <w:szCs w:val="18"/>
              </w:rPr>
              <w:t>72,122,353.00</w:t>
            </w:r>
          </w:p>
        </w:tc>
      </w:tr>
      <w:tr w14:paraId="1CBA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11"/>
            <w:tcBorders>
              <w:top w:val="single" w:color="auto" w:sz="4" w:space="0"/>
              <w:left w:val="single" w:color="auto" w:sz="4" w:space="0"/>
              <w:bottom w:val="single" w:color="auto" w:sz="4" w:space="0"/>
              <w:right w:val="single" w:color="auto" w:sz="4" w:space="0"/>
            </w:tcBorders>
          </w:tcPr>
          <w:sdt>
            <w:sdtPr>
              <w:rPr>
                <w:rFonts w:cs="Times New Roman"/>
              </w:rPr>
              <w:tag w:val="_PLD_f95d92b353ca4ee9915c6fd7a3bc2c67"/>
              <w:id w:val="147457181"/>
            </w:sdtPr>
            <w:sdtEndPr>
              <w:rPr>
                <w:rFonts w:cs="Times New Roman"/>
              </w:rPr>
            </w:sdtEndPr>
            <w:sdtContent>
              <w:p w14:paraId="7C1E563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p>
            </w:sdtContent>
          </w:sdt>
        </w:tc>
      </w:tr>
      <w:tr w14:paraId="51AF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color w:val="000000" w:themeColor="text1"/>
              <w14:textFill>
                <w14:solidFill>
                  <w14:schemeClr w14:val="tx1"/>
                </w14:solidFill>
              </w14:textFill>
            </w:rPr>
            <w:alias w:val="按组合计提坏账准备的明细-类别"/>
            <w:tag w:val="_GBC_91cdf91a6beb42fc833f67b0fda84b72"/>
            <w:id w:val="147462339"/>
          </w:sdtPr>
          <w:sdtEndPr>
            <w:rPr>
              <w:color w:val="000000" w:themeColor="text1"/>
              <w14:textFill>
                <w14:solidFill>
                  <w14:schemeClr w14:val="tx1"/>
                </w14:solidFill>
              </w14:textFill>
            </w:rPr>
          </w:sdtEndPr>
          <w:sdtContent>
            <w:tc>
              <w:tcPr>
                <w:tcW w:w="760" w:type="pct"/>
                <w:tcBorders>
                  <w:top w:val="single" w:color="auto" w:sz="4" w:space="0"/>
                  <w:left w:val="single" w:color="auto" w:sz="4" w:space="0"/>
                  <w:bottom w:val="single" w:color="auto" w:sz="4" w:space="0"/>
                  <w:right w:val="single" w:color="auto" w:sz="4" w:space="0"/>
                </w:tcBorders>
              </w:tcPr>
              <w:p w14:paraId="1F18A871">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账龄组合</w:t>
                </w:r>
              </w:p>
            </w:tc>
          </w:sdtContent>
        </w:sdt>
        <w:tc>
          <w:tcPr>
            <w:tcW w:w="534" w:type="pct"/>
            <w:tcBorders>
              <w:top w:val="single" w:color="auto" w:sz="4" w:space="0"/>
              <w:left w:val="single" w:color="auto" w:sz="4" w:space="0"/>
              <w:bottom w:val="single" w:color="auto" w:sz="4" w:space="0"/>
              <w:right w:val="single" w:color="auto" w:sz="4" w:space="0"/>
            </w:tcBorders>
            <w:vAlign w:val="center"/>
          </w:tcPr>
          <w:p w14:paraId="77923750">
            <w:pPr>
              <w:jc w:val="right"/>
              <w:textAlignment w:val="center"/>
              <w:rPr>
                <w:rFonts w:cs="Times New Roman"/>
                <w:sz w:val="18"/>
                <w:szCs w:val="18"/>
              </w:rPr>
            </w:pPr>
            <w:r>
              <w:rPr>
                <w:rFonts w:cs="Times New Roman"/>
                <w:color w:val="000000"/>
                <w:sz w:val="18"/>
                <w:szCs w:val="18"/>
              </w:rPr>
              <w:t>134,996,501.28</w:t>
            </w:r>
          </w:p>
        </w:tc>
        <w:tc>
          <w:tcPr>
            <w:tcW w:w="301" w:type="pct"/>
            <w:tcBorders>
              <w:top w:val="single" w:color="auto" w:sz="4" w:space="0"/>
              <w:left w:val="single" w:color="auto" w:sz="4" w:space="0"/>
              <w:bottom w:val="single" w:color="auto" w:sz="4" w:space="0"/>
              <w:right w:val="single" w:color="auto" w:sz="4" w:space="0"/>
            </w:tcBorders>
            <w:vAlign w:val="center"/>
          </w:tcPr>
          <w:p w14:paraId="5695EB22">
            <w:pPr>
              <w:jc w:val="right"/>
              <w:textAlignment w:val="center"/>
              <w:rPr>
                <w:rFonts w:cs="Times New Roman"/>
                <w:sz w:val="18"/>
                <w:szCs w:val="18"/>
              </w:rPr>
            </w:pPr>
            <w:r>
              <w:rPr>
                <w:rFonts w:cs="Times New Roman"/>
                <w:color w:val="000000"/>
                <w:sz w:val="18"/>
                <w:szCs w:val="18"/>
              </w:rPr>
              <w:t>15.35</w:t>
            </w:r>
          </w:p>
        </w:tc>
        <w:tc>
          <w:tcPr>
            <w:tcW w:w="500" w:type="pct"/>
            <w:tcBorders>
              <w:top w:val="single" w:color="auto" w:sz="4" w:space="0"/>
              <w:left w:val="single" w:color="auto" w:sz="4" w:space="0"/>
              <w:bottom w:val="single" w:color="auto" w:sz="4" w:space="0"/>
              <w:right w:val="single" w:color="auto" w:sz="4" w:space="0"/>
            </w:tcBorders>
            <w:vAlign w:val="center"/>
          </w:tcPr>
          <w:p w14:paraId="477A8CFA">
            <w:pPr>
              <w:jc w:val="right"/>
              <w:textAlignment w:val="center"/>
              <w:rPr>
                <w:rFonts w:cs="Times New Roman"/>
                <w:sz w:val="18"/>
                <w:szCs w:val="18"/>
              </w:rPr>
            </w:pPr>
            <w:r>
              <w:rPr>
                <w:rFonts w:cs="Times New Roman"/>
                <w:color w:val="000000"/>
                <w:sz w:val="18"/>
                <w:szCs w:val="18"/>
              </w:rPr>
              <w:t>80,623,665.27</w:t>
            </w:r>
          </w:p>
        </w:tc>
        <w:tc>
          <w:tcPr>
            <w:tcW w:w="312" w:type="pct"/>
            <w:tcBorders>
              <w:top w:val="single" w:color="auto" w:sz="4" w:space="0"/>
              <w:left w:val="single" w:color="auto" w:sz="4" w:space="0"/>
              <w:bottom w:val="single" w:color="auto" w:sz="4" w:space="0"/>
              <w:right w:val="single" w:color="auto" w:sz="4" w:space="0"/>
            </w:tcBorders>
            <w:vAlign w:val="center"/>
          </w:tcPr>
          <w:p w14:paraId="4E8D878D">
            <w:pPr>
              <w:jc w:val="right"/>
              <w:textAlignment w:val="center"/>
              <w:rPr>
                <w:rFonts w:cs="Times New Roman"/>
                <w:sz w:val="18"/>
                <w:szCs w:val="18"/>
              </w:rPr>
            </w:pPr>
            <w:r>
              <w:rPr>
                <w:rFonts w:cs="Times New Roman"/>
                <w:color w:val="000000"/>
                <w:sz w:val="18"/>
                <w:szCs w:val="18"/>
              </w:rPr>
              <w:t>59.72</w:t>
            </w:r>
          </w:p>
        </w:tc>
        <w:tc>
          <w:tcPr>
            <w:tcW w:w="498" w:type="pct"/>
            <w:tcBorders>
              <w:top w:val="single" w:color="auto" w:sz="4" w:space="0"/>
              <w:left w:val="single" w:color="auto" w:sz="4" w:space="0"/>
              <w:bottom w:val="single" w:color="auto" w:sz="4" w:space="0"/>
              <w:right w:val="single" w:color="auto" w:sz="4" w:space="0"/>
            </w:tcBorders>
            <w:vAlign w:val="center"/>
          </w:tcPr>
          <w:p w14:paraId="397834BB">
            <w:pPr>
              <w:jc w:val="right"/>
              <w:textAlignment w:val="center"/>
              <w:rPr>
                <w:rFonts w:cs="Times New Roman"/>
                <w:sz w:val="18"/>
                <w:szCs w:val="18"/>
              </w:rPr>
            </w:pPr>
            <w:r>
              <w:rPr>
                <w:rFonts w:cs="Times New Roman"/>
                <w:color w:val="000000"/>
                <w:sz w:val="18"/>
                <w:szCs w:val="18"/>
              </w:rPr>
              <w:t>54,372,836.01</w:t>
            </w:r>
          </w:p>
        </w:tc>
        <w:tc>
          <w:tcPr>
            <w:tcW w:w="497" w:type="pct"/>
            <w:tcBorders>
              <w:top w:val="single" w:color="auto" w:sz="4" w:space="0"/>
              <w:left w:val="single" w:color="auto" w:sz="4" w:space="0"/>
              <w:bottom w:val="single" w:color="auto" w:sz="4" w:space="0"/>
              <w:right w:val="single" w:color="auto" w:sz="4" w:space="0"/>
            </w:tcBorders>
            <w:vAlign w:val="center"/>
          </w:tcPr>
          <w:p w14:paraId="7A324980">
            <w:pPr>
              <w:jc w:val="right"/>
              <w:textAlignment w:val="center"/>
              <w:rPr>
                <w:rFonts w:cs="Times New Roman"/>
                <w:sz w:val="18"/>
                <w:szCs w:val="18"/>
              </w:rPr>
            </w:pPr>
            <w:r>
              <w:rPr>
                <w:rFonts w:cs="Times New Roman"/>
                <w:color w:val="000000"/>
                <w:sz w:val="18"/>
                <w:szCs w:val="18"/>
              </w:rPr>
              <w:t>149,461,734.98</w:t>
            </w:r>
          </w:p>
        </w:tc>
        <w:tc>
          <w:tcPr>
            <w:tcW w:w="272" w:type="pct"/>
            <w:tcBorders>
              <w:top w:val="single" w:color="auto" w:sz="4" w:space="0"/>
              <w:left w:val="single" w:color="auto" w:sz="4" w:space="0"/>
              <w:bottom w:val="single" w:color="auto" w:sz="4" w:space="0"/>
              <w:right w:val="single" w:color="auto" w:sz="4" w:space="0"/>
            </w:tcBorders>
            <w:vAlign w:val="center"/>
          </w:tcPr>
          <w:p w14:paraId="634E1A4C">
            <w:pPr>
              <w:jc w:val="right"/>
              <w:textAlignment w:val="center"/>
              <w:rPr>
                <w:rFonts w:cs="Times New Roman"/>
                <w:sz w:val="18"/>
                <w:szCs w:val="18"/>
              </w:rPr>
            </w:pPr>
            <w:r>
              <w:rPr>
                <w:rFonts w:cs="Times New Roman"/>
                <w:color w:val="000000"/>
                <w:sz w:val="18"/>
                <w:szCs w:val="18"/>
              </w:rPr>
              <w:t>16.64</w:t>
            </w:r>
          </w:p>
        </w:tc>
        <w:tc>
          <w:tcPr>
            <w:tcW w:w="516" w:type="pct"/>
            <w:tcBorders>
              <w:top w:val="single" w:color="auto" w:sz="4" w:space="0"/>
              <w:left w:val="single" w:color="auto" w:sz="4" w:space="0"/>
              <w:bottom w:val="single" w:color="auto" w:sz="4" w:space="0"/>
              <w:right w:val="single" w:color="auto" w:sz="4" w:space="0"/>
            </w:tcBorders>
            <w:vAlign w:val="center"/>
          </w:tcPr>
          <w:p w14:paraId="674753EA">
            <w:pPr>
              <w:jc w:val="right"/>
              <w:textAlignment w:val="center"/>
              <w:rPr>
                <w:rFonts w:cs="Times New Roman"/>
                <w:sz w:val="18"/>
                <w:szCs w:val="18"/>
              </w:rPr>
            </w:pPr>
            <w:r>
              <w:rPr>
                <w:rFonts w:cs="Times New Roman"/>
                <w:color w:val="000000"/>
                <w:sz w:val="18"/>
                <w:szCs w:val="18"/>
              </w:rPr>
              <w:t>77,339,381.98</w:t>
            </w:r>
          </w:p>
        </w:tc>
        <w:tc>
          <w:tcPr>
            <w:tcW w:w="294" w:type="pct"/>
            <w:tcBorders>
              <w:top w:val="single" w:color="auto" w:sz="4" w:space="0"/>
              <w:left w:val="single" w:color="auto" w:sz="4" w:space="0"/>
              <w:bottom w:val="single" w:color="auto" w:sz="4" w:space="0"/>
              <w:right w:val="single" w:color="auto" w:sz="4" w:space="0"/>
            </w:tcBorders>
            <w:vAlign w:val="center"/>
          </w:tcPr>
          <w:p w14:paraId="37C7CBED">
            <w:pPr>
              <w:jc w:val="right"/>
              <w:textAlignment w:val="center"/>
              <w:rPr>
                <w:rFonts w:cs="Times New Roman"/>
                <w:sz w:val="18"/>
                <w:szCs w:val="18"/>
              </w:rPr>
            </w:pPr>
            <w:r>
              <w:rPr>
                <w:rFonts w:cs="Times New Roman"/>
                <w:color w:val="000000"/>
                <w:sz w:val="18"/>
                <w:szCs w:val="18"/>
              </w:rPr>
              <w:t>51.75</w:t>
            </w:r>
          </w:p>
        </w:tc>
        <w:tc>
          <w:tcPr>
            <w:tcW w:w="516" w:type="pct"/>
            <w:tcBorders>
              <w:top w:val="single" w:color="auto" w:sz="4" w:space="0"/>
              <w:left w:val="single" w:color="auto" w:sz="4" w:space="0"/>
              <w:bottom w:val="single" w:color="auto" w:sz="4" w:space="0"/>
              <w:right w:val="single" w:color="auto" w:sz="4" w:space="0"/>
            </w:tcBorders>
            <w:vAlign w:val="center"/>
          </w:tcPr>
          <w:p w14:paraId="00BD77FE">
            <w:pPr>
              <w:jc w:val="right"/>
              <w:textAlignment w:val="center"/>
              <w:rPr>
                <w:rFonts w:cs="Times New Roman"/>
                <w:sz w:val="18"/>
                <w:szCs w:val="18"/>
              </w:rPr>
            </w:pPr>
            <w:r>
              <w:rPr>
                <w:rFonts w:cs="Times New Roman"/>
                <w:color w:val="000000"/>
                <w:sz w:val="18"/>
                <w:szCs w:val="18"/>
              </w:rPr>
              <w:t>72,122,353.00</w:t>
            </w:r>
          </w:p>
        </w:tc>
      </w:tr>
      <w:tr w14:paraId="36AE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60" w:type="pct"/>
            <w:tcBorders>
              <w:top w:val="single" w:color="auto" w:sz="4" w:space="0"/>
              <w:left w:val="single" w:color="auto" w:sz="4" w:space="0"/>
              <w:bottom w:val="single" w:color="auto" w:sz="4" w:space="0"/>
              <w:right w:val="single" w:color="auto" w:sz="4" w:space="0"/>
            </w:tcBorders>
            <w:vAlign w:val="center"/>
          </w:tcPr>
          <w:p w14:paraId="79433BED">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34" w:type="pct"/>
            <w:tcBorders>
              <w:top w:val="single" w:color="auto" w:sz="4" w:space="0"/>
              <w:left w:val="single" w:color="auto" w:sz="4" w:space="0"/>
              <w:bottom w:val="single" w:color="auto" w:sz="4" w:space="0"/>
              <w:right w:val="single" w:color="auto" w:sz="4" w:space="0"/>
            </w:tcBorders>
            <w:vAlign w:val="center"/>
          </w:tcPr>
          <w:p w14:paraId="48839492">
            <w:pPr>
              <w:jc w:val="right"/>
              <w:textAlignment w:val="center"/>
              <w:rPr>
                <w:rFonts w:cs="Times New Roman"/>
                <w:sz w:val="18"/>
                <w:szCs w:val="18"/>
              </w:rPr>
            </w:pPr>
            <w:r>
              <w:rPr>
                <w:rFonts w:cs="Times New Roman"/>
                <w:color w:val="000000"/>
                <w:sz w:val="18"/>
                <w:szCs w:val="18"/>
              </w:rPr>
              <w:t>879,438,275.91</w:t>
            </w:r>
          </w:p>
        </w:tc>
        <w:tc>
          <w:tcPr>
            <w:tcW w:w="301" w:type="pct"/>
            <w:tcBorders>
              <w:top w:val="single" w:color="auto" w:sz="4" w:space="0"/>
              <w:left w:val="single" w:color="auto" w:sz="4" w:space="0"/>
              <w:bottom w:val="single" w:color="auto" w:sz="4" w:space="0"/>
              <w:right w:val="single" w:color="auto" w:sz="4" w:space="0"/>
            </w:tcBorders>
          </w:tcPr>
          <w:p w14:paraId="02EB142D">
            <w:pPr>
              <w:jc w:val="center"/>
              <w:textAlignment w:val="top"/>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500" w:type="pct"/>
            <w:tcBorders>
              <w:top w:val="single" w:color="auto" w:sz="4" w:space="0"/>
              <w:left w:val="single" w:color="auto" w:sz="4" w:space="0"/>
              <w:bottom w:val="single" w:color="auto" w:sz="4" w:space="0"/>
              <w:right w:val="single" w:color="auto" w:sz="4" w:space="0"/>
            </w:tcBorders>
            <w:vAlign w:val="center"/>
          </w:tcPr>
          <w:p w14:paraId="3BCA0ADF">
            <w:pPr>
              <w:jc w:val="right"/>
              <w:textAlignment w:val="center"/>
              <w:rPr>
                <w:rFonts w:cs="Times New Roman"/>
                <w:sz w:val="18"/>
                <w:szCs w:val="18"/>
              </w:rPr>
            </w:pPr>
            <w:r>
              <w:rPr>
                <w:rFonts w:cs="Times New Roman"/>
                <w:color w:val="000000"/>
                <w:sz w:val="18"/>
                <w:szCs w:val="18"/>
              </w:rPr>
              <w:t>157,660,351.76</w:t>
            </w:r>
          </w:p>
        </w:tc>
        <w:tc>
          <w:tcPr>
            <w:tcW w:w="312" w:type="pct"/>
            <w:tcBorders>
              <w:top w:val="single" w:color="auto" w:sz="4" w:space="0"/>
              <w:left w:val="single" w:color="auto" w:sz="4" w:space="0"/>
              <w:bottom w:val="single" w:color="auto" w:sz="4" w:space="0"/>
              <w:right w:val="single" w:color="auto" w:sz="4" w:space="0"/>
            </w:tcBorders>
          </w:tcPr>
          <w:p w14:paraId="2288FA27">
            <w:pPr>
              <w:jc w:val="center"/>
              <w:textAlignment w:val="top"/>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498" w:type="pct"/>
            <w:tcBorders>
              <w:top w:val="single" w:color="auto" w:sz="4" w:space="0"/>
              <w:left w:val="single" w:color="auto" w:sz="4" w:space="0"/>
              <w:bottom w:val="single" w:color="auto" w:sz="4" w:space="0"/>
              <w:right w:val="single" w:color="auto" w:sz="4" w:space="0"/>
            </w:tcBorders>
            <w:vAlign w:val="center"/>
          </w:tcPr>
          <w:p w14:paraId="11973542">
            <w:pPr>
              <w:jc w:val="right"/>
              <w:textAlignment w:val="center"/>
              <w:rPr>
                <w:rFonts w:cs="Times New Roman"/>
                <w:sz w:val="18"/>
                <w:szCs w:val="18"/>
              </w:rPr>
            </w:pPr>
            <w:r>
              <w:rPr>
                <w:rFonts w:cs="Times New Roman"/>
                <w:color w:val="000000"/>
                <w:sz w:val="18"/>
                <w:szCs w:val="18"/>
              </w:rPr>
              <w:t>721,777,924.15</w:t>
            </w:r>
          </w:p>
        </w:tc>
        <w:tc>
          <w:tcPr>
            <w:tcW w:w="497" w:type="pct"/>
            <w:tcBorders>
              <w:top w:val="single" w:color="auto" w:sz="4" w:space="0"/>
              <w:left w:val="single" w:color="auto" w:sz="4" w:space="0"/>
              <w:bottom w:val="single" w:color="auto" w:sz="4" w:space="0"/>
              <w:right w:val="single" w:color="auto" w:sz="4" w:space="0"/>
            </w:tcBorders>
            <w:vAlign w:val="center"/>
          </w:tcPr>
          <w:p w14:paraId="04EF1B0A">
            <w:pPr>
              <w:jc w:val="right"/>
              <w:textAlignment w:val="center"/>
              <w:rPr>
                <w:rFonts w:cs="Times New Roman"/>
                <w:sz w:val="18"/>
                <w:szCs w:val="18"/>
              </w:rPr>
            </w:pPr>
            <w:r>
              <w:rPr>
                <w:rFonts w:cs="Times New Roman"/>
                <w:color w:val="000000"/>
                <w:sz w:val="18"/>
                <w:szCs w:val="18"/>
              </w:rPr>
              <w:t>898,385,828.61</w:t>
            </w:r>
          </w:p>
        </w:tc>
        <w:tc>
          <w:tcPr>
            <w:tcW w:w="272" w:type="pct"/>
            <w:tcBorders>
              <w:top w:val="single" w:color="auto" w:sz="4" w:space="0"/>
              <w:left w:val="single" w:color="auto" w:sz="4" w:space="0"/>
              <w:bottom w:val="single" w:color="auto" w:sz="4" w:space="0"/>
              <w:right w:val="single" w:color="auto" w:sz="4" w:space="0"/>
            </w:tcBorders>
          </w:tcPr>
          <w:p w14:paraId="1DD61C3E">
            <w:pPr>
              <w:jc w:val="center"/>
              <w:textAlignment w:val="top"/>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516" w:type="pct"/>
            <w:tcBorders>
              <w:top w:val="single" w:color="auto" w:sz="4" w:space="0"/>
              <w:left w:val="single" w:color="auto" w:sz="4" w:space="0"/>
              <w:bottom w:val="single" w:color="auto" w:sz="4" w:space="0"/>
              <w:right w:val="single" w:color="auto" w:sz="4" w:space="0"/>
            </w:tcBorders>
            <w:vAlign w:val="center"/>
          </w:tcPr>
          <w:p w14:paraId="2A6B798F">
            <w:pPr>
              <w:jc w:val="right"/>
              <w:textAlignment w:val="center"/>
              <w:rPr>
                <w:rFonts w:cs="Times New Roman"/>
                <w:sz w:val="18"/>
                <w:szCs w:val="18"/>
              </w:rPr>
            </w:pPr>
            <w:r>
              <w:rPr>
                <w:rFonts w:cs="Times New Roman"/>
                <w:color w:val="000000"/>
                <w:sz w:val="18"/>
                <w:szCs w:val="18"/>
              </w:rPr>
              <w:t>154,376,068.47</w:t>
            </w:r>
          </w:p>
        </w:tc>
        <w:tc>
          <w:tcPr>
            <w:tcW w:w="294" w:type="pct"/>
            <w:tcBorders>
              <w:top w:val="single" w:color="auto" w:sz="4" w:space="0"/>
              <w:left w:val="single" w:color="auto" w:sz="4" w:space="0"/>
              <w:bottom w:val="single" w:color="auto" w:sz="4" w:space="0"/>
              <w:right w:val="single" w:color="auto" w:sz="4" w:space="0"/>
            </w:tcBorders>
          </w:tcPr>
          <w:p w14:paraId="7CE28BDC">
            <w:pPr>
              <w:jc w:val="center"/>
              <w:textAlignment w:val="top"/>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516" w:type="pct"/>
            <w:tcBorders>
              <w:top w:val="single" w:color="auto" w:sz="4" w:space="0"/>
              <w:left w:val="single" w:color="auto" w:sz="4" w:space="0"/>
              <w:bottom w:val="single" w:color="auto" w:sz="4" w:space="0"/>
              <w:right w:val="single" w:color="auto" w:sz="4" w:space="0"/>
            </w:tcBorders>
            <w:vAlign w:val="center"/>
          </w:tcPr>
          <w:p w14:paraId="701B881D">
            <w:pPr>
              <w:jc w:val="right"/>
              <w:textAlignment w:val="center"/>
              <w:rPr>
                <w:rFonts w:cs="Times New Roman"/>
                <w:sz w:val="18"/>
                <w:szCs w:val="18"/>
              </w:rPr>
            </w:pPr>
            <w:r>
              <w:rPr>
                <w:rFonts w:cs="Times New Roman"/>
                <w:color w:val="000000"/>
                <w:sz w:val="18"/>
                <w:szCs w:val="18"/>
              </w:rPr>
              <w:t>744,009,760.14</w:t>
            </w:r>
          </w:p>
        </w:tc>
      </w:tr>
    </w:tbl>
    <w:p w14:paraId="5F3ECAD3">
      <w:pPr>
        <w:rPr>
          <w:color w:val="000000" w:themeColor="text1"/>
          <w14:textFill>
            <w14:solidFill>
              <w14:schemeClr w14:val="tx1"/>
            </w14:solidFill>
          </w14:textFill>
        </w:rPr>
      </w:pPr>
    </w:p>
    <w:p w14:paraId="4C119C43">
      <w:pPr>
        <w:rPr>
          <w:color w:val="000000" w:themeColor="text1"/>
          <w14:textFill>
            <w14:solidFill>
              <w14:schemeClr w14:val="tx1"/>
            </w14:solidFill>
          </w14:textFill>
        </w:rPr>
      </w:pPr>
    </w:p>
    <w:p w14:paraId="79A577FF">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3a181716dae64a57965330ae4ccab91e"/>
        <w:id w:val="147475357"/>
        <w:placeholder>
          <w:docPart w:val="GBC22222222222222222222222222222"/>
        </w:placeholder>
      </w:sdtPr>
      <w:sdtEndPr>
        <w:rPr>
          <w:color w:val="000000" w:themeColor="text1"/>
          <w14:textFill>
            <w14:solidFill>
              <w14:schemeClr w14:val="tx1"/>
            </w14:solidFill>
          </w14:textFill>
        </w:rPr>
      </w:sdtEndPr>
      <w:sdtContent>
        <w:p w14:paraId="714C0F9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1064F7">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单项计提坏账准备的详细情况"/>
          <w:tag w:val="_GBC_288ccee9e3d4423480e233dd2e06e129"/>
          <w:id w:val="14746207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单项计提坏账准备的详细情况"/>
          <w:tag w:val="_GBC_0bab3a2ea1df43aa9fde3e43aa6b298d"/>
          <w:id w:val="1474676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0"/>
        <w:gridCol w:w="2063"/>
        <w:gridCol w:w="2649"/>
        <w:gridCol w:w="2646"/>
        <w:gridCol w:w="2881"/>
      </w:tblGrid>
      <w:tr w14:paraId="2C4F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628b110194948248a7ddd4c73431235"/>
            <w:id w:val="147481236"/>
          </w:sdtPr>
          <w:sdtContent>
            <w:tc>
              <w:tcPr>
                <w:tcW w:w="1366" w:type="pct"/>
                <w:vMerge w:val="restart"/>
                <w:vAlign w:val="center"/>
              </w:tcPr>
              <w:p w14:paraId="7305770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55e8e4c48a99467895bde77a834d3ca0"/>
            <w:id w:val="147480759"/>
          </w:sdtPr>
          <w:sdtContent>
            <w:tc>
              <w:tcPr>
                <w:tcW w:w="3633" w:type="pct"/>
                <w:gridSpan w:val="4"/>
                <w:vAlign w:val="center"/>
              </w:tcPr>
              <w:p w14:paraId="50A244E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53FA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 w:type="pct"/>
            <w:vMerge w:val="continue"/>
          </w:tcPr>
          <w:p w14:paraId="5FCB25E4">
            <w:pPr>
              <w:jc w:val="center"/>
              <w:rPr>
                <w:color w:val="000000" w:themeColor="text1"/>
                <w14:textFill>
                  <w14:solidFill>
                    <w14:schemeClr w14:val="tx1"/>
                  </w14:solidFill>
                </w14:textFill>
              </w:rPr>
            </w:pPr>
          </w:p>
        </w:tc>
        <w:sdt>
          <w:sdtPr>
            <w:tag w:val="_PLD_6bc6d11faa0a424099448cdc5439a377"/>
            <w:id w:val="147463134"/>
          </w:sdtPr>
          <w:sdtContent>
            <w:tc>
              <w:tcPr>
                <w:tcW w:w="732" w:type="pct"/>
                <w:vAlign w:val="center"/>
              </w:tcPr>
              <w:p w14:paraId="6EA168F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7851c9cb665f4c678a7b28b3954701f6"/>
            <w:id w:val="147473866"/>
          </w:sdtPr>
          <w:sdtContent>
            <w:tc>
              <w:tcPr>
                <w:tcW w:w="940" w:type="pct"/>
                <w:vAlign w:val="center"/>
              </w:tcPr>
              <w:p w14:paraId="132117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bd1454e6885d47eb979218b8f09dfc0e"/>
            <w:id w:val="147456435"/>
          </w:sdtPr>
          <w:sdtEndPr>
            <w:rPr>
              <w:rFonts w:hint="eastAsia"/>
            </w:rPr>
          </w:sdtEndPr>
          <w:sdtContent>
            <w:tc>
              <w:tcPr>
                <w:tcW w:w="939" w:type="pct"/>
                <w:vAlign w:val="center"/>
              </w:tcPr>
              <w:p w14:paraId="2C625C96">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sdt>
          <w:sdtPr>
            <w:tag w:val="_PLD_a36e7d75e245446085b9be2e753ac6fa"/>
            <w:id w:val="147455357"/>
          </w:sdtPr>
          <w:sdtContent>
            <w:tc>
              <w:tcPr>
                <w:tcW w:w="1022" w:type="pct"/>
                <w:vAlign w:val="center"/>
              </w:tcPr>
              <w:p w14:paraId="4E70E49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计提理由</w:t>
                </w:r>
              </w:p>
            </w:tc>
          </w:sdtContent>
        </w:sdt>
      </w:tr>
      <w:tr w14:paraId="7F36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 w:type="pct"/>
          </w:tcPr>
          <w:p w14:paraId="48179768">
            <w:pPr>
              <w:textAlignment w:val="top"/>
            </w:pPr>
            <w:r>
              <w:rPr>
                <w:rFonts w:cs="Times New Roman"/>
                <w:color w:val="000000"/>
              </w:rPr>
              <w:t>岳阳市土地储备中心</w:t>
            </w:r>
          </w:p>
        </w:tc>
        <w:tc>
          <w:tcPr>
            <w:tcW w:w="732" w:type="pct"/>
            <w:vAlign w:val="center"/>
          </w:tcPr>
          <w:p w14:paraId="04B349B4">
            <w:pPr>
              <w:jc w:val="right"/>
              <w:textAlignment w:val="center"/>
              <w:rPr>
                <w:rFonts w:cs="Times New Roman"/>
              </w:rPr>
            </w:pPr>
            <w:r>
              <w:rPr>
                <w:rFonts w:cs="Times New Roman"/>
                <w:color w:val="000000"/>
              </w:rPr>
              <w:t>224,263,381.00</w:t>
            </w:r>
          </w:p>
        </w:tc>
        <w:tc>
          <w:tcPr>
            <w:tcW w:w="940" w:type="pct"/>
            <w:vAlign w:val="center"/>
          </w:tcPr>
          <w:p w14:paraId="135009AA">
            <w:pPr>
              <w:jc w:val="right"/>
              <w:textAlignment w:val="center"/>
              <w:rPr>
                <w:rFonts w:cs="Times New Roman"/>
              </w:rPr>
            </w:pPr>
            <w:r>
              <w:rPr>
                <w:rFonts w:cs="Times New Roman"/>
                <w:color w:val="000000"/>
              </w:rPr>
              <w:t>35,122,458.27</w:t>
            </w:r>
          </w:p>
        </w:tc>
        <w:tc>
          <w:tcPr>
            <w:tcW w:w="939" w:type="pct"/>
            <w:vAlign w:val="center"/>
          </w:tcPr>
          <w:p w14:paraId="5D0A5198">
            <w:pPr>
              <w:jc w:val="right"/>
              <w:textAlignment w:val="center"/>
              <w:rPr>
                <w:rFonts w:cs="Times New Roman"/>
              </w:rPr>
            </w:pPr>
            <w:r>
              <w:rPr>
                <w:rFonts w:cs="Times New Roman"/>
                <w:color w:val="000000"/>
              </w:rPr>
              <w:t>15.66</w:t>
            </w:r>
          </w:p>
        </w:tc>
        <w:tc>
          <w:tcPr>
            <w:tcW w:w="1022" w:type="pct"/>
            <w:vAlign w:val="center"/>
          </w:tcPr>
          <w:p w14:paraId="5DC9D954">
            <w:pPr>
              <w:jc w:val="center"/>
              <w:textAlignment w:val="center"/>
              <w:rPr>
                <w:rFonts w:cs="Times New Roman"/>
                <w:highlight w:val="yellow"/>
              </w:rPr>
            </w:pPr>
            <w:r>
              <w:rPr>
                <w:rFonts w:cs="Times New Roman"/>
                <w:color w:val="000000"/>
              </w:rPr>
              <w:t>还款计划</w:t>
            </w:r>
          </w:p>
        </w:tc>
      </w:tr>
      <w:tr w14:paraId="4E61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366" w:type="pct"/>
          </w:tcPr>
          <w:p w14:paraId="64F6EE15">
            <w:pPr>
              <w:textAlignment w:val="top"/>
            </w:pPr>
            <w:r>
              <w:rPr>
                <w:rFonts w:cs="Times New Roman"/>
                <w:color w:val="000000"/>
              </w:rPr>
              <w:t>武汉星辰房地产开发有限公司</w:t>
            </w:r>
          </w:p>
        </w:tc>
        <w:tc>
          <w:tcPr>
            <w:tcW w:w="732" w:type="pct"/>
            <w:vAlign w:val="center"/>
          </w:tcPr>
          <w:p w14:paraId="2257C4C5">
            <w:pPr>
              <w:jc w:val="right"/>
              <w:textAlignment w:val="center"/>
              <w:rPr>
                <w:rFonts w:cs="Times New Roman"/>
              </w:rPr>
            </w:pPr>
            <w:r>
              <w:rPr>
                <w:rFonts w:cs="Times New Roman"/>
                <w:color w:val="000000"/>
              </w:rPr>
              <w:t>206,268,393.63</w:t>
            </w:r>
          </w:p>
        </w:tc>
        <w:tc>
          <w:tcPr>
            <w:tcW w:w="940" w:type="pct"/>
            <w:vAlign w:val="center"/>
          </w:tcPr>
          <w:p w14:paraId="157DF0B3">
            <w:pPr>
              <w:jc w:val="right"/>
              <w:rPr>
                <w:rFonts w:cs="Times New Roman"/>
              </w:rPr>
            </w:pPr>
          </w:p>
        </w:tc>
        <w:tc>
          <w:tcPr>
            <w:tcW w:w="939" w:type="pct"/>
            <w:vAlign w:val="center"/>
          </w:tcPr>
          <w:p w14:paraId="4D7FDA11">
            <w:pPr>
              <w:jc w:val="right"/>
              <w:rPr>
                <w:rFonts w:cs="Times New Roman"/>
              </w:rPr>
            </w:pPr>
          </w:p>
        </w:tc>
        <w:tc>
          <w:tcPr>
            <w:tcW w:w="1022" w:type="pct"/>
            <w:vAlign w:val="center"/>
          </w:tcPr>
          <w:p w14:paraId="4D1D6410">
            <w:pPr>
              <w:jc w:val="center"/>
              <w:textAlignment w:val="center"/>
              <w:rPr>
                <w:rFonts w:cs="Times New Roman"/>
                <w:highlight w:val="yellow"/>
              </w:rPr>
            </w:pPr>
            <w:r>
              <w:rPr>
                <w:rFonts w:cs="Times New Roman"/>
                <w:color w:val="000000"/>
              </w:rPr>
              <w:t>/</w:t>
            </w:r>
          </w:p>
        </w:tc>
      </w:tr>
      <w:tr w14:paraId="3E69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366" w:type="pct"/>
          </w:tcPr>
          <w:p w14:paraId="21DBE3BB">
            <w:pPr>
              <w:textAlignment w:val="top"/>
            </w:pPr>
            <w:r>
              <w:rPr>
                <w:rFonts w:cs="Times New Roman"/>
                <w:color w:val="000000"/>
              </w:rPr>
              <w:t>天津市永信房屋拆迁有限责任公司</w:t>
            </w:r>
          </w:p>
        </w:tc>
        <w:tc>
          <w:tcPr>
            <w:tcW w:w="732" w:type="pct"/>
            <w:vAlign w:val="center"/>
          </w:tcPr>
          <w:p w14:paraId="16F716D4">
            <w:pPr>
              <w:jc w:val="right"/>
              <w:textAlignment w:val="center"/>
              <w:rPr>
                <w:rFonts w:cs="Times New Roman"/>
              </w:rPr>
            </w:pPr>
            <w:r>
              <w:rPr>
                <w:rFonts w:cs="Times New Roman"/>
                <w:color w:val="000000"/>
              </w:rPr>
              <w:t>168,000,000.00</w:t>
            </w:r>
          </w:p>
        </w:tc>
        <w:tc>
          <w:tcPr>
            <w:tcW w:w="940" w:type="pct"/>
            <w:vAlign w:val="center"/>
          </w:tcPr>
          <w:p w14:paraId="085FD7CF">
            <w:pPr>
              <w:jc w:val="right"/>
              <w:textAlignment w:val="center"/>
              <w:rPr>
                <w:rFonts w:cs="Times New Roman"/>
              </w:rPr>
            </w:pPr>
            <w:r>
              <w:rPr>
                <w:rFonts w:cs="Times New Roman"/>
                <w:color w:val="000000"/>
              </w:rPr>
              <w:t>26,825,584.69</w:t>
            </w:r>
          </w:p>
        </w:tc>
        <w:tc>
          <w:tcPr>
            <w:tcW w:w="939" w:type="pct"/>
            <w:vAlign w:val="center"/>
          </w:tcPr>
          <w:p w14:paraId="6ACD3A90">
            <w:pPr>
              <w:jc w:val="right"/>
              <w:textAlignment w:val="center"/>
              <w:rPr>
                <w:rFonts w:cs="Times New Roman"/>
              </w:rPr>
            </w:pPr>
            <w:r>
              <w:rPr>
                <w:rFonts w:cs="Times New Roman"/>
                <w:color w:val="000000"/>
              </w:rPr>
              <w:t>15.97</w:t>
            </w:r>
          </w:p>
        </w:tc>
        <w:tc>
          <w:tcPr>
            <w:tcW w:w="1022" w:type="pct"/>
            <w:vAlign w:val="center"/>
          </w:tcPr>
          <w:p w14:paraId="5C128375">
            <w:pPr>
              <w:jc w:val="center"/>
              <w:textAlignment w:val="center"/>
              <w:rPr>
                <w:rFonts w:cs="Times New Roman"/>
                <w:highlight w:val="yellow"/>
              </w:rPr>
            </w:pPr>
            <w:r>
              <w:rPr>
                <w:rFonts w:cs="Times New Roman"/>
                <w:color w:val="000000"/>
              </w:rPr>
              <w:t>还款计划</w:t>
            </w:r>
          </w:p>
        </w:tc>
      </w:tr>
      <w:tr w14:paraId="5126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366" w:type="pct"/>
          </w:tcPr>
          <w:p w14:paraId="083956AE">
            <w:pPr>
              <w:textAlignment w:val="top"/>
            </w:pPr>
            <w:r>
              <w:rPr>
                <w:rFonts w:cs="Times New Roman"/>
                <w:color w:val="000000"/>
              </w:rPr>
              <w:t>南京江宁科学园发展有限公司</w:t>
            </w:r>
          </w:p>
        </w:tc>
        <w:tc>
          <w:tcPr>
            <w:tcW w:w="732" w:type="pct"/>
            <w:vAlign w:val="center"/>
          </w:tcPr>
          <w:p w14:paraId="1DB9A31E">
            <w:pPr>
              <w:jc w:val="right"/>
              <w:textAlignment w:val="center"/>
              <w:rPr>
                <w:rFonts w:cs="Times New Roman"/>
              </w:rPr>
            </w:pPr>
            <w:r>
              <w:rPr>
                <w:rFonts w:cs="Times New Roman"/>
                <w:color w:val="000000"/>
              </w:rPr>
              <w:t>140,000,000.00</w:t>
            </w:r>
          </w:p>
        </w:tc>
        <w:tc>
          <w:tcPr>
            <w:tcW w:w="940" w:type="pct"/>
            <w:vAlign w:val="center"/>
          </w:tcPr>
          <w:p w14:paraId="57506382">
            <w:pPr>
              <w:jc w:val="right"/>
              <w:textAlignment w:val="center"/>
              <w:rPr>
                <w:rFonts w:cs="Times New Roman"/>
              </w:rPr>
            </w:pPr>
            <w:r>
              <w:rPr>
                <w:rFonts w:cs="Times New Roman"/>
                <w:color w:val="000000"/>
              </w:rPr>
              <w:t>9,178,643.53</w:t>
            </w:r>
          </w:p>
        </w:tc>
        <w:tc>
          <w:tcPr>
            <w:tcW w:w="939" w:type="pct"/>
            <w:vAlign w:val="center"/>
          </w:tcPr>
          <w:p w14:paraId="587CC133">
            <w:pPr>
              <w:jc w:val="right"/>
              <w:textAlignment w:val="center"/>
              <w:rPr>
                <w:rFonts w:cs="Times New Roman"/>
              </w:rPr>
            </w:pPr>
            <w:r>
              <w:rPr>
                <w:rFonts w:cs="Times New Roman"/>
                <w:color w:val="000000"/>
              </w:rPr>
              <w:t>6.56</w:t>
            </w:r>
          </w:p>
        </w:tc>
        <w:tc>
          <w:tcPr>
            <w:tcW w:w="1022" w:type="pct"/>
            <w:vAlign w:val="center"/>
          </w:tcPr>
          <w:p w14:paraId="28E267FB">
            <w:pPr>
              <w:jc w:val="center"/>
              <w:textAlignment w:val="center"/>
              <w:rPr>
                <w:rFonts w:cs="Times New Roman"/>
                <w:highlight w:val="yellow"/>
              </w:rPr>
            </w:pPr>
            <w:r>
              <w:rPr>
                <w:rFonts w:cs="Times New Roman"/>
                <w:color w:val="000000"/>
              </w:rPr>
              <w:t>还款计划</w:t>
            </w:r>
          </w:p>
        </w:tc>
      </w:tr>
      <w:tr w14:paraId="04D6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1366" w:type="pct"/>
          </w:tcPr>
          <w:p w14:paraId="7ED03D95">
            <w:pPr>
              <w:textAlignment w:val="top"/>
            </w:pPr>
            <w:r>
              <w:rPr>
                <w:rFonts w:cs="Times New Roman"/>
                <w:color w:val="000000"/>
              </w:rPr>
              <w:t>西安长刚置业有限责任公司</w:t>
            </w:r>
          </w:p>
        </w:tc>
        <w:tc>
          <w:tcPr>
            <w:tcW w:w="732" w:type="pct"/>
            <w:vAlign w:val="center"/>
          </w:tcPr>
          <w:p w14:paraId="49743A89">
            <w:pPr>
              <w:jc w:val="right"/>
              <w:textAlignment w:val="center"/>
              <w:rPr>
                <w:rFonts w:cs="Times New Roman"/>
              </w:rPr>
            </w:pPr>
            <w:r>
              <w:rPr>
                <w:rFonts w:cs="Times New Roman"/>
                <w:color w:val="000000"/>
              </w:rPr>
              <w:t>5,910,000.00</w:t>
            </w:r>
          </w:p>
        </w:tc>
        <w:tc>
          <w:tcPr>
            <w:tcW w:w="940" w:type="pct"/>
            <w:vAlign w:val="center"/>
          </w:tcPr>
          <w:p w14:paraId="64C4D1D3">
            <w:pPr>
              <w:jc w:val="right"/>
              <w:textAlignment w:val="center"/>
              <w:rPr>
                <w:rFonts w:cs="Times New Roman"/>
              </w:rPr>
            </w:pPr>
            <w:r>
              <w:rPr>
                <w:rFonts w:cs="Times New Roman"/>
                <w:color w:val="000000"/>
              </w:rPr>
              <w:t>5,910,000.00</w:t>
            </w:r>
          </w:p>
        </w:tc>
        <w:tc>
          <w:tcPr>
            <w:tcW w:w="939" w:type="pct"/>
            <w:vAlign w:val="center"/>
          </w:tcPr>
          <w:p w14:paraId="49E8D32C">
            <w:pPr>
              <w:jc w:val="right"/>
              <w:textAlignment w:val="center"/>
              <w:rPr>
                <w:rFonts w:cs="Times New Roman"/>
              </w:rPr>
            </w:pPr>
            <w:r>
              <w:rPr>
                <w:rFonts w:cs="Times New Roman"/>
                <w:color w:val="000000"/>
              </w:rPr>
              <w:t>100.00</w:t>
            </w:r>
          </w:p>
        </w:tc>
        <w:tc>
          <w:tcPr>
            <w:tcW w:w="1022" w:type="pct"/>
            <w:vAlign w:val="center"/>
          </w:tcPr>
          <w:p w14:paraId="0734C429">
            <w:pPr>
              <w:jc w:val="center"/>
              <w:textAlignment w:val="center"/>
              <w:rPr>
                <w:rFonts w:cs="Times New Roman"/>
                <w:highlight w:val="yellow"/>
              </w:rPr>
            </w:pPr>
            <w:r>
              <w:rPr>
                <w:rFonts w:cs="Times New Roman"/>
                <w:color w:val="000000"/>
              </w:rPr>
              <w:t>无可执行财产</w:t>
            </w:r>
          </w:p>
        </w:tc>
      </w:tr>
      <w:tr w14:paraId="632C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 w:type="pct"/>
            <w:vAlign w:val="center"/>
          </w:tcPr>
          <w:p w14:paraId="2C83EA9E">
            <w:pPr>
              <w:jc w:val="center"/>
              <w:rPr>
                <w:color w:val="000000" w:themeColor="text1"/>
                <w14:textFill>
                  <w14:solidFill>
                    <w14:schemeClr w14:val="tx1"/>
                  </w14:solidFill>
                </w14:textFill>
              </w:rPr>
            </w:pPr>
            <w:r>
              <w:rPr>
                <w:rFonts w:hint="eastAsia"/>
                <w:color w:val="000000"/>
              </w:rPr>
              <w:t>合计</w:t>
            </w:r>
          </w:p>
        </w:tc>
        <w:tc>
          <w:tcPr>
            <w:tcW w:w="732" w:type="pct"/>
            <w:vAlign w:val="center"/>
          </w:tcPr>
          <w:p w14:paraId="3F546C30">
            <w:pPr>
              <w:jc w:val="right"/>
              <w:textAlignment w:val="center"/>
              <w:rPr>
                <w:rFonts w:cs="Times New Roman"/>
              </w:rPr>
            </w:pPr>
            <w:r>
              <w:rPr>
                <w:rFonts w:cs="Times New Roman"/>
                <w:color w:val="000000"/>
              </w:rPr>
              <w:t>744,441,774.63</w:t>
            </w:r>
          </w:p>
        </w:tc>
        <w:tc>
          <w:tcPr>
            <w:tcW w:w="940" w:type="pct"/>
            <w:vAlign w:val="center"/>
          </w:tcPr>
          <w:p w14:paraId="2720411A">
            <w:pPr>
              <w:jc w:val="right"/>
              <w:textAlignment w:val="center"/>
              <w:rPr>
                <w:rFonts w:cs="Times New Roman"/>
              </w:rPr>
            </w:pPr>
            <w:r>
              <w:rPr>
                <w:rFonts w:cs="Times New Roman"/>
                <w:color w:val="000000"/>
              </w:rPr>
              <w:t>77,036,686.49</w:t>
            </w:r>
          </w:p>
        </w:tc>
        <w:tc>
          <w:tcPr>
            <w:tcW w:w="939" w:type="pct"/>
            <w:vAlign w:val="center"/>
          </w:tcPr>
          <w:p w14:paraId="297B9EA6">
            <w:pPr>
              <w:jc w:val="right"/>
              <w:textAlignment w:val="center"/>
              <w:rPr>
                <w:rFonts w:cs="Times New Roman"/>
              </w:rPr>
            </w:pPr>
            <w:r>
              <w:rPr>
                <w:rFonts w:cs="Times New Roman"/>
                <w:color w:val="000000"/>
              </w:rPr>
              <w:t>10.35</w:t>
            </w:r>
          </w:p>
        </w:tc>
        <w:tc>
          <w:tcPr>
            <w:tcW w:w="1022" w:type="pct"/>
            <w:vAlign w:val="center"/>
          </w:tcPr>
          <w:p w14:paraId="307AA776">
            <w:pPr>
              <w:jc w:val="center"/>
              <w:rPr>
                <w:rFonts w:cs="Times New Roman"/>
                <w:bCs w:val="0"/>
                <w:color w:val="000000" w:themeColor="text1"/>
                <w:szCs w:val="22"/>
                <w14:textFill>
                  <w14:solidFill>
                    <w14:schemeClr w14:val="tx1"/>
                  </w14:solidFill>
                </w14:textFill>
              </w:rPr>
            </w:pPr>
            <w:r>
              <w:rPr>
                <w:rFonts w:cs="Times New Roman"/>
                <w:color w:val="000000"/>
              </w:rPr>
              <w:t>/</w:t>
            </w:r>
          </w:p>
        </w:tc>
      </w:tr>
    </w:tbl>
    <w:p w14:paraId="15A6B5C6">
      <w:pPr>
        <w:rPr>
          <w:color w:val="000000" w:themeColor="text1"/>
          <w14:textFill>
            <w14:solidFill>
              <w14:schemeClr w14:val="tx1"/>
            </w14:solidFill>
          </w14:textFill>
        </w:rPr>
      </w:pPr>
    </w:p>
    <w:p w14:paraId="700901EC">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532014e1f5ab4f9da72dafc4dafe0723"/>
        <w:id w:val="147465692"/>
        <w:placeholder>
          <w:docPart w:val="GBC22222222222222222222222222222"/>
        </w:placeholder>
      </w:sdtPr>
      <w:sdtEndPr>
        <w:rPr>
          <w:color w:val="000000" w:themeColor="text1"/>
          <w14:textFill>
            <w14:solidFill>
              <w14:schemeClr w14:val="tx1"/>
            </w14:solidFill>
          </w14:textFill>
        </w:rPr>
      </w:sdtEndPr>
      <w:sdtContent>
        <w:p w14:paraId="5149428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9D45925">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61EEC0B1">
      <w:pPr>
        <w:rPr>
          <w:color w:val="000000" w:themeColor="text1"/>
          <w14:textFill>
            <w14:solidFill>
              <w14:schemeClr w14:val="tx1"/>
            </w14:solidFill>
          </w14:textFill>
        </w:rPr>
      </w:pPr>
    </w:p>
    <w:p w14:paraId="327092F6">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555a40ceb7d348a0a16b652ac8e1178a"/>
        <w:id w:val="147451815"/>
        <w:lock w:val="contentLocked"/>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253AE5AF">
          <w:pPr>
            <w:rPr>
              <w:rFonts w:ascii="Calibri" w:hAnsi="Calibri" w:cs="Times New Roman"/>
              <w:bCs w:val="0"/>
              <w:color w:val="000000" w:themeColor="text1"/>
              <w:szCs w:val="22"/>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46A600DF">
      <w:pPr>
        <w:rPr>
          <w:rFonts w:ascii="Calibri" w:hAnsi="Calibri" w:cs="Times New Roman"/>
          <w:bCs w:val="0"/>
          <w:color w:val="000000" w:themeColor="text1"/>
          <w:szCs w:val="22"/>
          <w14:textFill>
            <w14:solidFill>
              <w14:schemeClr w14:val="tx1"/>
            </w14:solidFill>
          </w14:textFill>
        </w:rPr>
      </w:pPr>
      <w:r>
        <w:rPr>
          <w:rFonts w:hint="eastAsia"/>
          <w:color w:val="000000" w:themeColor="text1"/>
          <w14:textFill>
            <w14:solidFill>
              <w14:schemeClr w14:val="tx1"/>
            </w14:solidFill>
          </w14:textFill>
        </w:rPr>
        <w:t>组合计提项目</w:t>
      </w:r>
      <w:r>
        <w:rPr>
          <w:rFonts w:hint="eastAsia" w:ascii="Calibri" w:hAnsi="Calibri" w:cs="Times New Roman"/>
          <w:color w:val="000000" w:themeColor="text1"/>
          <w:szCs w:val="22"/>
          <w14:textFill>
            <w14:solidFill>
              <w14:schemeClr w14:val="tx1"/>
            </w14:solidFill>
          </w14:textFill>
        </w:rPr>
        <w:t>：</w:t>
      </w:r>
      <w:sdt>
        <w:sdtPr>
          <w:rPr>
            <w:rFonts w:hint="eastAsia" w:ascii="Calibri" w:hAnsi="Calibri" w:cs="Times New Roman"/>
            <w:bCs w:val="0"/>
            <w:color w:val="000000" w:themeColor="text1"/>
            <w:szCs w:val="22"/>
            <w14:textFill>
              <w14:solidFill>
                <w14:schemeClr w14:val="tx1"/>
              </w14:solidFill>
            </w14:textFill>
          </w:rPr>
          <w:alias w:val="按组合计提坏账准备的明细-类别"/>
          <w:tag w:val="_GBC_12752c8a967b477c9d356eea2350bc61"/>
          <w:id w:val="147464254"/>
          <w:placeholder>
            <w:docPart w:val="GBC22222222222222222222222222222"/>
          </w:placeholder>
          <w:comboBox>
            <w:listItem w:displayText="账龄组合" w:value="账龄组合"/>
          </w:comboBox>
        </w:sdtPr>
        <w:sdtEndPr>
          <w:rPr>
            <w:rFonts w:hint="eastAsia" w:ascii="Calibri" w:hAnsi="Calibri" w:cs="Times New Roman"/>
            <w:bCs w:val="0"/>
            <w:color w:val="000000" w:themeColor="text1"/>
            <w:szCs w:val="22"/>
            <w14:textFill>
              <w14:solidFill>
                <w14:schemeClr w14:val="tx1"/>
              </w14:solidFill>
            </w14:textFill>
          </w:rPr>
        </w:sdtEndPr>
        <w:sdtContent>
          <w:r>
            <w:rPr>
              <w:rFonts w:hint="eastAsia" w:ascii="Calibri" w:hAnsi="Calibri" w:cs="Times New Roman"/>
              <w:bCs w:val="0"/>
              <w:color w:val="000000" w:themeColor="text1"/>
              <w:szCs w:val="22"/>
              <w14:textFill>
                <w14:solidFill>
                  <w14:schemeClr w14:val="tx1"/>
                </w14:solidFill>
              </w14:textFill>
            </w:rPr>
            <w:t>账龄组合</w:t>
          </w:r>
        </w:sdtContent>
      </w:sdt>
    </w:p>
    <w:p w14:paraId="367617C3">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详细名称"/>
          <w:tag w:val="_GBC_df8e1703068e4d9aafeff0007af21ec6"/>
          <w:id w:val="14748122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详细名称"/>
          <w:tag w:val="_GBC_9bd9f0818aee4f0986d1744f0e1addbb"/>
          <w:id w:val="1474697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color w:val="000000" w:themeColor="text1"/>
          <w14:textFill>
            <w14:solidFill>
              <w14:schemeClr w14:val="tx1"/>
            </w14:solidFill>
          </w14:textFill>
        </w:rPr>
        <w:t xml:space="preserve"> </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309"/>
        <w:gridCol w:w="2351"/>
        <w:gridCol w:w="2293"/>
      </w:tblGrid>
      <w:tr w14:paraId="3925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84d1156c7f04ee7ab722437b985e746"/>
            <w:id w:val="147451018"/>
          </w:sdtPr>
          <w:sdtContent>
            <w:tc>
              <w:tcPr>
                <w:tcW w:w="1158" w:type="pct"/>
                <w:vMerge w:val="restart"/>
                <w:vAlign w:val="center"/>
              </w:tcPr>
              <w:p w14:paraId="1ABB20B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445ed30ffda24bb9949937dfb76a7b9c"/>
            <w:id w:val="147455447"/>
          </w:sdtPr>
          <w:sdtContent>
            <w:tc>
              <w:tcPr>
                <w:tcW w:w="3842" w:type="pct"/>
                <w:gridSpan w:val="3"/>
                <w:vAlign w:val="center"/>
              </w:tcPr>
              <w:p w14:paraId="42DCCD8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1A03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220EF15B">
            <w:pPr>
              <w:jc w:val="center"/>
              <w:rPr>
                <w:color w:val="000000" w:themeColor="text1"/>
                <w14:textFill>
                  <w14:solidFill>
                    <w14:schemeClr w14:val="tx1"/>
                  </w14:solidFill>
                </w14:textFill>
              </w:rPr>
            </w:pPr>
          </w:p>
        </w:tc>
        <w:sdt>
          <w:sdtPr>
            <w:tag w:val="_PLD_34d445f177f144598c531e2574542913"/>
            <w:id w:val="147461044"/>
          </w:sdtPr>
          <w:sdtContent>
            <w:tc>
              <w:tcPr>
                <w:tcW w:w="1276" w:type="pct"/>
                <w:vAlign w:val="center"/>
              </w:tcPr>
              <w:p w14:paraId="3713EF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cd2c1e936b746fda5ab80b66dcb0898"/>
            <w:id w:val="147451875"/>
          </w:sdtPr>
          <w:sdtContent>
            <w:tc>
              <w:tcPr>
                <w:tcW w:w="1299" w:type="pct"/>
                <w:vAlign w:val="center"/>
              </w:tcPr>
              <w:p w14:paraId="07886D5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8e5a56f26c1d4a0da7f5a7d321250ff3"/>
            <w:id w:val="147476692"/>
          </w:sdtPr>
          <w:sdtEndPr>
            <w:rPr>
              <w:rFonts w:hint="eastAsia"/>
            </w:rPr>
          </w:sdtEndPr>
          <w:sdtContent>
            <w:tc>
              <w:tcPr>
                <w:tcW w:w="1267" w:type="pct"/>
                <w:vAlign w:val="center"/>
              </w:tcPr>
              <w:p w14:paraId="412F0A15">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14:paraId="0175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56730ADA">
            <w:pPr>
              <w:textAlignment w:val="top"/>
            </w:pPr>
            <w:r>
              <w:rPr>
                <w:rFonts w:cs="Times New Roman"/>
                <w:color w:val="000000"/>
                <w:lang w:bidi="ar"/>
              </w:rPr>
              <w:t>账龄组合</w:t>
            </w:r>
          </w:p>
        </w:tc>
        <w:tc>
          <w:tcPr>
            <w:tcW w:w="1276" w:type="pct"/>
            <w:vAlign w:val="center"/>
          </w:tcPr>
          <w:p w14:paraId="411C697A">
            <w:pPr>
              <w:jc w:val="right"/>
              <w:textAlignment w:val="center"/>
              <w:rPr>
                <w:rFonts w:cs="Times New Roman"/>
              </w:rPr>
            </w:pPr>
            <w:r>
              <w:rPr>
                <w:rFonts w:cs="Times New Roman"/>
                <w:color w:val="000000"/>
              </w:rPr>
              <w:t>134,996,501.28</w:t>
            </w:r>
          </w:p>
        </w:tc>
        <w:tc>
          <w:tcPr>
            <w:tcW w:w="1299" w:type="pct"/>
            <w:vAlign w:val="center"/>
          </w:tcPr>
          <w:p w14:paraId="4B22C833">
            <w:pPr>
              <w:jc w:val="right"/>
              <w:textAlignment w:val="center"/>
              <w:rPr>
                <w:rFonts w:cs="Times New Roman"/>
              </w:rPr>
            </w:pPr>
            <w:r>
              <w:rPr>
                <w:rFonts w:cs="Times New Roman"/>
                <w:color w:val="000000"/>
              </w:rPr>
              <w:t>80,623,665.27</w:t>
            </w:r>
          </w:p>
        </w:tc>
        <w:tc>
          <w:tcPr>
            <w:tcW w:w="1267" w:type="pct"/>
            <w:vAlign w:val="center"/>
          </w:tcPr>
          <w:p w14:paraId="02FF06D7">
            <w:pPr>
              <w:jc w:val="right"/>
              <w:textAlignment w:val="center"/>
              <w:rPr>
                <w:rFonts w:cs="Times New Roman"/>
              </w:rPr>
            </w:pPr>
            <w:r>
              <w:rPr>
                <w:rFonts w:cs="Times New Roman"/>
                <w:color w:val="000000"/>
              </w:rPr>
              <w:t>59.72</w:t>
            </w:r>
          </w:p>
        </w:tc>
      </w:tr>
      <w:tr w14:paraId="10D8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14:paraId="4BA896D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76" w:type="pct"/>
            <w:vAlign w:val="center"/>
          </w:tcPr>
          <w:p w14:paraId="75A067C7">
            <w:pPr>
              <w:jc w:val="right"/>
              <w:textAlignment w:val="center"/>
              <w:rPr>
                <w:rFonts w:cs="Times New Roman"/>
              </w:rPr>
            </w:pPr>
            <w:r>
              <w:rPr>
                <w:rFonts w:cs="Times New Roman"/>
                <w:color w:val="000000"/>
              </w:rPr>
              <w:t>134,996,501.28</w:t>
            </w:r>
          </w:p>
        </w:tc>
        <w:tc>
          <w:tcPr>
            <w:tcW w:w="1299" w:type="pct"/>
            <w:vAlign w:val="center"/>
          </w:tcPr>
          <w:p w14:paraId="3FC07DA6">
            <w:pPr>
              <w:jc w:val="right"/>
              <w:textAlignment w:val="center"/>
              <w:rPr>
                <w:rFonts w:cs="Times New Roman"/>
              </w:rPr>
            </w:pPr>
            <w:r>
              <w:rPr>
                <w:rFonts w:cs="Times New Roman"/>
                <w:color w:val="000000"/>
              </w:rPr>
              <w:t>80,623,665.27</w:t>
            </w:r>
          </w:p>
        </w:tc>
        <w:tc>
          <w:tcPr>
            <w:tcW w:w="1267" w:type="pct"/>
            <w:vAlign w:val="center"/>
          </w:tcPr>
          <w:p w14:paraId="3B6B0F93">
            <w:pPr>
              <w:jc w:val="right"/>
              <w:textAlignment w:val="center"/>
              <w:rPr>
                <w:rFonts w:cs="Times New Roman"/>
              </w:rPr>
            </w:pPr>
            <w:r>
              <w:rPr>
                <w:rFonts w:cs="Times New Roman"/>
                <w:color w:val="000000"/>
              </w:rPr>
              <w:t>59.72</w:t>
            </w:r>
          </w:p>
        </w:tc>
      </w:tr>
    </w:tbl>
    <w:p w14:paraId="7533D886">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的说明[双击切换]"/>
        <w:tag w:val="_GBC_aabf124bd0174536b5fe13ea3272172b"/>
        <w:id w:val="147464466"/>
        <w:placeholder>
          <w:docPart w:val="GBC22222222222222222222222222222"/>
        </w:placeholder>
      </w:sdtPr>
      <w:sdtEndPr>
        <w:rPr>
          <w:color w:val="000000" w:themeColor="text1"/>
          <w14:textFill>
            <w14:solidFill>
              <w14:schemeClr w14:val="tx1"/>
            </w14:solidFill>
          </w14:textFill>
        </w:rPr>
      </w:sdtEndPr>
      <w:sdtContent>
        <w:p w14:paraId="3D45025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59F7C0">
      <w:pPr>
        <w:rPr>
          <w:rFonts w:ascii="Calibri" w:hAnsi="Calibri" w:cs="Times New Roman"/>
          <w:b/>
          <w:bCs w:val="0"/>
          <w:color w:val="000000" w:themeColor="text1"/>
          <w:szCs w:val="22"/>
          <w14:textFill>
            <w14:solidFill>
              <w14:schemeClr w14:val="tx1"/>
            </w14:solidFill>
          </w14:textFill>
        </w:rPr>
      </w:pPr>
    </w:p>
    <w:bookmarkEnd w:id="287"/>
    <w:bookmarkEnd w:id="288"/>
    <w:p w14:paraId="32098D52">
      <w:pPr>
        <w:rPr>
          <w:color w:val="000000" w:themeColor="text1"/>
          <w14:textFill>
            <w14:solidFill>
              <w14:schemeClr w14:val="tx1"/>
            </w14:solidFill>
          </w14:textFill>
        </w:rPr>
      </w:pPr>
      <w:bookmarkStart w:id="289" w:name="_Hlk10471933"/>
      <w:r>
        <w:rPr>
          <w:rFonts w:hint="eastAsia"/>
          <w:color w:val="000000" w:themeColor="text1"/>
          <w14:textFill>
            <w14:solidFill>
              <w14:schemeClr w14:val="tx1"/>
            </w14:solidFill>
          </w14:textFill>
        </w:rPr>
        <w:t>按预期信用损失一般模型计提坏账准备</w:t>
      </w:r>
      <w:r>
        <w:rPr>
          <w:color w:val="000000" w:themeColor="text1"/>
          <w14:textFill>
            <w14:solidFill>
              <w14:schemeClr w14:val="tx1"/>
            </w14:solidFill>
          </w14:textFill>
        </w:rPr>
        <w:t xml:space="preserve"> </w:t>
      </w:r>
    </w:p>
    <w:sdt>
      <w:sdtPr>
        <w:rPr>
          <w:color w:val="000000" w:themeColor="text1"/>
          <w14:textFill>
            <w14:solidFill>
              <w14:schemeClr w14:val="tx1"/>
            </w14:solidFill>
          </w14:textFill>
        </w:rPr>
        <w:alias w:val="是否适用：长期应收款坏账准备调节表[双击切换]"/>
        <w:tag w:val="_GBC_f7e4bed7dbb84fbcb52f2226cf465bb3"/>
        <w:id w:val="147463287"/>
        <w:placeholder>
          <w:docPart w:val="GBC22222222222222222222222222222"/>
        </w:placeholder>
      </w:sdtPr>
      <w:sdtEndPr>
        <w:rPr>
          <w:color w:val="000000" w:themeColor="text1"/>
          <w14:textFill>
            <w14:solidFill>
              <w14:schemeClr w14:val="tx1"/>
            </w14:solidFill>
          </w14:textFill>
        </w:rPr>
      </w:sdtEndPr>
      <w:sdtContent>
        <w:p w14:paraId="520AB53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4D8D1E3">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长期应收款坏账准备调节表"/>
          <w:tag w:val="_GBC_2bbd87eab11a481f80927dfd7342e232"/>
          <w:id w:val="1474780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长期应收款坏账准备调节表"/>
          <w:tag w:val="_GBC_a6d3fb90964748f494536b204e5bab68"/>
          <w:id w:val="1474616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7"/>
        <w:gridCol w:w="1552"/>
        <w:gridCol w:w="1729"/>
        <w:gridCol w:w="1984"/>
        <w:gridCol w:w="1707"/>
      </w:tblGrid>
      <w:tr w14:paraId="798F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94e5bbfd4534d8cbbae3a90b20c447c"/>
            <w:id w:val="147456161"/>
          </w:sdtPr>
          <w:sdtContent>
            <w:tc>
              <w:tcPr>
                <w:tcW w:w="1147" w:type="pct"/>
                <w:vMerge w:val="restart"/>
                <w:vAlign w:val="center"/>
              </w:tcPr>
              <w:p w14:paraId="783E5C0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w:t>
                </w:r>
                <w:r>
                  <w:rPr>
                    <w:color w:val="000000" w:themeColor="text1"/>
                    <w14:textFill>
                      <w14:solidFill>
                        <w14:schemeClr w14:val="tx1"/>
                      </w14:solidFill>
                    </w14:textFill>
                  </w:rPr>
                  <w:t>准备</w:t>
                </w:r>
              </w:p>
            </w:tc>
          </w:sdtContent>
        </w:sdt>
        <w:sdt>
          <w:sdtPr>
            <w:tag w:val="_PLD_ace79c3416eb44e7b3a74c621384a23c"/>
            <w:id w:val="147468071"/>
          </w:sdtPr>
          <w:sdtContent>
            <w:tc>
              <w:tcPr>
                <w:tcW w:w="857" w:type="pct"/>
                <w:vAlign w:val="center"/>
              </w:tcPr>
              <w:p w14:paraId="3BF49265">
                <w:pPr>
                  <w:jc w:val="center"/>
                  <w:rPr>
                    <w:color w:val="000000" w:themeColor="text1"/>
                    <w14:textFill>
                      <w14:solidFill>
                        <w14:schemeClr w14:val="tx1"/>
                      </w14:solidFill>
                    </w14:textFill>
                  </w:rPr>
                </w:pPr>
                <w:r>
                  <w:rPr>
                    <w:color w:val="000000" w:themeColor="text1"/>
                    <w14:textFill>
                      <w14:solidFill>
                        <w14:schemeClr w14:val="tx1"/>
                      </w14:solidFill>
                    </w14:textFill>
                  </w:rPr>
                  <w:t>第一阶段</w:t>
                </w:r>
              </w:p>
            </w:tc>
          </w:sdtContent>
        </w:sdt>
        <w:sdt>
          <w:sdtPr>
            <w:tag w:val="_PLD_a72e5fdd446746579a277a4e75ad7bab"/>
            <w:id w:val="147475864"/>
          </w:sdtPr>
          <w:sdtContent>
            <w:tc>
              <w:tcPr>
                <w:tcW w:w="955" w:type="pct"/>
                <w:vAlign w:val="center"/>
              </w:tcPr>
              <w:p w14:paraId="72B21485">
                <w:pPr>
                  <w:jc w:val="center"/>
                  <w:rPr>
                    <w:color w:val="000000" w:themeColor="text1"/>
                    <w14:textFill>
                      <w14:solidFill>
                        <w14:schemeClr w14:val="tx1"/>
                      </w14:solidFill>
                    </w14:textFill>
                  </w:rPr>
                </w:pPr>
                <w:r>
                  <w:rPr>
                    <w:color w:val="000000" w:themeColor="text1"/>
                    <w14:textFill>
                      <w14:solidFill>
                        <w14:schemeClr w14:val="tx1"/>
                      </w14:solidFill>
                    </w14:textFill>
                  </w:rPr>
                  <w:t>第二阶段</w:t>
                </w:r>
              </w:p>
            </w:tc>
          </w:sdtContent>
        </w:sdt>
        <w:sdt>
          <w:sdtPr>
            <w:tag w:val="_PLD_a754bd1abe98492398b5c00c97a6f42c"/>
            <w:id w:val="147477774"/>
          </w:sdtPr>
          <w:sdtContent>
            <w:tc>
              <w:tcPr>
                <w:tcW w:w="1096" w:type="pct"/>
                <w:vAlign w:val="center"/>
              </w:tcPr>
              <w:p w14:paraId="30915E1F">
                <w:pPr>
                  <w:jc w:val="center"/>
                  <w:rPr>
                    <w:color w:val="000000" w:themeColor="text1"/>
                    <w14:textFill>
                      <w14:solidFill>
                        <w14:schemeClr w14:val="tx1"/>
                      </w14:solidFill>
                    </w14:textFill>
                  </w:rPr>
                </w:pPr>
                <w:r>
                  <w:rPr>
                    <w:color w:val="000000" w:themeColor="text1"/>
                    <w14:textFill>
                      <w14:solidFill>
                        <w14:schemeClr w14:val="tx1"/>
                      </w14:solidFill>
                    </w14:textFill>
                  </w:rPr>
                  <w:t>第三阶段</w:t>
                </w:r>
              </w:p>
            </w:tc>
          </w:sdtContent>
        </w:sdt>
        <w:sdt>
          <w:sdtPr>
            <w:tag w:val="_PLD_23f4843cece44eacbfbcf493f51395f4"/>
            <w:id w:val="147469277"/>
          </w:sdtPr>
          <w:sdtContent>
            <w:tc>
              <w:tcPr>
                <w:tcW w:w="943" w:type="pct"/>
                <w:vMerge w:val="restart"/>
                <w:vAlign w:val="center"/>
              </w:tcPr>
              <w:p w14:paraId="7ACF75BB">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14:paraId="52ED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Merge w:val="continue"/>
            <w:vAlign w:val="center"/>
          </w:tcPr>
          <w:p w14:paraId="52A12A35">
            <w:pPr>
              <w:pStyle w:val="69"/>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p>
        </w:tc>
        <w:sdt>
          <w:sdtPr>
            <w:tag w:val="_PLD_0aa7c2cede1449e0abbc75ce6ccb5122"/>
            <w:id w:val="147476508"/>
          </w:sdtPr>
          <w:sdtContent>
            <w:tc>
              <w:tcPr>
                <w:tcW w:w="857" w:type="pct"/>
                <w:vAlign w:val="center"/>
              </w:tcPr>
              <w:p w14:paraId="24CEA287">
                <w:pPr>
                  <w:jc w:val="center"/>
                  <w:rPr>
                    <w:color w:val="000000" w:themeColor="text1"/>
                    <w14:textFill>
                      <w14:solidFill>
                        <w14:schemeClr w14:val="tx1"/>
                      </w14:solidFill>
                    </w14:textFill>
                  </w:rPr>
                </w:pPr>
                <w:r>
                  <w:rPr>
                    <w:color w:val="000000" w:themeColor="text1"/>
                    <w14:textFill>
                      <w14:solidFill>
                        <w14:schemeClr w14:val="tx1"/>
                      </w14:solidFill>
                    </w14:textFill>
                  </w:rPr>
                  <w:t>未来12个月预期信用损失</w:t>
                </w:r>
              </w:p>
            </w:tc>
          </w:sdtContent>
        </w:sdt>
        <w:sdt>
          <w:sdtPr>
            <w:tag w:val="_PLD_ac35bfd34bb64348af71d5e39e31efa9"/>
            <w:id w:val="147457667"/>
          </w:sdtPr>
          <w:sdtContent>
            <w:tc>
              <w:tcPr>
                <w:tcW w:w="955" w:type="pct"/>
                <w:vAlign w:val="center"/>
              </w:tcPr>
              <w:p w14:paraId="60E769A6">
                <w:pPr>
                  <w:jc w:val="center"/>
                  <w:rPr>
                    <w:color w:val="000000" w:themeColor="text1"/>
                    <w14:textFill>
                      <w14:solidFill>
                        <w14:schemeClr w14:val="tx1"/>
                      </w14:solidFill>
                    </w14:textFill>
                  </w:rPr>
                </w:pPr>
                <w:r>
                  <w:rPr>
                    <w:color w:val="000000" w:themeColor="text1"/>
                    <w14:textFill>
                      <w14:solidFill>
                        <w14:schemeClr w14:val="tx1"/>
                      </w14:solidFill>
                    </w14:textFill>
                  </w:rPr>
                  <w:t>整个存续期预期信用损失(未发生信用减值)</w:t>
                </w:r>
              </w:p>
            </w:tc>
          </w:sdtContent>
        </w:sdt>
        <w:sdt>
          <w:sdtPr>
            <w:tag w:val="_PLD_a6de648cafb14afea0a52db889b45bef"/>
            <w:id w:val="147481149"/>
          </w:sdtPr>
          <w:sdtContent>
            <w:tc>
              <w:tcPr>
                <w:tcW w:w="1096" w:type="pct"/>
                <w:vAlign w:val="center"/>
              </w:tcPr>
              <w:p w14:paraId="1EEC011F">
                <w:pPr>
                  <w:jc w:val="center"/>
                  <w:rPr>
                    <w:color w:val="000000" w:themeColor="text1"/>
                    <w14:textFill>
                      <w14:solidFill>
                        <w14:schemeClr w14:val="tx1"/>
                      </w14:solidFill>
                    </w14:textFill>
                  </w:rPr>
                </w:pPr>
                <w:r>
                  <w:rPr>
                    <w:color w:val="000000" w:themeColor="text1"/>
                    <w14:textFill>
                      <w14:solidFill>
                        <w14:schemeClr w14:val="tx1"/>
                      </w14:solidFill>
                    </w14:textFill>
                  </w:rPr>
                  <w:t>整个存续期预期信用损失(已发生信用减值)</w:t>
                </w:r>
              </w:p>
            </w:tc>
          </w:sdtContent>
        </w:sdt>
        <w:tc>
          <w:tcPr>
            <w:tcW w:w="943" w:type="pct"/>
            <w:vMerge w:val="continue"/>
          </w:tcPr>
          <w:p w14:paraId="299716A1">
            <w:pPr>
              <w:jc w:val="center"/>
              <w:rPr>
                <w:color w:val="000000" w:themeColor="text1"/>
                <w14:textFill>
                  <w14:solidFill>
                    <w14:schemeClr w14:val="tx1"/>
                  </w14:solidFill>
                </w14:textFill>
              </w:rPr>
            </w:pPr>
          </w:p>
        </w:tc>
      </w:tr>
      <w:tr w14:paraId="56C9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7E2EF7FF">
            <w:pPr>
              <w:pStyle w:val="69"/>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2025年</w:t>
            </w:r>
            <w:r>
              <w:rPr>
                <w:rFonts w:hint="eastAsia" w:ascii="宋体" w:hAnsi="宋体" w:eastAsia="宋体" w:cs="宋体"/>
                <w:color w:val="000000" w:themeColor="text1"/>
                <w:sz w:val="21"/>
                <w:szCs w:val="21"/>
                <w:lang w:eastAsia="zh-CN"/>
                <w14:textFill>
                  <w14:solidFill>
                    <w14:schemeClr w14:val="tx1"/>
                  </w14:solidFill>
                </w14:textFill>
              </w:rPr>
              <w:t>1月1日余额</w:t>
            </w:r>
          </w:p>
        </w:tc>
        <w:tc>
          <w:tcPr>
            <w:tcW w:w="857" w:type="pct"/>
            <w:vAlign w:val="center"/>
          </w:tcPr>
          <w:p w14:paraId="44A229B9">
            <w:pPr>
              <w:jc w:val="right"/>
              <w:textAlignment w:val="center"/>
              <w:rPr>
                <w:rFonts w:cs="Times New Roman"/>
              </w:rPr>
            </w:pPr>
            <w:r>
              <w:rPr>
                <w:rFonts w:cs="Times New Roman"/>
                <w:color w:val="000000"/>
              </w:rPr>
              <w:t>77,339,381.98</w:t>
            </w:r>
          </w:p>
        </w:tc>
        <w:tc>
          <w:tcPr>
            <w:tcW w:w="955" w:type="pct"/>
            <w:vAlign w:val="center"/>
          </w:tcPr>
          <w:p w14:paraId="4E7F0BA3">
            <w:pPr>
              <w:jc w:val="right"/>
              <w:rPr>
                <w:rFonts w:cs="Times New Roman"/>
              </w:rPr>
            </w:pPr>
          </w:p>
        </w:tc>
        <w:tc>
          <w:tcPr>
            <w:tcW w:w="1096" w:type="pct"/>
            <w:vAlign w:val="center"/>
          </w:tcPr>
          <w:p w14:paraId="7FD33D48">
            <w:pPr>
              <w:jc w:val="right"/>
              <w:textAlignment w:val="center"/>
              <w:rPr>
                <w:rFonts w:cs="Times New Roman"/>
              </w:rPr>
            </w:pPr>
            <w:r>
              <w:rPr>
                <w:rFonts w:cs="Times New Roman"/>
                <w:color w:val="000000"/>
              </w:rPr>
              <w:t>77,036,686.49</w:t>
            </w:r>
          </w:p>
        </w:tc>
        <w:tc>
          <w:tcPr>
            <w:tcW w:w="943" w:type="pct"/>
            <w:vAlign w:val="center"/>
          </w:tcPr>
          <w:p w14:paraId="5412F58A">
            <w:pPr>
              <w:jc w:val="right"/>
              <w:textAlignment w:val="center"/>
              <w:rPr>
                <w:rFonts w:cs="Times New Roman"/>
              </w:rPr>
            </w:pPr>
            <w:r>
              <w:rPr>
                <w:rFonts w:cs="Times New Roman"/>
                <w:color w:val="000000"/>
              </w:rPr>
              <w:t>154,376,068.47</w:t>
            </w:r>
          </w:p>
        </w:tc>
      </w:tr>
      <w:tr w14:paraId="6C17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1222DCCC">
            <w:pPr>
              <w:pStyle w:val="69"/>
              <w:spacing w:after="0" w:line="240" w:lineRule="auto"/>
              <w:jc w:val="both"/>
              <w:rPr>
                <w:rFonts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tc>
          <w:tcPr>
            <w:tcW w:w="857" w:type="pct"/>
            <w:vAlign w:val="center"/>
          </w:tcPr>
          <w:p w14:paraId="4AF6EEDB">
            <w:pPr>
              <w:jc w:val="right"/>
              <w:textAlignment w:val="center"/>
              <w:rPr>
                <w:rFonts w:cs="Times New Roman"/>
              </w:rPr>
            </w:pPr>
            <w:r>
              <w:rPr>
                <w:rFonts w:cs="Times New Roman"/>
                <w:color w:val="000000"/>
              </w:rPr>
              <w:t>3,284,283.29</w:t>
            </w:r>
          </w:p>
        </w:tc>
        <w:tc>
          <w:tcPr>
            <w:tcW w:w="955" w:type="pct"/>
            <w:vAlign w:val="center"/>
          </w:tcPr>
          <w:p w14:paraId="067CA858">
            <w:pPr>
              <w:jc w:val="right"/>
              <w:rPr>
                <w:rFonts w:cs="Times New Roman"/>
              </w:rPr>
            </w:pPr>
          </w:p>
        </w:tc>
        <w:tc>
          <w:tcPr>
            <w:tcW w:w="1096" w:type="pct"/>
            <w:vAlign w:val="center"/>
          </w:tcPr>
          <w:p w14:paraId="599DAC59">
            <w:pPr>
              <w:jc w:val="right"/>
              <w:rPr>
                <w:rFonts w:cs="Times New Roman"/>
              </w:rPr>
            </w:pPr>
          </w:p>
        </w:tc>
        <w:tc>
          <w:tcPr>
            <w:tcW w:w="943" w:type="pct"/>
            <w:vAlign w:val="center"/>
          </w:tcPr>
          <w:p w14:paraId="326D6CE2">
            <w:pPr>
              <w:jc w:val="right"/>
              <w:textAlignment w:val="center"/>
              <w:rPr>
                <w:rFonts w:cs="Times New Roman"/>
              </w:rPr>
            </w:pPr>
            <w:r>
              <w:rPr>
                <w:rFonts w:cs="Times New Roman"/>
                <w:color w:val="000000"/>
              </w:rPr>
              <w:t>3,284,283.29</w:t>
            </w:r>
          </w:p>
        </w:tc>
      </w:tr>
      <w:tr w14:paraId="0ADB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0ECD6C48">
            <w:pPr>
              <w:pStyle w:val="69"/>
              <w:spacing w:after="0" w:line="240" w:lineRule="auto"/>
              <w:rPr>
                <w:rFonts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2025年6月30日</w:t>
            </w:r>
            <w:r>
              <w:rPr>
                <w:rFonts w:hint="eastAsia" w:ascii="宋体" w:hAnsi="宋体" w:eastAsia="宋体" w:cs="宋体"/>
                <w:color w:val="000000" w:themeColor="text1"/>
                <w:sz w:val="21"/>
                <w:szCs w:val="21"/>
                <w:lang w:eastAsia="zh-CN"/>
                <w14:textFill>
                  <w14:solidFill>
                    <w14:schemeClr w14:val="tx1"/>
                  </w14:solidFill>
                </w14:textFill>
              </w:rPr>
              <w:t>余额</w:t>
            </w:r>
          </w:p>
        </w:tc>
        <w:tc>
          <w:tcPr>
            <w:tcW w:w="857" w:type="pct"/>
            <w:vAlign w:val="center"/>
          </w:tcPr>
          <w:p w14:paraId="391B08DA">
            <w:pPr>
              <w:jc w:val="right"/>
              <w:textAlignment w:val="center"/>
              <w:rPr>
                <w:rFonts w:cs="Times New Roman"/>
              </w:rPr>
            </w:pPr>
            <w:r>
              <w:rPr>
                <w:rFonts w:cs="Times New Roman"/>
                <w:color w:val="000000"/>
              </w:rPr>
              <w:t>80,623,665.27</w:t>
            </w:r>
          </w:p>
        </w:tc>
        <w:tc>
          <w:tcPr>
            <w:tcW w:w="955" w:type="pct"/>
            <w:vAlign w:val="center"/>
          </w:tcPr>
          <w:p w14:paraId="51BD90E5">
            <w:pPr>
              <w:jc w:val="right"/>
              <w:rPr>
                <w:rFonts w:cs="Times New Roman"/>
              </w:rPr>
            </w:pPr>
          </w:p>
        </w:tc>
        <w:tc>
          <w:tcPr>
            <w:tcW w:w="1096" w:type="pct"/>
            <w:vAlign w:val="center"/>
          </w:tcPr>
          <w:p w14:paraId="2B35FF22">
            <w:pPr>
              <w:jc w:val="right"/>
              <w:textAlignment w:val="center"/>
              <w:rPr>
                <w:rFonts w:cs="Times New Roman"/>
              </w:rPr>
            </w:pPr>
            <w:r>
              <w:rPr>
                <w:rFonts w:cs="Times New Roman"/>
                <w:color w:val="000000"/>
              </w:rPr>
              <w:t>77,036,686.49</w:t>
            </w:r>
          </w:p>
        </w:tc>
        <w:tc>
          <w:tcPr>
            <w:tcW w:w="943" w:type="pct"/>
            <w:vAlign w:val="center"/>
          </w:tcPr>
          <w:p w14:paraId="52DE5C9D">
            <w:pPr>
              <w:jc w:val="right"/>
              <w:textAlignment w:val="center"/>
              <w:rPr>
                <w:rFonts w:cs="Times New Roman"/>
              </w:rPr>
            </w:pPr>
            <w:r>
              <w:rPr>
                <w:rFonts w:cs="Times New Roman"/>
                <w:color w:val="000000"/>
              </w:rPr>
              <w:t>157,660,351.76</w:t>
            </w:r>
          </w:p>
        </w:tc>
      </w:tr>
    </w:tbl>
    <w:p w14:paraId="4173278F">
      <w:pPr>
        <w:rPr>
          <w:color w:val="000000" w:themeColor="text1"/>
          <w14:textFill>
            <w14:solidFill>
              <w14:schemeClr w14:val="tx1"/>
            </w14:solidFill>
          </w14:textFill>
        </w:rPr>
      </w:pPr>
    </w:p>
    <w:p w14:paraId="606F3F9A">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长期应收款各阶段划分依据和减值准备计提比例"/>
        <w:tag w:val="_GBC_57b837a8ea804a8b95b55847e9ad20de"/>
        <w:id w:val="147456655"/>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22F6424C">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14:paraId="6248A347">
      <w:pPr>
        <w:rPr>
          <w:color w:val="000000" w:themeColor="text1"/>
          <w14:textFill>
            <w14:solidFill>
              <w14:schemeClr w14:val="tx1"/>
            </w14:solidFill>
          </w14:textFill>
        </w:rPr>
      </w:pPr>
    </w:p>
    <w:p w14:paraId="3D34C951">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对本期发生损失准备变动的长期应收款账面余额显著变动的情况说明：</w:t>
      </w:r>
    </w:p>
    <w:sdt>
      <w:sdtPr>
        <w:rPr>
          <w:color w:val="000000" w:themeColor="text1"/>
          <w14:textFill>
            <w14:solidFill>
              <w14:schemeClr w14:val="tx1"/>
            </w14:solidFill>
          </w14:textFill>
        </w:rPr>
        <w:alias w:val="是否适用：长期应收款本期发生损失准备变动且账面余额显著变动的情况说明[双击切换]"/>
        <w:tag w:val="_GBC_105890c95e234852a3bb3a3f5acf6008"/>
        <w:id w:val="147469864"/>
        <w:placeholder>
          <w:docPart w:val="GBC22222222222222222222222222222"/>
        </w:placeholder>
      </w:sdtPr>
      <w:sdtEndPr>
        <w:rPr>
          <w:color w:val="000000" w:themeColor="text1"/>
          <w14:textFill>
            <w14:solidFill>
              <w14:schemeClr w14:val="tx1"/>
            </w14:solidFill>
          </w14:textFill>
        </w:rPr>
      </w:sdtEndPr>
      <w:sdtContent>
        <w:p w14:paraId="73B33C1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4F3CE48">
      <w:pPr>
        <w:rPr>
          <w:color w:val="000000" w:themeColor="text1"/>
          <w14:textFill>
            <w14:solidFill>
              <w14:schemeClr w14:val="tx1"/>
            </w14:solidFill>
          </w14:textFill>
        </w:rPr>
      </w:pPr>
    </w:p>
    <w:p w14:paraId="5E0F99BC">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长期应收款坏账准备计提金额以及评估金融工具的信用风险显著增加的采用依据[双击切换]"/>
        <w:tag w:val="_GBC_9c13b337c4794abdbfceded7b319c34a"/>
        <w:id w:val="147460225"/>
        <w:placeholder>
          <w:docPart w:val="GBC22222222222222222222222222222"/>
        </w:placeholder>
      </w:sdtPr>
      <w:sdtEndPr>
        <w:rPr>
          <w:color w:val="000000" w:themeColor="text1"/>
          <w14:textFill>
            <w14:solidFill>
              <w14:schemeClr w14:val="tx1"/>
            </w14:solidFill>
          </w14:textFill>
        </w:rPr>
      </w:sdtEndPr>
      <w:sdtContent>
        <w:p w14:paraId="0F98C66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149B23F">
      <w:pPr>
        <w:rPr>
          <w:color w:val="000000" w:themeColor="text1"/>
          <w14:textFill>
            <w14:solidFill>
              <w14:schemeClr w14:val="tx1"/>
            </w14:solidFill>
          </w14:textFill>
        </w:rPr>
      </w:pPr>
    </w:p>
    <w:bookmarkEnd w:id="289"/>
    <w:p w14:paraId="77659206">
      <w:pPr>
        <w:pStyle w:val="58"/>
        <w:numPr>
          <w:ilvl w:val="0"/>
          <w:numId w:val="66"/>
        </w:numPr>
        <w:rPr>
          <w:rFonts w:ascii="宋体" w:hAnsi="宋体"/>
          <w:color w:val="000000" w:themeColor="text1"/>
          <w14:textFill>
            <w14:solidFill>
              <w14:schemeClr w14:val="tx1"/>
            </w14:solidFill>
          </w14:textFill>
        </w:rPr>
      </w:pPr>
      <w:bookmarkStart w:id="290" w:name="_Hlk154131356"/>
      <w:bookmarkStart w:id="291" w:name="_Hlk167893254"/>
      <w:bookmarkStart w:id="292" w:name="_Hlk153457634"/>
      <w:r>
        <w:rPr>
          <w:rFonts w:hint="eastAsia" w:ascii="宋体" w:hAnsi="宋体"/>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坏账准备情况[双击切换]"/>
        <w:tag w:val="_GBC_2514c3c2e0d44fce9a234c85b89eb697"/>
        <w:id w:val="147474839"/>
        <w:placeholder>
          <w:docPart w:val="GBC22222222222222222222222222222"/>
        </w:placeholder>
      </w:sdtPr>
      <w:sdtEndPr>
        <w:rPr>
          <w:color w:val="000000" w:themeColor="text1"/>
          <w14:textFill>
            <w14:solidFill>
              <w14:schemeClr w14:val="tx1"/>
            </w14:solidFill>
          </w14:textFill>
        </w:rPr>
      </w:sdtEndPr>
      <w:sdtContent>
        <w:p w14:paraId="67DDD4F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4E0AF11">
      <w:pPr>
        <w:pStyle w:val="63"/>
        <w:snapToGrid w:val="0"/>
        <w:spacing w:line="240" w:lineRule="atLeast"/>
        <w:ind w:left="42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坏账准备情况"/>
          <w:tag w:val="_GBC_4094b744572d43c48688324c8c9f5e5f"/>
          <w:id w:val="14745990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坏账准备情况"/>
          <w:tag w:val="_GBC_a64163a2b3154a7e9f37244b29e71cdf"/>
          <w:id w:val="1474763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722"/>
        <w:gridCol w:w="1721"/>
        <w:gridCol w:w="1420"/>
        <w:gridCol w:w="920"/>
        <w:gridCol w:w="950"/>
        <w:gridCol w:w="685"/>
        <w:gridCol w:w="1642"/>
      </w:tblGrid>
      <w:tr w14:paraId="0AD6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0a9bb09f4675456385e28eec38fdf1ab"/>
            <w:id w:val="147451488"/>
          </w:sdtPr>
          <w:sdtContent>
            <w:tc>
              <w:tcPr>
                <w:tcW w:w="950" w:type="pct"/>
                <w:vMerge w:val="restart"/>
                <w:shd w:val="clear" w:color="auto" w:fill="auto"/>
                <w:vAlign w:val="center"/>
              </w:tcPr>
              <w:p w14:paraId="3B94206C">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bde443646eb84dec9d4f8028f9b802bf"/>
            <w:id w:val="147453721"/>
          </w:sdtPr>
          <w:sdtContent>
            <w:tc>
              <w:tcPr>
                <w:tcW w:w="950" w:type="pct"/>
                <w:vMerge w:val="restart"/>
                <w:shd w:val="clear" w:color="auto" w:fill="auto"/>
                <w:vAlign w:val="center"/>
              </w:tcPr>
              <w:p w14:paraId="17550EA2">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cb8b68cd02174377b8eb3a9850bd9677"/>
            <w:id w:val="147480611"/>
          </w:sdtPr>
          <w:sdtContent>
            <w:tc>
              <w:tcPr>
                <w:tcW w:w="2194" w:type="pct"/>
                <w:gridSpan w:val="4"/>
                <w:shd w:val="clear" w:color="auto" w:fill="auto"/>
                <w:vAlign w:val="center"/>
              </w:tcPr>
              <w:p w14:paraId="10A4F6B7">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tc>
          <w:tcPr>
            <w:tcW w:w="906" w:type="pct"/>
            <w:vMerge w:val="restart"/>
            <w:shd w:val="clear" w:color="auto" w:fill="auto"/>
            <w:vAlign w:val="center"/>
          </w:tcPr>
          <w:sdt>
            <w:sdtPr>
              <w:tag w:val="_PLD_71dba82991b74b42bff24787ce9dba21"/>
              <w:id w:val="147473521"/>
            </w:sdtPr>
            <w:sdtContent>
              <w:p w14:paraId="3C76F4E6">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sdtContent>
          </w:sdt>
        </w:tc>
      </w:tr>
      <w:tr w14:paraId="086E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950" w:type="pct"/>
            <w:vMerge w:val="continue"/>
            <w:shd w:val="clear" w:color="auto" w:fill="FFFFFF"/>
          </w:tcPr>
          <w:p w14:paraId="6A299997">
            <w:pPr>
              <w:widowControl w:val="0"/>
              <w:jc w:val="center"/>
              <w:rPr>
                <w:color w:val="000000" w:themeColor="text1"/>
                <w14:textFill>
                  <w14:solidFill>
                    <w14:schemeClr w14:val="tx1"/>
                  </w14:solidFill>
                </w14:textFill>
              </w:rPr>
            </w:pPr>
          </w:p>
        </w:tc>
        <w:tc>
          <w:tcPr>
            <w:tcW w:w="950" w:type="pct"/>
            <w:vMerge w:val="continue"/>
            <w:shd w:val="clear" w:color="auto" w:fill="FFFFFF"/>
          </w:tcPr>
          <w:p w14:paraId="1F9305E0">
            <w:pPr>
              <w:widowControl w:val="0"/>
              <w:jc w:val="center"/>
              <w:rPr>
                <w:color w:val="000000" w:themeColor="text1"/>
                <w14:textFill>
                  <w14:solidFill>
                    <w14:schemeClr w14:val="tx1"/>
                  </w14:solidFill>
                </w14:textFill>
              </w:rPr>
            </w:pPr>
          </w:p>
        </w:tc>
        <w:sdt>
          <w:sdtPr>
            <w:tag w:val="_PLD_747d1f708b2e490685cc6edafd176732"/>
            <w:id w:val="147455511"/>
          </w:sdtPr>
          <w:sdtContent>
            <w:tc>
              <w:tcPr>
                <w:tcW w:w="784" w:type="pct"/>
                <w:shd w:val="clear" w:color="auto" w:fill="auto"/>
                <w:vAlign w:val="center"/>
              </w:tcPr>
              <w:p w14:paraId="270989F7">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55a59d4ba77742cf9759fadbe07f0d4b"/>
            <w:id w:val="147459846"/>
          </w:sdtPr>
          <w:sdtContent>
            <w:tc>
              <w:tcPr>
                <w:tcW w:w="508" w:type="pct"/>
                <w:shd w:val="clear" w:color="auto" w:fill="auto"/>
                <w:vAlign w:val="center"/>
              </w:tcPr>
              <w:p w14:paraId="7E787E25">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sdt>
          <w:sdtPr>
            <w:tag w:val="_PLD_84e4915da5d84ef6a8b141653da6d134"/>
            <w:id w:val="147459555"/>
          </w:sdtPr>
          <w:sdtContent>
            <w:tc>
              <w:tcPr>
                <w:tcW w:w="524" w:type="pct"/>
                <w:shd w:val="clear" w:color="auto" w:fill="auto"/>
                <w:vAlign w:val="center"/>
              </w:tcPr>
              <w:p w14:paraId="770C6134">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tc>
          </w:sdtContent>
        </w:sdt>
        <w:sdt>
          <w:sdtPr>
            <w:tag w:val="_PLD_f50a0cc32e9c443295b2cc3acda22d33"/>
            <w:id w:val="147454561"/>
          </w:sdtPr>
          <w:sdtContent>
            <w:tc>
              <w:tcPr>
                <w:tcW w:w="377" w:type="pct"/>
                <w:shd w:val="clear" w:color="auto" w:fill="auto"/>
                <w:vAlign w:val="center"/>
              </w:tcPr>
              <w:p w14:paraId="4064C7D4">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tc>
          </w:sdtContent>
        </w:sdt>
        <w:tc>
          <w:tcPr>
            <w:tcW w:w="906" w:type="pct"/>
            <w:vMerge w:val="continue"/>
            <w:shd w:val="clear" w:color="auto" w:fill="FFFFFF"/>
          </w:tcPr>
          <w:p w14:paraId="251C5541">
            <w:pPr>
              <w:widowControl w:val="0"/>
              <w:jc w:val="right"/>
              <w:rPr>
                <w:color w:val="000000" w:themeColor="text1"/>
                <w14:textFill>
                  <w14:solidFill>
                    <w14:schemeClr w14:val="tx1"/>
                  </w14:solidFill>
                </w14:textFill>
              </w:rPr>
            </w:pPr>
          </w:p>
        </w:tc>
      </w:tr>
      <w:tr w14:paraId="2546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950" w:type="pct"/>
          </w:tcPr>
          <w:p w14:paraId="2756A38F">
            <w:pPr>
              <w:textAlignment w:val="top"/>
            </w:pPr>
            <w:r>
              <w:rPr>
                <w:rFonts w:cs="Times New Roman"/>
                <w:color w:val="000000"/>
                <w:lang w:bidi="ar"/>
              </w:rPr>
              <w:t>单项计提坏账准备</w:t>
            </w:r>
          </w:p>
        </w:tc>
        <w:tc>
          <w:tcPr>
            <w:tcW w:w="950" w:type="pct"/>
            <w:vAlign w:val="center"/>
          </w:tcPr>
          <w:p w14:paraId="0349CFFD">
            <w:pPr>
              <w:jc w:val="right"/>
              <w:textAlignment w:val="center"/>
              <w:rPr>
                <w:rFonts w:cs="Times New Roman"/>
              </w:rPr>
            </w:pPr>
            <w:r>
              <w:rPr>
                <w:rFonts w:cs="Times New Roman"/>
                <w:color w:val="000000"/>
              </w:rPr>
              <w:t>77,036,686.49</w:t>
            </w:r>
          </w:p>
        </w:tc>
        <w:tc>
          <w:tcPr>
            <w:tcW w:w="784" w:type="pct"/>
            <w:vAlign w:val="center"/>
          </w:tcPr>
          <w:p w14:paraId="00AFDB7E">
            <w:pPr>
              <w:jc w:val="right"/>
              <w:rPr>
                <w:rFonts w:cs="Times New Roman"/>
              </w:rPr>
            </w:pPr>
          </w:p>
        </w:tc>
        <w:tc>
          <w:tcPr>
            <w:tcW w:w="508" w:type="pct"/>
            <w:vAlign w:val="center"/>
          </w:tcPr>
          <w:p w14:paraId="1CA48ED1">
            <w:pPr>
              <w:jc w:val="right"/>
              <w:rPr>
                <w:rFonts w:cs="Times New Roman"/>
              </w:rPr>
            </w:pPr>
          </w:p>
        </w:tc>
        <w:tc>
          <w:tcPr>
            <w:tcW w:w="524" w:type="pct"/>
            <w:vAlign w:val="center"/>
          </w:tcPr>
          <w:p w14:paraId="0B410210">
            <w:pPr>
              <w:jc w:val="right"/>
              <w:rPr>
                <w:rFonts w:cs="Times New Roman"/>
              </w:rPr>
            </w:pPr>
          </w:p>
        </w:tc>
        <w:tc>
          <w:tcPr>
            <w:tcW w:w="377" w:type="pct"/>
            <w:vAlign w:val="center"/>
          </w:tcPr>
          <w:p w14:paraId="6103D79E">
            <w:pPr>
              <w:jc w:val="right"/>
              <w:rPr>
                <w:rFonts w:cs="Times New Roman"/>
              </w:rPr>
            </w:pPr>
          </w:p>
        </w:tc>
        <w:tc>
          <w:tcPr>
            <w:tcW w:w="906" w:type="pct"/>
            <w:vAlign w:val="center"/>
          </w:tcPr>
          <w:p w14:paraId="74B45EDB">
            <w:pPr>
              <w:jc w:val="right"/>
              <w:textAlignment w:val="center"/>
              <w:rPr>
                <w:rFonts w:cs="Times New Roman"/>
              </w:rPr>
            </w:pPr>
            <w:r>
              <w:rPr>
                <w:rFonts w:cs="Times New Roman"/>
                <w:color w:val="000000"/>
              </w:rPr>
              <w:t>77,036,686.49</w:t>
            </w:r>
          </w:p>
        </w:tc>
      </w:tr>
      <w:tr w14:paraId="1895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950" w:type="pct"/>
          </w:tcPr>
          <w:p w14:paraId="7A9B2720">
            <w:pPr>
              <w:textAlignment w:val="top"/>
            </w:pPr>
            <w:r>
              <w:rPr>
                <w:rFonts w:cs="Times New Roman"/>
                <w:color w:val="000000"/>
                <w:lang w:bidi="ar"/>
              </w:rPr>
              <w:t>按组合计提坏账准备</w:t>
            </w:r>
          </w:p>
        </w:tc>
        <w:tc>
          <w:tcPr>
            <w:tcW w:w="950" w:type="pct"/>
            <w:vAlign w:val="center"/>
          </w:tcPr>
          <w:p w14:paraId="52513848">
            <w:pPr>
              <w:jc w:val="right"/>
              <w:textAlignment w:val="center"/>
              <w:rPr>
                <w:rFonts w:cs="Times New Roman"/>
              </w:rPr>
            </w:pPr>
            <w:r>
              <w:rPr>
                <w:rFonts w:cs="Times New Roman"/>
                <w:color w:val="000000"/>
              </w:rPr>
              <w:t>77,339,381.98</w:t>
            </w:r>
          </w:p>
        </w:tc>
        <w:tc>
          <w:tcPr>
            <w:tcW w:w="784" w:type="pct"/>
            <w:vAlign w:val="center"/>
          </w:tcPr>
          <w:p w14:paraId="16126A55">
            <w:pPr>
              <w:jc w:val="right"/>
              <w:textAlignment w:val="center"/>
              <w:rPr>
                <w:rFonts w:cs="Times New Roman"/>
              </w:rPr>
            </w:pPr>
            <w:r>
              <w:rPr>
                <w:rFonts w:cs="Times New Roman"/>
                <w:color w:val="000000"/>
              </w:rPr>
              <w:t>3,284,283.29</w:t>
            </w:r>
          </w:p>
        </w:tc>
        <w:tc>
          <w:tcPr>
            <w:tcW w:w="508" w:type="pct"/>
            <w:vAlign w:val="center"/>
          </w:tcPr>
          <w:p w14:paraId="4ADA19A4">
            <w:pPr>
              <w:jc w:val="right"/>
              <w:rPr>
                <w:rFonts w:cs="Times New Roman"/>
              </w:rPr>
            </w:pPr>
          </w:p>
        </w:tc>
        <w:tc>
          <w:tcPr>
            <w:tcW w:w="524" w:type="pct"/>
            <w:vAlign w:val="center"/>
          </w:tcPr>
          <w:p w14:paraId="22A813DC">
            <w:pPr>
              <w:jc w:val="right"/>
              <w:rPr>
                <w:rFonts w:cs="Times New Roman"/>
              </w:rPr>
            </w:pPr>
          </w:p>
        </w:tc>
        <w:tc>
          <w:tcPr>
            <w:tcW w:w="377" w:type="pct"/>
            <w:vAlign w:val="center"/>
          </w:tcPr>
          <w:p w14:paraId="4442C330">
            <w:pPr>
              <w:jc w:val="right"/>
              <w:rPr>
                <w:rFonts w:cs="Times New Roman"/>
              </w:rPr>
            </w:pPr>
          </w:p>
        </w:tc>
        <w:tc>
          <w:tcPr>
            <w:tcW w:w="906" w:type="pct"/>
            <w:vAlign w:val="center"/>
          </w:tcPr>
          <w:p w14:paraId="41FCF237">
            <w:pPr>
              <w:jc w:val="right"/>
              <w:textAlignment w:val="center"/>
              <w:rPr>
                <w:rFonts w:cs="Times New Roman"/>
              </w:rPr>
            </w:pPr>
            <w:r>
              <w:rPr>
                <w:rFonts w:cs="Times New Roman"/>
                <w:color w:val="000000"/>
              </w:rPr>
              <w:t>80,623,665.27</w:t>
            </w:r>
          </w:p>
        </w:tc>
      </w:tr>
      <w:tr w14:paraId="6D95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950" w:type="pct"/>
          </w:tcPr>
          <w:p w14:paraId="67574B1B">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50" w:type="pct"/>
            <w:vAlign w:val="center"/>
          </w:tcPr>
          <w:p w14:paraId="61E67964">
            <w:pPr>
              <w:jc w:val="right"/>
              <w:textAlignment w:val="center"/>
              <w:rPr>
                <w:rFonts w:cs="Times New Roman"/>
              </w:rPr>
            </w:pPr>
            <w:r>
              <w:rPr>
                <w:rFonts w:cs="Times New Roman"/>
                <w:color w:val="000000"/>
              </w:rPr>
              <w:t>154,376,068.47</w:t>
            </w:r>
          </w:p>
        </w:tc>
        <w:tc>
          <w:tcPr>
            <w:tcW w:w="784" w:type="pct"/>
            <w:vAlign w:val="center"/>
          </w:tcPr>
          <w:p w14:paraId="72ABCE3F">
            <w:pPr>
              <w:jc w:val="right"/>
              <w:textAlignment w:val="center"/>
              <w:rPr>
                <w:rFonts w:cs="Times New Roman"/>
              </w:rPr>
            </w:pPr>
            <w:r>
              <w:rPr>
                <w:rFonts w:cs="Times New Roman"/>
                <w:color w:val="000000"/>
              </w:rPr>
              <w:t>3,284,283.29</w:t>
            </w:r>
          </w:p>
        </w:tc>
        <w:tc>
          <w:tcPr>
            <w:tcW w:w="508" w:type="pct"/>
            <w:vAlign w:val="center"/>
          </w:tcPr>
          <w:p w14:paraId="17F1536B">
            <w:pPr>
              <w:jc w:val="right"/>
              <w:rPr>
                <w:rFonts w:cs="Times New Roman"/>
              </w:rPr>
            </w:pPr>
          </w:p>
        </w:tc>
        <w:tc>
          <w:tcPr>
            <w:tcW w:w="524" w:type="pct"/>
            <w:vAlign w:val="center"/>
          </w:tcPr>
          <w:p w14:paraId="085CD61D">
            <w:pPr>
              <w:jc w:val="right"/>
              <w:rPr>
                <w:rFonts w:cs="Times New Roman"/>
              </w:rPr>
            </w:pPr>
          </w:p>
        </w:tc>
        <w:tc>
          <w:tcPr>
            <w:tcW w:w="377" w:type="pct"/>
            <w:vAlign w:val="center"/>
          </w:tcPr>
          <w:p w14:paraId="30C14BCB">
            <w:pPr>
              <w:jc w:val="right"/>
              <w:rPr>
                <w:rFonts w:cs="Times New Roman"/>
              </w:rPr>
            </w:pPr>
          </w:p>
        </w:tc>
        <w:tc>
          <w:tcPr>
            <w:tcW w:w="906" w:type="pct"/>
            <w:vAlign w:val="center"/>
          </w:tcPr>
          <w:p w14:paraId="2C2D5994">
            <w:pPr>
              <w:jc w:val="right"/>
              <w:textAlignment w:val="center"/>
              <w:rPr>
                <w:rFonts w:cs="Times New Roman"/>
              </w:rPr>
            </w:pPr>
            <w:r>
              <w:rPr>
                <w:rFonts w:cs="Times New Roman"/>
                <w:color w:val="000000"/>
              </w:rPr>
              <w:t>157,660,351.76</w:t>
            </w:r>
          </w:p>
        </w:tc>
      </w:tr>
    </w:tbl>
    <w:p w14:paraId="72AF575C">
      <w:pPr>
        <w:pStyle w:val="67"/>
        <w:rPr>
          <w:color w:val="000000" w:themeColor="text1"/>
          <w14:textFill>
            <w14:solidFill>
              <w14:schemeClr w14:val="tx1"/>
            </w14:solidFill>
          </w14:textFill>
        </w:rPr>
      </w:pPr>
    </w:p>
    <w:bookmarkEnd w:id="290"/>
    <w:p w14:paraId="6227F2E2">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a29d07e52de24827baca64b0af5687bb"/>
        <w:id w:val="147472242"/>
        <w:placeholder>
          <w:docPart w:val="GBC22222222222222222222222222222"/>
        </w:placeholder>
      </w:sdtPr>
      <w:sdtEndPr>
        <w:rPr>
          <w:color w:val="000000" w:themeColor="text1"/>
          <w14:textFill>
            <w14:solidFill>
              <w14:schemeClr w14:val="tx1"/>
            </w14:solidFill>
          </w14:textFill>
        </w:rPr>
      </w:sdtEndPr>
      <w:sdtContent>
        <w:p w14:paraId="7571AB5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98DACD">
      <w:pPr>
        <w:rPr>
          <w:color w:val="000000" w:themeColor="text1"/>
          <w14:textFill>
            <w14:solidFill>
              <w14:schemeClr w14:val="tx1"/>
            </w14:solidFill>
          </w14:textFill>
        </w:rPr>
      </w:pPr>
    </w:p>
    <w:p w14:paraId="4BF5D2CB">
      <w:pPr>
        <w:rPr>
          <w:color w:val="000000" w:themeColor="text1"/>
          <w14:textFill>
            <w14:solidFill>
              <w14:schemeClr w14:val="tx1"/>
            </w14:solidFill>
          </w14:textFill>
        </w:rPr>
      </w:pPr>
    </w:p>
    <w:p w14:paraId="62A5F41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15f3ea2819374a1d81b14a1eed39f1ec"/>
        <w:id w:val="147472176"/>
        <w:placeholder>
          <w:docPart w:val="GBC22222222222222222222222222222"/>
        </w:placeholder>
      </w:sdtPr>
      <w:sdtEndPr>
        <w:rPr>
          <w:color w:val="000000" w:themeColor="text1"/>
          <w14:textFill>
            <w14:solidFill>
              <w14:schemeClr w14:val="tx1"/>
            </w14:solidFill>
          </w14:textFill>
        </w:rPr>
      </w:sdtEndPr>
      <w:sdtContent>
        <w:p w14:paraId="7D886308">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510B73D8">
      <w:pPr>
        <w:ind w:right="-1594" w:rightChars="-759"/>
        <w:rPr>
          <w:color w:val="000000" w:themeColor="text1"/>
          <w14:textFill>
            <w14:solidFill>
              <w14:schemeClr w14:val="tx1"/>
            </w14:solidFill>
          </w14:textFill>
        </w:rPr>
      </w:pPr>
    </w:p>
    <w:p w14:paraId="398EE960">
      <w:pPr>
        <w:pStyle w:val="58"/>
        <w:numPr>
          <w:ilvl w:val="0"/>
          <w:numId w:val="6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本期实际核销的长期应收款情况</w:t>
      </w:r>
    </w:p>
    <w:sdt>
      <w:sdtPr>
        <w:rPr>
          <w:color w:val="000000" w:themeColor="text1"/>
          <w14:textFill>
            <w14:solidFill>
              <w14:schemeClr w14:val="tx1"/>
            </w14:solidFill>
          </w14:textFill>
        </w:rPr>
        <w:alias w:val="是否适用：实际核销的情况[双击切换]"/>
        <w:tag w:val="_GBC_447ec231ca8744e2a8f9b570dfecfd28"/>
        <w:id w:val="147474294"/>
        <w:placeholder>
          <w:docPart w:val="GBC22222222222222222222222222222"/>
        </w:placeholder>
      </w:sdtPr>
      <w:sdtEndPr>
        <w:rPr>
          <w:color w:val="000000" w:themeColor="text1"/>
          <w14:textFill>
            <w14:solidFill>
              <w14:schemeClr w14:val="tx1"/>
            </w14:solidFill>
          </w14:textFill>
        </w:rPr>
      </w:sdtEndPr>
      <w:sdtContent>
        <w:p w14:paraId="3C35714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223429E">
      <w:pPr>
        <w:rPr>
          <w:color w:val="000000" w:themeColor="text1"/>
          <w14:textFill>
            <w14:solidFill>
              <w14:schemeClr w14:val="tx1"/>
            </w14:solidFill>
          </w14:textFill>
        </w:rPr>
      </w:pPr>
    </w:p>
    <w:p w14:paraId="38CCC379">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其中重要的长期应收款核销情况</w:t>
      </w:r>
    </w:p>
    <w:sdt>
      <w:sdtPr>
        <w:rPr>
          <w:rFonts w:hint="eastAsia"/>
          <w:color w:val="000000" w:themeColor="text1"/>
          <w14:textFill>
            <w14:solidFill>
              <w14:schemeClr w14:val="tx1"/>
            </w14:solidFill>
          </w14:textFill>
        </w:rPr>
        <w:alias w:val="是否适用：重要的核销情况[双击切换]"/>
        <w:tag w:val="_GBC_7e501e63ade7457987f62bf3d0dd5df5"/>
        <w:id w:val="147454779"/>
        <w:placeholder>
          <w:docPart w:val="GBC22222222222222222222222222222"/>
        </w:placeholder>
      </w:sdtPr>
      <w:sdtEndPr>
        <w:rPr>
          <w:rFonts w:hint="eastAsia"/>
          <w:color w:val="000000" w:themeColor="text1"/>
          <w14:textFill>
            <w14:solidFill>
              <w14:schemeClr w14:val="tx1"/>
            </w14:solidFill>
          </w14:textFill>
        </w:rPr>
      </w:sdtEndPr>
      <w:sdtContent>
        <w:p w14:paraId="09997088">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A63657">
      <w:pPr>
        <w:snapToGrid w:val="0"/>
        <w:spacing w:line="240" w:lineRule="atLeast"/>
        <w:rPr>
          <w:color w:val="000000" w:themeColor="text1"/>
          <w14:textFill>
            <w14:solidFill>
              <w14:schemeClr w14:val="tx1"/>
            </w14:solidFill>
          </w14:textFill>
        </w:rPr>
      </w:pPr>
    </w:p>
    <w:p w14:paraId="25426760">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81ff204464594f45b7ea7b4c6b25a65c"/>
        <w:id w:val="147460342"/>
        <w:placeholder>
          <w:docPart w:val="GBC22222222222222222222222222222"/>
        </w:placeholder>
      </w:sdtPr>
      <w:sdtEndPr>
        <w:rPr>
          <w:color w:val="000000" w:themeColor="text1"/>
          <w14:textFill>
            <w14:solidFill>
              <w14:schemeClr w14:val="tx1"/>
            </w14:solidFill>
          </w14:textFill>
        </w:rPr>
      </w:sdtEndPr>
      <w:sdtContent>
        <w:p w14:paraId="414F72A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5D8A1E4">
      <w:pPr>
        <w:rPr>
          <w:color w:val="000000" w:themeColor="text1"/>
          <w14:textFill>
            <w14:solidFill>
              <w14:schemeClr w14:val="tx1"/>
            </w14:solidFill>
          </w14:textFill>
        </w:rPr>
      </w:pPr>
    </w:p>
    <w:bookmarkEnd w:id="291"/>
    <w:bookmarkEnd w:id="292"/>
    <w:p w14:paraId="38D2F32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长期应收款的其他说明[双击切换]"/>
        <w:tag w:val="_GBC_a368edfbd60c44cdaed5299529b44fa0"/>
        <w:id w:val="147470391"/>
        <w:placeholder>
          <w:docPart w:val="GBC22222222222222222222222222222"/>
        </w:placeholder>
      </w:sdtPr>
      <w:sdtEndPr>
        <w:rPr>
          <w:rFonts w:hint="eastAsia"/>
          <w:color w:val="000000" w:themeColor="text1"/>
          <w14:textFill>
            <w14:solidFill>
              <w14:schemeClr w14:val="tx1"/>
            </w14:solidFill>
          </w14:textFill>
        </w:rPr>
      </w:sdtEndPr>
      <w:sdtContent>
        <w:p w14:paraId="1AB655A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C3C1CA">
      <w:pPr>
        <w:rPr>
          <w:color w:val="000000" w:themeColor="text1"/>
          <w14:textFill>
            <w14:solidFill>
              <w14:schemeClr w14:val="tx1"/>
            </w14:solidFill>
          </w14:textFill>
        </w:rPr>
      </w:pPr>
    </w:p>
    <w:p w14:paraId="33275CE7">
      <w:pPr>
        <w:rPr>
          <w:color w:val="000000" w:themeColor="text1"/>
          <w14:textFill>
            <w14:solidFill>
              <w14:schemeClr w14:val="tx1"/>
            </w14:solidFill>
          </w14:textFill>
        </w:rPr>
      </w:pPr>
    </w:p>
    <w:p w14:paraId="174EFFB5">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3C30D37">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长期股权投资</w:t>
      </w:r>
    </w:p>
    <w:p w14:paraId="4DC46E75">
      <w:pPr>
        <w:pStyle w:val="58"/>
        <w:numPr>
          <w:ilvl w:val="0"/>
          <w:numId w:val="67"/>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长期股权投资情况</w:t>
      </w:r>
    </w:p>
    <w:p w14:paraId="3E630A0B">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长期股权投资[双击切换]"/>
          <w:tag w:val="_GBC_bafa2cb2262c4c4ebc4eed8f4e4a81c6"/>
          <w:id w:val="147474821"/>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324B6595">
      <w:pPr>
        <w:jc w:val="right"/>
        <w:rPr>
          <w:color w:val="000000" w:themeColor="text1"/>
          <w14:textFill>
            <w14:solidFill>
              <w14:schemeClr w14:val="tx1"/>
            </w14:solidFill>
          </w14:textFill>
        </w:rPr>
      </w:pPr>
      <w:bookmarkStart w:id="293" w:name="_Hlk106375234"/>
      <w:bookmarkStart w:id="294" w:name="_Hlk200370069"/>
      <w:bookmarkStart w:id="295" w:name="_Hlk199854611"/>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股权投资"/>
          <w:tag w:val="_GBC_63e30834d38e49658bec9056bc38e4e2"/>
          <w:id w:val="1474710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股权投资"/>
          <w:tag w:val="_GBC_f72bca6b250e484887289a819bc62e7d"/>
          <w:id w:val="1474735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293"/>
    <w:bookmarkEnd w:id="294"/>
    <w:bookmarkEnd w:id="295"/>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2"/>
        <w:gridCol w:w="1896"/>
        <w:gridCol w:w="1894"/>
        <w:gridCol w:w="1894"/>
        <w:gridCol w:w="1894"/>
        <w:gridCol w:w="1939"/>
      </w:tblGrid>
      <w:tr w14:paraId="6096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e3ff129c80540828097585bec2a274a"/>
            <w:id w:val="147469822"/>
          </w:sdtPr>
          <w:sdtContent>
            <w:tc>
              <w:tcPr>
                <w:tcW w:w="1623" w:type="pct"/>
                <w:vMerge w:val="restart"/>
                <w:tcBorders>
                  <w:top w:val="single" w:color="auto" w:sz="4" w:space="0"/>
                  <w:left w:val="single" w:color="auto" w:sz="4" w:space="0"/>
                  <w:right w:val="single" w:color="auto" w:sz="4" w:space="0"/>
                </w:tcBorders>
                <w:vAlign w:val="center"/>
              </w:tcPr>
              <w:p w14:paraId="495AC998">
                <w:pPr>
                  <w:jc w:val="center"/>
                  <w:rPr>
                    <w:color w:val="000000" w:themeColor="text1"/>
                    <w14:textFill>
                      <w14:solidFill>
                        <w14:schemeClr w14:val="tx1"/>
                      </w14:solidFill>
                    </w14:textFill>
                  </w:rPr>
                </w:pPr>
                <w:bookmarkStart w:id="296" w:name="_Hlk167893542"/>
                <w:bookmarkStart w:id="297" w:name="_Hlk169008665"/>
                <w:r>
                  <w:rPr>
                    <w:rFonts w:hint="eastAsia"/>
                    <w:color w:val="000000" w:themeColor="text1"/>
                    <w14:textFill>
                      <w14:solidFill>
                        <w14:schemeClr w14:val="tx1"/>
                      </w14:solidFill>
                    </w14:textFill>
                  </w:rPr>
                  <w:t>被投资单位</w:t>
                </w:r>
              </w:p>
            </w:tc>
          </w:sdtContent>
        </w:sdt>
        <w:sdt>
          <w:sdtPr>
            <w:tag w:val="_PLD_1d8637e24bf6498db71869cd552b60a2"/>
            <w:id w:val="147454984"/>
          </w:sdtPr>
          <w:sdtContent>
            <w:tc>
              <w:tcPr>
                <w:tcW w:w="672" w:type="pct"/>
                <w:vMerge w:val="restart"/>
                <w:tcBorders>
                  <w:top w:val="single" w:color="auto" w:sz="4" w:space="0"/>
                  <w:left w:val="single" w:color="auto" w:sz="4" w:space="0"/>
                  <w:right w:val="single" w:color="auto" w:sz="4" w:space="0"/>
                </w:tcBorders>
                <w:vAlign w:val="center"/>
              </w:tcPr>
              <w:p w14:paraId="583800B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51816BB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余额（账面价值）</w:t>
                </w:r>
              </w:p>
            </w:tc>
          </w:sdtContent>
        </w:sdt>
        <w:tc>
          <w:tcPr>
            <w:tcW w:w="672" w:type="pct"/>
            <w:vMerge w:val="restart"/>
            <w:tcBorders>
              <w:top w:val="single" w:color="auto" w:sz="4" w:space="0"/>
              <w:left w:val="single" w:color="auto" w:sz="4" w:space="0"/>
              <w:right w:val="single" w:color="auto" w:sz="4" w:space="0"/>
            </w:tcBorders>
            <w:vAlign w:val="center"/>
          </w:tcPr>
          <w:sdt>
            <w:sdtPr>
              <w:tag w:val="_PLD_f6327daa2fd7418ca2acf4b4ac38a832"/>
              <w:id w:val="147475390"/>
            </w:sdtPr>
            <w:sdtContent>
              <w:p w14:paraId="0B55525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减值准备期初余额</w:t>
                </w:r>
              </w:p>
            </w:sdtContent>
          </w:sdt>
        </w:tc>
        <w:sdt>
          <w:sdtPr>
            <w:tag w:val="_PLD_edc952101e7b4fa483f7289f9b74dfdf"/>
            <w:id w:val="147482923"/>
          </w:sdtPr>
          <w:sdtContent>
            <w:tc>
              <w:tcPr>
                <w:tcW w:w="672" w:type="pct"/>
                <w:tcBorders>
                  <w:top w:val="single" w:color="auto" w:sz="4" w:space="0"/>
                  <w:left w:val="single" w:color="auto" w:sz="4" w:space="0"/>
                  <w:bottom w:val="single" w:color="auto" w:sz="4" w:space="0"/>
                  <w:right w:val="single" w:color="auto" w:sz="4" w:space="0"/>
                </w:tcBorders>
                <w:vAlign w:val="center"/>
              </w:tcPr>
              <w:p w14:paraId="267EC3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本期增减变动</w:t>
                </w:r>
              </w:p>
            </w:tc>
          </w:sdtContent>
        </w:sdt>
        <w:sdt>
          <w:sdtPr>
            <w:tag w:val="_PLD_44cfcec128d9419fba83c50966e49235"/>
            <w:id w:val="147477764"/>
          </w:sdtPr>
          <w:sdtContent>
            <w:tc>
              <w:tcPr>
                <w:tcW w:w="672" w:type="pct"/>
                <w:vMerge w:val="restart"/>
                <w:tcBorders>
                  <w:top w:val="single" w:color="auto" w:sz="4" w:space="0"/>
                  <w:left w:val="single" w:color="auto" w:sz="4" w:space="0"/>
                  <w:right w:val="single" w:color="auto" w:sz="4" w:space="0"/>
                </w:tcBorders>
                <w:vAlign w:val="center"/>
              </w:tcPr>
              <w:p w14:paraId="31B7FA2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14:paraId="17DFE7A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余额（账面价值）</w:t>
                </w:r>
              </w:p>
            </w:tc>
          </w:sdtContent>
        </w:sdt>
        <w:sdt>
          <w:sdtPr>
            <w:tag w:val="_PLD_34a3cc0844264226a50c84165c09bb9a"/>
            <w:id w:val="147474349"/>
          </w:sdtPr>
          <w:sdtContent>
            <w:tc>
              <w:tcPr>
                <w:tcW w:w="687" w:type="pct"/>
                <w:vMerge w:val="restart"/>
                <w:tcBorders>
                  <w:top w:val="single" w:color="auto" w:sz="4" w:space="0"/>
                  <w:left w:val="single" w:color="auto" w:sz="4" w:space="0"/>
                  <w:right w:val="single" w:color="auto" w:sz="4" w:space="0"/>
                </w:tcBorders>
                <w:vAlign w:val="center"/>
              </w:tcPr>
              <w:p w14:paraId="26F71C4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减值准备期末余额</w:t>
                </w:r>
              </w:p>
            </w:tc>
          </w:sdtContent>
        </w:sdt>
      </w:tr>
      <w:tr w14:paraId="7CA8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vMerge w:val="continue"/>
            <w:tcBorders>
              <w:left w:val="single" w:color="auto" w:sz="4" w:space="0"/>
              <w:bottom w:val="single" w:color="auto" w:sz="4" w:space="0"/>
              <w:right w:val="single" w:color="auto" w:sz="4" w:space="0"/>
            </w:tcBorders>
          </w:tcPr>
          <w:p w14:paraId="6EF1D32D">
            <w:pPr>
              <w:jc w:val="center"/>
              <w:rPr>
                <w:color w:val="000000" w:themeColor="text1"/>
                <w14:textFill>
                  <w14:solidFill>
                    <w14:schemeClr w14:val="tx1"/>
                  </w14:solidFill>
                </w14:textFill>
              </w:rPr>
            </w:pPr>
          </w:p>
        </w:tc>
        <w:tc>
          <w:tcPr>
            <w:tcW w:w="672" w:type="pct"/>
            <w:vMerge w:val="continue"/>
            <w:tcBorders>
              <w:left w:val="single" w:color="auto" w:sz="4" w:space="0"/>
              <w:bottom w:val="single" w:color="auto" w:sz="4" w:space="0"/>
              <w:right w:val="single" w:color="auto" w:sz="4" w:space="0"/>
            </w:tcBorders>
          </w:tcPr>
          <w:p w14:paraId="107349F1">
            <w:pPr>
              <w:jc w:val="center"/>
              <w:rPr>
                <w:color w:val="000000" w:themeColor="text1"/>
                <w14:textFill>
                  <w14:solidFill>
                    <w14:schemeClr w14:val="tx1"/>
                  </w14:solidFill>
                </w14:textFill>
              </w:rPr>
            </w:pPr>
          </w:p>
        </w:tc>
        <w:tc>
          <w:tcPr>
            <w:tcW w:w="672" w:type="pct"/>
            <w:vMerge w:val="continue"/>
            <w:tcBorders>
              <w:left w:val="single" w:color="auto" w:sz="4" w:space="0"/>
              <w:bottom w:val="single" w:color="auto" w:sz="4" w:space="0"/>
              <w:right w:val="single" w:color="auto" w:sz="4" w:space="0"/>
            </w:tcBorders>
          </w:tcPr>
          <w:p w14:paraId="4A6CE712">
            <w:pPr>
              <w:jc w:val="center"/>
              <w:rPr>
                <w:color w:val="000000" w:themeColor="text1"/>
                <w14:textFill>
                  <w14:solidFill>
                    <w14:schemeClr w14:val="tx1"/>
                  </w14:solidFill>
                </w14:textFill>
              </w:rPr>
            </w:pPr>
          </w:p>
        </w:tc>
        <w:sdt>
          <w:sdtPr>
            <w:tag w:val="_PLD_098d9fcf9d5341879d534aa385508f23"/>
            <w:id w:val="147457387"/>
          </w:sdtPr>
          <w:sdtContent>
            <w:tc>
              <w:tcPr>
                <w:tcW w:w="672" w:type="pct"/>
                <w:tcBorders>
                  <w:top w:val="single" w:color="auto" w:sz="4" w:space="0"/>
                  <w:left w:val="single" w:color="auto" w:sz="4" w:space="0"/>
                  <w:bottom w:val="single" w:color="auto" w:sz="4" w:space="0"/>
                  <w:right w:val="single" w:color="auto" w:sz="4" w:space="0"/>
                </w:tcBorders>
                <w:vAlign w:val="center"/>
              </w:tcPr>
              <w:p w14:paraId="15A383C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权益法下确认的投资损益</w:t>
                </w:r>
              </w:p>
            </w:tc>
          </w:sdtContent>
        </w:sdt>
        <w:tc>
          <w:tcPr>
            <w:tcW w:w="672" w:type="pct"/>
            <w:vMerge w:val="continue"/>
            <w:tcBorders>
              <w:left w:val="single" w:color="auto" w:sz="4" w:space="0"/>
              <w:bottom w:val="single" w:color="auto" w:sz="4" w:space="0"/>
              <w:right w:val="single" w:color="auto" w:sz="4" w:space="0"/>
            </w:tcBorders>
            <w:vAlign w:val="center"/>
          </w:tcPr>
          <w:p w14:paraId="59B4B7F6">
            <w:pPr>
              <w:jc w:val="center"/>
              <w:rPr>
                <w:color w:val="000000" w:themeColor="text1"/>
                <w14:textFill>
                  <w14:solidFill>
                    <w14:schemeClr w14:val="tx1"/>
                  </w14:solidFill>
                </w14:textFill>
              </w:rPr>
            </w:pPr>
          </w:p>
        </w:tc>
        <w:tc>
          <w:tcPr>
            <w:tcW w:w="687" w:type="pct"/>
            <w:vMerge w:val="continue"/>
            <w:tcBorders>
              <w:left w:val="single" w:color="auto" w:sz="4" w:space="0"/>
              <w:bottom w:val="single" w:color="auto" w:sz="4" w:space="0"/>
              <w:right w:val="single" w:color="auto" w:sz="4" w:space="0"/>
            </w:tcBorders>
            <w:vAlign w:val="center"/>
          </w:tcPr>
          <w:p w14:paraId="23615DBA">
            <w:pPr>
              <w:jc w:val="center"/>
              <w:rPr>
                <w:color w:val="000000" w:themeColor="text1"/>
                <w14:textFill>
                  <w14:solidFill>
                    <w14:schemeClr w14:val="tx1"/>
                  </w14:solidFill>
                </w14:textFill>
              </w:rPr>
            </w:pPr>
          </w:p>
        </w:tc>
      </w:tr>
      <w:tr w14:paraId="537A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204b6b48bf546e3af5babc667d4c84c"/>
            <w:id w:val="147464722"/>
          </w:sdtPr>
          <w:sdtContent>
            <w:tc>
              <w:tcPr>
                <w:tcW w:w="5000" w:type="pct"/>
                <w:gridSpan w:val="6"/>
                <w:tcBorders>
                  <w:top w:val="single" w:color="auto" w:sz="4" w:space="0"/>
                  <w:left w:val="single" w:color="auto" w:sz="4" w:space="0"/>
                  <w:bottom w:val="single" w:color="auto" w:sz="4" w:space="0"/>
                  <w:right w:val="single" w:color="auto" w:sz="4" w:space="0"/>
                </w:tcBorders>
              </w:tcPr>
              <w:p w14:paraId="78617B5E">
                <w:pPr>
                  <w:rPr>
                    <w:color w:val="000000" w:themeColor="text1"/>
                    <w14:textFill>
                      <w14:solidFill>
                        <w14:schemeClr w14:val="tx1"/>
                      </w14:solidFill>
                    </w14:textFill>
                  </w:rPr>
                </w:pPr>
                <w:r>
                  <w:rPr>
                    <w:rFonts w:hint="eastAsia"/>
                    <w:color w:val="000000" w:themeColor="text1"/>
                    <w14:textFill>
                      <w14:solidFill>
                        <w14:schemeClr w14:val="tx1"/>
                      </w14:solidFill>
                    </w14:textFill>
                  </w:rPr>
                  <w:t>一、合营企业</w:t>
                </w:r>
              </w:p>
            </w:tc>
          </w:sdtContent>
        </w:sdt>
      </w:tr>
      <w:tr w14:paraId="6ACD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b6a8ff5b8594d3fa9d53755249b815f"/>
            <w:id w:val="147473740"/>
          </w:sdtPr>
          <w:sdtContent>
            <w:tc>
              <w:tcPr>
                <w:tcW w:w="2296" w:type="pct"/>
                <w:gridSpan w:val="2"/>
                <w:tcBorders>
                  <w:top w:val="single" w:color="auto" w:sz="4" w:space="0"/>
                  <w:left w:val="single" w:color="auto" w:sz="4" w:space="0"/>
                  <w:bottom w:val="single" w:color="auto" w:sz="4" w:space="0"/>
                  <w:right w:val="single" w:color="auto" w:sz="4" w:space="0"/>
                </w:tcBorders>
              </w:tcPr>
              <w:p w14:paraId="05EF2555">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二、联营企业</w:t>
                </w:r>
              </w:p>
            </w:tc>
          </w:sdtContent>
        </w:sdt>
        <w:tc>
          <w:tcPr>
            <w:tcW w:w="2703" w:type="pct"/>
            <w:gridSpan w:val="4"/>
            <w:tcBorders>
              <w:top w:val="single" w:color="auto" w:sz="4" w:space="0"/>
              <w:left w:val="single" w:color="auto" w:sz="4" w:space="0"/>
              <w:bottom w:val="single" w:color="auto" w:sz="4" w:space="0"/>
              <w:right w:val="single" w:color="auto" w:sz="4" w:space="0"/>
            </w:tcBorders>
          </w:tcPr>
          <w:p w14:paraId="44854C8C">
            <w:pPr>
              <w:jc w:val="both"/>
              <w:rPr>
                <w:color w:val="000000" w:themeColor="text1"/>
                <w14:textFill>
                  <w14:solidFill>
                    <w14:schemeClr w14:val="tx1"/>
                  </w14:solidFill>
                </w14:textFill>
              </w:rPr>
            </w:pPr>
          </w:p>
        </w:tc>
      </w:tr>
      <w:tr w14:paraId="0021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tcPr>
          <w:p w14:paraId="1DF2E7DF">
            <w:pPr>
              <w:jc w:val="both"/>
              <w:textAlignment w:val="top"/>
            </w:pPr>
            <w:r>
              <w:rPr>
                <w:rFonts w:cs="Times New Roman"/>
                <w:color w:val="000000"/>
                <w:lang w:bidi="ar"/>
              </w:rPr>
              <w:t>南京英斯瑞德高分子材料股份有限公司</w:t>
            </w:r>
          </w:p>
        </w:tc>
        <w:tc>
          <w:tcPr>
            <w:tcW w:w="672" w:type="pct"/>
            <w:tcBorders>
              <w:top w:val="single" w:color="auto" w:sz="4" w:space="0"/>
              <w:left w:val="single" w:color="auto" w:sz="4" w:space="0"/>
              <w:bottom w:val="single" w:color="auto" w:sz="4" w:space="0"/>
              <w:right w:val="single" w:color="auto" w:sz="4" w:space="0"/>
            </w:tcBorders>
            <w:vAlign w:val="center"/>
          </w:tcPr>
          <w:p w14:paraId="14F60742">
            <w:pPr>
              <w:jc w:val="right"/>
              <w:textAlignment w:val="center"/>
              <w:rPr>
                <w:rFonts w:cs="Times New Roman"/>
              </w:rPr>
            </w:pPr>
            <w:r>
              <w:rPr>
                <w:rFonts w:cs="Times New Roman"/>
                <w:color w:val="000000"/>
              </w:rPr>
              <w:t>7,608,413.87</w:t>
            </w:r>
          </w:p>
        </w:tc>
        <w:tc>
          <w:tcPr>
            <w:tcW w:w="672" w:type="pct"/>
            <w:tcBorders>
              <w:top w:val="single" w:color="auto" w:sz="4" w:space="0"/>
              <w:left w:val="single" w:color="auto" w:sz="4" w:space="0"/>
              <w:bottom w:val="single" w:color="auto" w:sz="4" w:space="0"/>
              <w:right w:val="single" w:color="auto" w:sz="4" w:space="0"/>
            </w:tcBorders>
            <w:vAlign w:val="center"/>
          </w:tcPr>
          <w:p w14:paraId="48A33192">
            <w:pPr>
              <w:jc w:val="right"/>
              <w:rPr>
                <w:rFonts w:cs="Times New Roman"/>
              </w:rPr>
            </w:pPr>
          </w:p>
        </w:tc>
        <w:tc>
          <w:tcPr>
            <w:tcW w:w="672" w:type="pct"/>
            <w:tcBorders>
              <w:top w:val="single" w:color="auto" w:sz="4" w:space="0"/>
              <w:left w:val="single" w:color="auto" w:sz="4" w:space="0"/>
              <w:bottom w:val="single" w:color="auto" w:sz="4" w:space="0"/>
              <w:right w:val="single" w:color="auto" w:sz="4" w:space="0"/>
            </w:tcBorders>
            <w:vAlign w:val="center"/>
          </w:tcPr>
          <w:p w14:paraId="4F8888AC">
            <w:pPr>
              <w:jc w:val="right"/>
              <w:textAlignment w:val="center"/>
              <w:rPr>
                <w:rFonts w:cs="Times New Roman"/>
              </w:rPr>
            </w:pPr>
            <w:r>
              <w:rPr>
                <w:rFonts w:cs="Times New Roman"/>
                <w:color w:val="000000"/>
              </w:rPr>
              <w:t>36,629.49</w:t>
            </w:r>
          </w:p>
        </w:tc>
        <w:tc>
          <w:tcPr>
            <w:tcW w:w="672" w:type="pct"/>
            <w:tcBorders>
              <w:top w:val="single" w:color="auto" w:sz="4" w:space="0"/>
              <w:left w:val="single" w:color="auto" w:sz="4" w:space="0"/>
              <w:bottom w:val="single" w:color="auto" w:sz="4" w:space="0"/>
              <w:right w:val="single" w:color="auto" w:sz="4" w:space="0"/>
            </w:tcBorders>
            <w:vAlign w:val="center"/>
          </w:tcPr>
          <w:p w14:paraId="2EB3756B">
            <w:pPr>
              <w:jc w:val="right"/>
              <w:textAlignment w:val="center"/>
              <w:rPr>
                <w:rFonts w:cs="Times New Roman"/>
              </w:rPr>
            </w:pPr>
            <w:r>
              <w:rPr>
                <w:rFonts w:cs="Times New Roman"/>
                <w:color w:val="000000"/>
              </w:rPr>
              <w:t>7,645,043.36</w:t>
            </w:r>
          </w:p>
        </w:tc>
        <w:tc>
          <w:tcPr>
            <w:tcW w:w="687" w:type="pct"/>
            <w:tcBorders>
              <w:top w:val="single" w:color="auto" w:sz="4" w:space="0"/>
              <w:left w:val="single" w:color="auto" w:sz="4" w:space="0"/>
              <w:bottom w:val="single" w:color="auto" w:sz="4" w:space="0"/>
              <w:right w:val="single" w:color="auto" w:sz="4" w:space="0"/>
            </w:tcBorders>
            <w:vAlign w:val="center"/>
          </w:tcPr>
          <w:p w14:paraId="2FC49270">
            <w:pPr>
              <w:jc w:val="right"/>
              <w:rPr>
                <w:rFonts w:cs="Times New Roman"/>
              </w:rPr>
            </w:pPr>
          </w:p>
        </w:tc>
      </w:tr>
      <w:tr w14:paraId="7D6E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tcPr>
          <w:p w14:paraId="3DE21F95">
            <w:pPr>
              <w:jc w:val="both"/>
              <w:textAlignment w:val="top"/>
            </w:pPr>
            <w:r>
              <w:rPr>
                <w:rFonts w:cs="Times New Roman"/>
                <w:color w:val="000000"/>
                <w:lang w:bidi="ar"/>
              </w:rPr>
              <w:t>河北玄德智能科技发展股份有限公司</w:t>
            </w:r>
          </w:p>
        </w:tc>
        <w:tc>
          <w:tcPr>
            <w:tcW w:w="672" w:type="pct"/>
            <w:tcBorders>
              <w:top w:val="single" w:color="auto" w:sz="4" w:space="0"/>
              <w:left w:val="single" w:color="auto" w:sz="4" w:space="0"/>
              <w:bottom w:val="single" w:color="auto" w:sz="4" w:space="0"/>
              <w:right w:val="single" w:color="auto" w:sz="4" w:space="0"/>
            </w:tcBorders>
            <w:vAlign w:val="center"/>
          </w:tcPr>
          <w:p w14:paraId="5D81FBF6">
            <w:pPr>
              <w:jc w:val="right"/>
              <w:textAlignment w:val="center"/>
              <w:rPr>
                <w:rFonts w:cs="Times New Roman"/>
              </w:rPr>
            </w:pPr>
            <w:r>
              <w:rPr>
                <w:rFonts w:cs="Times New Roman"/>
                <w:color w:val="000000"/>
              </w:rPr>
              <w:t>10,670,000.00</w:t>
            </w:r>
          </w:p>
        </w:tc>
        <w:tc>
          <w:tcPr>
            <w:tcW w:w="672" w:type="pct"/>
            <w:tcBorders>
              <w:top w:val="single" w:color="auto" w:sz="4" w:space="0"/>
              <w:left w:val="single" w:color="auto" w:sz="4" w:space="0"/>
              <w:bottom w:val="single" w:color="auto" w:sz="4" w:space="0"/>
              <w:right w:val="single" w:color="auto" w:sz="4" w:space="0"/>
            </w:tcBorders>
            <w:vAlign w:val="center"/>
          </w:tcPr>
          <w:p w14:paraId="35C9D4BE">
            <w:pPr>
              <w:jc w:val="right"/>
              <w:textAlignment w:val="center"/>
              <w:rPr>
                <w:rFonts w:cs="Times New Roman"/>
              </w:rPr>
            </w:pPr>
            <w:r>
              <w:rPr>
                <w:rFonts w:cs="Times New Roman"/>
                <w:color w:val="000000"/>
              </w:rPr>
              <w:t>3,302,612.67</w:t>
            </w:r>
          </w:p>
        </w:tc>
        <w:tc>
          <w:tcPr>
            <w:tcW w:w="672" w:type="pct"/>
            <w:tcBorders>
              <w:top w:val="single" w:color="auto" w:sz="4" w:space="0"/>
              <w:left w:val="single" w:color="auto" w:sz="4" w:space="0"/>
              <w:bottom w:val="single" w:color="auto" w:sz="4" w:space="0"/>
              <w:right w:val="single" w:color="auto" w:sz="4" w:space="0"/>
            </w:tcBorders>
            <w:vAlign w:val="center"/>
          </w:tcPr>
          <w:p w14:paraId="3F3A805F">
            <w:pPr>
              <w:jc w:val="right"/>
              <w:textAlignment w:val="center"/>
              <w:rPr>
                <w:rFonts w:cs="Times New Roman"/>
              </w:rPr>
            </w:pPr>
            <w:r>
              <w:rPr>
                <w:rFonts w:cs="Times New Roman"/>
                <w:color w:val="000000"/>
              </w:rPr>
              <w:t>-127,480.14</w:t>
            </w:r>
          </w:p>
        </w:tc>
        <w:tc>
          <w:tcPr>
            <w:tcW w:w="672" w:type="pct"/>
            <w:tcBorders>
              <w:top w:val="single" w:color="auto" w:sz="4" w:space="0"/>
              <w:left w:val="single" w:color="auto" w:sz="4" w:space="0"/>
              <w:bottom w:val="single" w:color="auto" w:sz="4" w:space="0"/>
              <w:right w:val="single" w:color="auto" w:sz="4" w:space="0"/>
            </w:tcBorders>
            <w:vAlign w:val="center"/>
          </w:tcPr>
          <w:p w14:paraId="5724E2AA">
            <w:pPr>
              <w:jc w:val="right"/>
              <w:textAlignment w:val="center"/>
              <w:rPr>
                <w:rFonts w:cs="Times New Roman"/>
              </w:rPr>
            </w:pPr>
            <w:r>
              <w:rPr>
                <w:rFonts w:cs="Times New Roman"/>
                <w:color w:val="000000"/>
              </w:rPr>
              <w:t>10,542,519.86</w:t>
            </w:r>
          </w:p>
        </w:tc>
        <w:tc>
          <w:tcPr>
            <w:tcW w:w="687" w:type="pct"/>
            <w:tcBorders>
              <w:top w:val="single" w:color="auto" w:sz="4" w:space="0"/>
              <w:left w:val="single" w:color="auto" w:sz="4" w:space="0"/>
              <w:bottom w:val="single" w:color="auto" w:sz="4" w:space="0"/>
              <w:right w:val="single" w:color="auto" w:sz="4" w:space="0"/>
            </w:tcBorders>
            <w:vAlign w:val="center"/>
          </w:tcPr>
          <w:p w14:paraId="4BC718DA">
            <w:pPr>
              <w:jc w:val="right"/>
              <w:textAlignment w:val="center"/>
              <w:rPr>
                <w:rFonts w:cs="Times New Roman"/>
              </w:rPr>
            </w:pPr>
            <w:r>
              <w:rPr>
                <w:rFonts w:cs="Times New Roman"/>
                <w:color w:val="000000"/>
              </w:rPr>
              <w:t>3,302,612.67</w:t>
            </w:r>
          </w:p>
        </w:tc>
      </w:tr>
      <w:tr w14:paraId="787F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tcPr>
          <w:p w14:paraId="77C1CD5E">
            <w:pPr>
              <w:jc w:val="both"/>
              <w:textAlignment w:val="top"/>
            </w:pPr>
            <w:r>
              <w:rPr>
                <w:rFonts w:cs="Times New Roman"/>
                <w:color w:val="000000"/>
                <w:lang w:bidi="ar"/>
              </w:rPr>
              <w:t>邢台诚达房地产开发有限公司</w:t>
            </w:r>
          </w:p>
        </w:tc>
        <w:tc>
          <w:tcPr>
            <w:tcW w:w="672" w:type="pct"/>
            <w:tcBorders>
              <w:top w:val="single" w:color="auto" w:sz="4" w:space="0"/>
              <w:left w:val="single" w:color="auto" w:sz="4" w:space="0"/>
              <w:bottom w:val="single" w:color="auto" w:sz="4" w:space="0"/>
              <w:right w:val="single" w:color="auto" w:sz="4" w:space="0"/>
            </w:tcBorders>
            <w:vAlign w:val="center"/>
          </w:tcPr>
          <w:p w14:paraId="5341230E">
            <w:pPr>
              <w:jc w:val="right"/>
              <w:rPr>
                <w:rFonts w:cs="Times New Roman"/>
              </w:rPr>
            </w:pPr>
          </w:p>
        </w:tc>
        <w:tc>
          <w:tcPr>
            <w:tcW w:w="672" w:type="pct"/>
            <w:tcBorders>
              <w:top w:val="single" w:color="auto" w:sz="4" w:space="0"/>
              <w:left w:val="single" w:color="auto" w:sz="4" w:space="0"/>
              <w:bottom w:val="single" w:color="auto" w:sz="4" w:space="0"/>
              <w:right w:val="single" w:color="auto" w:sz="4" w:space="0"/>
            </w:tcBorders>
            <w:vAlign w:val="center"/>
          </w:tcPr>
          <w:p w14:paraId="7FB01A1C">
            <w:pPr>
              <w:jc w:val="right"/>
              <w:textAlignment w:val="center"/>
              <w:rPr>
                <w:rFonts w:cs="Times New Roman"/>
              </w:rPr>
            </w:pPr>
            <w:r>
              <w:rPr>
                <w:rFonts w:cs="Times New Roman"/>
                <w:color w:val="000000"/>
              </w:rPr>
              <w:t>4,418,970.90</w:t>
            </w:r>
          </w:p>
        </w:tc>
        <w:tc>
          <w:tcPr>
            <w:tcW w:w="672" w:type="pct"/>
            <w:tcBorders>
              <w:top w:val="single" w:color="auto" w:sz="4" w:space="0"/>
              <w:left w:val="single" w:color="auto" w:sz="4" w:space="0"/>
              <w:bottom w:val="single" w:color="auto" w:sz="4" w:space="0"/>
              <w:right w:val="single" w:color="auto" w:sz="4" w:space="0"/>
            </w:tcBorders>
            <w:vAlign w:val="center"/>
          </w:tcPr>
          <w:p w14:paraId="140CCD7E">
            <w:pPr>
              <w:jc w:val="right"/>
              <w:rPr>
                <w:rFonts w:cs="Times New Roman"/>
              </w:rPr>
            </w:pPr>
          </w:p>
        </w:tc>
        <w:tc>
          <w:tcPr>
            <w:tcW w:w="672" w:type="pct"/>
            <w:tcBorders>
              <w:top w:val="single" w:color="auto" w:sz="4" w:space="0"/>
              <w:left w:val="single" w:color="auto" w:sz="4" w:space="0"/>
              <w:bottom w:val="single" w:color="auto" w:sz="4" w:space="0"/>
              <w:right w:val="single" w:color="auto" w:sz="4" w:space="0"/>
            </w:tcBorders>
            <w:vAlign w:val="center"/>
          </w:tcPr>
          <w:p w14:paraId="366BBA1D">
            <w:pPr>
              <w:jc w:val="right"/>
              <w:rPr>
                <w:rFonts w:cs="Times New Roman"/>
              </w:rPr>
            </w:pPr>
          </w:p>
        </w:tc>
        <w:tc>
          <w:tcPr>
            <w:tcW w:w="687" w:type="pct"/>
            <w:tcBorders>
              <w:top w:val="single" w:color="auto" w:sz="4" w:space="0"/>
              <w:left w:val="single" w:color="auto" w:sz="4" w:space="0"/>
              <w:bottom w:val="single" w:color="auto" w:sz="4" w:space="0"/>
              <w:right w:val="single" w:color="auto" w:sz="4" w:space="0"/>
            </w:tcBorders>
            <w:vAlign w:val="center"/>
          </w:tcPr>
          <w:p w14:paraId="3B6E9FC5">
            <w:pPr>
              <w:jc w:val="right"/>
              <w:textAlignment w:val="center"/>
              <w:rPr>
                <w:rFonts w:cs="Times New Roman"/>
              </w:rPr>
            </w:pPr>
            <w:r>
              <w:rPr>
                <w:rFonts w:cs="Times New Roman"/>
                <w:color w:val="000000"/>
              </w:rPr>
              <w:t>4,418,970.90</w:t>
            </w:r>
          </w:p>
        </w:tc>
      </w:tr>
      <w:tr w14:paraId="7691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tcPr>
          <w:p w14:paraId="549E30D6">
            <w:pPr>
              <w:jc w:val="both"/>
              <w:textAlignment w:val="top"/>
            </w:pPr>
            <w:r>
              <w:rPr>
                <w:rFonts w:cs="Times New Roman"/>
                <w:color w:val="000000"/>
                <w:lang w:bidi="ar"/>
              </w:rPr>
              <w:t>湖南中晟高分子新材料有限公司</w:t>
            </w:r>
          </w:p>
        </w:tc>
        <w:tc>
          <w:tcPr>
            <w:tcW w:w="672" w:type="pct"/>
            <w:tcBorders>
              <w:top w:val="single" w:color="auto" w:sz="4" w:space="0"/>
              <w:left w:val="single" w:color="auto" w:sz="4" w:space="0"/>
              <w:bottom w:val="single" w:color="auto" w:sz="4" w:space="0"/>
              <w:right w:val="single" w:color="auto" w:sz="4" w:space="0"/>
            </w:tcBorders>
            <w:vAlign w:val="center"/>
          </w:tcPr>
          <w:p w14:paraId="73B53B46">
            <w:pPr>
              <w:jc w:val="right"/>
              <w:textAlignment w:val="center"/>
              <w:rPr>
                <w:rFonts w:cs="Times New Roman"/>
              </w:rPr>
            </w:pPr>
            <w:r>
              <w:rPr>
                <w:rFonts w:cs="Times New Roman"/>
                <w:color w:val="000000"/>
              </w:rPr>
              <w:t>28,662,404.03</w:t>
            </w:r>
          </w:p>
        </w:tc>
        <w:tc>
          <w:tcPr>
            <w:tcW w:w="672" w:type="pct"/>
            <w:tcBorders>
              <w:top w:val="single" w:color="auto" w:sz="4" w:space="0"/>
              <w:left w:val="single" w:color="auto" w:sz="4" w:space="0"/>
              <w:bottom w:val="single" w:color="auto" w:sz="4" w:space="0"/>
              <w:right w:val="single" w:color="auto" w:sz="4" w:space="0"/>
            </w:tcBorders>
            <w:vAlign w:val="center"/>
          </w:tcPr>
          <w:p w14:paraId="0218D3E7">
            <w:pPr>
              <w:jc w:val="right"/>
              <w:rPr>
                <w:rFonts w:cs="Times New Roman"/>
              </w:rPr>
            </w:pPr>
          </w:p>
        </w:tc>
        <w:tc>
          <w:tcPr>
            <w:tcW w:w="672" w:type="pct"/>
            <w:tcBorders>
              <w:top w:val="single" w:color="auto" w:sz="4" w:space="0"/>
              <w:left w:val="single" w:color="auto" w:sz="4" w:space="0"/>
              <w:bottom w:val="single" w:color="auto" w:sz="4" w:space="0"/>
              <w:right w:val="single" w:color="auto" w:sz="4" w:space="0"/>
            </w:tcBorders>
            <w:vAlign w:val="center"/>
          </w:tcPr>
          <w:p w14:paraId="1C96E4C5">
            <w:pPr>
              <w:jc w:val="right"/>
              <w:textAlignment w:val="center"/>
              <w:rPr>
                <w:rFonts w:cs="Times New Roman"/>
              </w:rPr>
            </w:pPr>
            <w:r>
              <w:rPr>
                <w:rFonts w:cs="Times New Roman"/>
                <w:color w:val="000000"/>
              </w:rPr>
              <w:t>-3,189,672.88</w:t>
            </w:r>
          </w:p>
        </w:tc>
        <w:tc>
          <w:tcPr>
            <w:tcW w:w="672" w:type="pct"/>
            <w:tcBorders>
              <w:top w:val="single" w:color="auto" w:sz="4" w:space="0"/>
              <w:left w:val="single" w:color="auto" w:sz="4" w:space="0"/>
              <w:bottom w:val="single" w:color="auto" w:sz="4" w:space="0"/>
              <w:right w:val="single" w:color="auto" w:sz="4" w:space="0"/>
            </w:tcBorders>
            <w:vAlign w:val="center"/>
          </w:tcPr>
          <w:p w14:paraId="42E15C88">
            <w:pPr>
              <w:jc w:val="right"/>
              <w:textAlignment w:val="center"/>
              <w:rPr>
                <w:rFonts w:cs="Times New Roman"/>
              </w:rPr>
            </w:pPr>
            <w:r>
              <w:rPr>
                <w:rFonts w:cs="Times New Roman"/>
                <w:color w:val="000000"/>
              </w:rPr>
              <w:t>25,472,731.15</w:t>
            </w:r>
          </w:p>
        </w:tc>
        <w:tc>
          <w:tcPr>
            <w:tcW w:w="687" w:type="pct"/>
            <w:tcBorders>
              <w:top w:val="single" w:color="auto" w:sz="4" w:space="0"/>
              <w:left w:val="single" w:color="auto" w:sz="4" w:space="0"/>
              <w:bottom w:val="single" w:color="auto" w:sz="4" w:space="0"/>
              <w:right w:val="single" w:color="auto" w:sz="4" w:space="0"/>
            </w:tcBorders>
            <w:vAlign w:val="center"/>
          </w:tcPr>
          <w:p w14:paraId="6C579ECB">
            <w:pPr>
              <w:jc w:val="right"/>
              <w:rPr>
                <w:rFonts w:cs="Times New Roman"/>
              </w:rPr>
            </w:pPr>
          </w:p>
        </w:tc>
      </w:tr>
      <w:tr w14:paraId="2E7A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tcPr>
          <w:p w14:paraId="6C71FD02">
            <w:pPr>
              <w:jc w:val="both"/>
              <w:textAlignment w:val="top"/>
            </w:pPr>
            <w:r>
              <w:rPr>
                <w:rFonts w:cs="Times New Roman"/>
                <w:color w:val="000000"/>
                <w:lang w:bidi="ar"/>
              </w:rPr>
              <w:t>新兴际华科技（天津）有限公司</w:t>
            </w:r>
          </w:p>
        </w:tc>
        <w:tc>
          <w:tcPr>
            <w:tcW w:w="672" w:type="pct"/>
            <w:tcBorders>
              <w:top w:val="single" w:color="auto" w:sz="4" w:space="0"/>
              <w:left w:val="single" w:color="auto" w:sz="4" w:space="0"/>
              <w:bottom w:val="single" w:color="auto" w:sz="4" w:space="0"/>
              <w:right w:val="single" w:color="auto" w:sz="4" w:space="0"/>
            </w:tcBorders>
            <w:vAlign w:val="center"/>
          </w:tcPr>
          <w:p w14:paraId="0A1FC3C0">
            <w:pPr>
              <w:jc w:val="right"/>
              <w:textAlignment w:val="center"/>
              <w:rPr>
                <w:rFonts w:cs="Times New Roman"/>
              </w:rPr>
            </w:pPr>
            <w:r>
              <w:rPr>
                <w:rFonts w:cs="Times New Roman"/>
                <w:color w:val="000000"/>
              </w:rPr>
              <w:t>1,068,839.26</w:t>
            </w:r>
          </w:p>
        </w:tc>
        <w:tc>
          <w:tcPr>
            <w:tcW w:w="672" w:type="pct"/>
            <w:tcBorders>
              <w:top w:val="single" w:color="auto" w:sz="4" w:space="0"/>
              <w:left w:val="single" w:color="auto" w:sz="4" w:space="0"/>
              <w:bottom w:val="single" w:color="auto" w:sz="4" w:space="0"/>
              <w:right w:val="single" w:color="auto" w:sz="4" w:space="0"/>
            </w:tcBorders>
            <w:vAlign w:val="center"/>
          </w:tcPr>
          <w:p w14:paraId="7630056E">
            <w:pPr>
              <w:jc w:val="right"/>
              <w:rPr>
                <w:rFonts w:cs="Times New Roman"/>
              </w:rPr>
            </w:pPr>
          </w:p>
        </w:tc>
        <w:tc>
          <w:tcPr>
            <w:tcW w:w="672" w:type="pct"/>
            <w:tcBorders>
              <w:top w:val="single" w:color="auto" w:sz="4" w:space="0"/>
              <w:left w:val="single" w:color="auto" w:sz="4" w:space="0"/>
              <w:bottom w:val="single" w:color="auto" w:sz="4" w:space="0"/>
              <w:right w:val="single" w:color="auto" w:sz="4" w:space="0"/>
            </w:tcBorders>
            <w:vAlign w:val="center"/>
          </w:tcPr>
          <w:p w14:paraId="0E4ABC4C">
            <w:pPr>
              <w:jc w:val="right"/>
              <w:textAlignment w:val="center"/>
              <w:rPr>
                <w:rFonts w:cs="Times New Roman"/>
              </w:rPr>
            </w:pPr>
            <w:r>
              <w:rPr>
                <w:rFonts w:cs="Times New Roman"/>
                <w:color w:val="000000"/>
              </w:rPr>
              <w:t>5,787.51</w:t>
            </w:r>
          </w:p>
        </w:tc>
        <w:tc>
          <w:tcPr>
            <w:tcW w:w="672" w:type="pct"/>
            <w:tcBorders>
              <w:top w:val="single" w:color="auto" w:sz="4" w:space="0"/>
              <w:left w:val="single" w:color="auto" w:sz="4" w:space="0"/>
              <w:bottom w:val="single" w:color="auto" w:sz="4" w:space="0"/>
              <w:right w:val="single" w:color="auto" w:sz="4" w:space="0"/>
            </w:tcBorders>
            <w:vAlign w:val="center"/>
          </w:tcPr>
          <w:p w14:paraId="415E3AC8">
            <w:pPr>
              <w:jc w:val="right"/>
              <w:textAlignment w:val="center"/>
              <w:rPr>
                <w:rFonts w:cs="Times New Roman"/>
              </w:rPr>
            </w:pPr>
            <w:r>
              <w:rPr>
                <w:rFonts w:cs="Times New Roman"/>
                <w:color w:val="000000"/>
              </w:rPr>
              <w:t>1,074,626.77</w:t>
            </w:r>
          </w:p>
        </w:tc>
        <w:tc>
          <w:tcPr>
            <w:tcW w:w="687" w:type="pct"/>
            <w:tcBorders>
              <w:top w:val="single" w:color="auto" w:sz="4" w:space="0"/>
              <w:left w:val="single" w:color="auto" w:sz="4" w:space="0"/>
              <w:bottom w:val="single" w:color="auto" w:sz="4" w:space="0"/>
              <w:right w:val="single" w:color="auto" w:sz="4" w:space="0"/>
            </w:tcBorders>
            <w:vAlign w:val="center"/>
          </w:tcPr>
          <w:p w14:paraId="04BF6421">
            <w:pPr>
              <w:jc w:val="right"/>
              <w:rPr>
                <w:rFonts w:cs="Times New Roman"/>
              </w:rPr>
            </w:pPr>
          </w:p>
        </w:tc>
      </w:tr>
      <w:tr w14:paraId="7752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tcPr>
          <w:p w14:paraId="5D9F474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672" w:type="pct"/>
            <w:tcBorders>
              <w:top w:val="single" w:color="auto" w:sz="4" w:space="0"/>
              <w:left w:val="single" w:color="auto" w:sz="4" w:space="0"/>
              <w:bottom w:val="single" w:color="auto" w:sz="4" w:space="0"/>
              <w:right w:val="single" w:color="auto" w:sz="4" w:space="0"/>
            </w:tcBorders>
            <w:vAlign w:val="center"/>
          </w:tcPr>
          <w:p w14:paraId="3CEFAC58">
            <w:pPr>
              <w:jc w:val="right"/>
              <w:textAlignment w:val="center"/>
              <w:rPr>
                <w:rFonts w:cs="Times New Roman"/>
              </w:rPr>
            </w:pPr>
            <w:r>
              <w:rPr>
                <w:rFonts w:cs="Times New Roman"/>
                <w:color w:val="000000"/>
              </w:rPr>
              <w:t>48,009,657.16</w:t>
            </w:r>
          </w:p>
        </w:tc>
        <w:tc>
          <w:tcPr>
            <w:tcW w:w="672" w:type="pct"/>
            <w:tcBorders>
              <w:top w:val="single" w:color="auto" w:sz="4" w:space="0"/>
              <w:left w:val="single" w:color="auto" w:sz="4" w:space="0"/>
              <w:bottom w:val="single" w:color="auto" w:sz="4" w:space="0"/>
              <w:right w:val="single" w:color="auto" w:sz="4" w:space="0"/>
            </w:tcBorders>
            <w:vAlign w:val="center"/>
          </w:tcPr>
          <w:p w14:paraId="4562401A">
            <w:pPr>
              <w:jc w:val="right"/>
              <w:textAlignment w:val="center"/>
              <w:rPr>
                <w:rFonts w:cs="Times New Roman"/>
              </w:rPr>
            </w:pPr>
            <w:r>
              <w:rPr>
                <w:rFonts w:cs="Times New Roman"/>
                <w:color w:val="000000"/>
              </w:rPr>
              <w:t>7,721,583.57</w:t>
            </w:r>
          </w:p>
        </w:tc>
        <w:tc>
          <w:tcPr>
            <w:tcW w:w="672" w:type="pct"/>
            <w:tcBorders>
              <w:top w:val="single" w:color="auto" w:sz="4" w:space="0"/>
              <w:left w:val="single" w:color="auto" w:sz="4" w:space="0"/>
              <w:bottom w:val="single" w:color="auto" w:sz="4" w:space="0"/>
              <w:right w:val="single" w:color="auto" w:sz="4" w:space="0"/>
            </w:tcBorders>
            <w:vAlign w:val="center"/>
          </w:tcPr>
          <w:p w14:paraId="5E29A560">
            <w:pPr>
              <w:jc w:val="right"/>
              <w:textAlignment w:val="center"/>
              <w:rPr>
                <w:rFonts w:cs="Times New Roman"/>
              </w:rPr>
            </w:pPr>
            <w:r>
              <w:rPr>
                <w:rFonts w:cs="Times New Roman"/>
                <w:color w:val="000000"/>
              </w:rPr>
              <w:t>-3,274,736.02</w:t>
            </w:r>
          </w:p>
        </w:tc>
        <w:tc>
          <w:tcPr>
            <w:tcW w:w="672" w:type="pct"/>
            <w:tcBorders>
              <w:top w:val="single" w:color="auto" w:sz="4" w:space="0"/>
              <w:left w:val="single" w:color="auto" w:sz="4" w:space="0"/>
              <w:bottom w:val="single" w:color="auto" w:sz="4" w:space="0"/>
              <w:right w:val="single" w:color="auto" w:sz="4" w:space="0"/>
            </w:tcBorders>
            <w:vAlign w:val="center"/>
          </w:tcPr>
          <w:p w14:paraId="72AFEE73">
            <w:pPr>
              <w:jc w:val="right"/>
              <w:textAlignment w:val="center"/>
              <w:rPr>
                <w:rFonts w:cs="Times New Roman"/>
              </w:rPr>
            </w:pPr>
            <w:r>
              <w:rPr>
                <w:rFonts w:cs="Times New Roman"/>
                <w:color w:val="000000"/>
              </w:rPr>
              <w:t>44,734,921.14</w:t>
            </w:r>
          </w:p>
        </w:tc>
        <w:tc>
          <w:tcPr>
            <w:tcW w:w="687" w:type="pct"/>
            <w:tcBorders>
              <w:top w:val="single" w:color="auto" w:sz="4" w:space="0"/>
              <w:left w:val="single" w:color="auto" w:sz="4" w:space="0"/>
              <w:bottom w:val="single" w:color="auto" w:sz="4" w:space="0"/>
              <w:right w:val="single" w:color="auto" w:sz="4" w:space="0"/>
            </w:tcBorders>
            <w:vAlign w:val="center"/>
          </w:tcPr>
          <w:p w14:paraId="4454B380">
            <w:pPr>
              <w:jc w:val="right"/>
              <w:textAlignment w:val="center"/>
              <w:rPr>
                <w:rFonts w:cs="Times New Roman"/>
              </w:rPr>
            </w:pPr>
            <w:r>
              <w:rPr>
                <w:rFonts w:cs="Times New Roman"/>
                <w:color w:val="000000"/>
              </w:rPr>
              <w:t>7,721,583.57</w:t>
            </w:r>
          </w:p>
        </w:tc>
      </w:tr>
      <w:tr w14:paraId="6177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pct"/>
            <w:tcBorders>
              <w:top w:val="single" w:color="auto" w:sz="4" w:space="0"/>
              <w:left w:val="single" w:color="auto" w:sz="4" w:space="0"/>
              <w:bottom w:val="single" w:color="auto" w:sz="4" w:space="0"/>
              <w:right w:val="single" w:color="auto" w:sz="4" w:space="0"/>
            </w:tcBorders>
            <w:vAlign w:val="center"/>
          </w:tcPr>
          <w:p w14:paraId="2313C25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72" w:type="pct"/>
            <w:tcBorders>
              <w:top w:val="single" w:color="auto" w:sz="4" w:space="0"/>
              <w:left w:val="single" w:color="auto" w:sz="4" w:space="0"/>
              <w:bottom w:val="single" w:color="auto" w:sz="4" w:space="0"/>
              <w:right w:val="single" w:color="auto" w:sz="4" w:space="0"/>
            </w:tcBorders>
            <w:vAlign w:val="center"/>
          </w:tcPr>
          <w:p w14:paraId="72E8EB5D">
            <w:pPr>
              <w:jc w:val="right"/>
              <w:textAlignment w:val="center"/>
              <w:rPr>
                <w:rFonts w:cs="Times New Roman"/>
              </w:rPr>
            </w:pPr>
            <w:r>
              <w:rPr>
                <w:rFonts w:cs="Times New Roman"/>
                <w:color w:val="000000"/>
              </w:rPr>
              <w:t>48,009,657.16</w:t>
            </w:r>
          </w:p>
        </w:tc>
        <w:tc>
          <w:tcPr>
            <w:tcW w:w="672" w:type="pct"/>
            <w:tcBorders>
              <w:top w:val="single" w:color="auto" w:sz="4" w:space="0"/>
              <w:left w:val="single" w:color="auto" w:sz="4" w:space="0"/>
              <w:bottom w:val="single" w:color="auto" w:sz="4" w:space="0"/>
              <w:right w:val="single" w:color="auto" w:sz="4" w:space="0"/>
            </w:tcBorders>
            <w:vAlign w:val="center"/>
          </w:tcPr>
          <w:p w14:paraId="0E7F15C4">
            <w:pPr>
              <w:jc w:val="right"/>
              <w:textAlignment w:val="center"/>
              <w:rPr>
                <w:rFonts w:cs="Times New Roman"/>
              </w:rPr>
            </w:pPr>
            <w:r>
              <w:rPr>
                <w:rFonts w:cs="Times New Roman"/>
                <w:color w:val="000000"/>
              </w:rPr>
              <w:t>7,721,583.57</w:t>
            </w:r>
          </w:p>
        </w:tc>
        <w:tc>
          <w:tcPr>
            <w:tcW w:w="672" w:type="pct"/>
            <w:tcBorders>
              <w:top w:val="single" w:color="auto" w:sz="4" w:space="0"/>
              <w:left w:val="single" w:color="auto" w:sz="4" w:space="0"/>
              <w:bottom w:val="single" w:color="auto" w:sz="4" w:space="0"/>
              <w:right w:val="single" w:color="auto" w:sz="4" w:space="0"/>
            </w:tcBorders>
            <w:vAlign w:val="center"/>
          </w:tcPr>
          <w:p w14:paraId="1B6EDF16">
            <w:pPr>
              <w:jc w:val="right"/>
              <w:textAlignment w:val="center"/>
              <w:rPr>
                <w:rFonts w:cs="Times New Roman"/>
              </w:rPr>
            </w:pPr>
            <w:r>
              <w:rPr>
                <w:rFonts w:cs="Times New Roman"/>
                <w:color w:val="000000"/>
              </w:rPr>
              <w:t>-3,274,736.02</w:t>
            </w:r>
          </w:p>
        </w:tc>
        <w:tc>
          <w:tcPr>
            <w:tcW w:w="672" w:type="pct"/>
            <w:tcBorders>
              <w:top w:val="single" w:color="auto" w:sz="4" w:space="0"/>
              <w:left w:val="single" w:color="auto" w:sz="4" w:space="0"/>
              <w:bottom w:val="single" w:color="auto" w:sz="4" w:space="0"/>
              <w:right w:val="single" w:color="auto" w:sz="4" w:space="0"/>
            </w:tcBorders>
            <w:vAlign w:val="center"/>
          </w:tcPr>
          <w:p w14:paraId="725E7F98">
            <w:pPr>
              <w:jc w:val="right"/>
              <w:textAlignment w:val="center"/>
              <w:rPr>
                <w:rFonts w:cs="Times New Roman"/>
              </w:rPr>
            </w:pPr>
            <w:r>
              <w:rPr>
                <w:rFonts w:cs="Times New Roman"/>
                <w:color w:val="000000"/>
              </w:rPr>
              <w:t>44,734,921.14</w:t>
            </w:r>
          </w:p>
        </w:tc>
        <w:tc>
          <w:tcPr>
            <w:tcW w:w="687" w:type="pct"/>
            <w:tcBorders>
              <w:top w:val="single" w:color="auto" w:sz="4" w:space="0"/>
              <w:left w:val="single" w:color="auto" w:sz="4" w:space="0"/>
              <w:bottom w:val="single" w:color="auto" w:sz="4" w:space="0"/>
              <w:right w:val="single" w:color="auto" w:sz="4" w:space="0"/>
            </w:tcBorders>
            <w:vAlign w:val="center"/>
          </w:tcPr>
          <w:p w14:paraId="69906FA5">
            <w:pPr>
              <w:jc w:val="right"/>
              <w:textAlignment w:val="center"/>
              <w:rPr>
                <w:rFonts w:cs="Times New Roman"/>
              </w:rPr>
            </w:pPr>
            <w:r>
              <w:rPr>
                <w:rFonts w:cs="Times New Roman"/>
                <w:color w:val="000000"/>
              </w:rPr>
              <w:t>7,721,583.57</w:t>
            </w:r>
          </w:p>
        </w:tc>
      </w:tr>
    </w:tbl>
    <w:p w14:paraId="05B40DA0"/>
    <w:p w14:paraId="4C836E56">
      <w:pPr>
        <w:pStyle w:val="58"/>
        <w:numPr>
          <w:ilvl w:val="0"/>
          <w:numId w:val="67"/>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长期股权投资的减值测试情况</w:t>
      </w:r>
    </w:p>
    <w:sdt>
      <w:sdtPr>
        <w:rPr>
          <w:color w:val="000000" w:themeColor="text1"/>
          <w14:textFill>
            <w14:solidFill>
              <w14:schemeClr w14:val="tx1"/>
            </w14:solidFill>
          </w14:textFill>
        </w:rPr>
        <w:alias w:val="是否适用：减值测试情况[双击切换]"/>
        <w:tag w:val="_GBC_c736c8a0ce06478bb4d52ef30b7043c8"/>
        <w:id w:val="147472288"/>
        <w:placeholder>
          <w:docPart w:val="GBC22222222222222222222222222222"/>
        </w:placeholder>
      </w:sdtPr>
      <w:sdtEndPr>
        <w:rPr>
          <w:color w:val="000000" w:themeColor="text1"/>
          <w14:textFill>
            <w14:solidFill>
              <w14:schemeClr w14:val="tx1"/>
            </w14:solidFill>
          </w14:textFill>
        </w:rPr>
      </w:sdtEndPr>
      <w:sdtContent>
        <w:p w14:paraId="2782466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36357E3">
      <w:pPr>
        <w:snapToGrid w:val="0"/>
        <w:spacing w:line="240" w:lineRule="atLeast"/>
        <w:rPr>
          <w:color w:val="000000" w:themeColor="text1"/>
          <w14:textFill>
            <w14:solidFill>
              <w14:schemeClr w14:val="tx1"/>
            </w14:solidFill>
          </w14:textFill>
        </w:rPr>
      </w:pPr>
    </w:p>
    <w:p w14:paraId="78335257">
      <w:pPr>
        <w:snapToGrid w:val="0"/>
        <w:spacing w:line="240" w:lineRule="atLeast"/>
        <w:rPr>
          <w:color w:val="000000" w:themeColor="text1"/>
          <w14:textFill>
            <w14:solidFill>
              <w14:schemeClr w14:val="tx1"/>
            </w14:solidFill>
          </w14:textFill>
        </w:rPr>
      </w:pPr>
    </w:p>
    <w:bookmarkEnd w:id="296"/>
    <w:p w14:paraId="098762F9">
      <w:pPr>
        <w:snapToGrid w:val="0"/>
        <w:spacing w:line="240" w:lineRule="atLeast"/>
        <w:rPr>
          <w:color w:val="000000" w:themeColor="text1"/>
          <w14:textFill>
            <w14:solidFill>
              <w14:schemeClr w14:val="tx1"/>
            </w14:solidFill>
          </w14:textFill>
        </w:rPr>
      </w:pPr>
      <w:bookmarkStart w:id="298" w:name="_Hlk167893618"/>
      <w:r>
        <w:rPr>
          <w:rFonts w:hint="eastAsia"/>
          <w:color w:val="000000" w:themeColor="text1"/>
          <w14:textFill>
            <w14:solidFill>
              <w14:schemeClr w14:val="tx1"/>
            </w14:solidFill>
          </w14:textFill>
        </w:rPr>
        <w:t>其他说明</w:t>
      </w:r>
    </w:p>
    <w:p w14:paraId="68E51380">
      <w:pPr>
        <w:snapToGrid w:val="0"/>
        <w:spacing w:line="240" w:lineRule="atLeast"/>
        <w:rPr>
          <w:color w:val="000000" w:themeColor="text1"/>
          <w14:textFill>
            <w14:solidFill>
              <w14:schemeClr w14:val="tx1"/>
            </w14:solidFill>
          </w14:textFill>
        </w:rPr>
      </w:pPr>
      <w:sdt>
        <w:sdtPr>
          <w:rPr>
            <w:color w:val="000000" w:themeColor="text1"/>
            <w14:textFill>
              <w14:solidFill>
                <w14:schemeClr w14:val="tx1"/>
              </w14:solidFill>
            </w14:textFill>
          </w:rPr>
          <w:alias w:val="长期股票投资的说明"/>
          <w:tag w:val="_GBC_de8cfc4ca45d42b88f7513c93a853186"/>
          <w:id w:val="147453418"/>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155C0CAF">
      <w:pPr>
        <w:snapToGrid w:val="0"/>
        <w:spacing w:line="240" w:lineRule="atLeast"/>
        <w:rPr>
          <w:color w:val="000000" w:themeColor="text1"/>
          <w14:textFill>
            <w14:solidFill>
              <w14:schemeClr w14:val="tx1"/>
            </w14:solidFill>
          </w14:textFill>
        </w:rPr>
      </w:pPr>
    </w:p>
    <w:p w14:paraId="72C09EDE">
      <w:pPr>
        <w:snapToGrid w:val="0"/>
        <w:spacing w:line="240" w:lineRule="atLeast"/>
        <w:rPr>
          <w:color w:val="000000" w:themeColor="text1"/>
          <w14:textFill>
            <w14:solidFill>
              <w14:schemeClr w14:val="tx1"/>
            </w14:solidFill>
          </w14:textFill>
        </w:rPr>
      </w:pPr>
    </w:p>
    <w:bookmarkEnd w:id="297"/>
    <w:bookmarkEnd w:id="298"/>
    <w:p w14:paraId="1D87A707">
      <w:pPr>
        <w:pStyle w:val="57"/>
        <w:numPr>
          <w:ilvl w:val="0"/>
          <w:numId w:val="54"/>
        </w:numPr>
        <w:rPr>
          <w:color w:val="000000" w:themeColor="text1"/>
          <w:szCs w:val="21"/>
          <w14:textFill>
            <w14:solidFill>
              <w14:schemeClr w14:val="tx1"/>
            </w14:solidFill>
          </w14:textFill>
        </w:rPr>
      </w:pPr>
      <w:bookmarkStart w:id="299" w:name="_Hlk152858292"/>
      <w:bookmarkStart w:id="300" w:name="_Hlk533409702"/>
      <w:bookmarkStart w:id="301" w:name="_Hlk167895169"/>
      <w:r>
        <w:rPr>
          <w:color w:val="000000" w:themeColor="text1"/>
          <w:szCs w:val="21"/>
          <w14:textFill>
            <w14:solidFill>
              <w14:schemeClr w14:val="tx1"/>
            </w14:solidFill>
          </w14:textFill>
        </w:rPr>
        <w:t>其他权益工具投资</w:t>
      </w:r>
    </w:p>
    <w:p w14:paraId="67F73EB1">
      <w:pPr>
        <w:pStyle w:val="58"/>
        <w:numPr>
          <w:ilvl w:val="3"/>
          <w:numId w:val="68"/>
        </w:numPr>
        <w:ind w:left="426" w:hanging="426"/>
        <w:rPr>
          <w:color w:val="000000" w:themeColor="text1"/>
          <w14:textFill>
            <w14:solidFill>
              <w14:schemeClr w14:val="tx1"/>
            </w14:solidFill>
          </w14:textFill>
        </w:rPr>
      </w:pPr>
      <w:bookmarkStart w:id="302" w:name="_Hlk532994936"/>
      <w:r>
        <w:rPr>
          <w:rFonts w:hint="eastAsia"/>
          <w:color w:val="000000" w:themeColor="text1"/>
          <w14:textFill>
            <w14:solidFill>
              <w14:schemeClr w14:val="tx1"/>
            </w14:solidFill>
          </w14:textFill>
        </w:rPr>
        <w:t>其他权益工具投资情况</w:t>
      </w:r>
    </w:p>
    <w:sdt>
      <w:sdtPr>
        <w:rPr>
          <w:color w:val="000000" w:themeColor="text1"/>
          <w14:textFill>
            <w14:solidFill>
              <w14:schemeClr w14:val="tx1"/>
            </w14:solidFill>
          </w14:textFill>
        </w:rPr>
        <w:alias w:val="是否适用：其他权益工具投资情况[双击切换]"/>
        <w:tag w:val="_GBC_ac87b47cf70d4820a1189b53bf53af73"/>
        <w:id w:val="147451774"/>
        <w:placeholder>
          <w:docPart w:val="GBC22222222222222222222222222222"/>
        </w:placeholder>
      </w:sdtPr>
      <w:sdtEndPr>
        <w:rPr>
          <w:color w:val="000000" w:themeColor="text1"/>
          <w14:textFill>
            <w14:solidFill>
              <w14:schemeClr w14:val="tx1"/>
            </w14:solidFill>
          </w14:textFill>
        </w:rPr>
      </w:sdtEndPr>
      <w:sdtContent>
        <w:p w14:paraId="6351EA3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A231318">
      <w:pPr>
        <w:autoSpaceDE w:val="0"/>
        <w:autoSpaceDN w:val="0"/>
        <w:adjustRightInd w:val="0"/>
        <w:ind w:left="5880" w:right="105"/>
        <w:jc w:val="right"/>
        <w:rPr>
          <w:color w:val="000000" w:themeColor="text1"/>
          <w14:textFill>
            <w14:solidFill>
              <w14:schemeClr w14:val="tx1"/>
            </w14:solidFill>
          </w14:textFill>
        </w:rPr>
      </w:pPr>
    </w:p>
    <w:p w14:paraId="2C173DEB">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权益工具投资情况"/>
          <w:tag w:val="_GBC_9bbc2bc262694a308c04bf4f25e3f1bb"/>
          <w:id w:val="1474587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权益工具投资情况"/>
          <w:tag w:val="_GBC_c944479021b54a639f17a7b9d298ba98"/>
          <w:id w:val="1474815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299"/>
    <w:bookmarkEnd w:id="300"/>
    <w:bookmarkEnd w:id="302"/>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6"/>
        <w:gridCol w:w="2049"/>
        <w:gridCol w:w="1852"/>
        <w:gridCol w:w="2246"/>
        <w:gridCol w:w="3518"/>
      </w:tblGrid>
      <w:tr w14:paraId="08C4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sdt>
          <w:sdtPr>
            <w:tag w:val="_PLD_3daf209c1b064e4980c71e7ae45806a6"/>
            <w:id w:val="147452403"/>
          </w:sdtPr>
          <w:sdtContent>
            <w:tc>
              <w:tcPr>
                <w:tcW w:w="1567" w:type="pct"/>
                <w:vMerge w:val="restart"/>
                <w:tcBorders>
                  <w:top w:val="single" w:color="auto" w:sz="4" w:space="0"/>
                  <w:left w:val="single" w:color="auto" w:sz="4" w:space="0"/>
                  <w:right w:val="single" w:color="auto" w:sz="4" w:space="0"/>
                </w:tcBorders>
                <w:vAlign w:val="center"/>
              </w:tcPr>
              <w:p w14:paraId="22CA9E4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20fa0d77b4406390305b87a75671b0"/>
            <w:id w:val="147451792"/>
          </w:sdtPr>
          <w:sdtContent>
            <w:tc>
              <w:tcPr>
                <w:tcW w:w="727" w:type="pct"/>
                <w:vMerge w:val="restart"/>
                <w:tcBorders>
                  <w:top w:val="single" w:color="auto" w:sz="4" w:space="0"/>
                  <w:left w:val="single" w:color="auto" w:sz="4" w:space="0"/>
                  <w:right w:val="single" w:color="auto" w:sz="4" w:space="0"/>
                </w:tcBorders>
                <w:vAlign w:val="center"/>
              </w:tcPr>
              <w:p w14:paraId="42C1D0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4A01EAD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d9fc41afb57d40a5826584d39a74e53d"/>
            <w:id w:val="147475617"/>
          </w:sdtPr>
          <w:sdtContent>
            <w:tc>
              <w:tcPr>
                <w:tcW w:w="657" w:type="pct"/>
                <w:vMerge w:val="restart"/>
                <w:tcBorders>
                  <w:top w:val="single" w:color="auto" w:sz="4" w:space="0"/>
                  <w:left w:val="single" w:color="auto" w:sz="4" w:space="0"/>
                  <w:right w:val="single" w:color="auto" w:sz="4" w:space="0"/>
                </w:tcBorders>
                <w:vAlign w:val="center"/>
              </w:tcPr>
              <w:p w14:paraId="78853D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14:paraId="3EF1739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5f0ce8d1a2e4468abbf27c5755f10b41"/>
            <w:id w:val="147455076"/>
          </w:sdtPr>
          <w:sdtContent>
            <w:tc>
              <w:tcPr>
                <w:tcW w:w="797" w:type="pct"/>
                <w:vMerge w:val="restart"/>
                <w:tcBorders>
                  <w:top w:val="single" w:color="auto" w:sz="4" w:space="0"/>
                  <w:left w:val="single" w:color="auto" w:sz="4" w:space="0"/>
                  <w:right w:val="single" w:color="auto" w:sz="4" w:space="0"/>
                </w:tcBorders>
                <w:vAlign w:val="center"/>
              </w:tcPr>
              <w:p w14:paraId="017008F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累计计入其他综合收益的损失</w:t>
                </w:r>
              </w:p>
            </w:tc>
          </w:sdtContent>
        </w:sdt>
        <w:sdt>
          <w:sdtPr>
            <w:tag w:val="_PLD_30dbafaa8a8b420cb3406f22958c59c0"/>
            <w:id w:val="147477601"/>
          </w:sdtPr>
          <w:sdtContent>
            <w:tc>
              <w:tcPr>
                <w:tcW w:w="1248" w:type="pct"/>
                <w:vMerge w:val="restart"/>
                <w:tcBorders>
                  <w:top w:val="single" w:color="auto" w:sz="4" w:space="0"/>
                  <w:left w:val="single" w:color="auto" w:sz="4" w:space="0"/>
                  <w:right w:val="single" w:color="auto" w:sz="4" w:space="0"/>
                </w:tcBorders>
                <w:vAlign w:val="center"/>
              </w:tcPr>
              <w:p w14:paraId="733527C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指定为以公允价值计量且其变动计入其他综合收益的原因</w:t>
                </w:r>
              </w:p>
            </w:tc>
          </w:sdtContent>
        </w:sdt>
      </w:tr>
      <w:tr w14:paraId="7166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67" w:type="pct"/>
            <w:vMerge w:val="continue"/>
            <w:tcBorders>
              <w:left w:val="single" w:color="auto" w:sz="4" w:space="0"/>
              <w:bottom w:val="single" w:color="auto" w:sz="4" w:space="0"/>
              <w:right w:val="single" w:color="auto" w:sz="4" w:space="0"/>
            </w:tcBorders>
          </w:tcPr>
          <w:p w14:paraId="07E13382">
            <w:pPr>
              <w:jc w:val="center"/>
              <w:rPr>
                <w:color w:val="000000" w:themeColor="text1"/>
                <w14:textFill>
                  <w14:solidFill>
                    <w14:schemeClr w14:val="tx1"/>
                  </w14:solidFill>
                </w14:textFill>
              </w:rPr>
            </w:pPr>
          </w:p>
        </w:tc>
        <w:tc>
          <w:tcPr>
            <w:tcW w:w="727" w:type="pct"/>
            <w:vMerge w:val="continue"/>
            <w:tcBorders>
              <w:left w:val="single" w:color="auto" w:sz="4" w:space="0"/>
              <w:bottom w:val="single" w:color="auto" w:sz="4" w:space="0"/>
              <w:right w:val="single" w:color="auto" w:sz="4" w:space="0"/>
            </w:tcBorders>
          </w:tcPr>
          <w:p w14:paraId="78908F74">
            <w:pPr>
              <w:jc w:val="center"/>
              <w:rPr>
                <w:color w:val="000000" w:themeColor="text1"/>
                <w14:textFill>
                  <w14:solidFill>
                    <w14:schemeClr w14:val="tx1"/>
                  </w14:solidFill>
                </w14:textFill>
              </w:rPr>
            </w:pPr>
          </w:p>
        </w:tc>
        <w:tc>
          <w:tcPr>
            <w:tcW w:w="657" w:type="pct"/>
            <w:vMerge w:val="continue"/>
            <w:tcBorders>
              <w:left w:val="single" w:color="auto" w:sz="4" w:space="0"/>
              <w:bottom w:val="single" w:color="auto" w:sz="4" w:space="0"/>
              <w:right w:val="single" w:color="auto" w:sz="4" w:space="0"/>
            </w:tcBorders>
            <w:vAlign w:val="center"/>
          </w:tcPr>
          <w:p w14:paraId="1F20CF29">
            <w:pPr>
              <w:jc w:val="center"/>
              <w:rPr>
                <w:color w:val="000000" w:themeColor="text1"/>
                <w14:textFill>
                  <w14:solidFill>
                    <w14:schemeClr w14:val="tx1"/>
                  </w14:solidFill>
                </w14:textFill>
              </w:rPr>
            </w:pPr>
          </w:p>
        </w:tc>
        <w:tc>
          <w:tcPr>
            <w:tcW w:w="797" w:type="pct"/>
            <w:vMerge w:val="continue"/>
            <w:tcBorders>
              <w:left w:val="single" w:color="auto" w:sz="4" w:space="0"/>
              <w:bottom w:val="single" w:color="auto" w:sz="4" w:space="0"/>
              <w:right w:val="single" w:color="auto" w:sz="4" w:space="0"/>
            </w:tcBorders>
          </w:tcPr>
          <w:p w14:paraId="04671477">
            <w:pPr>
              <w:jc w:val="center"/>
              <w:rPr>
                <w:color w:val="000000" w:themeColor="text1"/>
                <w14:textFill>
                  <w14:solidFill>
                    <w14:schemeClr w14:val="tx1"/>
                  </w14:solidFill>
                </w14:textFill>
              </w:rPr>
            </w:pPr>
          </w:p>
        </w:tc>
        <w:tc>
          <w:tcPr>
            <w:tcW w:w="1248" w:type="pct"/>
            <w:vMerge w:val="continue"/>
            <w:tcBorders>
              <w:left w:val="single" w:color="auto" w:sz="4" w:space="0"/>
              <w:bottom w:val="single" w:color="auto" w:sz="4" w:space="0"/>
              <w:right w:val="single" w:color="auto" w:sz="4" w:space="0"/>
            </w:tcBorders>
            <w:vAlign w:val="center"/>
          </w:tcPr>
          <w:p w14:paraId="04AD89BB">
            <w:pPr>
              <w:jc w:val="center"/>
              <w:rPr>
                <w:color w:val="000000" w:themeColor="text1"/>
                <w14:textFill>
                  <w14:solidFill>
                    <w14:schemeClr w14:val="tx1"/>
                  </w14:solidFill>
                </w14:textFill>
              </w:rPr>
            </w:pPr>
          </w:p>
        </w:tc>
      </w:tr>
      <w:tr w14:paraId="6338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67" w:type="pct"/>
            <w:tcBorders>
              <w:top w:val="single" w:color="auto" w:sz="4" w:space="0"/>
              <w:left w:val="single" w:color="auto" w:sz="4" w:space="0"/>
              <w:bottom w:val="single" w:color="auto" w:sz="4" w:space="0"/>
              <w:right w:val="single" w:color="auto" w:sz="4" w:space="0"/>
            </w:tcBorders>
            <w:vAlign w:val="center"/>
          </w:tcPr>
          <w:p w14:paraId="33A52035">
            <w:pPr>
              <w:jc w:val="both"/>
              <w:textAlignment w:val="top"/>
              <w:rPr>
                <w:rFonts w:cs="Times New Roman"/>
                <w:color w:val="000000"/>
                <w:lang w:bidi="ar"/>
              </w:rPr>
            </w:pPr>
            <w:r>
              <w:rPr>
                <w:rFonts w:cs="Times New Roman"/>
                <w:color w:val="000000"/>
                <w:lang w:bidi="ar"/>
              </w:rPr>
              <w:t>新兴际华投资有限公司</w:t>
            </w:r>
          </w:p>
        </w:tc>
        <w:tc>
          <w:tcPr>
            <w:tcW w:w="727" w:type="pct"/>
            <w:tcBorders>
              <w:top w:val="single" w:color="auto" w:sz="4" w:space="0"/>
              <w:left w:val="single" w:color="auto" w:sz="4" w:space="0"/>
              <w:bottom w:val="single" w:color="auto" w:sz="4" w:space="0"/>
              <w:right w:val="single" w:color="auto" w:sz="4" w:space="0"/>
            </w:tcBorders>
            <w:vAlign w:val="center"/>
          </w:tcPr>
          <w:p w14:paraId="0EC587DB">
            <w:pPr>
              <w:jc w:val="right"/>
              <w:textAlignment w:val="center"/>
              <w:rPr>
                <w:rFonts w:cs="Times New Roman"/>
              </w:rPr>
            </w:pPr>
            <w:r>
              <w:rPr>
                <w:rFonts w:cs="Times New Roman"/>
                <w:color w:val="000000"/>
              </w:rPr>
              <w:t>497,099,612.00</w:t>
            </w:r>
          </w:p>
        </w:tc>
        <w:tc>
          <w:tcPr>
            <w:tcW w:w="657" w:type="pct"/>
            <w:tcBorders>
              <w:top w:val="single" w:color="auto" w:sz="4" w:space="0"/>
              <w:left w:val="single" w:color="auto" w:sz="4" w:space="0"/>
              <w:bottom w:val="single" w:color="auto" w:sz="4" w:space="0"/>
              <w:right w:val="single" w:color="auto" w:sz="4" w:space="0"/>
            </w:tcBorders>
            <w:vAlign w:val="center"/>
          </w:tcPr>
          <w:p w14:paraId="5588873D">
            <w:pPr>
              <w:jc w:val="right"/>
              <w:textAlignment w:val="center"/>
              <w:rPr>
                <w:rFonts w:cs="Times New Roman"/>
              </w:rPr>
            </w:pPr>
            <w:r>
              <w:rPr>
                <w:rFonts w:cs="Times New Roman"/>
                <w:color w:val="000000"/>
              </w:rPr>
              <w:t>497,099,612.00</w:t>
            </w:r>
          </w:p>
        </w:tc>
        <w:tc>
          <w:tcPr>
            <w:tcW w:w="797" w:type="pct"/>
            <w:tcBorders>
              <w:top w:val="single" w:color="auto" w:sz="4" w:space="0"/>
              <w:left w:val="single" w:color="auto" w:sz="4" w:space="0"/>
              <w:bottom w:val="single" w:color="auto" w:sz="4" w:space="0"/>
              <w:right w:val="single" w:color="auto" w:sz="4" w:space="0"/>
            </w:tcBorders>
            <w:vAlign w:val="center"/>
          </w:tcPr>
          <w:p w14:paraId="284DEDEA">
            <w:pPr>
              <w:jc w:val="right"/>
              <w:textAlignment w:val="center"/>
              <w:rPr>
                <w:rFonts w:cs="Times New Roman"/>
              </w:rPr>
            </w:pPr>
            <w:r>
              <w:rPr>
                <w:rFonts w:cs="Times New Roman"/>
                <w:color w:val="000000"/>
              </w:rPr>
              <w:t>225,999,968.83</w:t>
            </w:r>
          </w:p>
        </w:tc>
        <w:tc>
          <w:tcPr>
            <w:tcW w:w="1248" w:type="pct"/>
            <w:tcBorders>
              <w:top w:val="single" w:color="auto" w:sz="4" w:space="0"/>
              <w:left w:val="single" w:color="auto" w:sz="4" w:space="0"/>
              <w:bottom w:val="single" w:color="auto" w:sz="4" w:space="0"/>
              <w:right w:val="single" w:color="auto" w:sz="4" w:space="0"/>
            </w:tcBorders>
            <w:vAlign w:val="center"/>
          </w:tcPr>
          <w:p w14:paraId="5E486481">
            <w:pPr>
              <w:jc w:val="center"/>
              <w:textAlignment w:val="top"/>
              <w:rPr>
                <w:rFonts w:cs="Times New Roman"/>
                <w:color w:val="000000"/>
                <w:lang w:bidi="ar"/>
              </w:rPr>
            </w:pPr>
            <w:r>
              <w:rPr>
                <w:rFonts w:hint="eastAsia" w:cs="Times New Roman"/>
                <w:color w:val="000000"/>
                <w:lang w:bidi="ar"/>
              </w:rPr>
              <w:t>非交易性权益工具</w:t>
            </w:r>
          </w:p>
        </w:tc>
      </w:tr>
      <w:tr w14:paraId="0E54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pct"/>
            <w:tcBorders>
              <w:top w:val="single" w:color="auto" w:sz="4" w:space="0"/>
              <w:left w:val="single" w:color="auto" w:sz="4" w:space="0"/>
              <w:bottom w:val="single" w:color="auto" w:sz="4" w:space="0"/>
              <w:right w:val="single" w:color="auto" w:sz="4" w:space="0"/>
            </w:tcBorders>
            <w:vAlign w:val="center"/>
          </w:tcPr>
          <w:p w14:paraId="3CB22096">
            <w:pPr>
              <w:jc w:val="both"/>
              <w:textAlignment w:val="top"/>
              <w:rPr>
                <w:rFonts w:cs="Times New Roman"/>
                <w:color w:val="000000"/>
                <w:lang w:bidi="ar"/>
              </w:rPr>
            </w:pPr>
            <w:r>
              <w:rPr>
                <w:rFonts w:cs="Times New Roman"/>
                <w:color w:val="000000"/>
                <w:lang w:bidi="ar"/>
              </w:rPr>
              <w:t>青海省博鸿化工科技股份有限公司</w:t>
            </w:r>
          </w:p>
        </w:tc>
        <w:tc>
          <w:tcPr>
            <w:tcW w:w="727" w:type="pct"/>
            <w:tcBorders>
              <w:top w:val="single" w:color="auto" w:sz="4" w:space="0"/>
              <w:left w:val="single" w:color="auto" w:sz="4" w:space="0"/>
              <w:bottom w:val="single" w:color="auto" w:sz="4" w:space="0"/>
              <w:right w:val="single" w:color="auto" w:sz="4" w:space="0"/>
            </w:tcBorders>
            <w:vAlign w:val="center"/>
          </w:tcPr>
          <w:p w14:paraId="620705F2">
            <w:pPr>
              <w:jc w:val="right"/>
              <w:textAlignment w:val="center"/>
              <w:rPr>
                <w:rFonts w:cs="Times New Roman"/>
              </w:rPr>
            </w:pPr>
            <w:r>
              <w:rPr>
                <w:rFonts w:cs="Times New Roman"/>
                <w:color w:val="000000"/>
              </w:rPr>
              <w:t>22,286,800.00</w:t>
            </w:r>
          </w:p>
        </w:tc>
        <w:tc>
          <w:tcPr>
            <w:tcW w:w="657" w:type="pct"/>
            <w:tcBorders>
              <w:top w:val="single" w:color="auto" w:sz="4" w:space="0"/>
              <w:left w:val="single" w:color="auto" w:sz="4" w:space="0"/>
              <w:bottom w:val="single" w:color="auto" w:sz="4" w:space="0"/>
              <w:right w:val="single" w:color="auto" w:sz="4" w:space="0"/>
            </w:tcBorders>
            <w:vAlign w:val="center"/>
          </w:tcPr>
          <w:p w14:paraId="30E4E824">
            <w:pPr>
              <w:jc w:val="right"/>
              <w:textAlignment w:val="center"/>
              <w:rPr>
                <w:rFonts w:cs="Times New Roman"/>
              </w:rPr>
            </w:pPr>
            <w:r>
              <w:rPr>
                <w:rFonts w:cs="Times New Roman"/>
                <w:color w:val="000000"/>
              </w:rPr>
              <w:t>22,286,800.00</w:t>
            </w:r>
          </w:p>
        </w:tc>
        <w:tc>
          <w:tcPr>
            <w:tcW w:w="797" w:type="pct"/>
            <w:tcBorders>
              <w:top w:val="single" w:color="auto" w:sz="4" w:space="0"/>
              <w:left w:val="single" w:color="auto" w:sz="4" w:space="0"/>
              <w:bottom w:val="single" w:color="auto" w:sz="4" w:space="0"/>
              <w:right w:val="single" w:color="auto" w:sz="4" w:space="0"/>
            </w:tcBorders>
            <w:vAlign w:val="center"/>
          </w:tcPr>
          <w:p w14:paraId="0EA1203A">
            <w:pPr>
              <w:jc w:val="right"/>
              <w:rPr>
                <w:rFonts w:cs="Times New Roman"/>
              </w:rPr>
            </w:pPr>
          </w:p>
        </w:tc>
        <w:tc>
          <w:tcPr>
            <w:tcW w:w="1248" w:type="pct"/>
            <w:tcBorders>
              <w:top w:val="single" w:color="auto" w:sz="4" w:space="0"/>
              <w:left w:val="single" w:color="auto" w:sz="4" w:space="0"/>
              <w:bottom w:val="single" w:color="auto" w:sz="4" w:space="0"/>
              <w:right w:val="single" w:color="auto" w:sz="4" w:space="0"/>
            </w:tcBorders>
            <w:vAlign w:val="center"/>
          </w:tcPr>
          <w:p w14:paraId="61B53B3F">
            <w:pPr>
              <w:jc w:val="center"/>
              <w:textAlignment w:val="top"/>
              <w:rPr>
                <w:rFonts w:cs="Times New Roman"/>
                <w:color w:val="000000"/>
                <w:lang w:bidi="ar"/>
              </w:rPr>
            </w:pPr>
            <w:r>
              <w:rPr>
                <w:rFonts w:hint="eastAsia" w:cs="Times New Roman"/>
                <w:color w:val="000000"/>
                <w:lang w:bidi="ar"/>
              </w:rPr>
              <w:t>非交易性权益工具</w:t>
            </w:r>
          </w:p>
        </w:tc>
      </w:tr>
      <w:tr w14:paraId="4B3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pct"/>
            <w:tcBorders>
              <w:top w:val="single" w:color="auto" w:sz="4" w:space="0"/>
              <w:left w:val="single" w:color="auto" w:sz="4" w:space="0"/>
              <w:bottom w:val="single" w:color="auto" w:sz="4" w:space="0"/>
              <w:right w:val="single" w:color="auto" w:sz="4" w:space="0"/>
            </w:tcBorders>
            <w:vAlign w:val="center"/>
          </w:tcPr>
          <w:p w14:paraId="59589631">
            <w:pPr>
              <w:jc w:val="both"/>
              <w:textAlignment w:val="top"/>
              <w:rPr>
                <w:rFonts w:cs="Times New Roman"/>
                <w:color w:val="000000"/>
                <w:lang w:bidi="ar"/>
              </w:rPr>
            </w:pPr>
            <w:r>
              <w:rPr>
                <w:rFonts w:cs="Times New Roman"/>
                <w:color w:val="000000"/>
                <w:lang w:bidi="ar"/>
              </w:rPr>
              <w:t>安徽锦源复合材料环保科技有限公司</w:t>
            </w:r>
          </w:p>
        </w:tc>
        <w:tc>
          <w:tcPr>
            <w:tcW w:w="727" w:type="pct"/>
            <w:tcBorders>
              <w:top w:val="single" w:color="auto" w:sz="4" w:space="0"/>
              <w:left w:val="single" w:color="auto" w:sz="4" w:space="0"/>
              <w:bottom w:val="single" w:color="auto" w:sz="4" w:space="0"/>
              <w:right w:val="single" w:color="auto" w:sz="4" w:space="0"/>
            </w:tcBorders>
            <w:vAlign w:val="center"/>
          </w:tcPr>
          <w:p w14:paraId="44BD4B3F">
            <w:pPr>
              <w:jc w:val="right"/>
              <w:textAlignment w:val="center"/>
              <w:rPr>
                <w:rFonts w:cs="Times New Roman"/>
              </w:rPr>
            </w:pPr>
            <w:r>
              <w:rPr>
                <w:rFonts w:cs="Times New Roman"/>
                <w:color w:val="000000"/>
              </w:rPr>
              <w:t>595,208.71</w:t>
            </w:r>
          </w:p>
        </w:tc>
        <w:tc>
          <w:tcPr>
            <w:tcW w:w="657" w:type="pct"/>
            <w:tcBorders>
              <w:top w:val="single" w:color="auto" w:sz="4" w:space="0"/>
              <w:left w:val="single" w:color="auto" w:sz="4" w:space="0"/>
              <w:bottom w:val="single" w:color="auto" w:sz="4" w:space="0"/>
              <w:right w:val="single" w:color="auto" w:sz="4" w:space="0"/>
            </w:tcBorders>
            <w:vAlign w:val="center"/>
          </w:tcPr>
          <w:p w14:paraId="4FACABC8">
            <w:pPr>
              <w:jc w:val="right"/>
              <w:textAlignment w:val="center"/>
              <w:rPr>
                <w:rFonts w:cs="Times New Roman"/>
              </w:rPr>
            </w:pPr>
            <w:r>
              <w:rPr>
                <w:rFonts w:cs="Times New Roman"/>
                <w:color w:val="000000"/>
              </w:rPr>
              <w:t>595,208.71</w:t>
            </w:r>
          </w:p>
        </w:tc>
        <w:tc>
          <w:tcPr>
            <w:tcW w:w="797" w:type="pct"/>
            <w:tcBorders>
              <w:top w:val="single" w:color="auto" w:sz="4" w:space="0"/>
              <w:left w:val="single" w:color="auto" w:sz="4" w:space="0"/>
              <w:bottom w:val="single" w:color="auto" w:sz="4" w:space="0"/>
              <w:right w:val="single" w:color="auto" w:sz="4" w:space="0"/>
            </w:tcBorders>
            <w:vAlign w:val="center"/>
          </w:tcPr>
          <w:p w14:paraId="0B30615B">
            <w:pPr>
              <w:jc w:val="right"/>
              <w:rPr>
                <w:rFonts w:cs="Times New Roman"/>
              </w:rPr>
            </w:pPr>
          </w:p>
        </w:tc>
        <w:tc>
          <w:tcPr>
            <w:tcW w:w="1248" w:type="pct"/>
            <w:tcBorders>
              <w:top w:val="single" w:color="auto" w:sz="4" w:space="0"/>
              <w:left w:val="single" w:color="auto" w:sz="4" w:space="0"/>
              <w:bottom w:val="single" w:color="auto" w:sz="4" w:space="0"/>
              <w:right w:val="single" w:color="auto" w:sz="4" w:space="0"/>
            </w:tcBorders>
            <w:vAlign w:val="center"/>
          </w:tcPr>
          <w:p w14:paraId="699DC14B">
            <w:pPr>
              <w:jc w:val="center"/>
              <w:textAlignment w:val="top"/>
              <w:rPr>
                <w:rFonts w:cs="Times New Roman"/>
                <w:color w:val="000000"/>
                <w:lang w:bidi="ar"/>
              </w:rPr>
            </w:pPr>
            <w:r>
              <w:rPr>
                <w:rFonts w:hint="eastAsia" w:cs="Times New Roman"/>
                <w:color w:val="000000"/>
                <w:lang w:bidi="ar"/>
              </w:rPr>
              <w:t>非交易性权益工具</w:t>
            </w:r>
          </w:p>
        </w:tc>
      </w:tr>
      <w:tr w14:paraId="6630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pct"/>
            <w:tcBorders>
              <w:top w:val="single" w:color="auto" w:sz="4" w:space="0"/>
              <w:left w:val="single" w:color="auto" w:sz="4" w:space="0"/>
              <w:bottom w:val="single" w:color="auto" w:sz="4" w:space="0"/>
              <w:right w:val="single" w:color="auto" w:sz="4" w:space="0"/>
            </w:tcBorders>
            <w:vAlign w:val="center"/>
          </w:tcPr>
          <w:p w14:paraId="7761B0E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27" w:type="pct"/>
            <w:tcBorders>
              <w:top w:val="single" w:color="auto" w:sz="4" w:space="0"/>
              <w:left w:val="single" w:color="auto" w:sz="4" w:space="0"/>
              <w:bottom w:val="single" w:color="auto" w:sz="4" w:space="0"/>
              <w:right w:val="single" w:color="auto" w:sz="4" w:space="0"/>
            </w:tcBorders>
            <w:vAlign w:val="center"/>
          </w:tcPr>
          <w:p w14:paraId="1A2CAEF5">
            <w:pPr>
              <w:jc w:val="right"/>
              <w:textAlignment w:val="center"/>
              <w:rPr>
                <w:rFonts w:cs="Times New Roman"/>
              </w:rPr>
            </w:pPr>
            <w:r>
              <w:rPr>
                <w:rFonts w:cs="Times New Roman"/>
                <w:color w:val="000000"/>
              </w:rPr>
              <w:t>519,981,620.71</w:t>
            </w:r>
          </w:p>
        </w:tc>
        <w:tc>
          <w:tcPr>
            <w:tcW w:w="657" w:type="pct"/>
            <w:tcBorders>
              <w:top w:val="single" w:color="auto" w:sz="4" w:space="0"/>
              <w:left w:val="single" w:color="auto" w:sz="4" w:space="0"/>
              <w:bottom w:val="single" w:color="auto" w:sz="4" w:space="0"/>
              <w:right w:val="single" w:color="auto" w:sz="4" w:space="0"/>
            </w:tcBorders>
            <w:vAlign w:val="center"/>
          </w:tcPr>
          <w:p w14:paraId="2BC353D5">
            <w:pPr>
              <w:jc w:val="right"/>
              <w:textAlignment w:val="center"/>
              <w:rPr>
                <w:rFonts w:cs="Times New Roman"/>
              </w:rPr>
            </w:pPr>
            <w:r>
              <w:rPr>
                <w:rFonts w:cs="Times New Roman"/>
                <w:color w:val="000000"/>
              </w:rPr>
              <w:t>519,981,620.71</w:t>
            </w:r>
          </w:p>
        </w:tc>
        <w:tc>
          <w:tcPr>
            <w:tcW w:w="797" w:type="pct"/>
            <w:tcBorders>
              <w:top w:val="single" w:color="auto" w:sz="4" w:space="0"/>
              <w:left w:val="single" w:color="auto" w:sz="4" w:space="0"/>
              <w:bottom w:val="single" w:color="auto" w:sz="4" w:space="0"/>
              <w:right w:val="single" w:color="auto" w:sz="4" w:space="0"/>
            </w:tcBorders>
            <w:vAlign w:val="center"/>
          </w:tcPr>
          <w:p w14:paraId="0B04C2C4">
            <w:pPr>
              <w:jc w:val="right"/>
              <w:textAlignment w:val="center"/>
              <w:rPr>
                <w:rFonts w:cs="Times New Roman"/>
              </w:rPr>
            </w:pPr>
            <w:r>
              <w:rPr>
                <w:rFonts w:cs="Times New Roman"/>
                <w:color w:val="000000"/>
              </w:rPr>
              <w:t>225,999,968.83</w:t>
            </w:r>
          </w:p>
        </w:tc>
        <w:tc>
          <w:tcPr>
            <w:tcW w:w="1248" w:type="pct"/>
            <w:tcBorders>
              <w:top w:val="single" w:color="auto" w:sz="4" w:space="0"/>
              <w:left w:val="single" w:color="auto" w:sz="4" w:space="0"/>
              <w:bottom w:val="single" w:color="auto" w:sz="4" w:space="0"/>
              <w:right w:val="single" w:color="auto" w:sz="4" w:space="0"/>
            </w:tcBorders>
            <w:vAlign w:val="center"/>
          </w:tcPr>
          <w:p w14:paraId="23902C9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14:paraId="60EC6B28"/>
    <w:p w14:paraId="3D1FFDAE">
      <w:pPr>
        <w:pStyle w:val="58"/>
        <w:numPr>
          <w:ilvl w:val="3"/>
          <w:numId w:val="68"/>
        </w:numPr>
        <w:ind w:left="426"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本期存在终止确认的情况说明</w:t>
      </w:r>
    </w:p>
    <w:sdt>
      <w:sdtPr>
        <w:rPr>
          <w:color w:val="000000" w:themeColor="text1"/>
          <w14:textFill>
            <w14:solidFill>
              <w14:schemeClr w14:val="tx1"/>
            </w14:solidFill>
          </w14:textFill>
        </w:rPr>
        <w:alias w:val="是否适用：本期存在终止确认的情况说明[双击切换]"/>
        <w:tag w:val="_GBC_db77b2aaae65441d940bf2dc3b0e8b9b"/>
        <w:id w:val="147464316"/>
        <w:placeholder>
          <w:docPart w:val="GBC22222222222222222222222222222"/>
        </w:placeholder>
      </w:sdtPr>
      <w:sdtEndPr>
        <w:rPr>
          <w:color w:val="000000" w:themeColor="text1"/>
          <w14:textFill>
            <w14:solidFill>
              <w14:schemeClr w14:val="tx1"/>
            </w14:solidFill>
          </w14:textFill>
        </w:rPr>
      </w:sdtEndPr>
      <w:sdtContent>
        <w:p w14:paraId="707A2054">
          <w:pPr>
            <w:pStyle w:val="63"/>
            <w:ind w:firstLine="0" w:firstLineChars="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E02CD3">
      <w:pPr>
        <w:pStyle w:val="63"/>
        <w:ind w:firstLine="0" w:firstLineChars="0"/>
        <w:rPr>
          <w:color w:val="000000" w:themeColor="text1"/>
          <w14:textFill>
            <w14:solidFill>
              <w14:schemeClr w14:val="tx1"/>
            </w14:solidFill>
          </w14:textFill>
        </w:rPr>
      </w:pPr>
    </w:p>
    <w:bookmarkEnd w:id="301"/>
    <w:p w14:paraId="35FD04CE">
      <w:pPr>
        <w:rPr>
          <w:color w:val="000000" w:themeColor="text1"/>
          <w14:textFill>
            <w14:solidFill>
              <w14:schemeClr w14:val="tx1"/>
            </w14:solidFill>
          </w14:textFill>
        </w:rPr>
      </w:pPr>
      <w:bookmarkStart w:id="303" w:name="_Hlk10472110"/>
      <w:bookmarkStart w:id="304" w:name="_Hlk10472118"/>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bookmarkEnd w:id="303"/>
    </w:p>
    <w:sdt>
      <w:sdtPr>
        <w:rPr>
          <w:color w:val="000000" w:themeColor="text1"/>
          <w14:textFill>
            <w14:solidFill>
              <w14:schemeClr w14:val="tx1"/>
            </w14:solidFill>
          </w14:textFill>
        </w:rPr>
        <w:alias w:val="是否适用：其他权益工具投资其他说明[双击切换]"/>
        <w:tag w:val="_GBC_9bd79d8d324a4f4c984344781e18ee35"/>
        <w:id w:val="147474549"/>
        <w:placeholder>
          <w:docPart w:val="GBC22222222222222222222222222222"/>
        </w:placeholder>
      </w:sdtPr>
      <w:sdtEndPr>
        <w:rPr>
          <w:color w:val="000000" w:themeColor="text1"/>
          <w14:textFill>
            <w14:solidFill>
              <w14:schemeClr w14:val="tx1"/>
            </w14:solidFill>
          </w14:textFill>
        </w:rPr>
      </w:sdtEndPr>
      <w:sdtContent>
        <w:p w14:paraId="19BE7835">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284532">
      <w:pPr>
        <w:snapToGrid w:val="0"/>
        <w:spacing w:line="240" w:lineRule="atLeast"/>
        <w:rPr>
          <w:color w:val="000000" w:themeColor="text1"/>
          <w14:textFill>
            <w14:solidFill>
              <w14:schemeClr w14:val="tx1"/>
            </w14:solidFill>
          </w14:textFill>
        </w:rPr>
      </w:pPr>
    </w:p>
    <w:bookmarkEnd w:id="304"/>
    <w:p w14:paraId="3B0FF62C">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2308D367">
      <w:pPr>
        <w:pStyle w:val="57"/>
        <w:numPr>
          <w:ilvl w:val="0"/>
          <w:numId w:val="54"/>
        </w:numPr>
        <w:rPr>
          <w:color w:val="000000" w:themeColor="text1"/>
          <w:szCs w:val="21"/>
          <w14:textFill>
            <w14:solidFill>
              <w14:schemeClr w14:val="tx1"/>
            </w14:solidFill>
          </w14:textFill>
        </w:rPr>
      </w:pPr>
      <w:bookmarkStart w:id="305" w:name="_Hlk10472259"/>
      <w:r>
        <w:rPr>
          <w:color w:val="000000" w:themeColor="text1"/>
          <w:szCs w:val="21"/>
          <w14:textFill>
            <w14:solidFill>
              <w14:schemeClr w14:val="tx1"/>
            </w14:solidFill>
          </w14:textFill>
        </w:rPr>
        <w:t>其他非流动金融资产</w:t>
      </w:r>
    </w:p>
    <w:sdt>
      <w:sdtPr>
        <w:rPr>
          <w:color w:val="000000" w:themeColor="text1"/>
          <w14:textFill>
            <w14:solidFill>
              <w14:schemeClr w14:val="tx1"/>
            </w14:solidFill>
          </w14:textFill>
        </w:rPr>
        <w:alias w:val="是否适用：其他非流动金融资产[双击切换]"/>
        <w:tag w:val="_GBC_39a16d6030db4b008bd8e70705c49dd5"/>
        <w:id w:val="147458915"/>
        <w:placeholder>
          <w:docPart w:val="GBC22222222222222222222222222222"/>
        </w:placeholder>
      </w:sdtPr>
      <w:sdtEndPr>
        <w:rPr>
          <w:color w:val="000000" w:themeColor="text1"/>
          <w14:textFill>
            <w14:solidFill>
              <w14:schemeClr w14:val="tx1"/>
            </w14:solidFill>
          </w14:textFill>
        </w:rPr>
      </w:sdtEndPr>
      <w:sdtContent>
        <w:p w14:paraId="544E551D">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01241C5">
      <w:pPr>
        <w:rPr>
          <w:color w:val="000000" w:themeColor="text1"/>
          <w14:textFill>
            <w14:solidFill>
              <w14:schemeClr w14:val="tx1"/>
            </w14:solidFill>
          </w14:textFill>
        </w:rPr>
      </w:pPr>
    </w:p>
    <w:bookmarkEnd w:id="305"/>
    <w:p w14:paraId="4044F3C0">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投资性房地产</w:t>
      </w:r>
    </w:p>
    <w:p w14:paraId="34582F4B">
      <w:pPr>
        <w:rPr>
          <w:color w:val="000000" w:themeColor="text1"/>
          <w14:textFill>
            <w14:solidFill>
              <w14:schemeClr w14:val="tx1"/>
            </w14:solidFill>
          </w14:textFill>
        </w:rPr>
      </w:pPr>
      <w:r>
        <w:rPr>
          <w:color w:val="000000" w:themeColor="text1"/>
          <w14:textFill>
            <w14:solidFill>
              <w14:schemeClr w14:val="tx1"/>
            </w14:solidFill>
          </w14:textFill>
        </w:rPr>
        <w:t>投资性房地产</w:t>
      </w:r>
      <w:r>
        <w:rPr>
          <w:rFonts w:hint="eastAsia"/>
          <w:color w:val="000000" w:themeColor="text1"/>
          <w14:textFill>
            <w14:solidFill>
              <w14:schemeClr w14:val="tx1"/>
            </w14:solidFill>
          </w14:textFill>
        </w:rPr>
        <w:t>计量模式</w:t>
      </w:r>
    </w:p>
    <w:p w14:paraId="2D6CFBE0">
      <w:pPr>
        <w:pStyle w:val="5"/>
        <w:numPr>
          <w:ilvl w:val="0"/>
          <w:numId w:val="69"/>
        </w:numPr>
        <w:tabs>
          <w:tab w:val="left" w:pos="616"/>
        </w:tabs>
        <w:rPr>
          <w:rFonts w:ascii="宋体" w:hAnsi="宋体"/>
          <w:color w:val="000000" w:themeColor="text1"/>
          <w:szCs w:val="21"/>
          <w14:textFill>
            <w14:solidFill>
              <w14:schemeClr w14:val="tx1"/>
            </w14:solidFill>
          </w14:textFill>
        </w:rPr>
      </w:pPr>
      <w:bookmarkStart w:id="306" w:name="_Hlk167895351"/>
      <w:bookmarkStart w:id="307" w:name="_Hlk153460290"/>
      <w:r>
        <w:rPr>
          <w:rFonts w:hint="eastAsia" w:ascii="宋体" w:hAnsi="宋体"/>
          <w:color w:val="000000" w:themeColor="text1"/>
          <w:szCs w:val="21"/>
          <w14:textFill>
            <w14:solidFill>
              <w14:schemeClr w14:val="tx1"/>
            </w14:solidFill>
          </w14:textFill>
        </w:rPr>
        <w:t>采用成本计量模式的投资性房地产</w:t>
      </w:r>
    </w:p>
    <w:p w14:paraId="34080F6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投资性房地产"/>
          <w:tag w:val="_GBC_3315dd1b9cb743c786e01b4b9e91b10d"/>
          <w:id w:val="-238400299"/>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投资性房地产"/>
          <w:tag w:val="_GBC_424f36c4f1bf48ce8d47b51437412ff8"/>
          <w:id w:val="-597862221"/>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3"/>
        <w:gridCol w:w="1848"/>
        <w:gridCol w:w="1614"/>
        <w:gridCol w:w="1803"/>
      </w:tblGrid>
      <w:tr w14:paraId="5051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f82c9789feaf4b508c71ad4b5e91a0e5"/>
            <w:id w:val="868955761"/>
          </w:sdtPr>
          <w:sdtContent>
            <w:tc>
              <w:tcPr>
                <w:tcW w:w="2091" w:type="pct"/>
                <w:tcBorders>
                  <w:top w:val="single" w:color="auto" w:sz="4" w:space="0"/>
                  <w:left w:val="single" w:color="auto" w:sz="4" w:space="0"/>
                  <w:bottom w:val="single" w:color="auto" w:sz="4" w:space="0"/>
                  <w:right w:val="single" w:color="auto" w:sz="4" w:space="0"/>
                </w:tcBorders>
                <w:vAlign w:val="center"/>
              </w:tcPr>
              <w:p w14:paraId="20552B5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acf20e2f08a4439b18de021843e599c"/>
            <w:id w:val="-728148288"/>
          </w:sdtPr>
          <w:sdtContent>
            <w:tc>
              <w:tcPr>
                <w:tcW w:w="1021" w:type="pct"/>
                <w:tcBorders>
                  <w:top w:val="single" w:color="auto" w:sz="4" w:space="0"/>
                  <w:left w:val="single" w:color="auto" w:sz="4" w:space="0"/>
                  <w:bottom w:val="single" w:color="auto" w:sz="4" w:space="0"/>
                  <w:right w:val="single" w:color="auto" w:sz="4" w:space="0"/>
                </w:tcBorders>
                <w:vAlign w:val="center"/>
              </w:tcPr>
              <w:p w14:paraId="2F9718F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房屋、建筑物</w:t>
                </w:r>
              </w:p>
            </w:tc>
          </w:sdtContent>
        </w:sdt>
        <w:sdt>
          <w:sdtPr>
            <w:tag w:val="_PLD_4f977bf68eee455fb4656653927db6b6"/>
            <w:id w:val="1815600592"/>
          </w:sdtPr>
          <w:sdtContent>
            <w:tc>
              <w:tcPr>
                <w:tcW w:w="892" w:type="pct"/>
                <w:tcBorders>
                  <w:top w:val="single" w:color="auto" w:sz="4" w:space="0"/>
                  <w:left w:val="single" w:color="auto" w:sz="4" w:space="0"/>
                  <w:bottom w:val="single" w:color="auto" w:sz="4" w:space="0"/>
                  <w:right w:val="single" w:color="auto" w:sz="4" w:space="0"/>
                </w:tcBorders>
                <w:vAlign w:val="center"/>
              </w:tcPr>
              <w:p w14:paraId="3A2516A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土地使用权</w:t>
                </w:r>
              </w:p>
            </w:tc>
          </w:sdtContent>
        </w:sdt>
        <w:sdt>
          <w:sdtPr>
            <w:tag w:val="_PLD_51485c0f99734a81b5c4137837506697"/>
            <w:id w:val="-845705142"/>
          </w:sdtPr>
          <w:sdtContent>
            <w:tc>
              <w:tcPr>
                <w:tcW w:w="994" w:type="pct"/>
                <w:tcBorders>
                  <w:top w:val="single" w:color="auto" w:sz="4" w:space="0"/>
                  <w:left w:val="single" w:color="auto" w:sz="4" w:space="0"/>
                  <w:bottom w:val="single" w:color="auto" w:sz="4" w:space="0"/>
                  <w:right w:val="single" w:color="auto" w:sz="4" w:space="0"/>
                </w:tcBorders>
                <w:vAlign w:val="center"/>
              </w:tcPr>
              <w:p w14:paraId="73EF0A1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r>
      <w:tr w14:paraId="202A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9e97c75701d54838ab5408284eada7b8"/>
            <w:id w:val="-1205710806"/>
          </w:sdtPr>
          <w:sdtContent>
            <w:tc>
              <w:tcPr>
                <w:tcW w:w="5000" w:type="pct"/>
                <w:gridSpan w:val="4"/>
                <w:tcBorders>
                  <w:top w:val="single" w:color="auto" w:sz="4" w:space="0"/>
                  <w:left w:val="single" w:color="auto" w:sz="4" w:space="0"/>
                  <w:bottom w:val="single" w:color="auto" w:sz="4" w:space="0"/>
                  <w:right w:val="single" w:color="auto" w:sz="4" w:space="0"/>
                </w:tcBorders>
              </w:tcPr>
              <w:p w14:paraId="320E985E">
                <w:pPr>
                  <w:rPr>
                    <w:color w:val="000000" w:themeColor="text1"/>
                    <w14:textFill>
                      <w14:solidFill>
                        <w14:schemeClr w14:val="tx1"/>
                      </w14:solidFill>
                    </w14:textFill>
                  </w:rPr>
                </w:pPr>
                <w:r>
                  <w:rPr>
                    <w:rFonts w:hint="eastAsia"/>
                    <w:color w:val="000000" w:themeColor="text1"/>
                    <w14:textFill>
                      <w14:solidFill>
                        <w14:schemeClr w14:val="tx1"/>
                      </w14:solidFill>
                    </w14:textFill>
                  </w:rPr>
                  <w:t>一、账面原值</w:t>
                </w:r>
              </w:p>
            </w:tc>
          </w:sdtContent>
        </w:sdt>
      </w:tr>
      <w:tr w14:paraId="2C3F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tag w:val="_PLD_5b4a89b12d9f471d8810578431d22e03"/>
            <w:id w:val="-1578437099"/>
          </w:sdtPr>
          <w:sdtContent>
            <w:tc>
              <w:tcPr>
                <w:tcW w:w="2091" w:type="pct"/>
                <w:tcBorders>
                  <w:top w:val="single" w:color="auto" w:sz="4" w:space="0"/>
                  <w:left w:val="single" w:color="auto" w:sz="4" w:space="0"/>
                  <w:bottom w:val="single" w:color="auto" w:sz="4" w:space="0"/>
                  <w:right w:val="single" w:color="auto" w:sz="4" w:space="0"/>
                </w:tcBorders>
              </w:tcPr>
              <w:p w14:paraId="19EC14F3">
                <w:pPr>
                  <w:ind w:firstLine="315" w:firstLineChars="15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期初余额</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21629AD9">
            <w:pPr>
              <w:jc w:val="right"/>
              <w:rPr>
                <w:rFonts w:cs="Times New Roman"/>
              </w:rPr>
            </w:pPr>
            <w:r>
              <w:rPr>
                <w:rFonts w:cs="Times New Roman"/>
              </w:rPr>
              <w:t>1,026,573,043.74</w:t>
            </w:r>
          </w:p>
        </w:tc>
        <w:tc>
          <w:tcPr>
            <w:tcW w:w="892" w:type="pct"/>
            <w:tcBorders>
              <w:top w:val="single" w:color="auto" w:sz="4" w:space="0"/>
              <w:left w:val="single" w:color="auto" w:sz="4" w:space="0"/>
              <w:bottom w:val="single" w:color="auto" w:sz="4" w:space="0"/>
              <w:right w:val="single" w:color="auto" w:sz="4" w:space="0"/>
            </w:tcBorders>
            <w:vAlign w:val="center"/>
          </w:tcPr>
          <w:p w14:paraId="5F7537A3">
            <w:pPr>
              <w:jc w:val="right"/>
              <w:rPr>
                <w:rFonts w:cs="Times New Roman"/>
              </w:rPr>
            </w:pPr>
            <w:r>
              <w:rPr>
                <w:rFonts w:cs="Times New Roman"/>
              </w:rPr>
              <w:t>14,646,716.92</w:t>
            </w:r>
          </w:p>
        </w:tc>
        <w:tc>
          <w:tcPr>
            <w:tcW w:w="994" w:type="pct"/>
            <w:tcBorders>
              <w:top w:val="single" w:color="auto" w:sz="4" w:space="0"/>
              <w:left w:val="single" w:color="auto" w:sz="4" w:space="0"/>
              <w:bottom w:val="single" w:color="auto" w:sz="4" w:space="0"/>
              <w:right w:val="single" w:color="auto" w:sz="4" w:space="0"/>
            </w:tcBorders>
            <w:vAlign w:val="center"/>
          </w:tcPr>
          <w:p w14:paraId="6722C2FB">
            <w:pPr>
              <w:jc w:val="right"/>
              <w:rPr>
                <w:rFonts w:cs="Times New Roman"/>
              </w:rPr>
            </w:pPr>
            <w:r>
              <w:rPr>
                <w:rFonts w:cs="Times New Roman"/>
              </w:rPr>
              <w:t>1,041,219,760.66</w:t>
            </w:r>
          </w:p>
        </w:tc>
      </w:tr>
      <w:tr w14:paraId="1CA4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4b461d2e946a4f55b157b16d91096c9e"/>
            <w:id w:val="-239873648"/>
          </w:sdtPr>
          <w:sdtContent>
            <w:tc>
              <w:tcPr>
                <w:tcW w:w="2091" w:type="pct"/>
                <w:tcBorders>
                  <w:top w:val="single" w:color="auto" w:sz="4" w:space="0"/>
                  <w:left w:val="single" w:color="auto" w:sz="4" w:space="0"/>
                  <w:bottom w:val="single" w:color="auto" w:sz="4" w:space="0"/>
                  <w:right w:val="single" w:color="auto" w:sz="4" w:space="0"/>
                </w:tcBorders>
              </w:tcPr>
              <w:p w14:paraId="09671B76">
                <w:pPr>
                  <w:ind w:firstLine="315" w:firstLineChars="15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本期增加金额</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744F51A9">
            <w:pPr>
              <w:jc w:val="right"/>
              <w:rPr>
                <w:rFonts w:cs="Times New Roman"/>
              </w:rPr>
            </w:pPr>
            <w:r>
              <w:rPr>
                <w:rFonts w:cs="Times New Roman"/>
              </w:rPr>
              <w:t>10,164,847.45</w:t>
            </w:r>
          </w:p>
        </w:tc>
        <w:tc>
          <w:tcPr>
            <w:tcW w:w="892" w:type="pct"/>
            <w:tcBorders>
              <w:top w:val="single" w:color="auto" w:sz="4" w:space="0"/>
              <w:left w:val="single" w:color="auto" w:sz="4" w:space="0"/>
              <w:bottom w:val="single" w:color="auto" w:sz="4" w:space="0"/>
              <w:right w:val="single" w:color="auto" w:sz="4" w:space="0"/>
            </w:tcBorders>
          </w:tcPr>
          <w:p w14:paraId="44C304C7">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5CC09FD4">
            <w:pPr>
              <w:jc w:val="right"/>
              <w:rPr>
                <w:rFonts w:cs="Times New Roman"/>
              </w:rPr>
            </w:pPr>
            <w:r>
              <w:rPr>
                <w:rFonts w:cs="Times New Roman"/>
              </w:rPr>
              <w:t>10,164,847.45</w:t>
            </w:r>
          </w:p>
        </w:tc>
      </w:tr>
      <w:tr w14:paraId="5324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a043ae3942c64b25b6085702110e1af0"/>
            <w:id w:val="-419260742"/>
          </w:sdtPr>
          <w:sdtContent>
            <w:tc>
              <w:tcPr>
                <w:tcW w:w="2091" w:type="pct"/>
                <w:tcBorders>
                  <w:top w:val="single" w:color="auto" w:sz="4" w:space="0"/>
                  <w:left w:val="single" w:color="auto" w:sz="4" w:space="0"/>
                  <w:bottom w:val="single" w:color="auto" w:sz="4" w:space="0"/>
                  <w:right w:val="single" w:color="auto" w:sz="4" w:space="0"/>
                </w:tcBorders>
              </w:tcPr>
              <w:p w14:paraId="3C647AC7">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（1）外购</w:t>
                </w:r>
              </w:p>
            </w:tc>
          </w:sdtContent>
        </w:sdt>
        <w:tc>
          <w:tcPr>
            <w:tcW w:w="1021" w:type="pct"/>
            <w:tcBorders>
              <w:top w:val="single" w:color="auto" w:sz="4" w:space="0"/>
              <w:left w:val="single" w:color="auto" w:sz="4" w:space="0"/>
              <w:bottom w:val="single" w:color="auto" w:sz="4" w:space="0"/>
              <w:right w:val="single" w:color="auto" w:sz="4" w:space="0"/>
            </w:tcBorders>
          </w:tcPr>
          <w:p w14:paraId="42815598">
            <w:pPr>
              <w:jc w:val="right"/>
              <w:rPr>
                <w:rFonts w:cs="Times New Roman"/>
              </w:rPr>
            </w:pPr>
          </w:p>
        </w:tc>
        <w:tc>
          <w:tcPr>
            <w:tcW w:w="892" w:type="pct"/>
            <w:tcBorders>
              <w:top w:val="single" w:color="auto" w:sz="4" w:space="0"/>
              <w:left w:val="single" w:color="auto" w:sz="4" w:space="0"/>
              <w:bottom w:val="single" w:color="auto" w:sz="4" w:space="0"/>
              <w:right w:val="single" w:color="auto" w:sz="4" w:space="0"/>
            </w:tcBorders>
          </w:tcPr>
          <w:p w14:paraId="1956CAA5">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tcPr>
          <w:p w14:paraId="54248A9F">
            <w:pPr>
              <w:jc w:val="right"/>
              <w:rPr>
                <w:rFonts w:cs="Times New Roman"/>
              </w:rPr>
            </w:pPr>
          </w:p>
        </w:tc>
      </w:tr>
      <w:tr w14:paraId="4FA5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tag w:val="_PLD_c60cea41253c44ec816cd397a5c68415"/>
            <w:id w:val="-1264838046"/>
          </w:sdtPr>
          <w:sdtContent>
            <w:tc>
              <w:tcPr>
                <w:tcW w:w="2091" w:type="pct"/>
                <w:tcBorders>
                  <w:top w:val="single" w:color="auto" w:sz="4" w:space="0"/>
                  <w:left w:val="single" w:color="auto" w:sz="4" w:space="0"/>
                  <w:bottom w:val="single" w:color="auto" w:sz="4" w:space="0"/>
                  <w:right w:val="single" w:color="auto" w:sz="4" w:space="0"/>
                </w:tcBorders>
              </w:tcPr>
              <w:p w14:paraId="5282F108">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（2）存货\固定资产\在建工程转入</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656D26BE">
            <w:pPr>
              <w:jc w:val="right"/>
              <w:rPr>
                <w:rFonts w:cs="Times New Roman"/>
              </w:rPr>
            </w:pPr>
            <w:r>
              <w:rPr>
                <w:rFonts w:cs="Times New Roman"/>
              </w:rPr>
              <w:t>1,869,551.00</w:t>
            </w:r>
          </w:p>
        </w:tc>
        <w:tc>
          <w:tcPr>
            <w:tcW w:w="892" w:type="pct"/>
            <w:tcBorders>
              <w:top w:val="single" w:color="auto" w:sz="4" w:space="0"/>
              <w:left w:val="single" w:color="auto" w:sz="4" w:space="0"/>
              <w:bottom w:val="single" w:color="auto" w:sz="4" w:space="0"/>
              <w:right w:val="single" w:color="auto" w:sz="4" w:space="0"/>
            </w:tcBorders>
          </w:tcPr>
          <w:p w14:paraId="5EB6A37F">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730FDBD7">
            <w:pPr>
              <w:jc w:val="right"/>
              <w:rPr>
                <w:rFonts w:cs="Times New Roman"/>
              </w:rPr>
            </w:pPr>
            <w:r>
              <w:rPr>
                <w:rFonts w:cs="Times New Roman"/>
              </w:rPr>
              <w:t>1,869,551.00</w:t>
            </w:r>
          </w:p>
        </w:tc>
      </w:tr>
      <w:tr w14:paraId="2B4A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sdt>
          <w:sdtPr>
            <w:tag w:val="_PLD_07222e9e711d4c6a957de0f1259aae6a"/>
            <w:id w:val="1607237447"/>
          </w:sdtPr>
          <w:sdtContent>
            <w:tc>
              <w:tcPr>
                <w:tcW w:w="2091" w:type="pct"/>
                <w:tcBorders>
                  <w:top w:val="single" w:color="auto" w:sz="4" w:space="0"/>
                  <w:left w:val="single" w:color="auto" w:sz="4" w:space="0"/>
                  <w:bottom w:val="single" w:color="auto" w:sz="4" w:space="0"/>
                  <w:right w:val="single" w:color="auto" w:sz="4" w:space="0"/>
                </w:tcBorders>
              </w:tcPr>
              <w:p w14:paraId="3BA92443">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（3）其他增加</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0E5CA0CE">
            <w:pPr>
              <w:jc w:val="right"/>
              <w:rPr>
                <w:rFonts w:cs="Times New Roman"/>
              </w:rPr>
            </w:pPr>
            <w:r>
              <w:rPr>
                <w:rFonts w:cs="Times New Roman"/>
              </w:rPr>
              <w:t>8,295,296.45</w:t>
            </w:r>
          </w:p>
        </w:tc>
        <w:tc>
          <w:tcPr>
            <w:tcW w:w="892" w:type="pct"/>
            <w:tcBorders>
              <w:top w:val="single" w:color="auto" w:sz="4" w:space="0"/>
              <w:left w:val="single" w:color="auto" w:sz="4" w:space="0"/>
              <w:bottom w:val="single" w:color="auto" w:sz="4" w:space="0"/>
              <w:right w:val="single" w:color="auto" w:sz="4" w:space="0"/>
            </w:tcBorders>
          </w:tcPr>
          <w:p w14:paraId="5F78F43B">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21240465">
            <w:pPr>
              <w:jc w:val="right"/>
              <w:rPr>
                <w:rFonts w:cs="Times New Roman"/>
              </w:rPr>
            </w:pPr>
            <w:r>
              <w:rPr>
                <w:rFonts w:cs="Times New Roman"/>
              </w:rPr>
              <w:t>8,295,296.45</w:t>
            </w:r>
          </w:p>
        </w:tc>
      </w:tr>
      <w:sdt>
        <w:sdtPr>
          <w:alias w:val="采用成本计量模式的投资性房地产账面原值增加额明细"/>
          <w:tag w:val="_GBC_7c7c642cd90042a7be3a151894a8b845"/>
          <w:id w:val="-274339323"/>
          <w:placeholder>
            <w:docPart w:val="{f0b382af-66aa-46d0-817e-d8e960ceb529}"/>
          </w:placeholder>
        </w:sdtPr>
        <w:sdtEndPr>
          <w:rPr>
            <w:rFonts w:cs="Times New Roman"/>
          </w:rPr>
        </w:sdtEndPr>
        <w:sdtContent>
          <w:sdt>
            <w:sdtPr>
              <w:alias w:val="采用成本计量模式的投资性房地产账面原值增加额明细"/>
              <w:tag w:val="_GBC_7c7c642cd90042a7be3a151894a8b845"/>
              <w:id w:val="669291906"/>
              <w:placeholder>
                <w:docPart w:val="{f0b382af-66aa-46d0-817e-d8e960ceb529}"/>
              </w:placeholder>
            </w:sdtPr>
            <w:sdtEndPr>
              <w:rPr>
                <w:rFonts w:cs="Times New Roman"/>
              </w:rPr>
            </w:sdtEndPr>
            <w:sdtContent>
              <w:tr w14:paraId="437C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091" w:type="pct"/>
                    <w:tcBorders>
                      <w:top w:val="single" w:color="auto" w:sz="4" w:space="0"/>
                      <w:left w:val="single" w:color="auto" w:sz="4" w:space="0"/>
                      <w:bottom w:val="single" w:color="auto" w:sz="4" w:space="0"/>
                      <w:right w:val="single" w:color="auto" w:sz="4" w:space="0"/>
                    </w:tcBorders>
                  </w:tcPr>
                  <w:p w14:paraId="20AFF60E">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3.本期减少金额</w:t>
                    </w:r>
                  </w:p>
                </w:tc>
                <w:tc>
                  <w:tcPr>
                    <w:tcW w:w="1021" w:type="pct"/>
                    <w:tcBorders>
                      <w:top w:val="single" w:color="auto" w:sz="4" w:space="0"/>
                      <w:left w:val="single" w:color="auto" w:sz="4" w:space="0"/>
                      <w:bottom w:val="single" w:color="auto" w:sz="4" w:space="0"/>
                      <w:right w:val="single" w:color="auto" w:sz="4" w:space="0"/>
                    </w:tcBorders>
                    <w:vAlign w:val="center"/>
                  </w:tcPr>
                  <w:p w14:paraId="381452A3">
                    <w:pPr>
                      <w:jc w:val="right"/>
                      <w:rPr>
                        <w:rFonts w:cs="Times New Roman"/>
                      </w:rPr>
                    </w:pPr>
                    <w:r>
                      <w:rPr>
                        <w:rFonts w:cs="Times New Roman"/>
                      </w:rPr>
                      <w:t>63,000.00</w:t>
                    </w:r>
                  </w:p>
                </w:tc>
                <w:tc>
                  <w:tcPr>
                    <w:tcW w:w="892" w:type="pct"/>
                    <w:tcBorders>
                      <w:top w:val="single" w:color="auto" w:sz="4" w:space="0"/>
                      <w:left w:val="single" w:color="auto" w:sz="4" w:space="0"/>
                      <w:bottom w:val="single" w:color="auto" w:sz="4" w:space="0"/>
                      <w:right w:val="single" w:color="auto" w:sz="4" w:space="0"/>
                    </w:tcBorders>
                  </w:tcPr>
                  <w:p w14:paraId="525C692F">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511406F4">
                    <w:pPr>
                      <w:jc w:val="right"/>
                      <w:rPr>
                        <w:rFonts w:cs="Times New Roman"/>
                      </w:rPr>
                    </w:pPr>
                    <w:r>
                      <w:rPr>
                        <w:rFonts w:cs="Times New Roman"/>
                      </w:rPr>
                      <w:t>63,000.00</w:t>
                    </w:r>
                  </w:p>
                </w:tc>
              </w:tr>
            </w:sdtContent>
          </w:sdt>
        </w:sdtContent>
      </w:sdt>
      <w:tr w14:paraId="5F28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tag w:val="_PLD_0eefb08fd627408ea9c71bd444eabbd3"/>
            <w:id w:val="750774573"/>
          </w:sdtPr>
          <w:sdtContent>
            <w:tc>
              <w:tcPr>
                <w:tcW w:w="2091" w:type="pct"/>
                <w:tcBorders>
                  <w:top w:val="single" w:color="auto" w:sz="4" w:space="0"/>
                  <w:left w:val="single" w:color="auto" w:sz="4" w:space="0"/>
                  <w:bottom w:val="single" w:color="auto" w:sz="4" w:space="0"/>
                  <w:right w:val="single" w:color="auto" w:sz="4" w:space="0"/>
                </w:tcBorders>
              </w:tcPr>
              <w:p w14:paraId="419CF1EC">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sdtContent>
        </w:sdt>
        <w:tc>
          <w:tcPr>
            <w:tcW w:w="1021" w:type="pct"/>
            <w:tcBorders>
              <w:top w:val="single" w:color="auto" w:sz="4" w:space="0"/>
              <w:left w:val="single" w:color="auto" w:sz="4" w:space="0"/>
              <w:bottom w:val="single" w:color="auto" w:sz="4" w:space="0"/>
              <w:right w:val="single" w:color="auto" w:sz="4" w:space="0"/>
            </w:tcBorders>
          </w:tcPr>
          <w:p w14:paraId="2B5292FA">
            <w:pPr>
              <w:jc w:val="right"/>
              <w:rPr>
                <w:rFonts w:cs="Times New Roman"/>
              </w:rPr>
            </w:pPr>
          </w:p>
        </w:tc>
        <w:tc>
          <w:tcPr>
            <w:tcW w:w="892" w:type="pct"/>
            <w:tcBorders>
              <w:top w:val="single" w:color="auto" w:sz="4" w:space="0"/>
              <w:left w:val="single" w:color="auto" w:sz="4" w:space="0"/>
              <w:bottom w:val="single" w:color="auto" w:sz="4" w:space="0"/>
              <w:right w:val="single" w:color="auto" w:sz="4" w:space="0"/>
            </w:tcBorders>
          </w:tcPr>
          <w:p w14:paraId="1CBD85C2">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tcPr>
          <w:p w14:paraId="1D5C7E4B">
            <w:pPr>
              <w:jc w:val="right"/>
              <w:rPr>
                <w:rFonts w:cs="Times New Roman"/>
              </w:rPr>
            </w:pPr>
          </w:p>
        </w:tc>
      </w:tr>
      <w:tr w14:paraId="2A35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32f99bb5bcaf4f789e1c6ccb85c2a50f"/>
            <w:id w:val="-562253377"/>
          </w:sdtPr>
          <w:sdtContent>
            <w:tc>
              <w:tcPr>
                <w:tcW w:w="2091" w:type="pct"/>
                <w:tcBorders>
                  <w:top w:val="single" w:color="auto" w:sz="4" w:space="0"/>
                  <w:left w:val="single" w:color="auto" w:sz="4" w:space="0"/>
                  <w:bottom w:val="single" w:color="auto" w:sz="4" w:space="0"/>
                  <w:right w:val="single" w:color="auto" w:sz="4" w:space="0"/>
                </w:tcBorders>
              </w:tcPr>
              <w:p w14:paraId="4E981792">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（2）其他转出</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565DC968">
            <w:pPr>
              <w:jc w:val="right"/>
              <w:rPr>
                <w:rFonts w:cs="Times New Roman"/>
              </w:rPr>
            </w:pPr>
            <w:r>
              <w:rPr>
                <w:rFonts w:cs="Times New Roman"/>
              </w:rPr>
              <w:t>63,000.00</w:t>
            </w:r>
          </w:p>
        </w:tc>
        <w:tc>
          <w:tcPr>
            <w:tcW w:w="892" w:type="pct"/>
            <w:tcBorders>
              <w:top w:val="single" w:color="auto" w:sz="4" w:space="0"/>
              <w:left w:val="single" w:color="auto" w:sz="4" w:space="0"/>
              <w:bottom w:val="single" w:color="auto" w:sz="4" w:space="0"/>
              <w:right w:val="single" w:color="auto" w:sz="4" w:space="0"/>
            </w:tcBorders>
          </w:tcPr>
          <w:p w14:paraId="0F480272">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7201AAA5">
            <w:pPr>
              <w:jc w:val="right"/>
              <w:rPr>
                <w:rFonts w:cs="Times New Roman"/>
              </w:rPr>
            </w:pPr>
            <w:r>
              <w:rPr>
                <w:rFonts w:cs="Times New Roman"/>
              </w:rPr>
              <w:t>63,000.00</w:t>
            </w:r>
          </w:p>
        </w:tc>
      </w:tr>
      <w:sdt>
        <w:sdtPr>
          <w:alias w:val="采用成本计量模式的投资性房地产账面原值减少额明细"/>
          <w:tag w:val="_GBC_e7ec91568b9c4d2387547e1eea784bb4"/>
          <w:id w:val="-616370284"/>
          <w:placeholder>
            <w:docPart w:val="{f0b382af-66aa-46d0-817e-d8e960ceb529}"/>
          </w:placeholder>
        </w:sdtPr>
        <w:sdtEndPr>
          <w:rPr>
            <w:rFonts w:cs="Times New Roman"/>
          </w:rPr>
        </w:sdtEndPr>
        <w:sdtContent>
          <w:sdt>
            <w:sdtPr>
              <w:alias w:val="采用成本计量模式的投资性房地产账面原值减少额明细"/>
              <w:tag w:val="_GBC_e7ec91568b9c4d2387547e1eea784bb4"/>
              <w:id w:val="1257789951"/>
              <w:placeholder>
                <w:docPart w:val="{f0b382af-66aa-46d0-817e-d8e960ceb529}"/>
              </w:placeholder>
            </w:sdtPr>
            <w:sdtEndPr>
              <w:rPr>
                <w:rFonts w:cs="Times New Roman"/>
              </w:rPr>
            </w:sdtEndPr>
            <w:sdtContent>
              <w:tr w14:paraId="29DD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091" w:type="pct"/>
                    <w:tcBorders>
                      <w:top w:val="single" w:color="auto" w:sz="4" w:space="0"/>
                      <w:left w:val="single" w:color="auto" w:sz="4" w:space="0"/>
                      <w:bottom w:val="single" w:color="auto" w:sz="4" w:space="0"/>
                      <w:right w:val="single" w:color="auto" w:sz="4" w:space="0"/>
                    </w:tcBorders>
                  </w:tcPr>
                  <w:p w14:paraId="61D244BB">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4.期末余额</w:t>
                    </w:r>
                  </w:p>
                </w:tc>
                <w:tc>
                  <w:tcPr>
                    <w:tcW w:w="1021" w:type="pct"/>
                    <w:tcBorders>
                      <w:top w:val="single" w:color="auto" w:sz="4" w:space="0"/>
                      <w:left w:val="single" w:color="auto" w:sz="4" w:space="0"/>
                      <w:bottom w:val="single" w:color="auto" w:sz="4" w:space="0"/>
                      <w:right w:val="single" w:color="auto" w:sz="4" w:space="0"/>
                    </w:tcBorders>
                    <w:vAlign w:val="center"/>
                  </w:tcPr>
                  <w:p w14:paraId="069A225C">
                    <w:pPr>
                      <w:jc w:val="right"/>
                      <w:rPr>
                        <w:rFonts w:cs="Times New Roman"/>
                      </w:rPr>
                    </w:pPr>
                    <w:r>
                      <w:rPr>
                        <w:rFonts w:cs="Times New Roman"/>
                      </w:rPr>
                      <w:t>1,036,674,891.19</w:t>
                    </w:r>
                  </w:p>
                </w:tc>
                <w:tc>
                  <w:tcPr>
                    <w:tcW w:w="892" w:type="pct"/>
                    <w:tcBorders>
                      <w:top w:val="single" w:color="auto" w:sz="4" w:space="0"/>
                      <w:left w:val="single" w:color="auto" w:sz="4" w:space="0"/>
                      <w:bottom w:val="single" w:color="auto" w:sz="4" w:space="0"/>
                      <w:right w:val="single" w:color="auto" w:sz="4" w:space="0"/>
                    </w:tcBorders>
                    <w:vAlign w:val="center"/>
                  </w:tcPr>
                  <w:p w14:paraId="194F5DA1">
                    <w:pPr>
                      <w:jc w:val="right"/>
                      <w:rPr>
                        <w:rFonts w:cs="Times New Roman"/>
                      </w:rPr>
                    </w:pPr>
                    <w:r>
                      <w:rPr>
                        <w:rFonts w:cs="Times New Roman"/>
                      </w:rPr>
                      <w:t>14,646,716.92</w:t>
                    </w:r>
                  </w:p>
                </w:tc>
                <w:tc>
                  <w:tcPr>
                    <w:tcW w:w="994" w:type="pct"/>
                    <w:tcBorders>
                      <w:top w:val="single" w:color="auto" w:sz="4" w:space="0"/>
                      <w:left w:val="single" w:color="auto" w:sz="4" w:space="0"/>
                      <w:bottom w:val="single" w:color="auto" w:sz="4" w:space="0"/>
                      <w:right w:val="single" w:color="auto" w:sz="4" w:space="0"/>
                    </w:tcBorders>
                    <w:vAlign w:val="center"/>
                  </w:tcPr>
                  <w:p w14:paraId="22106428">
                    <w:pPr>
                      <w:jc w:val="right"/>
                      <w:rPr>
                        <w:rFonts w:cs="Times New Roman"/>
                      </w:rPr>
                    </w:pPr>
                    <w:r>
                      <w:rPr>
                        <w:rFonts w:cs="Times New Roman"/>
                      </w:rPr>
                      <w:t>1,051,321,608.11</w:t>
                    </w:r>
                  </w:p>
                </w:tc>
              </w:tr>
            </w:sdtContent>
          </w:sdt>
        </w:sdtContent>
      </w:sdt>
      <w:tr w14:paraId="7462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rPr>
              <w:rFonts w:cs="Times New Roman"/>
            </w:rPr>
            <w:tag w:val="_PLD_2505d9f8bc20407e9f785ceb5e0a0801"/>
            <w:id w:val="1967162436"/>
          </w:sdtPr>
          <w:sdtEndPr>
            <w:rPr>
              <w:rFonts w:cs="Times New Roman"/>
            </w:rPr>
          </w:sdtEndPr>
          <w:sdtContent>
            <w:tc>
              <w:tcPr>
                <w:tcW w:w="5000" w:type="pct"/>
                <w:gridSpan w:val="4"/>
                <w:tcBorders>
                  <w:top w:val="single" w:color="auto" w:sz="4" w:space="0"/>
                  <w:left w:val="single" w:color="auto" w:sz="4" w:space="0"/>
                  <w:bottom w:val="single" w:color="auto" w:sz="4" w:space="0"/>
                  <w:right w:val="single" w:color="auto" w:sz="4" w:space="0"/>
                </w:tcBorders>
              </w:tcPr>
              <w:p w14:paraId="4B0F932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二、累计折旧和累计摊销</w:t>
                </w:r>
              </w:p>
            </w:tc>
          </w:sdtContent>
        </w:sdt>
      </w:tr>
      <w:tr w14:paraId="77DA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c947d0aa69174c1ba5672d010e59bdb7"/>
            <w:id w:val="1945265105"/>
          </w:sdtPr>
          <w:sdtContent>
            <w:tc>
              <w:tcPr>
                <w:tcW w:w="2091" w:type="pct"/>
                <w:tcBorders>
                  <w:top w:val="single" w:color="auto" w:sz="4" w:space="0"/>
                  <w:left w:val="single" w:color="auto" w:sz="4" w:space="0"/>
                  <w:bottom w:val="single" w:color="auto" w:sz="4" w:space="0"/>
                  <w:right w:val="single" w:color="auto" w:sz="4" w:space="0"/>
                </w:tcBorders>
              </w:tcPr>
              <w:p w14:paraId="04478A7E">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期初余额</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24D4B43F">
            <w:pPr>
              <w:jc w:val="right"/>
              <w:rPr>
                <w:rFonts w:cs="Times New Roman"/>
              </w:rPr>
            </w:pPr>
            <w:r>
              <w:rPr>
                <w:rFonts w:cs="Times New Roman"/>
              </w:rPr>
              <w:t>254,837,898.19</w:t>
            </w:r>
          </w:p>
        </w:tc>
        <w:tc>
          <w:tcPr>
            <w:tcW w:w="892" w:type="pct"/>
            <w:tcBorders>
              <w:top w:val="single" w:color="auto" w:sz="4" w:space="0"/>
              <w:left w:val="single" w:color="auto" w:sz="4" w:space="0"/>
              <w:bottom w:val="single" w:color="auto" w:sz="4" w:space="0"/>
              <w:right w:val="single" w:color="auto" w:sz="4" w:space="0"/>
            </w:tcBorders>
            <w:vAlign w:val="center"/>
          </w:tcPr>
          <w:p w14:paraId="4FF37D9B">
            <w:pPr>
              <w:jc w:val="right"/>
              <w:rPr>
                <w:rFonts w:cs="Times New Roman"/>
              </w:rPr>
            </w:pPr>
            <w:r>
              <w:rPr>
                <w:rFonts w:cs="Times New Roman"/>
              </w:rPr>
              <w:t>2,342,795.07</w:t>
            </w:r>
          </w:p>
        </w:tc>
        <w:tc>
          <w:tcPr>
            <w:tcW w:w="994" w:type="pct"/>
            <w:tcBorders>
              <w:top w:val="single" w:color="auto" w:sz="4" w:space="0"/>
              <w:left w:val="single" w:color="auto" w:sz="4" w:space="0"/>
              <w:bottom w:val="single" w:color="auto" w:sz="4" w:space="0"/>
              <w:right w:val="single" w:color="auto" w:sz="4" w:space="0"/>
            </w:tcBorders>
            <w:vAlign w:val="center"/>
          </w:tcPr>
          <w:p w14:paraId="48B7DEBC">
            <w:pPr>
              <w:jc w:val="right"/>
              <w:rPr>
                <w:rFonts w:cs="Times New Roman"/>
              </w:rPr>
            </w:pPr>
            <w:r>
              <w:rPr>
                <w:rFonts w:cs="Times New Roman"/>
              </w:rPr>
              <w:t>257,180,693.26</w:t>
            </w:r>
          </w:p>
        </w:tc>
      </w:tr>
      <w:tr w14:paraId="001E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3e1bff0629db41feb43d6eec30972301"/>
            <w:id w:val="-1903742279"/>
          </w:sdtPr>
          <w:sdtContent>
            <w:tc>
              <w:tcPr>
                <w:tcW w:w="2091" w:type="pct"/>
                <w:tcBorders>
                  <w:top w:val="single" w:color="auto" w:sz="4" w:space="0"/>
                  <w:left w:val="single" w:color="auto" w:sz="4" w:space="0"/>
                  <w:bottom w:val="single" w:color="auto" w:sz="4" w:space="0"/>
                  <w:right w:val="single" w:color="auto" w:sz="4" w:space="0"/>
                </w:tcBorders>
              </w:tcPr>
              <w:p w14:paraId="50BF1F32">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本期增加金额</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286D07DD">
            <w:pPr>
              <w:jc w:val="right"/>
              <w:rPr>
                <w:rFonts w:cs="Times New Roman"/>
              </w:rPr>
            </w:pPr>
            <w:r>
              <w:rPr>
                <w:rFonts w:cs="Times New Roman"/>
              </w:rPr>
              <w:t>13,359,237.99</w:t>
            </w:r>
          </w:p>
        </w:tc>
        <w:tc>
          <w:tcPr>
            <w:tcW w:w="892" w:type="pct"/>
            <w:tcBorders>
              <w:top w:val="single" w:color="auto" w:sz="4" w:space="0"/>
              <w:left w:val="single" w:color="auto" w:sz="4" w:space="0"/>
              <w:bottom w:val="single" w:color="auto" w:sz="4" w:space="0"/>
              <w:right w:val="single" w:color="auto" w:sz="4" w:space="0"/>
            </w:tcBorders>
            <w:vAlign w:val="center"/>
          </w:tcPr>
          <w:p w14:paraId="221ED4C5">
            <w:pPr>
              <w:jc w:val="right"/>
              <w:rPr>
                <w:rFonts w:cs="Times New Roman"/>
              </w:rPr>
            </w:pPr>
            <w:r>
              <w:rPr>
                <w:rFonts w:cs="Times New Roman"/>
              </w:rPr>
              <w:t>163,934.22</w:t>
            </w:r>
          </w:p>
        </w:tc>
        <w:tc>
          <w:tcPr>
            <w:tcW w:w="994" w:type="pct"/>
            <w:tcBorders>
              <w:top w:val="single" w:color="auto" w:sz="4" w:space="0"/>
              <w:left w:val="single" w:color="auto" w:sz="4" w:space="0"/>
              <w:bottom w:val="single" w:color="auto" w:sz="4" w:space="0"/>
              <w:right w:val="single" w:color="auto" w:sz="4" w:space="0"/>
            </w:tcBorders>
            <w:vAlign w:val="center"/>
          </w:tcPr>
          <w:p w14:paraId="0311F417">
            <w:pPr>
              <w:jc w:val="right"/>
              <w:rPr>
                <w:rFonts w:cs="Times New Roman"/>
              </w:rPr>
            </w:pPr>
            <w:r>
              <w:rPr>
                <w:rFonts w:cs="Times New Roman"/>
              </w:rPr>
              <w:t>13,523,172.21</w:t>
            </w:r>
          </w:p>
        </w:tc>
      </w:tr>
      <w:tr w14:paraId="41D2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tag w:val="_PLD_aede9f39a8904986a0db75860e8da677"/>
            <w:id w:val="595603767"/>
          </w:sdtPr>
          <w:sdtContent>
            <w:tc>
              <w:tcPr>
                <w:tcW w:w="2091" w:type="pct"/>
                <w:tcBorders>
                  <w:top w:val="single" w:color="auto" w:sz="4" w:space="0"/>
                  <w:left w:val="single" w:color="auto" w:sz="4" w:space="0"/>
                  <w:bottom w:val="single" w:color="auto" w:sz="4" w:space="0"/>
                  <w:right w:val="single" w:color="auto" w:sz="4" w:space="0"/>
                </w:tcBorders>
              </w:tcPr>
              <w:p w14:paraId="616B7AE2">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（1）计提或摊销</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3002A53B">
            <w:pPr>
              <w:jc w:val="right"/>
              <w:rPr>
                <w:rFonts w:cs="Times New Roman"/>
              </w:rPr>
            </w:pPr>
            <w:r>
              <w:rPr>
                <w:rFonts w:cs="Times New Roman"/>
              </w:rPr>
              <w:t>11,971,698.51</w:t>
            </w:r>
          </w:p>
        </w:tc>
        <w:tc>
          <w:tcPr>
            <w:tcW w:w="892" w:type="pct"/>
            <w:tcBorders>
              <w:top w:val="single" w:color="auto" w:sz="4" w:space="0"/>
              <w:left w:val="single" w:color="auto" w:sz="4" w:space="0"/>
              <w:bottom w:val="single" w:color="auto" w:sz="4" w:space="0"/>
              <w:right w:val="single" w:color="auto" w:sz="4" w:space="0"/>
            </w:tcBorders>
            <w:vAlign w:val="center"/>
          </w:tcPr>
          <w:p w14:paraId="528DEFA4">
            <w:pPr>
              <w:jc w:val="right"/>
              <w:rPr>
                <w:rFonts w:cs="Times New Roman"/>
              </w:rPr>
            </w:pPr>
            <w:r>
              <w:rPr>
                <w:rFonts w:cs="Times New Roman"/>
              </w:rPr>
              <w:t>163,934.22</w:t>
            </w:r>
          </w:p>
        </w:tc>
        <w:tc>
          <w:tcPr>
            <w:tcW w:w="994" w:type="pct"/>
            <w:tcBorders>
              <w:top w:val="single" w:color="auto" w:sz="4" w:space="0"/>
              <w:left w:val="single" w:color="auto" w:sz="4" w:space="0"/>
              <w:bottom w:val="single" w:color="auto" w:sz="4" w:space="0"/>
              <w:right w:val="single" w:color="auto" w:sz="4" w:space="0"/>
            </w:tcBorders>
            <w:vAlign w:val="center"/>
          </w:tcPr>
          <w:p w14:paraId="77893ABF">
            <w:pPr>
              <w:jc w:val="right"/>
              <w:rPr>
                <w:rFonts w:cs="Times New Roman"/>
              </w:rPr>
            </w:pPr>
            <w:r>
              <w:rPr>
                <w:rFonts w:cs="Times New Roman"/>
              </w:rPr>
              <w:t>12,135,632.73</w:t>
            </w:r>
          </w:p>
        </w:tc>
      </w:tr>
      <w:sdt>
        <w:sdtPr>
          <w:rPr>
            <w:color w:val="000000" w:themeColor="text1"/>
            <w14:textFill>
              <w14:solidFill>
                <w14:schemeClr w14:val="tx1"/>
              </w14:solidFill>
            </w14:textFill>
          </w:rPr>
          <w:alias w:val="采用成本计量模式的投资性房地产累计折旧和累计摊销增加额明细"/>
          <w:tag w:val="_GBC_c54e7a9a11334e6bad615df918064ced"/>
          <w:id w:val="1337426208"/>
          <w:placeholder>
            <w:docPart w:val="{f0b382af-66aa-46d0-817e-d8e960ceb529}"/>
          </w:placeholder>
        </w:sdtPr>
        <w:sdtEndPr>
          <w:rPr>
            <w:rFonts w:cs="Times New Roman"/>
            <w:color w:val="000000" w:themeColor="text1"/>
            <w14:textFill>
              <w14:solidFill>
                <w14:schemeClr w14:val="tx1"/>
              </w14:solidFill>
            </w14:textFill>
          </w:rPr>
        </w:sdtEndPr>
        <w:sdtContent>
          <w:tr w14:paraId="0316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091" w:type="pct"/>
                <w:tcBorders>
                  <w:top w:val="single" w:color="auto" w:sz="4" w:space="0"/>
                  <w:left w:val="single" w:color="auto" w:sz="4" w:space="0"/>
                  <w:bottom w:val="single" w:color="auto" w:sz="4" w:space="0"/>
                  <w:right w:val="single" w:color="auto" w:sz="4" w:space="0"/>
                </w:tcBorders>
              </w:tcPr>
              <w:p w14:paraId="0F905FC0">
                <w:pPr>
                  <w:ind w:firstLine="420" w:firstLineChars="200"/>
                </w:pPr>
                <w:r>
                  <w:rPr>
                    <w:rFonts w:hint="eastAsia"/>
                  </w:rPr>
                  <w:t>（2）存货\固定资产\在建工程转入</w:t>
                </w:r>
              </w:p>
            </w:tc>
            <w:tc>
              <w:tcPr>
                <w:tcW w:w="1021" w:type="pct"/>
                <w:tcBorders>
                  <w:top w:val="single" w:color="auto" w:sz="4" w:space="0"/>
                  <w:left w:val="single" w:color="auto" w:sz="4" w:space="0"/>
                  <w:bottom w:val="single" w:color="auto" w:sz="4" w:space="0"/>
                  <w:right w:val="single" w:color="auto" w:sz="4" w:space="0"/>
                </w:tcBorders>
                <w:vAlign w:val="center"/>
              </w:tcPr>
              <w:p w14:paraId="4C567379">
                <w:pPr>
                  <w:jc w:val="right"/>
                  <w:rPr>
                    <w:rFonts w:cs="Times New Roman"/>
                  </w:rPr>
                </w:pPr>
                <w:r>
                  <w:rPr>
                    <w:rFonts w:hint="eastAsia" w:cs="Times New Roman"/>
                  </w:rPr>
                  <w:t>1,387,539.48</w:t>
                </w:r>
              </w:p>
            </w:tc>
            <w:tc>
              <w:tcPr>
                <w:tcW w:w="892" w:type="pct"/>
                <w:tcBorders>
                  <w:top w:val="single" w:color="auto" w:sz="4" w:space="0"/>
                  <w:left w:val="single" w:color="auto" w:sz="4" w:space="0"/>
                  <w:bottom w:val="single" w:color="auto" w:sz="4" w:space="0"/>
                  <w:right w:val="single" w:color="auto" w:sz="4" w:space="0"/>
                </w:tcBorders>
              </w:tcPr>
              <w:p w14:paraId="0334F9EE">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22A20E6B">
                <w:pPr>
                  <w:jc w:val="right"/>
                  <w:rPr>
                    <w:rFonts w:cs="Times New Roman"/>
                  </w:rPr>
                </w:pPr>
                <w:r>
                  <w:rPr>
                    <w:rFonts w:cs="Times New Roman"/>
                  </w:rPr>
                  <w:t>1,387,539.48</w:t>
                </w:r>
              </w:p>
            </w:tc>
          </w:tr>
        </w:sdtContent>
      </w:sdt>
      <w:sdt>
        <w:sdtPr>
          <w:alias w:val="采用成本计量模式的投资性房地产累计折旧和累计摊销增加额明细"/>
          <w:tag w:val="_GBC_c54e7a9a11334e6bad615df918064ced"/>
          <w:id w:val="367274784"/>
          <w:placeholder>
            <w:docPart w:val="{f0b382af-66aa-46d0-817e-d8e960ceb529}"/>
          </w:placeholder>
        </w:sdtPr>
        <w:sdtEndPr>
          <w:rPr>
            <w:rFonts w:cs="Times New Roman"/>
          </w:rPr>
        </w:sdtEndPr>
        <w:sdtContent>
          <w:tr w14:paraId="5E27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091" w:type="pct"/>
                <w:tcBorders>
                  <w:top w:val="single" w:color="auto" w:sz="4" w:space="0"/>
                  <w:left w:val="single" w:color="auto" w:sz="4" w:space="0"/>
                  <w:bottom w:val="single" w:color="auto" w:sz="4" w:space="0"/>
                  <w:right w:val="single" w:color="auto" w:sz="4" w:space="0"/>
                </w:tcBorders>
              </w:tcPr>
              <w:p w14:paraId="3A12E96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3.本期减少金额</w:t>
                </w:r>
              </w:p>
            </w:tc>
            <w:tc>
              <w:tcPr>
                <w:tcW w:w="1021" w:type="pct"/>
                <w:tcBorders>
                  <w:top w:val="single" w:color="auto" w:sz="4" w:space="0"/>
                  <w:left w:val="single" w:color="auto" w:sz="4" w:space="0"/>
                  <w:bottom w:val="single" w:color="auto" w:sz="4" w:space="0"/>
                  <w:right w:val="single" w:color="auto" w:sz="4" w:space="0"/>
                </w:tcBorders>
                <w:vAlign w:val="center"/>
              </w:tcPr>
              <w:p w14:paraId="405D0C17">
                <w:pPr>
                  <w:jc w:val="right"/>
                  <w:rPr>
                    <w:rFonts w:cs="Times New Roman"/>
                  </w:rPr>
                </w:pPr>
                <w:r>
                  <w:rPr>
                    <w:rFonts w:cs="Times New Roman"/>
                  </w:rPr>
                  <w:t>61,110.00</w:t>
                </w:r>
              </w:p>
            </w:tc>
            <w:tc>
              <w:tcPr>
                <w:tcW w:w="892" w:type="pct"/>
                <w:tcBorders>
                  <w:top w:val="single" w:color="auto" w:sz="4" w:space="0"/>
                  <w:left w:val="single" w:color="auto" w:sz="4" w:space="0"/>
                  <w:bottom w:val="single" w:color="auto" w:sz="4" w:space="0"/>
                  <w:right w:val="single" w:color="auto" w:sz="4" w:space="0"/>
                </w:tcBorders>
              </w:tcPr>
              <w:p w14:paraId="0888DC3F">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7663E215">
                <w:pPr>
                  <w:jc w:val="right"/>
                  <w:rPr>
                    <w:rFonts w:cs="Times New Roman"/>
                  </w:rPr>
                </w:pPr>
                <w:r>
                  <w:rPr>
                    <w:rFonts w:cs="Times New Roman"/>
                  </w:rPr>
                  <w:t>61,110.00</w:t>
                </w:r>
              </w:p>
            </w:tc>
          </w:tr>
        </w:sdtContent>
      </w:sdt>
      <w:tr w14:paraId="1D4B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104e913c5a6149d1be9de77ecd782953"/>
            <w:id w:val="-880007251"/>
          </w:sdtPr>
          <w:sdtContent>
            <w:tc>
              <w:tcPr>
                <w:tcW w:w="2091" w:type="pct"/>
                <w:tcBorders>
                  <w:top w:val="single" w:color="auto" w:sz="4" w:space="0"/>
                  <w:left w:val="single" w:color="auto" w:sz="4" w:space="0"/>
                  <w:bottom w:val="single" w:color="auto" w:sz="4" w:space="0"/>
                  <w:right w:val="single" w:color="auto" w:sz="4" w:space="0"/>
                </w:tcBorders>
              </w:tcPr>
              <w:p w14:paraId="33ADE60C">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sdtContent>
        </w:sdt>
        <w:tc>
          <w:tcPr>
            <w:tcW w:w="1021" w:type="pct"/>
            <w:tcBorders>
              <w:top w:val="single" w:color="auto" w:sz="4" w:space="0"/>
              <w:left w:val="single" w:color="auto" w:sz="4" w:space="0"/>
              <w:bottom w:val="single" w:color="auto" w:sz="4" w:space="0"/>
              <w:right w:val="single" w:color="auto" w:sz="4" w:space="0"/>
            </w:tcBorders>
          </w:tcPr>
          <w:p w14:paraId="22571337">
            <w:pPr>
              <w:jc w:val="right"/>
              <w:rPr>
                <w:rFonts w:cs="Times New Roman"/>
              </w:rPr>
            </w:pPr>
          </w:p>
        </w:tc>
        <w:tc>
          <w:tcPr>
            <w:tcW w:w="892" w:type="pct"/>
            <w:tcBorders>
              <w:top w:val="single" w:color="auto" w:sz="4" w:space="0"/>
              <w:left w:val="single" w:color="auto" w:sz="4" w:space="0"/>
              <w:bottom w:val="single" w:color="auto" w:sz="4" w:space="0"/>
              <w:right w:val="single" w:color="auto" w:sz="4" w:space="0"/>
            </w:tcBorders>
          </w:tcPr>
          <w:p w14:paraId="12A61700">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tcPr>
          <w:p w14:paraId="19B0C284">
            <w:pPr>
              <w:jc w:val="right"/>
              <w:rPr>
                <w:rFonts w:cs="Times New Roman"/>
              </w:rPr>
            </w:pPr>
          </w:p>
        </w:tc>
      </w:tr>
      <w:tr w14:paraId="3B40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3151c528ede64899a4e7d1efd714409b"/>
            <w:id w:val="2021045318"/>
          </w:sdtPr>
          <w:sdtContent>
            <w:tc>
              <w:tcPr>
                <w:tcW w:w="2091" w:type="pct"/>
                <w:tcBorders>
                  <w:top w:val="single" w:color="auto" w:sz="4" w:space="0"/>
                  <w:left w:val="single" w:color="auto" w:sz="4" w:space="0"/>
                  <w:bottom w:val="single" w:color="auto" w:sz="4" w:space="0"/>
                  <w:right w:val="single" w:color="auto" w:sz="4" w:space="0"/>
                </w:tcBorders>
              </w:tcPr>
              <w:p w14:paraId="52611D7F">
                <w:pPr>
                  <w:ind w:firstLine="315" w:firstLineChars="150"/>
                  <w:rPr>
                    <w:color w:val="000000" w:themeColor="text1"/>
                    <w14:textFill>
                      <w14:solidFill>
                        <w14:schemeClr w14:val="tx1"/>
                      </w14:solidFill>
                    </w14:textFill>
                  </w:rPr>
                </w:pPr>
                <w:r>
                  <w:rPr>
                    <w:rFonts w:hint="eastAsia"/>
                    <w:color w:val="000000" w:themeColor="text1"/>
                    <w14:textFill>
                      <w14:solidFill>
                        <w14:schemeClr w14:val="tx1"/>
                      </w14:solidFill>
                    </w14:textFill>
                  </w:rPr>
                  <w:t>（2）其他转出</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4203B843">
            <w:pPr>
              <w:jc w:val="right"/>
              <w:rPr>
                <w:rFonts w:cs="Times New Roman"/>
              </w:rPr>
            </w:pPr>
            <w:r>
              <w:rPr>
                <w:rFonts w:cs="Times New Roman"/>
              </w:rPr>
              <w:t>61,110.00</w:t>
            </w:r>
          </w:p>
        </w:tc>
        <w:tc>
          <w:tcPr>
            <w:tcW w:w="892" w:type="pct"/>
            <w:tcBorders>
              <w:top w:val="single" w:color="auto" w:sz="4" w:space="0"/>
              <w:left w:val="single" w:color="auto" w:sz="4" w:space="0"/>
              <w:bottom w:val="single" w:color="auto" w:sz="4" w:space="0"/>
              <w:right w:val="single" w:color="auto" w:sz="4" w:space="0"/>
            </w:tcBorders>
          </w:tcPr>
          <w:p w14:paraId="7DEA220E">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46DBD933">
            <w:pPr>
              <w:jc w:val="right"/>
              <w:rPr>
                <w:rFonts w:cs="Times New Roman"/>
              </w:rPr>
            </w:pPr>
            <w:r>
              <w:rPr>
                <w:rFonts w:cs="Times New Roman"/>
              </w:rPr>
              <w:t>61,110.00</w:t>
            </w:r>
          </w:p>
        </w:tc>
      </w:tr>
      <w:sdt>
        <w:sdtPr>
          <w:alias w:val="采用成本计量模式的投资性房地产累计折旧和累计摊销减少额明细"/>
          <w:tag w:val="_GBC_b3ebc435de8145869db922a00b30af1b"/>
          <w:id w:val="722334715"/>
          <w:placeholder>
            <w:docPart w:val="{f0b382af-66aa-46d0-817e-d8e960ceb529}"/>
          </w:placeholder>
        </w:sdtPr>
        <w:sdtEndPr>
          <w:rPr>
            <w:rFonts w:cs="Times New Roman"/>
          </w:rPr>
        </w:sdtEndPr>
        <w:sdtContent>
          <w:sdt>
            <w:sdtPr>
              <w:alias w:val="采用成本计量模式的投资性房地产累计折旧和累计摊销减少额明细"/>
              <w:tag w:val="_GBC_b3ebc435de8145869db922a00b30af1b"/>
              <w:id w:val="1025823542"/>
              <w:placeholder>
                <w:docPart w:val="{f0b382af-66aa-46d0-817e-d8e960ceb529}"/>
              </w:placeholder>
            </w:sdtPr>
            <w:sdtEndPr>
              <w:rPr>
                <w:rFonts w:cs="Times New Roman"/>
              </w:rPr>
            </w:sdtEndPr>
            <w:sdtContent>
              <w:tr w14:paraId="49EA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091" w:type="pct"/>
                    <w:tcBorders>
                      <w:top w:val="single" w:color="auto" w:sz="4" w:space="0"/>
                      <w:left w:val="single" w:color="auto" w:sz="4" w:space="0"/>
                      <w:bottom w:val="single" w:color="auto" w:sz="4" w:space="0"/>
                      <w:right w:val="single" w:color="auto" w:sz="4" w:space="0"/>
                    </w:tcBorders>
                  </w:tcPr>
                  <w:p w14:paraId="60A806FD">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4.期末余额</w:t>
                    </w:r>
                  </w:p>
                </w:tc>
                <w:tc>
                  <w:tcPr>
                    <w:tcW w:w="1021" w:type="pct"/>
                    <w:tcBorders>
                      <w:top w:val="single" w:color="auto" w:sz="4" w:space="0"/>
                      <w:left w:val="single" w:color="auto" w:sz="4" w:space="0"/>
                      <w:bottom w:val="single" w:color="auto" w:sz="4" w:space="0"/>
                      <w:right w:val="single" w:color="auto" w:sz="4" w:space="0"/>
                    </w:tcBorders>
                    <w:vAlign w:val="center"/>
                  </w:tcPr>
                  <w:p w14:paraId="37F456B9">
                    <w:pPr>
                      <w:jc w:val="right"/>
                      <w:rPr>
                        <w:rFonts w:cs="Times New Roman"/>
                      </w:rPr>
                    </w:pPr>
                    <w:r>
                      <w:rPr>
                        <w:rFonts w:cs="Times New Roman"/>
                      </w:rPr>
                      <w:t>268,136,026.18</w:t>
                    </w:r>
                  </w:p>
                </w:tc>
                <w:tc>
                  <w:tcPr>
                    <w:tcW w:w="892" w:type="pct"/>
                    <w:tcBorders>
                      <w:top w:val="single" w:color="auto" w:sz="4" w:space="0"/>
                      <w:left w:val="single" w:color="auto" w:sz="4" w:space="0"/>
                      <w:bottom w:val="single" w:color="auto" w:sz="4" w:space="0"/>
                      <w:right w:val="single" w:color="auto" w:sz="4" w:space="0"/>
                    </w:tcBorders>
                    <w:vAlign w:val="center"/>
                  </w:tcPr>
                  <w:p w14:paraId="0DAF2F76">
                    <w:pPr>
                      <w:jc w:val="right"/>
                      <w:rPr>
                        <w:rFonts w:cs="Times New Roman"/>
                      </w:rPr>
                    </w:pPr>
                    <w:r>
                      <w:rPr>
                        <w:rFonts w:cs="Times New Roman"/>
                      </w:rPr>
                      <w:t>2,506,729.29</w:t>
                    </w:r>
                  </w:p>
                </w:tc>
                <w:tc>
                  <w:tcPr>
                    <w:tcW w:w="994" w:type="pct"/>
                    <w:tcBorders>
                      <w:top w:val="single" w:color="auto" w:sz="4" w:space="0"/>
                      <w:left w:val="single" w:color="auto" w:sz="4" w:space="0"/>
                      <w:bottom w:val="single" w:color="auto" w:sz="4" w:space="0"/>
                      <w:right w:val="single" w:color="auto" w:sz="4" w:space="0"/>
                    </w:tcBorders>
                    <w:vAlign w:val="center"/>
                  </w:tcPr>
                  <w:p w14:paraId="39E7144D">
                    <w:pPr>
                      <w:jc w:val="right"/>
                      <w:rPr>
                        <w:rFonts w:cs="Times New Roman"/>
                      </w:rPr>
                    </w:pPr>
                    <w:r>
                      <w:rPr>
                        <w:rFonts w:cs="Times New Roman"/>
                      </w:rPr>
                      <w:t>270,642,755.47</w:t>
                    </w:r>
                  </w:p>
                </w:tc>
              </w:tr>
            </w:sdtContent>
          </w:sdt>
        </w:sdtContent>
      </w:sdt>
      <w:tr w14:paraId="1659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sdt>
          <w:sdtPr>
            <w:rPr>
              <w:rFonts w:cs="Times New Roman"/>
            </w:rPr>
            <w:tag w:val="_PLD_4ff260cebdf0497dab373adc76b90366"/>
            <w:id w:val="1483660060"/>
          </w:sdtPr>
          <w:sdtEndPr>
            <w:rPr>
              <w:rFonts w:cs="Times New Roman"/>
            </w:rPr>
          </w:sdtEndPr>
          <w:sdtContent>
            <w:tc>
              <w:tcPr>
                <w:tcW w:w="5000" w:type="pct"/>
                <w:gridSpan w:val="4"/>
                <w:tcBorders>
                  <w:top w:val="single" w:color="auto" w:sz="4" w:space="0"/>
                  <w:left w:val="single" w:color="auto" w:sz="4" w:space="0"/>
                  <w:bottom w:val="single" w:color="auto" w:sz="4" w:space="0"/>
                  <w:right w:val="single" w:color="auto" w:sz="4" w:space="0"/>
                </w:tcBorders>
              </w:tcPr>
              <w:p w14:paraId="0586D67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三、减值准备</w:t>
                </w:r>
              </w:p>
            </w:tc>
          </w:sdtContent>
        </w:sdt>
      </w:tr>
      <w:tr w14:paraId="2D37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685647660ea448c692140eff28695e32"/>
            <w:id w:val="438957468"/>
          </w:sdtPr>
          <w:sdtContent>
            <w:tc>
              <w:tcPr>
                <w:tcW w:w="2091" w:type="pct"/>
                <w:tcBorders>
                  <w:top w:val="single" w:color="auto" w:sz="4" w:space="0"/>
                  <w:left w:val="single" w:color="auto" w:sz="4" w:space="0"/>
                  <w:bottom w:val="single" w:color="auto" w:sz="4" w:space="0"/>
                  <w:right w:val="single" w:color="auto" w:sz="4" w:space="0"/>
                </w:tcBorders>
              </w:tcPr>
              <w:p w14:paraId="7591F386">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期初余额</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2E3081CA">
            <w:pPr>
              <w:jc w:val="right"/>
              <w:rPr>
                <w:rFonts w:cs="Times New Roman"/>
              </w:rPr>
            </w:pPr>
            <w:r>
              <w:rPr>
                <w:rFonts w:cs="Times New Roman"/>
              </w:rPr>
              <w:t>123,387,062.68</w:t>
            </w:r>
          </w:p>
        </w:tc>
        <w:tc>
          <w:tcPr>
            <w:tcW w:w="892" w:type="pct"/>
            <w:tcBorders>
              <w:top w:val="single" w:color="auto" w:sz="4" w:space="0"/>
              <w:left w:val="single" w:color="auto" w:sz="4" w:space="0"/>
              <w:bottom w:val="single" w:color="auto" w:sz="4" w:space="0"/>
              <w:right w:val="single" w:color="auto" w:sz="4" w:space="0"/>
            </w:tcBorders>
          </w:tcPr>
          <w:p w14:paraId="4B24CFA3">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26E46C73">
            <w:pPr>
              <w:jc w:val="right"/>
              <w:rPr>
                <w:rFonts w:cs="Times New Roman"/>
              </w:rPr>
            </w:pPr>
            <w:r>
              <w:rPr>
                <w:rFonts w:cs="Times New Roman"/>
              </w:rPr>
              <w:t>123,387,062.68</w:t>
            </w:r>
          </w:p>
        </w:tc>
      </w:tr>
      <w:tr w14:paraId="6B8E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sdt>
          <w:sdtPr>
            <w:tag w:val="_PLD_3dfd87bf97644313aa819527a1e9ca4f"/>
            <w:id w:val="-599643307"/>
          </w:sdtPr>
          <w:sdtContent>
            <w:tc>
              <w:tcPr>
                <w:tcW w:w="2091" w:type="pct"/>
                <w:tcBorders>
                  <w:top w:val="single" w:color="auto" w:sz="4" w:space="0"/>
                  <w:left w:val="single" w:color="auto" w:sz="4" w:space="0"/>
                  <w:bottom w:val="single" w:color="auto" w:sz="4" w:space="0"/>
                  <w:right w:val="single" w:color="auto" w:sz="4" w:space="0"/>
                </w:tcBorders>
              </w:tcPr>
              <w:p w14:paraId="4F0CBD0D">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本期增加金额</w:t>
                </w:r>
              </w:p>
            </w:tc>
          </w:sdtContent>
        </w:sdt>
        <w:tc>
          <w:tcPr>
            <w:tcW w:w="1021" w:type="pct"/>
            <w:tcBorders>
              <w:top w:val="single" w:color="auto" w:sz="4" w:space="0"/>
              <w:left w:val="single" w:color="auto" w:sz="4" w:space="0"/>
              <w:bottom w:val="single" w:color="auto" w:sz="4" w:space="0"/>
              <w:right w:val="single" w:color="auto" w:sz="4" w:space="0"/>
            </w:tcBorders>
          </w:tcPr>
          <w:p w14:paraId="27C3C8C5">
            <w:pPr>
              <w:jc w:val="right"/>
              <w:rPr>
                <w:rFonts w:cs="Times New Roman"/>
              </w:rPr>
            </w:pPr>
          </w:p>
        </w:tc>
        <w:tc>
          <w:tcPr>
            <w:tcW w:w="892" w:type="pct"/>
            <w:tcBorders>
              <w:top w:val="single" w:color="auto" w:sz="4" w:space="0"/>
              <w:left w:val="single" w:color="auto" w:sz="4" w:space="0"/>
              <w:bottom w:val="single" w:color="auto" w:sz="4" w:space="0"/>
              <w:right w:val="single" w:color="auto" w:sz="4" w:space="0"/>
            </w:tcBorders>
          </w:tcPr>
          <w:p w14:paraId="6007370B">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tcPr>
          <w:p w14:paraId="4B545F04">
            <w:pPr>
              <w:jc w:val="right"/>
              <w:rPr>
                <w:rFonts w:cs="Times New Roman"/>
              </w:rPr>
            </w:pPr>
          </w:p>
        </w:tc>
      </w:tr>
      <w:sdt>
        <w:sdtPr>
          <w:alias w:val="采用成本计量模式的投资性房地产减值准备增加额明细"/>
          <w:tag w:val="_GBC_b49a6efa005440a98b6f653494a58e73"/>
          <w:id w:val="-1192995265"/>
          <w:placeholder>
            <w:docPart w:val="{f0b382af-66aa-46d0-817e-d8e960ceb529}"/>
          </w:placeholder>
        </w:sdtPr>
        <w:sdtContent>
          <w:sdt>
            <w:sdtPr>
              <w:alias w:val="采用成本计量模式的投资性房地产减值准备增加额明细"/>
              <w:tag w:val="_GBC_b49a6efa005440a98b6f653494a58e73"/>
              <w:id w:val="-1426952875"/>
              <w:placeholder>
                <w:docPart w:val="{f0b382af-66aa-46d0-817e-d8e960ceb529}"/>
              </w:placeholder>
            </w:sdtPr>
            <w:sdtEndPr>
              <w:rPr>
                <w:rFonts w:cs="Times New Roman"/>
              </w:rPr>
            </w:sdtEndPr>
            <w:sdtContent>
              <w:tr w14:paraId="7D28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091" w:type="pct"/>
                    <w:tcBorders>
                      <w:top w:val="single" w:color="auto" w:sz="4" w:space="0"/>
                      <w:left w:val="single" w:color="auto" w:sz="4" w:space="0"/>
                      <w:bottom w:val="single" w:color="auto" w:sz="4" w:space="0"/>
                      <w:right w:val="single" w:color="auto" w:sz="4" w:space="0"/>
                    </w:tcBorders>
                  </w:tcPr>
                  <w:p w14:paraId="3D49085A">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3.本期减少金额</w:t>
                    </w:r>
                  </w:p>
                </w:tc>
                <w:tc>
                  <w:tcPr>
                    <w:tcW w:w="1021" w:type="pct"/>
                    <w:tcBorders>
                      <w:top w:val="single" w:color="auto" w:sz="4" w:space="0"/>
                      <w:left w:val="single" w:color="auto" w:sz="4" w:space="0"/>
                      <w:bottom w:val="single" w:color="auto" w:sz="4" w:space="0"/>
                      <w:right w:val="single" w:color="auto" w:sz="4" w:space="0"/>
                    </w:tcBorders>
                  </w:tcPr>
                  <w:p w14:paraId="5F5F6660">
                    <w:pPr>
                      <w:jc w:val="right"/>
                      <w:rPr>
                        <w:rFonts w:cs="Times New Roman"/>
                      </w:rPr>
                    </w:pPr>
                  </w:p>
                </w:tc>
                <w:tc>
                  <w:tcPr>
                    <w:tcW w:w="892" w:type="pct"/>
                    <w:tcBorders>
                      <w:top w:val="single" w:color="auto" w:sz="4" w:space="0"/>
                      <w:left w:val="single" w:color="auto" w:sz="4" w:space="0"/>
                      <w:bottom w:val="single" w:color="auto" w:sz="4" w:space="0"/>
                      <w:right w:val="single" w:color="auto" w:sz="4" w:space="0"/>
                    </w:tcBorders>
                  </w:tcPr>
                  <w:p w14:paraId="48851770">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tcPr>
                  <w:p w14:paraId="30123DAE">
                    <w:pPr>
                      <w:jc w:val="right"/>
                      <w:rPr>
                        <w:rFonts w:cs="Times New Roman"/>
                      </w:rPr>
                    </w:pPr>
                  </w:p>
                </w:tc>
              </w:tr>
            </w:sdtContent>
          </w:sdt>
        </w:sdtContent>
      </w:sdt>
      <w:sdt>
        <w:sdtPr>
          <w:alias w:val="采用成本计量模式的投资性房地产减值准备减少额明细"/>
          <w:tag w:val="_GBC_5dc34feee296443984c8f69a0b5ea708"/>
          <w:id w:val="-1683738177"/>
          <w:placeholder>
            <w:docPart w:val="{f0b382af-66aa-46d0-817e-d8e960ceb529}"/>
          </w:placeholder>
        </w:sdtPr>
        <w:sdtEndPr>
          <w:rPr>
            <w:rFonts w:cs="Times New Roman"/>
          </w:rPr>
        </w:sdtEndPr>
        <w:sdtContent>
          <w:sdt>
            <w:sdtPr>
              <w:alias w:val="采用成本计量模式的投资性房地产减值准备减少额明细"/>
              <w:tag w:val="_GBC_5dc34feee296443984c8f69a0b5ea708"/>
              <w:id w:val="-42221865"/>
              <w:placeholder>
                <w:docPart w:val="{f0b382af-66aa-46d0-817e-d8e960ceb529}"/>
              </w:placeholder>
            </w:sdtPr>
            <w:sdtEndPr>
              <w:rPr>
                <w:rFonts w:cs="Times New Roman"/>
              </w:rPr>
            </w:sdtEndPr>
            <w:sdtContent>
              <w:tr w14:paraId="390B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091" w:type="pct"/>
                    <w:tcBorders>
                      <w:top w:val="single" w:color="auto" w:sz="4" w:space="0"/>
                      <w:left w:val="single" w:color="auto" w:sz="4" w:space="0"/>
                      <w:bottom w:val="single" w:color="auto" w:sz="4" w:space="0"/>
                      <w:right w:val="single" w:color="auto" w:sz="4" w:space="0"/>
                    </w:tcBorders>
                  </w:tcPr>
                  <w:p w14:paraId="5B77A8C7">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4.期末余额</w:t>
                    </w:r>
                  </w:p>
                </w:tc>
                <w:tc>
                  <w:tcPr>
                    <w:tcW w:w="1021" w:type="pct"/>
                    <w:tcBorders>
                      <w:top w:val="single" w:color="auto" w:sz="4" w:space="0"/>
                      <w:left w:val="single" w:color="auto" w:sz="4" w:space="0"/>
                      <w:bottom w:val="single" w:color="auto" w:sz="4" w:space="0"/>
                      <w:right w:val="single" w:color="auto" w:sz="4" w:space="0"/>
                    </w:tcBorders>
                    <w:vAlign w:val="center"/>
                  </w:tcPr>
                  <w:p w14:paraId="63119065">
                    <w:pPr>
                      <w:jc w:val="right"/>
                      <w:rPr>
                        <w:rFonts w:cs="Times New Roman"/>
                      </w:rPr>
                    </w:pPr>
                    <w:r>
                      <w:rPr>
                        <w:rFonts w:cs="Times New Roman"/>
                      </w:rPr>
                      <w:t>123,387,062.68</w:t>
                    </w:r>
                  </w:p>
                </w:tc>
                <w:tc>
                  <w:tcPr>
                    <w:tcW w:w="892" w:type="pct"/>
                    <w:tcBorders>
                      <w:top w:val="single" w:color="auto" w:sz="4" w:space="0"/>
                      <w:left w:val="single" w:color="auto" w:sz="4" w:space="0"/>
                      <w:bottom w:val="single" w:color="auto" w:sz="4" w:space="0"/>
                      <w:right w:val="single" w:color="auto" w:sz="4" w:space="0"/>
                    </w:tcBorders>
                  </w:tcPr>
                  <w:p w14:paraId="418A625B">
                    <w:pPr>
                      <w:jc w:val="right"/>
                      <w:rPr>
                        <w:rFonts w:cs="Times New Roman"/>
                      </w:rPr>
                    </w:pPr>
                  </w:p>
                </w:tc>
                <w:tc>
                  <w:tcPr>
                    <w:tcW w:w="994" w:type="pct"/>
                    <w:tcBorders>
                      <w:top w:val="single" w:color="auto" w:sz="4" w:space="0"/>
                      <w:left w:val="single" w:color="auto" w:sz="4" w:space="0"/>
                      <w:bottom w:val="single" w:color="auto" w:sz="4" w:space="0"/>
                      <w:right w:val="single" w:color="auto" w:sz="4" w:space="0"/>
                    </w:tcBorders>
                    <w:vAlign w:val="center"/>
                  </w:tcPr>
                  <w:p w14:paraId="091FD543">
                    <w:pPr>
                      <w:jc w:val="right"/>
                      <w:rPr>
                        <w:rFonts w:cs="Times New Roman"/>
                      </w:rPr>
                    </w:pPr>
                    <w:r>
                      <w:rPr>
                        <w:rFonts w:cs="Times New Roman"/>
                      </w:rPr>
                      <w:t>123,387,062.68</w:t>
                    </w:r>
                  </w:p>
                </w:tc>
              </w:tr>
            </w:sdtContent>
          </w:sdt>
        </w:sdtContent>
      </w:sdt>
      <w:tr w14:paraId="6C72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sdt>
          <w:sdtPr>
            <w:rPr>
              <w:rFonts w:cs="Times New Roman"/>
            </w:rPr>
            <w:tag w:val="_PLD_dd5ff8f664da49d38ce3a1157275c392"/>
            <w:id w:val="-812630017"/>
          </w:sdtPr>
          <w:sdtEndPr>
            <w:rPr>
              <w:rFonts w:cs="Times New Roman"/>
            </w:rPr>
          </w:sdtEndPr>
          <w:sdtContent>
            <w:tc>
              <w:tcPr>
                <w:tcW w:w="5000" w:type="pct"/>
                <w:gridSpan w:val="4"/>
                <w:tcBorders>
                  <w:top w:val="single" w:color="auto" w:sz="4" w:space="0"/>
                  <w:left w:val="single" w:color="auto" w:sz="4" w:space="0"/>
                  <w:bottom w:val="single" w:color="auto" w:sz="4" w:space="0"/>
                  <w:right w:val="single" w:color="auto" w:sz="4" w:space="0"/>
                </w:tcBorders>
              </w:tcPr>
              <w:p w14:paraId="7CC070D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四、账面价值</w:t>
                </w:r>
              </w:p>
            </w:tc>
          </w:sdtContent>
        </w:sdt>
      </w:tr>
      <w:tr w14:paraId="5BEF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sdt>
          <w:sdtPr>
            <w:tag w:val="_PLD_9e2ff7b138194a18892eb08dcc0b7923"/>
            <w:id w:val="1640379662"/>
          </w:sdtPr>
          <w:sdtContent>
            <w:tc>
              <w:tcPr>
                <w:tcW w:w="2091" w:type="pct"/>
                <w:tcBorders>
                  <w:top w:val="single" w:color="auto" w:sz="4" w:space="0"/>
                  <w:left w:val="single" w:color="auto" w:sz="4" w:space="0"/>
                  <w:bottom w:val="single" w:color="auto" w:sz="4" w:space="0"/>
                  <w:right w:val="single" w:color="auto" w:sz="4" w:space="0"/>
                </w:tcBorders>
              </w:tcPr>
              <w:p w14:paraId="781823D7">
                <w:pPr>
                  <w:ind w:firstLine="315" w:firstLineChars="15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期末账面价值</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20155AED">
            <w:pPr>
              <w:jc w:val="right"/>
              <w:rPr>
                <w:rFonts w:cs="Times New Roman"/>
              </w:rPr>
            </w:pPr>
            <w:r>
              <w:rPr>
                <w:rFonts w:cs="Times New Roman"/>
              </w:rPr>
              <w:t>645,151,802.33</w:t>
            </w:r>
          </w:p>
        </w:tc>
        <w:tc>
          <w:tcPr>
            <w:tcW w:w="892" w:type="pct"/>
            <w:tcBorders>
              <w:top w:val="single" w:color="auto" w:sz="4" w:space="0"/>
              <w:left w:val="single" w:color="auto" w:sz="4" w:space="0"/>
              <w:bottom w:val="single" w:color="auto" w:sz="4" w:space="0"/>
              <w:right w:val="single" w:color="auto" w:sz="4" w:space="0"/>
            </w:tcBorders>
            <w:vAlign w:val="center"/>
          </w:tcPr>
          <w:p w14:paraId="783F5B18">
            <w:pPr>
              <w:jc w:val="right"/>
              <w:rPr>
                <w:rFonts w:cs="Times New Roman"/>
              </w:rPr>
            </w:pPr>
            <w:r>
              <w:rPr>
                <w:rFonts w:cs="Times New Roman"/>
              </w:rPr>
              <w:t>12,139,987.63</w:t>
            </w:r>
          </w:p>
        </w:tc>
        <w:tc>
          <w:tcPr>
            <w:tcW w:w="994" w:type="pct"/>
            <w:tcBorders>
              <w:top w:val="single" w:color="auto" w:sz="4" w:space="0"/>
              <w:left w:val="single" w:color="auto" w:sz="4" w:space="0"/>
              <w:bottom w:val="single" w:color="auto" w:sz="4" w:space="0"/>
              <w:right w:val="single" w:color="auto" w:sz="4" w:space="0"/>
            </w:tcBorders>
            <w:vAlign w:val="center"/>
          </w:tcPr>
          <w:p w14:paraId="0B37DA3B">
            <w:pPr>
              <w:jc w:val="right"/>
              <w:rPr>
                <w:rFonts w:cs="Times New Roman"/>
              </w:rPr>
            </w:pPr>
            <w:r>
              <w:rPr>
                <w:rFonts w:cs="Times New Roman"/>
              </w:rPr>
              <w:t>657,291,789.96</w:t>
            </w:r>
          </w:p>
        </w:tc>
      </w:tr>
      <w:tr w14:paraId="1D83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sdt>
          <w:sdtPr>
            <w:tag w:val="_PLD_6e9e2eed2bfa45eb8258d1b408d860b3"/>
            <w:id w:val="-1673488656"/>
          </w:sdtPr>
          <w:sdtContent>
            <w:tc>
              <w:tcPr>
                <w:tcW w:w="2091" w:type="pct"/>
                <w:tcBorders>
                  <w:top w:val="single" w:color="auto" w:sz="4" w:space="0"/>
                  <w:left w:val="single" w:color="auto" w:sz="4" w:space="0"/>
                  <w:bottom w:val="single" w:color="auto" w:sz="4" w:space="0"/>
                  <w:right w:val="single" w:color="auto" w:sz="4" w:space="0"/>
                </w:tcBorders>
              </w:tcPr>
              <w:p w14:paraId="4F9F35F1">
                <w:pPr>
                  <w:ind w:firstLine="315" w:firstLineChars="15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期初账面价值</w:t>
                </w:r>
              </w:p>
            </w:tc>
          </w:sdtContent>
        </w:sdt>
        <w:tc>
          <w:tcPr>
            <w:tcW w:w="1021" w:type="pct"/>
            <w:tcBorders>
              <w:top w:val="single" w:color="auto" w:sz="4" w:space="0"/>
              <w:left w:val="single" w:color="auto" w:sz="4" w:space="0"/>
              <w:bottom w:val="single" w:color="auto" w:sz="4" w:space="0"/>
              <w:right w:val="single" w:color="auto" w:sz="4" w:space="0"/>
            </w:tcBorders>
            <w:vAlign w:val="center"/>
          </w:tcPr>
          <w:p w14:paraId="0BD74EF0">
            <w:pPr>
              <w:jc w:val="right"/>
              <w:rPr>
                <w:rFonts w:cs="Times New Roman"/>
              </w:rPr>
            </w:pPr>
            <w:r>
              <w:rPr>
                <w:rFonts w:cs="Times New Roman"/>
              </w:rPr>
              <w:t>648,348,082.87</w:t>
            </w:r>
          </w:p>
        </w:tc>
        <w:tc>
          <w:tcPr>
            <w:tcW w:w="892" w:type="pct"/>
            <w:tcBorders>
              <w:top w:val="single" w:color="auto" w:sz="4" w:space="0"/>
              <w:left w:val="single" w:color="auto" w:sz="4" w:space="0"/>
              <w:bottom w:val="single" w:color="auto" w:sz="4" w:space="0"/>
              <w:right w:val="single" w:color="auto" w:sz="4" w:space="0"/>
            </w:tcBorders>
            <w:vAlign w:val="center"/>
          </w:tcPr>
          <w:p w14:paraId="7E89E95E">
            <w:pPr>
              <w:jc w:val="right"/>
              <w:rPr>
                <w:rFonts w:cs="Times New Roman"/>
              </w:rPr>
            </w:pPr>
            <w:r>
              <w:rPr>
                <w:rFonts w:cs="Times New Roman"/>
              </w:rPr>
              <w:t>12,303,921.85</w:t>
            </w:r>
          </w:p>
        </w:tc>
        <w:tc>
          <w:tcPr>
            <w:tcW w:w="994" w:type="pct"/>
            <w:tcBorders>
              <w:top w:val="single" w:color="auto" w:sz="4" w:space="0"/>
              <w:left w:val="single" w:color="auto" w:sz="4" w:space="0"/>
              <w:bottom w:val="single" w:color="auto" w:sz="4" w:space="0"/>
              <w:right w:val="single" w:color="auto" w:sz="4" w:space="0"/>
            </w:tcBorders>
            <w:vAlign w:val="center"/>
          </w:tcPr>
          <w:p w14:paraId="25A0AB29">
            <w:pPr>
              <w:jc w:val="right"/>
              <w:rPr>
                <w:rFonts w:cs="Times New Roman"/>
              </w:rPr>
            </w:pPr>
            <w:r>
              <w:rPr>
                <w:rFonts w:cs="Times New Roman"/>
              </w:rPr>
              <w:t>660,652,004.72</w:t>
            </w:r>
          </w:p>
        </w:tc>
      </w:tr>
    </w:tbl>
    <w:p w14:paraId="12F656B3"/>
    <w:p w14:paraId="5419F92F">
      <w:pPr>
        <w:pStyle w:val="5"/>
        <w:numPr>
          <w:ilvl w:val="0"/>
          <w:numId w:val="69"/>
        </w:numPr>
        <w:tabs>
          <w:tab w:val="left" w:pos="616"/>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未办妥产权证书的投资性房地产情况：</w:t>
      </w:r>
    </w:p>
    <w:p w14:paraId="77A950D6">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未办妥产权证书的投资性房地产情况[双击切换]"/>
          <w:tag w:val="_GBC_6ea8ec03c59f4a3585f376319ae453c5"/>
          <w:id w:val="-442382502"/>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sdtContent>
      </w:sdt>
    </w:p>
    <w:p w14:paraId="40A0D6D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办妥产权证书的投资性房地产情况"/>
          <w:tag w:val="_GBC_89ad3edd2c8344178a82ca92ba3aa649"/>
          <w:id w:val="1003628429"/>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办妥产权证书的投资性房地产情况"/>
          <w:tag w:val="_GBC_319e60d20ba84767896da2a6acce957a"/>
          <w:id w:val="-184145620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9"/>
        <w:gridCol w:w="1691"/>
        <w:gridCol w:w="2879"/>
      </w:tblGrid>
      <w:tr w14:paraId="0852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7c52e77cefcd4f20928046fc664a738d"/>
            <w:id w:val="1383598732"/>
          </w:sdtPr>
          <w:sdtContent>
            <w:tc>
              <w:tcPr>
                <w:tcW w:w="2474" w:type="pct"/>
                <w:vAlign w:val="center"/>
              </w:tcPr>
              <w:p w14:paraId="05C75616">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9530227fc6641b8a91deec6d447dac0"/>
            <w:id w:val="-307941127"/>
          </w:sdtPr>
          <w:sdtContent>
            <w:tc>
              <w:tcPr>
                <w:tcW w:w="934" w:type="pct"/>
                <w:vAlign w:val="center"/>
              </w:tcPr>
              <w:p w14:paraId="0658AB6F">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4af635cb01b34ef8a8351309e6df2ec0"/>
            <w:id w:val="263277325"/>
          </w:sdtPr>
          <w:sdtContent>
            <w:tc>
              <w:tcPr>
                <w:tcW w:w="1590" w:type="pct"/>
                <w:vAlign w:val="center"/>
              </w:tcPr>
              <w:p w14:paraId="14FC8737">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未办妥产权证书原因</w:t>
                </w:r>
              </w:p>
            </w:tc>
          </w:sdtContent>
        </w:sdt>
      </w:tr>
      <w:sdt>
        <w:sdtPr>
          <w:rPr>
            <w:color w:val="000000" w:themeColor="text1"/>
            <w14:textFill>
              <w14:solidFill>
                <w14:schemeClr w14:val="tx1"/>
              </w14:solidFill>
            </w14:textFill>
          </w:rPr>
          <w:alias w:val="未办妥产权证书的投资性房地产金额及原因明细"/>
          <w:tag w:val="_TUP_b8488f9577fc4efca936aea5a22c3395"/>
          <w:id w:val="-1955936079"/>
          <w:placeholder>
            <w:docPart w:val="{7e93b215-355b-4b72-ad54-81d0c9f5305e}"/>
          </w:placeholder>
        </w:sdtPr>
        <w:sdtEndPr>
          <w:rPr>
            <w:color w:val="000000" w:themeColor="text1"/>
            <w14:textFill>
              <w14:solidFill>
                <w14:schemeClr w14:val="tx1"/>
              </w14:solidFill>
            </w14:textFill>
          </w:rPr>
        </w:sdtEndPr>
        <w:sdtContent>
          <w:tr w14:paraId="4E03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vAlign w:val="center"/>
              </w:tcPr>
              <w:p w14:paraId="339FC0B8">
                <w:pPr>
                  <w:tabs>
                    <w:tab w:val="right" w:pos="3690"/>
                    <w:tab w:val="right" w:pos="5130"/>
                    <w:tab w:val="right" w:pos="6030"/>
                    <w:tab w:val="right" w:pos="7650"/>
                    <w:tab w:val="right" w:pos="9270"/>
                  </w:tabs>
                  <w:adjustRightInd w:val="0"/>
                  <w:snapToGrid w:val="0"/>
                  <w:jc w:val="both"/>
                </w:pPr>
                <w:r>
                  <w:rPr>
                    <w:rFonts w:hint="eastAsia"/>
                  </w:rPr>
                  <w:t>重庆际华目的地中心实业有限公司房屋建筑物</w:t>
                </w:r>
              </w:p>
            </w:tc>
            <w:tc>
              <w:tcPr>
                <w:tcW w:w="934" w:type="pct"/>
                <w:vAlign w:val="center"/>
              </w:tcPr>
              <w:p w14:paraId="3BF4F5CD">
                <w:pPr>
                  <w:tabs>
                    <w:tab w:val="right" w:pos="3690"/>
                    <w:tab w:val="right" w:pos="5130"/>
                    <w:tab w:val="right" w:pos="6030"/>
                    <w:tab w:val="right" w:pos="7650"/>
                    <w:tab w:val="right" w:pos="9270"/>
                  </w:tabs>
                  <w:adjustRightInd w:val="0"/>
                  <w:snapToGrid w:val="0"/>
                  <w:jc w:val="right"/>
                </w:pPr>
                <w:r>
                  <w:rPr>
                    <w:rFonts w:hint="eastAsia"/>
                  </w:rPr>
                  <w:t>104,367,950.52</w:t>
                </w:r>
              </w:p>
            </w:tc>
            <w:tc>
              <w:tcPr>
                <w:tcW w:w="1590" w:type="pct"/>
                <w:vAlign w:val="center"/>
              </w:tcPr>
              <w:p w14:paraId="4A705575">
                <w:pPr>
                  <w:tabs>
                    <w:tab w:val="right" w:pos="3690"/>
                    <w:tab w:val="right" w:pos="5130"/>
                    <w:tab w:val="right" w:pos="6030"/>
                    <w:tab w:val="right" w:pos="7650"/>
                    <w:tab w:val="right" w:pos="9270"/>
                  </w:tabs>
                  <w:adjustRightInd w:val="0"/>
                  <w:snapToGrid w:val="0"/>
                  <w:jc w:val="both"/>
                </w:pPr>
                <w:r>
                  <w:rPr>
                    <w:rFonts w:hint="eastAsia"/>
                  </w:rPr>
                  <w:t>正在办理中</w:t>
                </w:r>
              </w:p>
            </w:tc>
          </w:tr>
        </w:sdtContent>
      </w:sdt>
      <w:sdt>
        <w:sdtPr>
          <w:rPr>
            <w:color w:val="000000" w:themeColor="text1"/>
            <w14:textFill>
              <w14:solidFill>
                <w14:schemeClr w14:val="tx1"/>
              </w14:solidFill>
            </w14:textFill>
          </w:rPr>
          <w:alias w:val="未办妥产权证书的投资性房地产金额及原因明细"/>
          <w:tag w:val="_TUP_b8488f9577fc4efca936aea5a22c3395"/>
          <w:id w:val="-1983609105"/>
          <w:placeholder>
            <w:docPart w:val="{7e93b215-355b-4b72-ad54-81d0c9f5305e}"/>
          </w:placeholder>
        </w:sdtPr>
        <w:sdtEndPr>
          <w:rPr>
            <w:color w:val="000000" w:themeColor="text1"/>
            <w14:textFill>
              <w14:solidFill>
                <w14:schemeClr w14:val="tx1"/>
              </w14:solidFill>
            </w14:textFill>
          </w:rPr>
        </w:sdtEndPr>
        <w:sdtContent>
          <w:tr w14:paraId="7731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vAlign w:val="center"/>
              </w:tcPr>
              <w:p w14:paraId="49672B17">
                <w:pPr>
                  <w:tabs>
                    <w:tab w:val="right" w:pos="3690"/>
                    <w:tab w:val="right" w:pos="5130"/>
                    <w:tab w:val="right" w:pos="6030"/>
                    <w:tab w:val="right" w:pos="7650"/>
                    <w:tab w:val="right" w:pos="9270"/>
                  </w:tabs>
                  <w:adjustRightInd w:val="0"/>
                  <w:snapToGrid w:val="0"/>
                  <w:jc w:val="both"/>
                </w:pPr>
                <w:r>
                  <w:rPr>
                    <w:rFonts w:hint="eastAsia"/>
                  </w:rPr>
                  <w:t>际华三五一三实业有限公司新兴际华大厦、九锦台和光大路门面房A段</w:t>
                </w:r>
              </w:p>
            </w:tc>
            <w:tc>
              <w:tcPr>
                <w:tcW w:w="934" w:type="pct"/>
                <w:vAlign w:val="center"/>
              </w:tcPr>
              <w:p w14:paraId="600C107D">
                <w:pPr>
                  <w:tabs>
                    <w:tab w:val="right" w:pos="3690"/>
                    <w:tab w:val="right" w:pos="5130"/>
                    <w:tab w:val="right" w:pos="6030"/>
                    <w:tab w:val="right" w:pos="7650"/>
                    <w:tab w:val="right" w:pos="9270"/>
                  </w:tabs>
                  <w:adjustRightInd w:val="0"/>
                  <w:snapToGrid w:val="0"/>
                  <w:jc w:val="right"/>
                </w:pPr>
                <w:r>
                  <w:rPr>
                    <w:rFonts w:hint="eastAsia"/>
                  </w:rPr>
                  <w:t>96,064,565.94</w:t>
                </w:r>
              </w:p>
            </w:tc>
            <w:tc>
              <w:tcPr>
                <w:tcW w:w="1590" w:type="pct"/>
                <w:vAlign w:val="center"/>
              </w:tcPr>
              <w:p w14:paraId="3D234471">
                <w:pPr>
                  <w:tabs>
                    <w:tab w:val="right" w:pos="3690"/>
                    <w:tab w:val="right" w:pos="5130"/>
                    <w:tab w:val="right" w:pos="6030"/>
                    <w:tab w:val="right" w:pos="7650"/>
                    <w:tab w:val="right" w:pos="9270"/>
                  </w:tabs>
                  <w:adjustRightInd w:val="0"/>
                  <w:snapToGrid w:val="0"/>
                  <w:jc w:val="both"/>
                </w:pPr>
                <w:r>
                  <w:rPr>
                    <w:rFonts w:hint="eastAsia"/>
                  </w:rPr>
                  <w:t>正在办理中</w:t>
                </w:r>
              </w:p>
            </w:tc>
          </w:tr>
        </w:sdtContent>
      </w:sdt>
      <w:sdt>
        <w:sdtPr>
          <w:rPr>
            <w:color w:val="000000" w:themeColor="text1"/>
            <w14:textFill>
              <w14:solidFill>
                <w14:schemeClr w14:val="tx1"/>
              </w14:solidFill>
            </w14:textFill>
          </w:rPr>
          <w:alias w:val="未办妥产权证书的投资性房地产金额及原因明细"/>
          <w:tag w:val="_TUP_b8488f9577fc4efca936aea5a22c3395"/>
          <w:id w:val="-569273458"/>
          <w:placeholder>
            <w:docPart w:val="{7e93b215-355b-4b72-ad54-81d0c9f5305e}"/>
          </w:placeholder>
        </w:sdtPr>
        <w:sdtEndPr>
          <w:rPr>
            <w:color w:val="000000" w:themeColor="text1"/>
            <w14:textFill>
              <w14:solidFill>
                <w14:schemeClr w14:val="tx1"/>
              </w14:solidFill>
            </w14:textFill>
          </w:rPr>
        </w:sdtEndPr>
        <w:sdtContent>
          <w:tr w14:paraId="0ED7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vAlign w:val="center"/>
              </w:tcPr>
              <w:p w14:paraId="6E52C46A">
                <w:pPr>
                  <w:tabs>
                    <w:tab w:val="right" w:pos="3690"/>
                    <w:tab w:val="right" w:pos="5130"/>
                    <w:tab w:val="right" w:pos="6030"/>
                    <w:tab w:val="right" w:pos="7650"/>
                    <w:tab w:val="right" w:pos="9270"/>
                  </w:tabs>
                  <w:adjustRightInd w:val="0"/>
                  <w:snapToGrid w:val="0"/>
                  <w:jc w:val="both"/>
                </w:pPr>
                <w:r>
                  <w:rPr>
                    <w:rFonts w:hint="eastAsia"/>
                  </w:rPr>
                  <w:t>际华三五零六纺织服装有限公司同馨商务大厦(2、6、10层)</w:t>
                </w:r>
              </w:p>
            </w:tc>
            <w:tc>
              <w:tcPr>
                <w:tcW w:w="934" w:type="pct"/>
                <w:vAlign w:val="center"/>
              </w:tcPr>
              <w:p w14:paraId="17DA5AB4">
                <w:pPr>
                  <w:tabs>
                    <w:tab w:val="right" w:pos="3690"/>
                    <w:tab w:val="right" w:pos="5130"/>
                    <w:tab w:val="right" w:pos="6030"/>
                    <w:tab w:val="right" w:pos="7650"/>
                    <w:tab w:val="right" w:pos="9270"/>
                  </w:tabs>
                  <w:adjustRightInd w:val="0"/>
                  <w:snapToGrid w:val="0"/>
                  <w:jc w:val="right"/>
                </w:pPr>
                <w:r>
                  <w:rPr>
                    <w:rFonts w:hint="eastAsia"/>
                  </w:rPr>
                  <w:t>51,806,250.00</w:t>
                </w:r>
              </w:p>
            </w:tc>
            <w:tc>
              <w:tcPr>
                <w:tcW w:w="1590" w:type="pct"/>
                <w:vAlign w:val="center"/>
              </w:tcPr>
              <w:p w14:paraId="7BB0651D">
                <w:pPr>
                  <w:tabs>
                    <w:tab w:val="right" w:pos="3690"/>
                    <w:tab w:val="right" w:pos="5130"/>
                    <w:tab w:val="right" w:pos="6030"/>
                    <w:tab w:val="right" w:pos="7650"/>
                    <w:tab w:val="right" w:pos="9270"/>
                  </w:tabs>
                  <w:adjustRightInd w:val="0"/>
                  <w:snapToGrid w:val="0"/>
                  <w:jc w:val="both"/>
                </w:pPr>
                <w:r>
                  <w:rPr>
                    <w:rFonts w:hint="eastAsia"/>
                  </w:rPr>
                  <w:t>正在办理中</w:t>
                </w:r>
              </w:p>
            </w:tc>
          </w:tr>
        </w:sdtContent>
      </w:sdt>
      <w:sdt>
        <w:sdtPr>
          <w:rPr>
            <w:color w:val="000000" w:themeColor="text1"/>
            <w14:textFill>
              <w14:solidFill>
                <w14:schemeClr w14:val="tx1"/>
              </w14:solidFill>
            </w14:textFill>
          </w:rPr>
          <w:alias w:val="未办妥产权证书的投资性房地产金额及原因明细"/>
          <w:tag w:val="_TUP_b8488f9577fc4efca936aea5a22c3395"/>
          <w:id w:val="-74745675"/>
          <w:placeholder>
            <w:docPart w:val="{7e93b215-355b-4b72-ad54-81d0c9f5305e}"/>
          </w:placeholder>
        </w:sdtPr>
        <w:sdtEndPr>
          <w:rPr>
            <w:color w:val="000000" w:themeColor="text1"/>
            <w14:textFill>
              <w14:solidFill>
                <w14:schemeClr w14:val="tx1"/>
              </w14:solidFill>
            </w14:textFill>
          </w:rPr>
        </w:sdtEndPr>
        <w:sdtContent>
          <w:tr w14:paraId="6202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vAlign w:val="center"/>
              </w:tcPr>
              <w:p w14:paraId="78CA3CD3">
                <w:pPr>
                  <w:tabs>
                    <w:tab w:val="right" w:pos="3690"/>
                    <w:tab w:val="right" w:pos="5130"/>
                    <w:tab w:val="right" w:pos="6030"/>
                    <w:tab w:val="right" w:pos="7650"/>
                    <w:tab w:val="right" w:pos="9270"/>
                  </w:tabs>
                  <w:adjustRightInd w:val="0"/>
                  <w:snapToGrid w:val="0"/>
                  <w:jc w:val="both"/>
                </w:pPr>
                <w:r>
                  <w:rPr>
                    <w:rFonts w:hint="eastAsia"/>
                  </w:rPr>
                  <w:t>际华三五一二皮革服装有限公司新区行政综合楼、值班室</w:t>
                </w:r>
              </w:p>
            </w:tc>
            <w:tc>
              <w:tcPr>
                <w:tcW w:w="934" w:type="pct"/>
                <w:vAlign w:val="center"/>
              </w:tcPr>
              <w:p w14:paraId="73A05C2E">
                <w:pPr>
                  <w:tabs>
                    <w:tab w:val="right" w:pos="3690"/>
                    <w:tab w:val="right" w:pos="5130"/>
                    <w:tab w:val="right" w:pos="6030"/>
                    <w:tab w:val="right" w:pos="7650"/>
                    <w:tab w:val="right" w:pos="9270"/>
                  </w:tabs>
                  <w:adjustRightInd w:val="0"/>
                  <w:snapToGrid w:val="0"/>
                  <w:jc w:val="right"/>
                </w:pPr>
                <w:r>
                  <w:rPr>
                    <w:rFonts w:hint="eastAsia"/>
                  </w:rPr>
                  <w:t>10,830,441.94</w:t>
                </w:r>
              </w:p>
            </w:tc>
            <w:tc>
              <w:tcPr>
                <w:tcW w:w="1590" w:type="pct"/>
                <w:vAlign w:val="center"/>
              </w:tcPr>
              <w:p w14:paraId="301F1A06">
                <w:pPr>
                  <w:tabs>
                    <w:tab w:val="right" w:pos="3690"/>
                    <w:tab w:val="right" w:pos="5130"/>
                    <w:tab w:val="right" w:pos="6030"/>
                    <w:tab w:val="right" w:pos="7650"/>
                    <w:tab w:val="right" w:pos="9270"/>
                  </w:tabs>
                  <w:adjustRightInd w:val="0"/>
                  <w:snapToGrid w:val="0"/>
                  <w:jc w:val="both"/>
                </w:pPr>
                <w:r>
                  <w:rPr>
                    <w:rFonts w:hint="eastAsia"/>
                  </w:rPr>
                  <w:t>正在办理中</w:t>
                </w:r>
              </w:p>
            </w:tc>
          </w:tr>
        </w:sdtContent>
      </w:sdt>
      <w:sdt>
        <w:sdtPr>
          <w:rPr>
            <w:color w:val="000000" w:themeColor="text1"/>
            <w14:textFill>
              <w14:solidFill>
                <w14:schemeClr w14:val="tx1"/>
              </w14:solidFill>
            </w14:textFill>
          </w:rPr>
          <w:alias w:val="未办妥产权证书的投资性房地产金额及原因明细"/>
          <w:tag w:val="_TUP_b8488f9577fc4efca936aea5a22c3395"/>
          <w:id w:val="73868376"/>
          <w:placeholder>
            <w:docPart w:val="{7e93b215-355b-4b72-ad54-81d0c9f5305e}"/>
          </w:placeholder>
        </w:sdtPr>
        <w:sdtEndPr>
          <w:rPr>
            <w:color w:val="000000" w:themeColor="text1"/>
            <w14:textFill>
              <w14:solidFill>
                <w14:schemeClr w14:val="tx1"/>
              </w14:solidFill>
            </w14:textFill>
          </w:rPr>
        </w:sdtEndPr>
        <w:sdtContent>
          <w:tr w14:paraId="5999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vAlign w:val="center"/>
              </w:tcPr>
              <w:p w14:paraId="68F1EDFC">
                <w:pPr>
                  <w:tabs>
                    <w:tab w:val="right" w:pos="3690"/>
                    <w:tab w:val="right" w:pos="5130"/>
                    <w:tab w:val="right" w:pos="6030"/>
                    <w:tab w:val="right" w:pos="7650"/>
                    <w:tab w:val="right" w:pos="9270"/>
                  </w:tabs>
                  <w:adjustRightInd w:val="0"/>
                  <w:snapToGrid w:val="0"/>
                  <w:jc w:val="both"/>
                </w:pPr>
                <w:r>
                  <w:rPr>
                    <w:rFonts w:hint="eastAsia"/>
                  </w:rPr>
                  <w:t>际华三五一一实业有限公司昆明花园门面房</w:t>
                </w:r>
              </w:p>
            </w:tc>
            <w:tc>
              <w:tcPr>
                <w:tcW w:w="934" w:type="pct"/>
                <w:vAlign w:val="center"/>
              </w:tcPr>
              <w:p w14:paraId="6626D60D">
                <w:pPr>
                  <w:tabs>
                    <w:tab w:val="right" w:pos="3690"/>
                    <w:tab w:val="right" w:pos="5130"/>
                    <w:tab w:val="right" w:pos="6030"/>
                    <w:tab w:val="right" w:pos="7650"/>
                    <w:tab w:val="right" w:pos="9270"/>
                  </w:tabs>
                  <w:adjustRightInd w:val="0"/>
                  <w:snapToGrid w:val="0"/>
                  <w:jc w:val="right"/>
                </w:pPr>
                <w:r>
                  <w:rPr>
                    <w:rFonts w:hint="eastAsia"/>
                  </w:rPr>
                  <w:t>37,468,798.94</w:t>
                </w:r>
              </w:p>
            </w:tc>
            <w:tc>
              <w:tcPr>
                <w:tcW w:w="1590" w:type="pct"/>
                <w:vAlign w:val="center"/>
              </w:tcPr>
              <w:p w14:paraId="29806113">
                <w:pPr>
                  <w:tabs>
                    <w:tab w:val="right" w:pos="3690"/>
                    <w:tab w:val="right" w:pos="5130"/>
                    <w:tab w:val="right" w:pos="6030"/>
                    <w:tab w:val="right" w:pos="7650"/>
                    <w:tab w:val="right" w:pos="9270"/>
                  </w:tabs>
                  <w:adjustRightInd w:val="0"/>
                  <w:snapToGrid w:val="0"/>
                  <w:jc w:val="both"/>
                </w:pPr>
                <w:r>
                  <w:rPr>
                    <w:rFonts w:hint="eastAsia"/>
                  </w:rPr>
                  <w:t>正在办理中</w:t>
                </w:r>
              </w:p>
            </w:tc>
          </w:tr>
        </w:sdtContent>
      </w:sdt>
      <w:sdt>
        <w:sdtPr>
          <w:rPr>
            <w:color w:val="000000" w:themeColor="text1"/>
            <w14:textFill>
              <w14:solidFill>
                <w14:schemeClr w14:val="tx1"/>
              </w14:solidFill>
            </w14:textFill>
          </w:rPr>
          <w:alias w:val="未办妥产权证书的投资性房地产金额及原因明细"/>
          <w:tag w:val="_TUP_b8488f9577fc4efca936aea5a22c3395"/>
          <w:id w:val="-2057922113"/>
          <w:placeholder>
            <w:docPart w:val="{7e93b215-355b-4b72-ad54-81d0c9f5305e}"/>
          </w:placeholder>
        </w:sdtPr>
        <w:sdtEndPr>
          <w:rPr>
            <w:color w:val="000000" w:themeColor="text1"/>
            <w14:textFill>
              <w14:solidFill>
                <w14:schemeClr w14:val="tx1"/>
              </w14:solidFill>
            </w14:textFill>
          </w:rPr>
        </w:sdtEndPr>
        <w:sdtContent>
          <w:tr w14:paraId="04D3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vAlign w:val="center"/>
              </w:tcPr>
              <w:p w14:paraId="59061C08">
                <w:pPr>
                  <w:tabs>
                    <w:tab w:val="right" w:pos="3690"/>
                    <w:tab w:val="right" w:pos="5130"/>
                    <w:tab w:val="right" w:pos="6030"/>
                    <w:tab w:val="right" w:pos="7650"/>
                    <w:tab w:val="right" w:pos="9270"/>
                  </w:tabs>
                  <w:adjustRightInd w:val="0"/>
                  <w:snapToGrid w:val="0"/>
                  <w:jc w:val="both"/>
                </w:pPr>
                <w:r>
                  <w:rPr>
                    <w:rFonts w:hint="eastAsia"/>
                  </w:rPr>
                  <w:t>际华三五三四制衣有限公司9号U型工房</w:t>
                </w:r>
              </w:p>
            </w:tc>
            <w:tc>
              <w:tcPr>
                <w:tcW w:w="934" w:type="pct"/>
                <w:vAlign w:val="center"/>
              </w:tcPr>
              <w:p w14:paraId="332BE5FD">
                <w:pPr>
                  <w:tabs>
                    <w:tab w:val="right" w:pos="3690"/>
                    <w:tab w:val="right" w:pos="5130"/>
                    <w:tab w:val="right" w:pos="6030"/>
                    <w:tab w:val="right" w:pos="7650"/>
                    <w:tab w:val="right" w:pos="9270"/>
                  </w:tabs>
                  <w:adjustRightInd w:val="0"/>
                  <w:snapToGrid w:val="0"/>
                  <w:jc w:val="right"/>
                </w:pPr>
                <w:r>
                  <w:rPr>
                    <w:rFonts w:hint="eastAsia"/>
                  </w:rPr>
                  <w:t>11,518,470.36</w:t>
                </w:r>
              </w:p>
            </w:tc>
            <w:tc>
              <w:tcPr>
                <w:tcW w:w="1590" w:type="pct"/>
                <w:vAlign w:val="center"/>
              </w:tcPr>
              <w:p w14:paraId="0DEA4E87">
                <w:pPr>
                  <w:tabs>
                    <w:tab w:val="right" w:pos="3690"/>
                    <w:tab w:val="right" w:pos="5130"/>
                    <w:tab w:val="right" w:pos="6030"/>
                    <w:tab w:val="right" w:pos="7650"/>
                    <w:tab w:val="right" w:pos="9270"/>
                  </w:tabs>
                  <w:adjustRightInd w:val="0"/>
                  <w:snapToGrid w:val="0"/>
                  <w:jc w:val="both"/>
                </w:pPr>
                <w:r>
                  <w:rPr>
                    <w:rFonts w:hint="eastAsia"/>
                  </w:rPr>
                  <w:t>正在办理中</w:t>
                </w:r>
              </w:p>
            </w:tc>
          </w:tr>
        </w:sdtContent>
      </w:sdt>
      <w:sdt>
        <w:sdtPr>
          <w:rPr>
            <w:color w:val="000000" w:themeColor="text1"/>
            <w14:textFill>
              <w14:solidFill>
                <w14:schemeClr w14:val="tx1"/>
              </w14:solidFill>
            </w14:textFill>
          </w:rPr>
          <w:alias w:val="未办妥产权证书的投资性房地产金额及原因明细"/>
          <w:tag w:val="_TUP_b8488f9577fc4efca936aea5a22c3395"/>
          <w:id w:val="-1863423041"/>
          <w:placeholder>
            <w:docPart w:val="{7e93b215-355b-4b72-ad54-81d0c9f5305e}"/>
          </w:placeholder>
        </w:sdtPr>
        <w:sdtEndPr>
          <w:rPr>
            <w:color w:val="000000" w:themeColor="text1"/>
            <w14:textFill>
              <w14:solidFill>
                <w14:schemeClr w14:val="tx1"/>
              </w14:solidFill>
            </w14:textFill>
          </w:rPr>
        </w:sdtEndPr>
        <w:sdtContent>
          <w:tr w14:paraId="5A7D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pct"/>
              </w:tcPr>
              <w:p w14:paraId="29D5EE53">
                <w:pPr>
                  <w:tabs>
                    <w:tab w:val="right" w:pos="3690"/>
                    <w:tab w:val="right" w:pos="5130"/>
                    <w:tab w:val="right" w:pos="6030"/>
                    <w:tab w:val="right" w:pos="7650"/>
                    <w:tab w:val="right" w:pos="9270"/>
                  </w:tabs>
                  <w:adjustRightInd w:val="0"/>
                  <w:snapToGrid w:val="0"/>
                  <w:jc w:val="center"/>
                </w:pPr>
                <w:r>
                  <w:rPr>
                    <w:rFonts w:hint="eastAsia"/>
                  </w:rPr>
                  <w:t>合计</w:t>
                </w:r>
              </w:p>
            </w:tc>
            <w:tc>
              <w:tcPr>
                <w:tcW w:w="934" w:type="pct"/>
                <w:vAlign w:val="center"/>
              </w:tcPr>
              <w:p w14:paraId="0AA55EF3">
                <w:pPr>
                  <w:tabs>
                    <w:tab w:val="right" w:pos="3690"/>
                    <w:tab w:val="right" w:pos="5130"/>
                    <w:tab w:val="right" w:pos="6030"/>
                    <w:tab w:val="right" w:pos="7650"/>
                    <w:tab w:val="right" w:pos="9270"/>
                  </w:tabs>
                  <w:adjustRightInd w:val="0"/>
                  <w:snapToGrid w:val="0"/>
                  <w:jc w:val="right"/>
                </w:pPr>
                <w:r>
                  <w:rPr>
                    <w:rFonts w:hint="eastAsia"/>
                  </w:rPr>
                  <w:t>312,056,477.70</w:t>
                </w:r>
              </w:p>
            </w:tc>
            <w:tc>
              <w:tcPr>
                <w:tcW w:w="1590" w:type="pct"/>
              </w:tcPr>
              <w:p w14:paraId="65C6FB2B">
                <w:pPr>
                  <w:tabs>
                    <w:tab w:val="right" w:pos="3690"/>
                    <w:tab w:val="right" w:pos="5130"/>
                    <w:tab w:val="right" w:pos="6030"/>
                    <w:tab w:val="right" w:pos="7650"/>
                    <w:tab w:val="right" w:pos="9270"/>
                  </w:tabs>
                  <w:adjustRightInd w:val="0"/>
                  <w:snapToGrid w:val="0"/>
                </w:pPr>
              </w:p>
            </w:tc>
          </w:tr>
        </w:sdtContent>
      </w:sdt>
    </w:tbl>
    <w:p w14:paraId="79C77145"/>
    <w:p w14:paraId="50893EE4">
      <w:pPr>
        <w:pStyle w:val="5"/>
        <w:numPr>
          <w:ilvl w:val="0"/>
          <w:numId w:val="69"/>
        </w:numPr>
        <w:tabs>
          <w:tab w:val="left" w:pos="616"/>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采用成本计量模式的投资性房地产的减值测试情况</w:t>
      </w:r>
    </w:p>
    <w:sdt>
      <w:sdtPr>
        <w:rPr>
          <w:color w:val="000000" w:themeColor="text1"/>
          <w14:textFill>
            <w14:solidFill>
              <w14:schemeClr w14:val="tx1"/>
            </w14:solidFill>
          </w14:textFill>
        </w:rPr>
        <w:alias w:val="是否适用：减值测试情况[双击切换]"/>
        <w:tag w:val="_GBC_14e138c3da48491787bccf21877f5a28"/>
        <w:id w:val="147473699"/>
        <w:placeholder>
          <w:docPart w:val="GBC22222222222222222222222222222"/>
        </w:placeholder>
      </w:sdtPr>
      <w:sdtEndPr>
        <w:rPr>
          <w:color w:val="000000" w:themeColor="text1"/>
          <w14:textFill>
            <w14:solidFill>
              <w14:schemeClr w14:val="tx1"/>
            </w14:solidFill>
          </w14:textFill>
        </w:rPr>
      </w:sdtEndPr>
      <w:sdtContent>
        <w:p w14:paraId="4F8C7E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817BAF6">
      <w:pPr>
        <w:snapToGrid w:val="0"/>
        <w:spacing w:line="240" w:lineRule="atLeast"/>
        <w:rPr>
          <w:color w:val="000000" w:themeColor="text1"/>
          <w14:textFill>
            <w14:solidFill>
              <w14:schemeClr w14:val="tx1"/>
            </w14:solidFill>
          </w14:textFill>
        </w:rPr>
      </w:pPr>
    </w:p>
    <w:bookmarkEnd w:id="306"/>
    <w:bookmarkEnd w:id="307"/>
    <w:p w14:paraId="1CC4A14A">
      <w:pPr>
        <w:rPr>
          <w:color w:val="000000" w:themeColor="text1"/>
          <w14:textFill>
            <w14:solidFill>
              <w14:schemeClr w14:val="tx1"/>
            </w14:solidFill>
          </w14:textFill>
        </w:rPr>
      </w:pPr>
      <w:bookmarkStart w:id="308" w:name="_Hlk167895445"/>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投资性房地产的说明[双击切换]"/>
        <w:tag w:val="_GBC_b8a71f0668054d4690d61665ba8183c0"/>
        <w:id w:val="147462573"/>
        <w:placeholder>
          <w:docPart w:val="GBC22222222222222222222222222222"/>
        </w:placeholder>
      </w:sdtPr>
      <w:sdtEndPr>
        <w:rPr>
          <w:color w:val="000000" w:themeColor="text1"/>
          <w14:textFill>
            <w14:solidFill>
              <w14:schemeClr w14:val="tx1"/>
            </w14:solidFill>
          </w14:textFill>
        </w:rPr>
      </w:sdtEndPr>
      <w:sdtContent>
        <w:p w14:paraId="3DDB67A9">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08"/>
    <w:p w14:paraId="303B2926">
      <w:pPr>
        <w:ind w:right="283"/>
        <w:rPr>
          <w:color w:val="000000" w:themeColor="text1"/>
          <w14:textFill>
            <w14:solidFill>
              <w14:schemeClr w14:val="tx1"/>
            </w14:solidFill>
          </w14:textFill>
        </w:rPr>
      </w:pPr>
      <w:bookmarkStart w:id="309" w:name="_Hlk167895546"/>
      <w:bookmarkEnd w:id="309"/>
    </w:p>
    <w:p w14:paraId="2389DDEB">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固定资产</w:t>
      </w:r>
    </w:p>
    <w:p w14:paraId="7DDAE4A4">
      <w:pPr>
        <w:pStyle w:val="58"/>
        <w:tabs>
          <w:tab w:val="left" w:pos="588"/>
        </w:tabs>
        <w:rPr>
          <w:rFonts w:ascii="宋体" w:hAnsi="宋体"/>
          <w:color w:val="000000" w:themeColor="text1"/>
          <w14:textFill>
            <w14:solidFill>
              <w14:schemeClr w14:val="tx1"/>
            </w14:solidFill>
          </w14:textFill>
        </w:rPr>
      </w:pPr>
      <w:bookmarkStart w:id="310" w:name="_Hlk10472369"/>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固定资产分类列示[双击切换]"/>
        <w:tag w:val="_GBC_73d82e583dcc4330bebfeb83abd5f5bb"/>
        <w:id w:val="147455598"/>
        <w:placeholder>
          <w:docPart w:val="GBC22222222222222222222222222222"/>
        </w:placeholder>
      </w:sdtPr>
      <w:sdtEndPr>
        <w:rPr>
          <w:color w:val="000000" w:themeColor="text1"/>
          <w14:textFill>
            <w14:solidFill>
              <w14:schemeClr w14:val="tx1"/>
            </w14:solidFill>
          </w14:textFill>
        </w:rPr>
      </w:sdtEndPr>
      <w:sdtContent>
        <w:p w14:paraId="355E440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467BC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固定资产分类列示"/>
          <w:tag w:val="_GBC_1ddbfde119544f109a3b12a48ffde12d"/>
          <w:id w:val="1474825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固定资产分类列示"/>
          <w:tag w:val="_GBC_fcb83ec59024431d9f3167f55c1ae7c0"/>
          <w:id w:val="1474831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8"/>
        <w:gridCol w:w="2863"/>
        <w:gridCol w:w="2878"/>
      </w:tblGrid>
      <w:tr w14:paraId="51A4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242dd3761084b5fa8943b910dbdbe45"/>
            <w:id w:val="147479576"/>
          </w:sdtPr>
          <w:sdtContent>
            <w:tc>
              <w:tcPr>
                <w:tcW w:w="1828" w:type="pct"/>
                <w:vAlign w:val="center"/>
              </w:tcPr>
              <w:p w14:paraId="5599CC8B">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66df388ce2f4405af4694ebf5c112ca"/>
            <w:id w:val="147472621"/>
          </w:sdtPr>
          <w:sdtContent>
            <w:tc>
              <w:tcPr>
                <w:tcW w:w="1582" w:type="pct"/>
                <w:vAlign w:val="center"/>
              </w:tcPr>
              <w:p w14:paraId="1F89B22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a4fd9ec8b6a43259f78c36475f04e58"/>
            <w:id w:val="147467429"/>
          </w:sdtPr>
          <w:sdtContent>
            <w:tc>
              <w:tcPr>
                <w:tcW w:w="1591" w:type="pct"/>
                <w:vAlign w:val="center"/>
              </w:tcPr>
              <w:p w14:paraId="6965C21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28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2DEE2383">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1582" w:type="pct"/>
            <w:vAlign w:val="center"/>
          </w:tcPr>
          <w:p w14:paraId="0662D0A4">
            <w:pPr>
              <w:jc w:val="right"/>
              <w:textAlignment w:val="center"/>
              <w:rPr>
                <w:rFonts w:cs="Times New Roman"/>
              </w:rPr>
            </w:pPr>
            <w:r>
              <w:rPr>
                <w:rFonts w:cs="Times New Roman"/>
                <w:color w:val="000000"/>
              </w:rPr>
              <w:t>3,956,712,504.09</w:t>
            </w:r>
          </w:p>
        </w:tc>
        <w:tc>
          <w:tcPr>
            <w:tcW w:w="1591" w:type="pct"/>
            <w:vAlign w:val="center"/>
          </w:tcPr>
          <w:p w14:paraId="3621BF24">
            <w:pPr>
              <w:jc w:val="right"/>
              <w:textAlignment w:val="center"/>
              <w:rPr>
                <w:rFonts w:cs="Times New Roman"/>
              </w:rPr>
            </w:pPr>
            <w:r>
              <w:rPr>
                <w:rFonts w:cs="Times New Roman"/>
                <w:color w:val="000000"/>
              </w:rPr>
              <w:t>4,015,619,946.00</w:t>
            </w:r>
          </w:p>
        </w:tc>
      </w:tr>
      <w:tr w14:paraId="0C32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vAlign w:val="center"/>
          </w:tcPr>
          <w:p w14:paraId="5C79114C">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vAlign w:val="center"/>
          </w:tcPr>
          <w:p w14:paraId="12FD2567">
            <w:pPr>
              <w:jc w:val="right"/>
              <w:textAlignment w:val="center"/>
              <w:rPr>
                <w:rFonts w:cs="Times New Roman"/>
              </w:rPr>
            </w:pPr>
            <w:r>
              <w:rPr>
                <w:rFonts w:cs="Times New Roman"/>
                <w:color w:val="000000"/>
              </w:rPr>
              <w:t>3,956,712,504.09</w:t>
            </w:r>
          </w:p>
        </w:tc>
        <w:tc>
          <w:tcPr>
            <w:tcW w:w="1591" w:type="pct"/>
            <w:vAlign w:val="center"/>
          </w:tcPr>
          <w:p w14:paraId="66C3C987">
            <w:pPr>
              <w:jc w:val="right"/>
              <w:textAlignment w:val="center"/>
              <w:rPr>
                <w:rFonts w:cs="Times New Roman"/>
              </w:rPr>
            </w:pPr>
            <w:r>
              <w:rPr>
                <w:rFonts w:cs="Times New Roman"/>
                <w:color w:val="000000"/>
              </w:rPr>
              <w:t>4,015,619,946.00</w:t>
            </w:r>
          </w:p>
        </w:tc>
      </w:tr>
      <w:bookmarkEnd w:id="310"/>
    </w:tbl>
    <w:p w14:paraId="3B9C6765">
      <w:pPr>
        <w:rPr>
          <w:color w:val="000000" w:themeColor="text1"/>
          <w14:textFill>
            <w14:solidFill>
              <w14:schemeClr w14:val="tx1"/>
            </w14:solidFill>
          </w14:textFill>
        </w:rPr>
      </w:pPr>
      <w:bookmarkStart w:id="311" w:name="_Hlk10472389"/>
      <w:bookmarkStart w:id="312" w:name="_Hlk10472397"/>
      <w:r>
        <w:rPr>
          <w:rFonts w:hint="eastAsia"/>
          <w:color w:val="000000" w:themeColor="text1"/>
          <w14:textFill>
            <w14:solidFill>
              <w14:schemeClr w14:val="tx1"/>
            </w14:solidFill>
          </w14:textFill>
        </w:rPr>
        <w:t>其他说明：</w:t>
      </w:r>
      <w:bookmarkEnd w:id="311"/>
    </w:p>
    <w:p w14:paraId="43B61BD7">
      <w:pPr>
        <w:rPr>
          <w:color w:val="000000" w:themeColor="text1"/>
          <w14:textFill>
            <w14:solidFill>
              <w14:schemeClr w14:val="tx1"/>
            </w14:solidFill>
          </w14:textFill>
        </w:rPr>
      </w:pPr>
      <w:sdt>
        <w:sdtPr>
          <w:rPr>
            <w:color w:val="000000" w:themeColor="text1"/>
            <w14:textFill>
              <w14:solidFill>
                <w14:schemeClr w14:val="tx1"/>
              </w14:solidFill>
            </w14:textFill>
          </w:rPr>
          <w:alias w:val="固定资产分类列示其他说明"/>
          <w:tag w:val="_GBC_9028bab58a12485bb8ef4d316280f591"/>
          <w:id w:val="147453990"/>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12"/>
    <w:p w14:paraId="2E381F3A">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77BE4096">
      <w:pPr>
        <w:rPr>
          <w:color w:val="000000" w:themeColor="text1"/>
          <w14:textFill>
            <w14:solidFill>
              <w14:schemeClr w14:val="tx1"/>
            </w14:solidFill>
          </w14:textFill>
        </w:rPr>
      </w:pPr>
    </w:p>
    <w:p w14:paraId="5AC442A4">
      <w:pPr>
        <w:pStyle w:val="58"/>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固定资产</w:t>
      </w:r>
    </w:p>
    <w:p w14:paraId="1F47FB89">
      <w:pPr>
        <w:pStyle w:val="6"/>
        <w:numPr>
          <w:ilvl w:val="0"/>
          <w:numId w:val="70"/>
        </w:numPr>
        <w:rPr>
          <w:rFonts w:cs="宋体"/>
          <w:kern w:val="0"/>
        </w:rPr>
      </w:pPr>
      <w:r>
        <w:rPr>
          <w:rFonts w:hint="eastAsia" w:cs="宋体"/>
          <w:kern w:val="0"/>
        </w:rPr>
        <w:t>固定资产情况</w:t>
      </w:r>
    </w:p>
    <w:sdt>
      <w:sdtPr>
        <w:rPr>
          <w:color w:val="000000" w:themeColor="text1"/>
          <w14:textFill>
            <w14:solidFill>
              <w14:schemeClr w14:val="tx1"/>
            </w14:solidFill>
          </w14:textFill>
        </w:rPr>
        <w:alias w:val="是否适用：固定资产情况[双击切换]"/>
        <w:tag w:val="_GBC_dea1f620aab74d63b1372d831b5b450f"/>
        <w:id w:val="147465353"/>
        <w:placeholder>
          <w:docPart w:val="GBC22222222222222222222222222222"/>
        </w:placeholder>
      </w:sdtPr>
      <w:sdtEndPr>
        <w:rPr>
          <w:color w:val="000000" w:themeColor="text1"/>
          <w14:textFill>
            <w14:solidFill>
              <w14:schemeClr w14:val="tx1"/>
            </w14:solidFill>
          </w14:textFill>
        </w:rPr>
      </w:sdtEndPr>
      <w:sdtContent>
        <w:p w14:paraId="2C67B50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658C228">
      <w:pPr>
        <w:autoSpaceDE w:val="0"/>
        <w:autoSpaceDN w:val="0"/>
        <w:adjustRightInd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固定资产情况"/>
          <w:tag w:val="_GBC_563afa3e91c048118558af0713b1a1af"/>
          <w:id w:val="1474560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固定资产情况"/>
          <w:tag w:val="_GBC_c5ecae448dd948eca54add973afbe77b"/>
          <w:id w:val="1474739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15"/>
        <w:gridCol w:w="2068"/>
        <w:gridCol w:w="2396"/>
        <w:gridCol w:w="1981"/>
        <w:gridCol w:w="2146"/>
        <w:gridCol w:w="2427"/>
      </w:tblGrid>
      <w:tr w14:paraId="7BCE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rPr>
              <w:rFonts w:cs="Times New Roman"/>
            </w:rPr>
            <w:tag w:val="_PLD_1741958de41447b7ac4cbd15ce893c6c"/>
            <w:id w:val="147455739"/>
          </w:sdtPr>
          <w:sdtEndPr>
            <w:rPr>
              <w:rFonts w:cs="Times New Roman"/>
            </w:rPr>
          </w:sdtEndPr>
          <w:sdtContent>
            <w:tc>
              <w:tcPr>
                <w:tcW w:w="1046" w:type="pct"/>
                <w:vAlign w:val="center"/>
              </w:tcPr>
              <w:p w14:paraId="4C6F66E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color w:val="000000" w:themeColor="text1"/>
              <w14:textFill>
                <w14:solidFill>
                  <w14:schemeClr w14:val="tx1"/>
                </w14:solidFill>
              </w14:textFill>
            </w:rPr>
            <w:alias w:val="固定资产情况明细-项目名称"/>
            <w:tag w:val="_GBC_936a8499167f477aab1a2942b2fdbdaf"/>
            <w:id w:val="147469643"/>
            <w:text/>
          </w:sdtPr>
          <w:sdtEndPr>
            <w:rPr>
              <w:rFonts w:cs="Times New Roman"/>
              <w:color w:val="000000" w:themeColor="text1"/>
              <w14:textFill>
                <w14:solidFill>
                  <w14:schemeClr w14:val="tx1"/>
                </w14:solidFill>
              </w14:textFill>
            </w:rPr>
          </w:sdtEndPr>
          <w:sdtContent>
            <w:tc>
              <w:tcPr>
                <w:tcW w:w="742" w:type="pct"/>
                <w:vAlign w:val="center"/>
              </w:tcPr>
              <w:p w14:paraId="2CC78A8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房屋及建筑物</w:t>
                </w:r>
              </w:p>
            </w:tc>
          </w:sdtContent>
        </w:sdt>
        <w:sdt>
          <w:sdtPr>
            <w:rPr>
              <w:rFonts w:cs="Times New Roman"/>
            </w:rPr>
            <w:alias w:val="固定资产情况明细-项目名称"/>
            <w:tag w:val="_GBC_936a8499167f477aab1a2942b2fdbdaf"/>
            <w:id w:val="147468624"/>
            <w:text/>
          </w:sdtPr>
          <w:sdtEndPr>
            <w:rPr>
              <w:rFonts w:cs="Times New Roman"/>
            </w:rPr>
          </w:sdtEndPr>
          <w:sdtContent>
            <w:tc>
              <w:tcPr>
                <w:tcW w:w="860" w:type="pct"/>
                <w:vAlign w:val="center"/>
              </w:tcPr>
              <w:p w14:paraId="23691018">
                <w:pPr>
                  <w:jc w:val="center"/>
                  <w:rPr>
                    <w:rFonts w:cs="Times New Roman"/>
                  </w:rPr>
                </w:pPr>
                <w:r>
                  <w:rPr>
                    <w:rFonts w:cs="Times New Roman"/>
                  </w:rPr>
                  <w:t>机器设备</w:t>
                </w:r>
              </w:p>
            </w:tc>
          </w:sdtContent>
        </w:sdt>
        <w:sdt>
          <w:sdtPr>
            <w:rPr>
              <w:rFonts w:cs="Times New Roman"/>
            </w:rPr>
            <w:alias w:val="固定资产情况明细-项目名称"/>
            <w:tag w:val="_GBC_936a8499167f477aab1a2942b2fdbdaf"/>
            <w:id w:val="147479092"/>
            <w:text/>
          </w:sdtPr>
          <w:sdtEndPr>
            <w:rPr>
              <w:rFonts w:cs="Times New Roman"/>
            </w:rPr>
          </w:sdtEndPr>
          <w:sdtContent>
            <w:tc>
              <w:tcPr>
                <w:tcW w:w="711" w:type="pct"/>
                <w:vAlign w:val="center"/>
              </w:tcPr>
              <w:p w14:paraId="289A7AB6">
                <w:pPr>
                  <w:jc w:val="center"/>
                  <w:rPr>
                    <w:rFonts w:cs="Times New Roman"/>
                  </w:rPr>
                </w:pPr>
                <w:r>
                  <w:rPr>
                    <w:rFonts w:cs="Times New Roman"/>
                  </w:rPr>
                  <w:t>运输工具</w:t>
                </w:r>
              </w:p>
            </w:tc>
          </w:sdtContent>
        </w:sdt>
        <w:sdt>
          <w:sdtPr>
            <w:rPr>
              <w:rFonts w:cs="Times New Roman"/>
            </w:rPr>
            <w:alias w:val="固定资产情况明细-项目名称"/>
            <w:tag w:val="_GBC_936a8499167f477aab1a2942b2fdbdaf"/>
            <w:id w:val="147479359"/>
            <w:text/>
          </w:sdtPr>
          <w:sdtEndPr>
            <w:rPr>
              <w:rFonts w:cs="Times New Roman"/>
            </w:rPr>
          </w:sdtEndPr>
          <w:sdtContent>
            <w:tc>
              <w:tcPr>
                <w:tcW w:w="770" w:type="pct"/>
                <w:vAlign w:val="center"/>
              </w:tcPr>
              <w:p w14:paraId="333701A2">
                <w:pPr>
                  <w:jc w:val="center"/>
                  <w:rPr>
                    <w:rFonts w:cs="Times New Roman"/>
                  </w:rPr>
                </w:pPr>
                <w:r>
                  <w:rPr>
                    <w:rFonts w:cs="Times New Roman"/>
                  </w:rPr>
                  <w:t>其他</w:t>
                </w:r>
              </w:p>
            </w:tc>
          </w:sdtContent>
        </w:sdt>
        <w:sdt>
          <w:sdtPr>
            <w:rPr>
              <w:rFonts w:cs="Times New Roman"/>
            </w:rPr>
            <w:tag w:val="_PLD_0b635f975b4949dbb798f88c3dcf1d8d"/>
            <w:id w:val="147467597"/>
          </w:sdtPr>
          <w:sdtEndPr>
            <w:rPr>
              <w:rFonts w:cs="Times New Roman"/>
            </w:rPr>
          </w:sdtEndPr>
          <w:sdtContent>
            <w:tc>
              <w:tcPr>
                <w:tcW w:w="869" w:type="pct"/>
                <w:vAlign w:val="center"/>
              </w:tcPr>
              <w:p w14:paraId="41F4602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r>
      <w:tr w14:paraId="3D04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e1d4e79d72fd45cc925f8729ecef795c"/>
            <w:id w:val="147463847"/>
          </w:sdtPr>
          <w:sdtEndPr>
            <w:rPr>
              <w:rFonts w:cs="Times New Roman"/>
            </w:rPr>
          </w:sdtEndPr>
          <w:sdtContent>
            <w:tc>
              <w:tcPr>
                <w:tcW w:w="5000" w:type="pct"/>
                <w:gridSpan w:val="6"/>
              </w:tcPr>
              <w:p w14:paraId="790561EB">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一、账面原值：</w:t>
                </w:r>
              </w:p>
            </w:tc>
          </w:sdtContent>
        </w:sdt>
      </w:tr>
      <w:tr w14:paraId="23EE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57C2EF89">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1.期初余额</w:t>
            </w:r>
          </w:p>
        </w:tc>
        <w:tc>
          <w:tcPr>
            <w:tcW w:w="742" w:type="pct"/>
            <w:vAlign w:val="center"/>
          </w:tcPr>
          <w:p w14:paraId="6FF9AB58">
            <w:pPr>
              <w:jc w:val="right"/>
              <w:textAlignment w:val="center"/>
              <w:rPr>
                <w:rFonts w:cs="Times New Roman"/>
              </w:rPr>
            </w:pPr>
            <w:r>
              <w:rPr>
                <w:rFonts w:eastAsia="Arial Narrow" w:cs="Times New Roman"/>
                <w:color w:val="000000"/>
                <w:lang w:bidi="ar"/>
              </w:rPr>
              <w:t>4,825,520,872.29</w:t>
            </w:r>
          </w:p>
        </w:tc>
        <w:tc>
          <w:tcPr>
            <w:tcW w:w="860" w:type="pct"/>
            <w:vAlign w:val="center"/>
          </w:tcPr>
          <w:p w14:paraId="2C7B487A">
            <w:pPr>
              <w:jc w:val="right"/>
              <w:textAlignment w:val="center"/>
              <w:rPr>
                <w:rFonts w:cs="Times New Roman"/>
              </w:rPr>
            </w:pPr>
            <w:r>
              <w:rPr>
                <w:rFonts w:eastAsia="Arial Narrow" w:cs="Times New Roman"/>
                <w:color w:val="000000"/>
                <w:lang w:bidi="ar"/>
              </w:rPr>
              <w:t>3,010,165,497.82</w:t>
            </w:r>
          </w:p>
        </w:tc>
        <w:tc>
          <w:tcPr>
            <w:tcW w:w="711" w:type="pct"/>
            <w:vAlign w:val="center"/>
          </w:tcPr>
          <w:p w14:paraId="7EBDA59F">
            <w:pPr>
              <w:jc w:val="right"/>
              <w:textAlignment w:val="center"/>
              <w:rPr>
                <w:rFonts w:cs="Times New Roman"/>
              </w:rPr>
            </w:pPr>
            <w:r>
              <w:rPr>
                <w:rFonts w:eastAsia="Arial Narrow" w:cs="Times New Roman"/>
                <w:color w:val="000000"/>
                <w:lang w:bidi="ar"/>
              </w:rPr>
              <w:t>63,916,010.67</w:t>
            </w:r>
          </w:p>
        </w:tc>
        <w:tc>
          <w:tcPr>
            <w:tcW w:w="770" w:type="pct"/>
            <w:vAlign w:val="center"/>
          </w:tcPr>
          <w:p w14:paraId="6CDB4FDB">
            <w:pPr>
              <w:jc w:val="right"/>
              <w:textAlignment w:val="center"/>
              <w:rPr>
                <w:rFonts w:cs="Times New Roman"/>
              </w:rPr>
            </w:pPr>
            <w:r>
              <w:rPr>
                <w:rFonts w:eastAsia="Arial Narrow" w:cs="Times New Roman"/>
                <w:color w:val="000000"/>
                <w:lang w:bidi="ar"/>
              </w:rPr>
              <w:t>301,055,392.57</w:t>
            </w:r>
          </w:p>
        </w:tc>
        <w:tc>
          <w:tcPr>
            <w:tcW w:w="869" w:type="pct"/>
            <w:vAlign w:val="center"/>
          </w:tcPr>
          <w:p w14:paraId="073EB291">
            <w:pPr>
              <w:jc w:val="right"/>
              <w:textAlignment w:val="center"/>
              <w:rPr>
                <w:rFonts w:cs="Times New Roman"/>
              </w:rPr>
            </w:pPr>
            <w:r>
              <w:rPr>
                <w:rFonts w:eastAsia="Arial Narrow" w:cs="Times New Roman"/>
                <w:color w:val="000000"/>
                <w:lang w:bidi="ar"/>
              </w:rPr>
              <w:t>8,200,657,773.35</w:t>
            </w:r>
          </w:p>
        </w:tc>
      </w:tr>
      <w:tr w14:paraId="5195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6619C5A2">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2.本期增加金额</w:t>
            </w:r>
          </w:p>
        </w:tc>
        <w:tc>
          <w:tcPr>
            <w:tcW w:w="742" w:type="pct"/>
            <w:vAlign w:val="center"/>
          </w:tcPr>
          <w:p w14:paraId="1A8335A1">
            <w:pPr>
              <w:jc w:val="right"/>
              <w:textAlignment w:val="center"/>
              <w:rPr>
                <w:rFonts w:cs="Times New Roman"/>
              </w:rPr>
            </w:pPr>
            <w:r>
              <w:rPr>
                <w:rFonts w:eastAsia="Arial Narrow" w:cs="Times New Roman"/>
                <w:color w:val="000000"/>
                <w:lang w:bidi="ar"/>
              </w:rPr>
              <w:t>5,712,691.82</w:t>
            </w:r>
          </w:p>
        </w:tc>
        <w:tc>
          <w:tcPr>
            <w:tcW w:w="860" w:type="pct"/>
            <w:vAlign w:val="center"/>
          </w:tcPr>
          <w:p w14:paraId="480D2CDA">
            <w:pPr>
              <w:jc w:val="right"/>
              <w:textAlignment w:val="center"/>
              <w:rPr>
                <w:rFonts w:cs="Times New Roman"/>
              </w:rPr>
            </w:pPr>
            <w:r>
              <w:rPr>
                <w:rFonts w:eastAsia="Arial Narrow" w:cs="Times New Roman"/>
                <w:color w:val="000000"/>
                <w:lang w:bidi="ar"/>
              </w:rPr>
              <w:t>76,793,318.18</w:t>
            </w:r>
          </w:p>
        </w:tc>
        <w:tc>
          <w:tcPr>
            <w:tcW w:w="711" w:type="pct"/>
            <w:vAlign w:val="center"/>
          </w:tcPr>
          <w:p w14:paraId="7CA7898E">
            <w:pPr>
              <w:jc w:val="right"/>
              <w:textAlignment w:val="center"/>
              <w:rPr>
                <w:rFonts w:cs="Times New Roman"/>
              </w:rPr>
            </w:pPr>
            <w:r>
              <w:rPr>
                <w:rFonts w:eastAsia="Arial Narrow" w:cs="Times New Roman"/>
                <w:color w:val="000000"/>
                <w:lang w:bidi="ar"/>
              </w:rPr>
              <w:t>287,483.19</w:t>
            </w:r>
          </w:p>
        </w:tc>
        <w:tc>
          <w:tcPr>
            <w:tcW w:w="770" w:type="pct"/>
            <w:vAlign w:val="center"/>
          </w:tcPr>
          <w:p w14:paraId="547A984F">
            <w:pPr>
              <w:jc w:val="right"/>
              <w:textAlignment w:val="center"/>
              <w:rPr>
                <w:rFonts w:cs="Times New Roman"/>
              </w:rPr>
            </w:pPr>
            <w:r>
              <w:rPr>
                <w:rFonts w:eastAsia="Arial Narrow" w:cs="Times New Roman"/>
                <w:color w:val="000000"/>
                <w:lang w:bidi="ar"/>
              </w:rPr>
              <w:t>11,286,289.10</w:t>
            </w:r>
          </w:p>
        </w:tc>
        <w:tc>
          <w:tcPr>
            <w:tcW w:w="869" w:type="pct"/>
            <w:vAlign w:val="center"/>
          </w:tcPr>
          <w:p w14:paraId="095F02EA">
            <w:pPr>
              <w:jc w:val="right"/>
              <w:textAlignment w:val="center"/>
              <w:rPr>
                <w:rFonts w:cs="Times New Roman"/>
              </w:rPr>
            </w:pPr>
            <w:r>
              <w:rPr>
                <w:rFonts w:eastAsia="Arial Narrow" w:cs="Times New Roman"/>
                <w:color w:val="000000"/>
                <w:lang w:bidi="ar"/>
              </w:rPr>
              <w:t>94,079,782.29</w:t>
            </w:r>
          </w:p>
        </w:tc>
      </w:tr>
      <w:tr w14:paraId="0535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1939F7C6">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（1）购置</w:t>
            </w:r>
          </w:p>
        </w:tc>
        <w:tc>
          <w:tcPr>
            <w:tcW w:w="742" w:type="pct"/>
            <w:vAlign w:val="center"/>
          </w:tcPr>
          <w:p w14:paraId="7D5CF055">
            <w:pPr>
              <w:jc w:val="right"/>
              <w:textAlignment w:val="center"/>
              <w:rPr>
                <w:rFonts w:cs="Times New Roman"/>
              </w:rPr>
            </w:pPr>
            <w:r>
              <w:rPr>
                <w:rFonts w:eastAsia="Arial Narrow" w:cs="Times New Roman"/>
                <w:color w:val="000000"/>
                <w:lang w:bidi="ar"/>
              </w:rPr>
              <w:t>2,668,644.24</w:t>
            </w:r>
          </w:p>
        </w:tc>
        <w:tc>
          <w:tcPr>
            <w:tcW w:w="860" w:type="pct"/>
            <w:vAlign w:val="center"/>
          </w:tcPr>
          <w:p w14:paraId="038536D2">
            <w:pPr>
              <w:jc w:val="right"/>
              <w:textAlignment w:val="center"/>
              <w:rPr>
                <w:rFonts w:cs="Times New Roman"/>
              </w:rPr>
            </w:pPr>
            <w:r>
              <w:rPr>
                <w:rFonts w:eastAsia="Arial Narrow" w:cs="Times New Roman"/>
                <w:color w:val="000000"/>
                <w:lang w:bidi="ar"/>
              </w:rPr>
              <w:t>33,953,162.85</w:t>
            </w:r>
          </w:p>
        </w:tc>
        <w:tc>
          <w:tcPr>
            <w:tcW w:w="711" w:type="pct"/>
            <w:vAlign w:val="center"/>
          </w:tcPr>
          <w:p w14:paraId="6E81CC0D">
            <w:pPr>
              <w:jc w:val="right"/>
              <w:textAlignment w:val="center"/>
              <w:rPr>
                <w:rFonts w:cs="Times New Roman"/>
              </w:rPr>
            </w:pPr>
            <w:r>
              <w:rPr>
                <w:rFonts w:eastAsia="Arial Narrow" w:cs="Times New Roman"/>
                <w:color w:val="000000"/>
                <w:lang w:bidi="ar"/>
              </w:rPr>
              <w:t>287,483.19</w:t>
            </w:r>
          </w:p>
        </w:tc>
        <w:tc>
          <w:tcPr>
            <w:tcW w:w="770" w:type="pct"/>
            <w:vAlign w:val="center"/>
          </w:tcPr>
          <w:p w14:paraId="08CEDFBF">
            <w:pPr>
              <w:jc w:val="right"/>
              <w:textAlignment w:val="center"/>
              <w:rPr>
                <w:rFonts w:cs="Times New Roman"/>
              </w:rPr>
            </w:pPr>
            <w:r>
              <w:rPr>
                <w:rFonts w:eastAsia="Arial Narrow" w:cs="Times New Roman"/>
                <w:color w:val="000000"/>
                <w:lang w:bidi="ar"/>
              </w:rPr>
              <w:t>9,161,873.69</w:t>
            </w:r>
          </w:p>
        </w:tc>
        <w:tc>
          <w:tcPr>
            <w:tcW w:w="869" w:type="pct"/>
            <w:vAlign w:val="center"/>
          </w:tcPr>
          <w:p w14:paraId="2024C612">
            <w:pPr>
              <w:jc w:val="right"/>
              <w:textAlignment w:val="center"/>
              <w:rPr>
                <w:rFonts w:cs="Times New Roman"/>
              </w:rPr>
            </w:pPr>
            <w:r>
              <w:rPr>
                <w:rFonts w:eastAsia="Arial Narrow" w:cs="Times New Roman"/>
                <w:color w:val="000000"/>
                <w:lang w:bidi="ar"/>
              </w:rPr>
              <w:t>46,071,163.97</w:t>
            </w:r>
          </w:p>
        </w:tc>
      </w:tr>
      <w:tr w14:paraId="5501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237511A8">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（2）在建工程转入</w:t>
            </w:r>
          </w:p>
        </w:tc>
        <w:tc>
          <w:tcPr>
            <w:tcW w:w="742" w:type="pct"/>
            <w:vAlign w:val="center"/>
          </w:tcPr>
          <w:p w14:paraId="5185634E">
            <w:pPr>
              <w:jc w:val="right"/>
              <w:textAlignment w:val="center"/>
              <w:rPr>
                <w:rFonts w:cs="Times New Roman"/>
              </w:rPr>
            </w:pPr>
            <w:r>
              <w:rPr>
                <w:rFonts w:eastAsia="Arial Narrow" w:cs="Times New Roman"/>
                <w:color w:val="000000"/>
                <w:lang w:bidi="ar"/>
              </w:rPr>
              <w:t>2,981,047.58</w:t>
            </w:r>
          </w:p>
        </w:tc>
        <w:tc>
          <w:tcPr>
            <w:tcW w:w="860" w:type="pct"/>
            <w:vAlign w:val="center"/>
          </w:tcPr>
          <w:p w14:paraId="7AC77593">
            <w:pPr>
              <w:jc w:val="right"/>
              <w:textAlignment w:val="center"/>
              <w:rPr>
                <w:rFonts w:cs="Times New Roman"/>
              </w:rPr>
            </w:pPr>
            <w:r>
              <w:rPr>
                <w:rFonts w:eastAsia="Arial Narrow" w:cs="Times New Roman"/>
                <w:color w:val="000000"/>
                <w:lang w:bidi="ar"/>
              </w:rPr>
              <w:t>42,840,155.33</w:t>
            </w:r>
          </w:p>
        </w:tc>
        <w:tc>
          <w:tcPr>
            <w:tcW w:w="711" w:type="pct"/>
            <w:vAlign w:val="center"/>
          </w:tcPr>
          <w:p w14:paraId="1A2A6496">
            <w:pPr>
              <w:jc w:val="right"/>
              <w:rPr>
                <w:rFonts w:cs="Times New Roman"/>
              </w:rPr>
            </w:pPr>
          </w:p>
        </w:tc>
        <w:tc>
          <w:tcPr>
            <w:tcW w:w="770" w:type="pct"/>
            <w:vAlign w:val="center"/>
          </w:tcPr>
          <w:p w14:paraId="269AF015">
            <w:pPr>
              <w:jc w:val="right"/>
              <w:textAlignment w:val="center"/>
              <w:rPr>
                <w:rFonts w:cs="Times New Roman"/>
              </w:rPr>
            </w:pPr>
            <w:r>
              <w:rPr>
                <w:rFonts w:eastAsia="Arial Narrow" w:cs="Times New Roman"/>
                <w:color w:val="000000"/>
                <w:lang w:bidi="ar"/>
              </w:rPr>
              <w:t>1,455,986.11</w:t>
            </w:r>
          </w:p>
        </w:tc>
        <w:tc>
          <w:tcPr>
            <w:tcW w:w="869" w:type="pct"/>
            <w:vAlign w:val="center"/>
          </w:tcPr>
          <w:p w14:paraId="6588B201">
            <w:pPr>
              <w:jc w:val="right"/>
              <w:textAlignment w:val="center"/>
              <w:rPr>
                <w:rFonts w:cs="Times New Roman"/>
              </w:rPr>
            </w:pPr>
            <w:r>
              <w:rPr>
                <w:rFonts w:eastAsia="Arial Narrow" w:cs="Times New Roman"/>
                <w:color w:val="000000"/>
                <w:lang w:bidi="ar"/>
              </w:rPr>
              <w:t>47,277,189.02</w:t>
            </w:r>
          </w:p>
        </w:tc>
      </w:tr>
      <w:tr w14:paraId="6744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1AF26B1A">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（3）其他增加</w:t>
            </w:r>
          </w:p>
        </w:tc>
        <w:tc>
          <w:tcPr>
            <w:tcW w:w="742" w:type="pct"/>
            <w:vAlign w:val="center"/>
          </w:tcPr>
          <w:p w14:paraId="1C4F6081">
            <w:pPr>
              <w:jc w:val="right"/>
              <w:textAlignment w:val="center"/>
              <w:rPr>
                <w:rFonts w:cs="Times New Roman"/>
              </w:rPr>
            </w:pPr>
            <w:r>
              <w:rPr>
                <w:rFonts w:eastAsia="Arial Narrow" w:cs="Times New Roman"/>
                <w:color w:val="000000"/>
                <w:lang w:bidi="ar"/>
              </w:rPr>
              <w:t>63,000.00</w:t>
            </w:r>
          </w:p>
        </w:tc>
        <w:tc>
          <w:tcPr>
            <w:tcW w:w="860" w:type="pct"/>
            <w:vAlign w:val="center"/>
          </w:tcPr>
          <w:p w14:paraId="0BA8C7CF">
            <w:pPr>
              <w:jc w:val="right"/>
              <w:rPr>
                <w:rFonts w:cs="Times New Roman"/>
              </w:rPr>
            </w:pPr>
          </w:p>
        </w:tc>
        <w:tc>
          <w:tcPr>
            <w:tcW w:w="711" w:type="pct"/>
            <w:vAlign w:val="center"/>
          </w:tcPr>
          <w:p w14:paraId="530DCDD8">
            <w:pPr>
              <w:jc w:val="right"/>
              <w:rPr>
                <w:rFonts w:cs="Times New Roman"/>
              </w:rPr>
            </w:pPr>
          </w:p>
        </w:tc>
        <w:tc>
          <w:tcPr>
            <w:tcW w:w="770" w:type="pct"/>
            <w:vAlign w:val="center"/>
          </w:tcPr>
          <w:p w14:paraId="155BD8ED">
            <w:pPr>
              <w:jc w:val="right"/>
              <w:textAlignment w:val="center"/>
              <w:rPr>
                <w:rFonts w:cs="Times New Roman"/>
              </w:rPr>
            </w:pPr>
            <w:r>
              <w:rPr>
                <w:rFonts w:eastAsia="Arial Narrow" w:cs="Times New Roman"/>
                <w:color w:val="000000"/>
                <w:lang w:bidi="ar"/>
              </w:rPr>
              <w:t>668,429.30</w:t>
            </w:r>
          </w:p>
        </w:tc>
        <w:tc>
          <w:tcPr>
            <w:tcW w:w="869" w:type="pct"/>
            <w:vAlign w:val="center"/>
          </w:tcPr>
          <w:p w14:paraId="1C31A3A6">
            <w:pPr>
              <w:jc w:val="right"/>
              <w:textAlignment w:val="center"/>
              <w:rPr>
                <w:rFonts w:cs="Times New Roman"/>
              </w:rPr>
            </w:pPr>
            <w:r>
              <w:rPr>
                <w:rFonts w:eastAsia="Arial Narrow" w:cs="Times New Roman"/>
                <w:color w:val="000000"/>
                <w:lang w:bidi="ar"/>
              </w:rPr>
              <w:t>731,429.30</w:t>
            </w:r>
          </w:p>
        </w:tc>
      </w:tr>
      <w:tr w14:paraId="50B2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39106699">
            <w:pPr>
              <w:ind w:firstLine="525" w:firstLineChars="25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3.本期减少金额</w:t>
            </w:r>
          </w:p>
        </w:tc>
        <w:tc>
          <w:tcPr>
            <w:tcW w:w="742" w:type="pct"/>
            <w:vAlign w:val="center"/>
          </w:tcPr>
          <w:p w14:paraId="01D9705C">
            <w:pPr>
              <w:jc w:val="right"/>
              <w:textAlignment w:val="center"/>
              <w:rPr>
                <w:rFonts w:cs="Times New Roman"/>
              </w:rPr>
            </w:pPr>
            <w:r>
              <w:rPr>
                <w:rFonts w:eastAsia="Arial Narrow" w:cs="Times New Roman"/>
                <w:color w:val="000000"/>
                <w:lang w:bidi="ar"/>
              </w:rPr>
              <w:t>8,330,054.72</w:t>
            </w:r>
          </w:p>
        </w:tc>
        <w:tc>
          <w:tcPr>
            <w:tcW w:w="860" w:type="pct"/>
            <w:vAlign w:val="center"/>
          </w:tcPr>
          <w:p w14:paraId="4A54CE65">
            <w:pPr>
              <w:jc w:val="right"/>
              <w:textAlignment w:val="center"/>
              <w:rPr>
                <w:rFonts w:cs="Times New Roman"/>
              </w:rPr>
            </w:pPr>
            <w:r>
              <w:rPr>
                <w:rFonts w:eastAsia="Arial Narrow" w:cs="Times New Roman"/>
                <w:color w:val="000000"/>
                <w:lang w:bidi="ar"/>
              </w:rPr>
              <w:t>88,470,352.51</w:t>
            </w:r>
          </w:p>
        </w:tc>
        <w:tc>
          <w:tcPr>
            <w:tcW w:w="711" w:type="pct"/>
            <w:vAlign w:val="center"/>
          </w:tcPr>
          <w:p w14:paraId="5321333B">
            <w:pPr>
              <w:jc w:val="right"/>
              <w:textAlignment w:val="center"/>
              <w:rPr>
                <w:rFonts w:cs="Times New Roman"/>
              </w:rPr>
            </w:pPr>
            <w:r>
              <w:rPr>
                <w:rFonts w:eastAsia="Arial Narrow" w:cs="Times New Roman"/>
                <w:color w:val="000000"/>
                <w:lang w:bidi="ar"/>
              </w:rPr>
              <w:t>1,815,416.91</w:t>
            </w:r>
          </w:p>
        </w:tc>
        <w:tc>
          <w:tcPr>
            <w:tcW w:w="770" w:type="pct"/>
            <w:vAlign w:val="center"/>
          </w:tcPr>
          <w:p w14:paraId="16DA14EB">
            <w:pPr>
              <w:jc w:val="right"/>
              <w:textAlignment w:val="center"/>
              <w:rPr>
                <w:rFonts w:cs="Times New Roman"/>
              </w:rPr>
            </w:pPr>
            <w:r>
              <w:rPr>
                <w:rFonts w:eastAsia="Arial Narrow" w:cs="Times New Roman"/>
                <w:color w:val="000000"/>
                <w:lang w:bidi="ar"/>
              </w:rPr>
              <w:t>1,347,544.19</w:t>
            </w:r>
          </w:p>
        </w:tc>
        <w:tc>
          <w:tcPr>
            <w:tcW w:w="869" w:type="pct"/>
            <w:vAlign w:val="center"/>
          </w:tcPr>
          <w:p w14:paraId="4D24DFE2">
            <w:pPr>
              <w:jc w:val="right"/>
              <w:textAlignment w:val="center"/>
              <w:rPr>
                <w:rFonts w:cs="Times New Roman"/>
              </w:rPr>
            </w:pPr>
            <w:r>
              <w:rPr>
                <w:rFonts w:eastAsia="Arial Narrow" w:cs="Times New Roman"/>
                <w:color w:val="000000"/>
                <w:lang w:bidi="ar"/>
              </w:rPr>
              <w:t>99,963,368.33</w:t>
            </w:r>
          </w:p>
        </w:tc>
      </w:tr>
      <w:tr w14:paraId="2DB0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43AE90E1">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（1）处置或报废</w:t>
            </w:r>
          </w:p>
        </w:tc>
        <w:tc>
          <w:tcPr>
            <w:tcW w:w="742" w:type="pct"/>
            <w:vAlign w:val="center"/>
          </w:tcPr>
          <w:p w14:paraId="53F36E5B">
            <w:pPr>
              <w:jc w:val="right"/>
              <w:textAlignment w:val="center"/>
              <w:rPr>
                <w:rFonts w:cs="Times New Roman"/>
              </w:rPr>
            </w:pPr>
            <w:r>
              <w:rPr>
                <w:rFonts w:eastAsia="Arial Narrow" w:cs="Times New Roman"/>
                <w:color w:val="000000"/>
                <w:lang w:bidi="ar"/>
              </w:rPr>
              <w:t>1,894,900.00</w:t>
            </w:r>
          </w:p>
        </w:tc>
        <w:tc>
          <w:tcPr>
            <w:tcW w:w="860" w:type="pct"/>
            <w:vAlign w:val="center"/>
          </w:tcPr>
          <w:p w14:paraId="1DB04DBF">
            <w:pPr>
              <w:jc w:val="right"/>
              <w:textAlignment w:val="center"/>
              <w:rPr>
                <w:rFonts w:cs="Times New Roman"/>
              </w:rPr>
            </w:pPr>
            <w:r>
              <w:rPr>
                <w:rFonts w:eastAsia="Arial Narrow" w:cs="Times New Roman"/>
                <w:color w:val="000000"/>
                <w:lang w:bidi="ar"/>
              </w:rPr>
              <w:t>86,611,945.51</w:t>
            </w:r>
          </w:p>
        </w:tc>
        <w:tc>
          <w:tcPr>
            <w:tcW w:w="711" w:type="pct"/>
            <w:vAlign w:val="center"/>
          </w:tcPr>
          <w:p w14:paraId="2BE1FAAE">
            <w:pPr>
              <w:jc w:val="right"/>
              <w:textAlignment w:val="center"/>
              <w:rPr>
                <w:rFonts w:cs="Times New Roman"/>
              </w:rPr>
            </w:pPr>
            <w:r>
              <w:rPr>
                <w:rFonts w:eastAsia="Arial Narrow" w:cs="Times New Roman"/>
                <w:color w:val="000000"/>
                <w:lang w:bidi="ar"/>
              </w:rPr>
              <w:t>1,815,416.91</w:t>
            </w:r>
          </w:p>
        </w:tc>
        <w:tc>
          <w:tcPr>
            <w:tcW w:w="770" w:type="pct"/>
            <w:vAlign w:val="center"/>
          </w:tcPr>
          <w:p w14:paraId="385D3D08">
            <w:pPr>
              <w:jc w:val="right"/>
              <w:textAlignment w:val="center"/>
              <w:rPr>
                <w:rFonts w:cs="Times New Roman"/>
              </w:rPr>
            </w:pPr>
            <w:r>
              <w:rPr>
                <w:rFonts w:eastAsia="Arial Narrow" w:cs="Times New Roman"/>
                <w:color w:val="000000"/>
                <w:lang w:bidi="ar"/>
              </w:rPr>
              <w:t>1,347,544.19</w:t>
            </w:r>
          </w:p>
        </w:tc>
        <w:tc>
          <w:tcPr>
            <w:tcW w:w="869" w:type="pct"/>
            <w:vAlign w:val="center"/>
          </w:tcPr>
          <w:p w14:paraId="549B7DFC">
            <w:pPr>
              <w:jc w:val="right"/>
              <w:textAlignment w:val="center"/>
              <w:rPr>
                <w:rFonts w:cs="Times New Roman"/>
              </w:rPr>
            </w:pPr>
            <w:r>
              <w:rPr>
                <w:rFonts w:eastAsia="Arial Narrow" w:cs="Times New Roman"/>
                <w:color w:val="000000"/>
                <w:lang w:bidi="ar"/>
              </w:rPr>
              <w:t>91,669,806.61</w:t>
            </w:r>
          </w:p>
        </w:tc>
      </w:tr>
      <w:tr w14:paraId="41C4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vAlign w:val="center"/>
          </w:tcPr>
          <w:p w14:paraId="060DB239">
            <w:pPr>
              <w:ind w:firstLine="630" w:firstLineChars="300"/>
              <w:rPr>
                <w:rFonts w:cs="Times New Roman"/>
              </w:rPr>
            </w:pPr>
            <w:r>
              <w:rPr>
                <w:rFonts w:cs="Times New Roman"/>
              </w:rPr>
              <w:t>（2）转入投资性房地产</w:t>
            </w:r>
          </w:p>
        </w:tc>
        <w:tc>
          <w:tcPr>
            <w:tcW w:w="742" w:type="pct"/>
            <w:vAlign w:val="center"/>
          </w:tcPr>
          <w:p w14:paraId="673578DA">
            <w:pPr>
              <w:jc w:val="right"/>
              <w:textAlignment w:val="center"/>
              <w:rPr>
                <w:rFonts w:cs="Times New Roman"/>
              </w:rPr>
            </w:pPr>
            <w:r>
              <w:rPr>
                <w:rFonts w:eastAsia="Arial Narrow" w:cs="Times New Roman"/>
                <w:color w:val="000000"/>
                <w:lang w:bidi="ar"/>
              </w:rPr>
              <w:t>1,869,551.00</w:t>
            </w:r>
          </w:p>
        </w:tc>
        <w:tc>
          <w:tcPr>
            <w:tcW w:w="860" w:type="pct"/>
            <w:vAlign w:val="center"/>
          </w:tcPr>
          <w:p w14:paraId="355FC948">
            <w:pPr>
              <w:jc w:val="right"/>
              <w:rPr>
                <w:rFonts w:cs="Times New Roman"/>
              </w:rPr>
            </w:pPr>
          </w:p>
        </w:tc>
        <w:tc>
          <w:tcPr>
            <w:tcW w:w="711" w:type="pct"/>
            <w:vAlign w:val="center"/>
          </w:tcPr>
          <w:p w14:paraId="47A7ED1E">
            <w:pPr>
              <w:jc w:val="right"/>
              <w:rPr>
                <w:rFonts w:cs="Times New Roman"/>
              </w:rPr>
            </w:pPr>
          </w:p>
        </w:tc>
        <w:tc>
          <w:tcPr>
            <w:tcW w:w="770" w:type="pct"/>
            <w:vAlign w:val="center"/>
          </w:tcPr>
          <w:p w14:paraId="0BDC68B9">
            <w:pPr>
              <w:jc w:val="right"/>
              <w:rPr>
                <w:rFonts w:cs="Times New Roman"/>
              </w:rPr>
            </w:pPr>
          </w:p>
        </w:tc>
        <w:tc>
          <w:tcPr>
            <w:tcW w:w="869" w:type="pct"/>
            <w:vAlign w:val="center"/>
          </w:tcPr>
          <w:p w14:paraId="4D6DBEEA">
            <w:pPr>
              <w:jc w:val="right"/>
              <w:textAlignment w:val="center"/>
              <w:rPr>
                <w:rFonts w:cs="Times New Roman"/>
              </w:rPr>
            </w:pPr>
            <w:r>
              <w:rPr>
                <w:rFonts w:eastAsia="Arial Narrow" w:cs="Times New Roman"/>
                <w:color w:val="000000"/>
                <w:lang w:bidi="ar"/>
              </w:rPr>
              <w:t>1,869,551.00</w:t>
            </w:r>
          </w:p>
        </w:tc>
      </w:tr>
      <w:tr w14:paraId="4697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vAlign w:val="center"/>
          </w:tcPr>
          <w:p w14:paraId="7476B032">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（3）其他减少</w:t>
            </w:r>
          </w:p>
        </w:tc>
        <w:tc>
          <w:tcPr>
            <w:tcW w:w="742" w:type="pct"/>
            <w:vAlign w:val="center"/>
          </w:tcPr>
          <w:p w14:paraId="33EE9EC2">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4,565,603.72</w:t>
            </w:r>
          </w:p>
        </w:tc>
        <w:tc>
          <w:tcPr>
            <w:tcW w:w="860" w:type="pct"/>
            <w:vAlign w:val="center"/>
          </w:tcPr>
          <w:p w14:paraId="70187041">
            <w:pPr>
              <w:jc w:val="right"/>
              <w:textAlignment w:val="center"/>
              <w:rPr>
                <w:rFonts w:cs="Times New Roman"/>
              </w:rPr>
            </w:pPr>
            <w:r>
              <w:rPr>
                <w:rFonts w:eastAsia="Arial Narrow" w:cs="Times New Roman"/>
                <w:color w:val="000000"/>
                <w:lang w:bidi="ar"/>
              </w:rPr>
              <w:t>1,858,407.00</w:t>
            </w:r>
          </w:p>
        </w:tc>
        <w:tc>
          <w:tcPr>
            <w:tcW w:w="711" w:type="pct"/>
            <w:vAlign w:val="center"/>
          </w:tcPr>
          <w:p w14:paraId="75F3A593">
            <w:pPr>
              <w:jc w:val="right"/>
              <w:rPr>
                <w:rFonts w:cs="Times New Roman"/>
              </w:rPr>
            </w:pPr>
          </w:p>
        </w:tc>
        <w:tc>
          <w:tcPr>
            <w:tcW w:w="770" w:type="pct"/>
            <w:vAlign w:val="center"/>
          </w:tcPr>
          <w:p w14:paraId="0353741F">
            <w:pPr>
              <w:jc w:val="right"/>
              <w:rPr>
                <w:rFonts w:cs="Times New Roman"/>
              </w:rPr>
            </w:pPr>
          </w:p>
        </w:tc>
        <w:tc>
          <w:tcPr>
            <w:tcW w:w="869" w:type="pct"/>
            <w:vAlign w:val="center"/>
          </w:tcPr>
          <w:p w14:paraId="74D2BE2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6,424,010.72</w:t>
            </w:r>
          </w:p>
        </w:tc>
      </w:tr>
      <w:tr w14:paraId="4725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2FDEA467">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4.期末余额</w:t>
            </w:r>
          </w:p>
        </w:tc>
        <w:tc>
          <w:tcPr>
            <w:tcW w:w="742" w:type="pct"/>
            <w:vAlign w:val="center"/>
          </w:tcPr>
          <w:p w14:paraId="2F07B5A2">
            <w:pPr>
              <w:jc w:val="right"/>
              <w:textAlignment w:val="center"/>
              <w:rPr>
                <w:rFonts w:cs="Times New Roman"/>
              </w:rPr>
            </w:pPr>
            <w:r>
              <w:rPr>
                <w:rFonts w:eastAsia="Arial Narrow" w:cs="Times New Roman"/>
                <w:color w:val="000000"/>
                <w:lang w:bidi="ar"/>
              </w:rPr>
              <w:t>4,822,903,509.39</w:t>
            </w:r>
          </w:p>
        </w:tc>
        <w:tc>
          <w:tcPr>
            <w:tcW w:w="860" w:type="pct"/>
            <w:vAlign w:val="center"/>
          </w:tcPr>
          <w:p w14:paraId="04E37AC0">
            <w:pPr>
              <w:jc w:val="right"/>
              <w:textAlignment w:val="center"/>
              <w:rPr>
                <w:rFonts w:cs="Times New Roman"/>
              </w:rPr>
            </w:pPr>
            <w:r>
              <w:rPr>
                <w:rFonts w:eastAsia="Arial Narrow" w:cs="Times New Roman"/>
                <w:color w:val="000000"/>
                <w:lang w:bidi="ar"/>
              </w:rPr>
              <w:t>2,998,488,463.49</w:t>
            </w:r>
          </w:p>
        </w:tc>
        <w:tc>
          <w:tcPr>
            <w:tcW w:w="711" w:type="pct"/>
            <w:vAlign w:val="center"/>
          </w:tcPr>
          <w:p w14:paraId="58A69D09">
            <w:pPr>
              <w:jc w:val="right"/>
              <w:textAlignment w:val="center"/>
              <w:rPr>
                <w:rFonts w:cs="Times New Roman"/>
              </w:rPr>
            </w:pPr>
            <w:r>
              <w:rPr>
                <w:rFonts w:eastAsia="Arial Narrow" w:cs="Times New Roman"/>
                <w:color w:val="000000"/>
                <w:lang w:bidi="ar"/>
              </w:rPr>
              <w:t>62,388,076.95</w:t>
            </w:r>
          </w:p>
        </w:tc>
        <w:tc>
          <w:tcPr>
            <w:tcW w:w="770" w:type="pct"/>
            <w:vAlign w:val="center"/>
          </w:tcPr>
          <w:p w14:paraId="4184A680">
            <w:pPr>
              <w:jc w:val="right"/>
              <w:textAlignment w:val="center"/>
              <w:rPr>
                <w:rFonts w:cs="Times New Roman"/>
              </w:rPr>
            </w:pPr>
            <w:r>
              <w:rPr>
                <w:rFonts w:eastAsia="Arial Narrow" w:cs="Times New Roman"/>
                <w:color w:val="000000"/>
                <w:lang w:bidi="ar"/>
              </w:rPr>
              <w:t>310,994,137.48</w:t>
            </w:r>
          </w:p>
        </w:tc>
        <w:tc>
          <w:tcPr>
            <w:tcW w:w="869" w:type="pct"/>
            <w:vAlign w:val="center"/>
          </w:tcPr>
          <w:p w14:paraId="7436FF7C">
            <w:pPr>
              <w:jc w:val="right"/>
              <w:textAlignment w:val="center"/>
              <w:rPr>
                <w:rFonts w:cs="Times New Roman"/>
              </w:rPr>
            </w:pPr>
            <w:r>
              <w:rPr>
                <w:rFonts w:eastAsia="Arial Narrow" w:cs="Times New Roman"/>
                <w:color w:val="000000"/>
                <w:lang w:bidi="ar"/>
              </w:rPr>
              <w:t>8,194,774,187.31</w:t>
            </w:r>
          </w:p>
        </w:tc>
      </w:tr>
      <w:tr w14:paraId="18FD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3b9a984e6e834331844252acd1c6a321"/>
            <w:id w:val="147463899"/>
          </w:sdtPr>
          <w:sdtEndPr>
            <w:rPr>
              <w:rFonts w:cs="Times New Roman"/>
            </w:rPr>
          </w:sdtEndPr>
          <w:sdtContent>
            <w:tc>
              <w:tcPr>
                <w:tcW w:w="5000" w:type="pct"/>
                <w:gridSpan w:val="6"/>
              </w:tcPr>
              <w:p w14:paraId="43F811F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二、累计折旧</w:t>
                </w:r>
              </w:p>
            </w:tc>
          </w:sdtContent>
        </w:sdt>
      </w:tr>
      <w:tr w14:paraId="13CC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183D4971">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1.期初余额</w:t>
            </w:r>
          </w:p>
        </w:tc>
        <w:tc>
          <w:tcPr>
            <w:tcW w:w="742" w:type="pct"/>
            <w:vAlign w:val="center"/>
          </w:tcPr>
          <w:p w14:paraId="212F39E2">
            <w:pPr>
              <w:jc w:val="right"/>
              <w:textAlignment w:val="center"/>
              <w:rPr>
                <w:rFonts w:cs="Times New Roman"/>
              </w:rPr>
            </w:pPr>
            <w:r>
              <w:rPr>
                <w:rFonts w:eastAsia="Arial Narrow" w:cs="Times New Roman"/>
                <w:color w:val="000000"/>
                <w:lang w:bidi="ar"/>
              </w:rPr>
              <w:t>1,324,777,938.46</w:t>
            </w:r>
          </w:p>
        </w:tc>
        <w:tc>
          <w:tcPr>
            <w:tcW w:w="860" w:type="pct"/>
            <w:vAlign w:val="center"/>
          </w:tcPr>
          <w:p w14:paraId="650C70E7">
            <w:pPr>
              <w:jc w:val="right"/>
              <w:textAlignment w:val="center"/>
              <w:rPr>
                <w:rFonts w:cs="Times New Roman"/>
              </w:rPr>
            </w:pPr>
            <w:r>
              <w:rPr>
                <w:rFonts w:eastAsia="Arial Narrow" w:cs="Times New Roman"/>
                <w:color w:val="000000"/>
                <w:lang w:bidi="ar"/>
              </w:rPr>
              <w:t>2,041,235,236.41</w:t>
            </w:r>
          </w:p>
        </w:tc>
        <w:tc>
          <w:tcPr>
            <w:tcW w:w="711" w:type="pct"/>
            <w:vAlign w:val="center"/>
          </w:tcPr>
          <w:p w14:paraId="3DFDECF2">
            <w:pPr>
              <w:jc w:val="right"/>
              <w:textAlignment w:val="center"/>
              <w:rPr>
                <w:rFonts w:cs="Times New Roman"/>
              </w:rPr>
            </w:pPr>
            <w:r>
              <w:rPr>
                <w:rFonts w:eastAsia="Arial Narrow" w:cs="Times New Roman"/>
                <w:color w:val="000000"/>
                <w:lang w:bidi="ar"/>
              </w:rPr>
              <w:t>50,702,329.09</w:t>
            </w:r>
          </w:p>
        </w:tc>
        <w:tc>
          <w:tcPr>
            <w:tcW w:w="770" w:type="pct"/>
            <w:vAlign w:val="center"/>
          </w:tcPr>
          <w:p w14:paraId="1CB830B3">
            <w:pPr>
              <w:jc w:val="right"/>
              <w:textAlignment w:val="center"/>
              <w:rPr>
                <w:rFonts w:cs="Times New Roman"/>
              </w:rPr>
            </w:pPr>
            <w:r>
              <w:rPr>
                <w:rFonts w:eastAsia="Arial Narrow" w:cs="Times New Roman"/>
                <w:color w:val="000000"/>
                <w:lang w:bidi="ar"/>
              </w:rPr>
              <w:t>137,918,490.20</w:t>
            </w:r>
          </w:p>
        </w:tc>
        <w:tc>
          <w:tcPr>
            <w:tcW w:w="869" w:type="pct"/>
            <w:vAlign w:val="center"/>
          </w:tcPr>
          <w:p w14:paraId="18FD3E1B">
            <w:pPr>
              <w:jc w:val="right"/>
              <w:textAlignment w:val="center"/>
              <w:rPr>
                <w:rFonts w:cs="Times New Roman"/>
              </w:rPr>
            </w:pPr>
            <w:r>
              <w:rPr>
                <w:rFonts w:eastAsia="Arial Narrow" w:cs="Times New Roman"/>
                <w:color w:val="000000"/>
                <w:lang w:bidi="ar"/>
              </w:rPr>
              <w:t>3,554,633,994.16</w:t>
            </w:r>
          </w:p>
        </w:tc>
      </w:tr>
      <w:tr w14:paraId="5101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49286FBC">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2.本期增加金额</w:t>
            </w:r>
          </w:p>
        </w:tc>
        <w:tc>
          <w:tcPr>
            <w:tcW w:w="742" w:type="pct"/>
            <w:vAlign w:val="center"/>
          </w:tcPr>
          <w:p w14:paraId="6FB8F158">
            <w:pPr>
              <w:jc w:val="right"/>
              <w:textAlignment w:val="center"/>
              <w:rPr>
                <w:rFonts w:cs="Times New Roman"/>
              </w:rPr>
            </w:pPr>
            <w:r>
              <w:rPr>
                <w:rFonts w:eastAsia="Arial Narrow" w:cs="Times New Roman"/>
                <w:color w:val="000000"/>
                <w:lang w:bidi="ar"/>
              </w:rPr>
              <w:t>64,507,634.62</w:t>
            </w:r>
          </w:p>
        </w:tc>
        <w:tc>
          <w:tcPr>
            <w:tcW w:w="860" w:type="pct"/>
            <w:vAlign w:val="center"/>
          </w:tcPr>
          <w:p w14:paraId="368C961F">
            <w:pPr>
              <w:jc w:val="right"/>
              <w:textAlignment w:val="center"/>
              <w:rPr>
                <w:rFonts w:cs="Times New Roman"/>
              </w:rPr>
            </w:pPr>
            <w:r>
              <w:rPr>
                <w:rFonts w:eastAsia="Arial Narrow" w:cs="Times New Roman"/>
                <w:color w:val="000000"/>
                <w:lang w:bidi="ar"/>
              </w:rPr>
              <w:t>74,048,421.74</w:t>
            </w:r>
          </w:p>
        </w:tc>
        <w:tc>
          <w:tcPr>
            <w:tcW w:w="711" w:type="pct"/>
            <w:vAlign w:val="center"/>
          </w:tcPr>
          <w:p w14:paraId="78ECE912">
            <w:pPr>
              <w:jc w:val="right"/>
              <w:textAlignment w:val="center"/>
              <w:rPr>
                <w:rFonts w:cs="Times New Roman"/>
              </w:rPr>
            </w:pPr>
            <w:r>
              <w:rPr>
                <w:rFonts w:eastAsia="Arial Narrow" w:cs="Times New Roman"/>
                <w:color w:val="000000"/>
                <w:lang w:bidi="ar"/>
              </w:rPr>
              <w:t>1,520,990.14</w:t>
            </w:r>
          </w:p>
        </w:tc>
        <w:tc>
          <w:tcPr>
            <w:tcW w:w="770" w:type="pct"/>
            <w:vAlign w:val="center"/>
          </w:tcPr>
          <w:p w14:paraId="065EAA74">
            <w:pPr>
              <w:jc w:val="right"/>
              <w:textAlignment w:val="center"/>
              <w:rPr>
                <w:rFonts w:cs="Times New Roman"/>
              </w:rPr>
            </w:pPr>
            <w:r>
              <w:rPr>
                <w:rFonts w:eastAsia="Arial Narrow" w:cs="Times New Roman"/>
                <w:color w:val="000000"/>
                <w:lang w:bidi="ar"/>
              </w:rPr>
              <w:t>6,420,713.68</w:t>
            </w:r>
          </w:p>
        </w:tc>
        <w:tc>
          <w:tcPr>
            <w:tcW w:w="869" w:type="pct"/>
            <w:vAlign w:val="center"/>
          </w:tcPr>
          <w:p w14:paraId="6E9798A8">
            <w:pPr>
              <w:jc w:val="right"/>
              <w:textAlignment w:val="center"/>
              <w:rPr>
                <w:rFonts w:cs="Times New Roman"/>
              </w:rPr>
            </w:pPr>
            <w:r>
              <w:rPr>
                <w:rFonts w:eastAsia="Arial Narrow" w:cs="Times New Roman"/>
                <w:color w:val="000000"/>
                <w:lang w:bidi="ar"/>
              </w:rPr>
              <w:t>146,497,760.18</w:t>
            </w:r>
          </w:p>
        </w:tc>
      </w:tr>
      <w:tr w14:paraId="1D0B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0C28017B">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（1）计提</w:t>
            </w:r>
          </w:p>
        </w:tc>
        <w:tc>
          <w:tcPr>
            <w:tcW w:w="742" w:type="pct"/>
            <w:vAlign w:val="center"/>
          </w:tcPr>
          <w:p w14:paraId="6DB97E7E">
            <w:pPr>
              <w:jc w:val="right"/>
              <w:textAlignment w:val="center"/>
              <w:rPr>
                <w:rFonts w:cs="Times New Roman"/>
              </w:rPr>
            </w:pPr>
            <w:r>
              <w:rPr>
                <w:rFonts w:eastAsia="Arial Narrow" w:cs="Times New Roman"/>
                <w:color w:val="000000"/>
                <w:lang w:bidi="ar"/>
              </w:rPr>
              <w:t>64,446,524.62</w:t>
            </w:r>
          </w:p>
        </w:tc>
        <w:tc>
          <w:tcPr>
            <w:tcW w:w="860" w:type="pct"/>
            <w:vAlign w:val="center"/>
          </w:tcPr>
          <w:p w14:paraId="3065E373">
            <w:pPr>
              <w:jc w:val="right"/>
              <w:textAlignment w:val="center"/>
              <w:rPr>
                <w:rFonts w:cs="Times New Roman"/>
              </w:rPr>
            </w:pPr>
            <w:r>
              <w:rPr>
                <w:rFonts w:eastAsia="Arial Narrow" w:cs="Times New Roman"/>
                <w:color w:val="000000"/>
                <w:lang w:bidi="ar"/>
              </w:rPr>
              <w:t>74,048,421.74</w:t>
            </w:r>
          </w:p>
        </w:tc>
        <w:tc>
          <w:tcPr>
            <w:tcW w:w="711" w:type="pct"/>
            <w:vAlign w:val="center"/>
          </w:tcPr>
          <w:p w14:paraId="3C3346C7">
            <w:pPr>
              <w:jc w:val="right"/>
              <w:textAlignment w:val="center"/>
              <w:rPr>
                <w:rFonts w:cs="Times New Roman"/>
              </w:rPr>
            </w:pPr>
            <w:r>
              <w:rPr>
                <w:rFonts w:eastAsia="Arial Narrow" w:cs="Times New Roman"/>
                <w:color w:val="000000"/>
                <w:lang w:bidi="ar"/>
              </w:rPr>
              <w:t>1,520,990.14</w:t>
            </w:r>
          </w:p>
        </w:tc>
        <w:tc>
          <w:tcPr>
            <w:tcW w:w="770" w:type="pct"/>
            <w:vAlign w:val="center"/>
          </w:tcPr>
          <w:p w14:paraId="2C866611">
            <w:pPr>
              <w:jc w:val="right"/>
              <w:textAlignment w:val="center"/>
              <w:rPr>
                <w:rFonts w:cs="Times New Roman"/>
              </w:rPr>
            </w:pPr>
            <w:r>
              <w:rPr>
                <w:rFonts w:eastAsia="Arial Narrow" w:cs="Times New Roman"/>
                <w:color w:val="000000"/>
                <w:lang w:bidi="ar"/>
              </w:rPr>
              <w:t>6,420,713.68</w:t>
            </w:r>
          </w:p>
        </w:tc>
        <w:tc>
          <w:tcPr>
            <w:tcW w:w="869" w:type="pct"/>
            <w:vAlign w:val="center"/>
          </w:tcPr>
          <w:p w14:paraId="3FE4589E">
            <w:pPr>
              <w:jc w:val="right"/>
              <w:textAlignment w:val="center"/>
              <w:rPr>
                <w:rFonts w:cs="Times New Roman"/>
              </w:rPr>
            </w:pPr>
            <w:r>
              <w:rPr>
                <w:rFonts w:eastAsia="Arial Narrow" w:cs="Times New Roman"/>
                <w:color w:val="000000"/>
                <w:lang w:bidi="ar"/>
              </w:rPr>
              <w:t>146,436,650.18</w:t>
            </w:r>
          </w:p>
        </w:tc>
      </w:tr>
      <w:tr w14:paraId="5369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29DEE53D">
            <w:pPr>
              <w:ind w:firstLine="630" w:firstLineChars="300"/>
              <w:rPr>
                <w:rFonts w:cs="Times New Roman"/>
              </w:rPr>
            </w:pPr>
            <w:r>
              <w:rPr>
                <w:rFonts w:cs="Times New Roman"/>
                <w:color w:val="000000" w:themeColor="text1"/>
                <w14:textFill>
                  <w14:solidFill>
                    <w14:schemeClr w14:val="tx1"/>
                  </w14:solidFill>
                </w14:textFill>
              </w:rPr>
              <w:t>（2）其他增加</w:t>
            </w:r>
          </w:p>
        </w:tc>
        <w:tc>
          <w:tcPr>
            <w:tcW w:w="742" w:type="pct"/>
            <w:vAlign w:val="center"/>
          </w:tcPr>
          <w:p w14:paraId="45D43D9E">
            <w:pPr>
              <w:jc w:val="right"/>
              <w:textAlignment w:val="center"/>
              <w:rPr>
                <w:rFonts w:cs="Times New Roman"/>
              </w:rPr>
            </w:pPr>
            <w:r>
              <w:rPr>
                <w:rFonts w:eastAsia="Arial Narrow" w:cs="Times New Roman"/>
                <w:color w:val="000000"/>
                <w:lang w:bidi="ar"/>
              </w:rPr>
              <w:t>61,110.00</w:t>
            </w:r>
          </w:p>
        </w:tc>
        <w:tc>
          <w:tcPr>
            <w:tcW w:w="860" w:type="pct"/>
            <w:vAlign w:val="center"/>
          </w:tcPr>
          <w:p w14:paraId="66797E01">
            <w:pPr>
              <w:jc w:val="right"/>
              <w:rPr>
                <w:rFonts w:cs="Times New Roman"/>
              </w:rPr>
            </w:pPr>
          </w:p>
        </w:tc>
        <w:tc>
          <w:tcPr>
            <w:tcW w:w="711" w:type="pct"/>
            <w:vAlign w:val="center"/>
          </w:tcPr>
          <w:p w14:paraId="71CD1E17">
            <w:pPr>
              <w:jc w:val="right"/>
              <w:rPr>
                <w:rFonts w:cs="Times New Roman"/>
              </w:rPr>
            </w:pPr>
          </w:p>
        </w:tc>
        <w:tc>
          <w:tcPr>
            <w:tcW w:w="770" w:type="pct"/>
            <w:vAlign w:val="center"/>
          </w:tcPr>
          <w:p w14:paraId="7B6EB808">
            <w:pPr>
              <w:jc w:val="right"/>
              <w:rPr>
                <w:rFonts w:cs="Times New Roman"/>
              </w:rPr>
            </w:pPr>
          </w:p>
        </w:tc>
        <w:tc>
          <w:tcPr>
            <w:tcW w:w="869" w:type="pct"/>
            <w:vAlign w:val="center"/>
          </w:tcPr>
          <w:p w14:paraId="1309B5A9">
            <w:pPr>
              <w:jc w:val="right"/>
              <w:textAlignment w:val="center"/>
              <w:rPr>
                <w:rFonts w:cs="Times New Roman"/>
              </w:rPr>
            </w:pPr>
            <w:r>
              <w:rPr>
                <w:rFonts w:eastAsia="Arial Narrow" w:cs="Times New Roman"/>
                <w:color w:val="000000"/>
                <w:lang w:bidi="ar"/>
              </w:rPr>
              <w:t>61,110.00</w:t>
            </w:r>
          </w:p>
        </w:tc>
      </w:tr>
      <w:tr w14:paraId="150F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74CA972D">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3.本期减少金额</w:t>
            </w:r>
          </w:p>
        </w:tc>
        <w:tc>
          <w:tcPr>
            <w:tcW w:w="742" w:type="pct"/>
            <w:vAlign w:val="center"/>
          </w:tcPr>
          <w:p w14:paraId="06A076CF">
            <w:pPr>
              <w:jc w:val="right"/>
              <w:textAlignment w:val="center"/>
              <w:rPr>
                <w:rFonts w:cs="Times New Roman"/>
              </w:rPr>
            </w:pPr>
            <w:r>
              <w:rPr>
                <w:rFonts w:eastAsia="Arial Narrow" w:cs="Times New Roman"/>
                <w:color w:val="000000"/>
                <w:lang w:bidi="ar"/>
              </w:rPr>
              <w:t>7,074,108.99</w:t>
            </w:r>
          </w:p>
        </w:tc>
        <w:tc>
          <w:tcPr>
            <w:tcW w:w="860" w:type="pct"/>
            <w:vAlign w:val="center"/>
          </w:tcPr>
          <w:p w14:paraId="06AD92F1">
            <w:pPr>
              <w:jc w:val="right"/>
              <w:textAlignment w:val="center"/>
              <w:rPr>
                <w:rFonts w:cs="Times New Roman"/>
              </w:rPr>
            </w:pPr>
            <w:r>
              <w:rPr>
                <w:rFonts w:eastAsia="Arial Narrow" w:cs="Times New Roman"/>
                <w:color w:val="000000"/>
                <w:lang w:bidi="ar"/>
              </w:rPr>
              <w:t>83,308,602.78</w:t>
            </w:r>
          </w:p>
        </w:tc>
        <w:tc>
          <w:tcPr>
            <w:tcW w:w="711" w:type="pct"/>
            <w:vAlign w:val="center"/>
          </w:tcPr>
          <w:p w14:paraId="5F9E11DB">
            <w:pPr>
              <w:jc w:val="right"/>
              <w:textAlignment w:val="center"/>
              <w:rPr>
                <w:rFonts w:cs="Times New Roman"/>
              </w:rPr>
            </w:pPr>
            <w:r>
              <w:rPr>
                <w:rFonts w:eastAsia="Arial Narrow" w:cs="Times New Roman"/>
                <w:color w:val="000000"/>
                <w:lang w:bidi="ar"/>
              </w:rPr>
              <w:t>1,754,373.88</w:t>
            </w:r>
          </w:p>
        </w:tc>
        <w:tc>
          <w:tcPr>
            <w:tcW w:w="770" w:type="pct"/>
            <w:vAlign w:val="center"/>
          </w:tcPr>
          <w:p w14:paraId="2CE80CE9">
            <w:pPr>
              <w:jc w:val="right"/>
              <w:textAlignment w:val="center"/>
              <w:rPr>
                <w:rFonts w:cs="Times New Roman"/>
              </w:rPr>
            </w:pPr>
            <w:r>
              <w:rPr>
                <w:rFonts w:eastAsia="Arial Narrow" w:cs="Times New Roman"/>
                <w:color w:val="000000"/>
                <w:lang w:bidi="ar"/>
              </w:rPr>
              <w:t>1,323,245.81</w:t>
            </w:r>
          </w:p>
        </w:tc>
        <w:tc>
          <w:tcPr>
            <w:tcW w:w="869" w:type="pct"/>
            <w:vAlign w:val="center"/>
          </w:tcPr>
          <w:p w14:paraId="4A991BC0">
            <w:pPr>
              <w:jc w:val="right"/>
              <w:textAlignment w:val="center"/>
              <w:rPr>
                <w:rFonts w:cs="Times New Roman"/>
              </w:rPr>
            </w:pPr>
            <w:r>
              <w:rPr>
                <w:rFonts w:eastAsia="Arial Narrow" w:cs="Times New Roman"/>
                <w:color w:val="000000"/>
                <w:lang w:bidi="ar"/>
              </w:rPr>
              <w:t>93,460,331.46</w:t>
            </w:r>
          </w:p>
        </w:tc>
      </w:tr>
      <w:tr w14:paraId="21E5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6ED1303C">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（1）处置或报废</w:t>
            </w:r>
          </w:p>
        </w:tc>
        <w:tc>
          <w:tcPr>
            <w:tcW w:w="742" w:type="pct"/>
            <w:vAlign w:val="center"/>
          </w:tcPr>
          <w:p w14:paraId="2A9E2FCD">
            <w:pPr>
              <w:jc w:val="right"/>
              <w:textAlignment w:val="center"/>
              <w:rPr>
                <w:rFonts w:cs="Times New Roman"/>
              </w:rPr>
            </w:pPr>
            <w:r>
              <w:rPr>
                <w:rFonts w:eastAsia="Arial Narrow" w:cs="Times New Roman"/>
                <w:color w:val="000000"/>
                <w:lang w:bidi="ar"/>
              </w:rPr>
              <w:t>1,811,904.80</w:t>
            </w:r>
          </w:p>
        </w:tc>
        <w:tc>
          <w:tcPr>
            <w:tcW w:w="860" w:type="pct"/>
            <w:vAlign w:val="center"/>
          </w:tcPr>
          <w:p w14:paraId="38C226CE">
            <w:pPr>
              <w:jc w:val="right"/>
              <w:textAlignment w:val="center"/>
              <w:rPr>
                <w:rFonts w:cs="Times New Roman"/>
              </w:rPr>
            </w:pPr>
            <w:r>
              <w:rPr>
                <w:rFonts w:eastAsia="Arial Narrow" w:cs="Times New Roman"/>
                <w:color w:val="000000"/>
                <w:lang w:bidi="ar"/>
              </w:rPr>
              <w:t>82,879,954.70</w:t>
            </w:r>
          </w:p>
        </w:tc>
        <w:tc>
          <w:tcPr>
            <w:tcW w:w="711" w:type="pct"/>
            <w:vAlign w:val="center"/>
          </w:tcPr>
          <w:p w14:paraId="6A355871">
            <w:pPr>
              <w:jc w:val="right"/>
              <w:textAlignment w:val="center"/>
              <w:rPr>
                <w:rFonts w:cs="Times New Roman"/>
              </w:rPr>
            </w:pPr>
            <w:r>
              <w:rPr>
                <w:rFonts w:eastAsia="Arial Narrow" w:cs="Times New Roman"/>
                <w:color w:val="000000"/>
                <w:lang w:bidi="ar"/>
              </w:rPr>
              <w:t>1,754,373.88</w:t>
            </w:r>
          </w:p>
        </w:tc>
        <w:tc>
          <w:tcPr>
            <w:tcW w:w="770" w:type="pct"/>
            <w:vAlign w:val="center"/>
          </w:tcPr>
          <w:p w14:paraId="210D4437">
            <w:pPr>
              <w:jc w:val="right"/>
              <w:textAlignment w:val="center"/>
              <w:rPr>
                <w:rFonts w:cs="Times New Roman"/>
              </w:rPr>
            </w:pPr>
            <w:r>
              <w:rPr>
                <w:rFonts w:eastAsia="Arial Narrow" w:cs="Times New Roman"/>
                <w:color w:val="000000"/>
                <w:lang w:bidi="ar"/>
              </w:rPr>
              <w:t>1,323,245.81</w:t>
            </w:r>
          </w:p>
        </w:tc>
        <w:tc>
          <w:tcPr>
            <w:tcW w:w="869" w:type="pct"/>
            <w:vAlign w:val="center"/>
          </w:tcPr>
          <w:p w14:paraId="5EC3CE8B">
            <w:pPr>
              <w:jc w:val="right"/>
              <w:textAlignment w:val="center"/>
              <w:rPr>
                <w:rFonts w:cs="Times New Roman"/>
              </w:rPr>
            </w:pPr>
            <w:r>
              <w:rPr>
                <w:rFonts w:eastAsia="Arial Narrow" w:cs="Times New Roman"/>
                <w:color w:val="000000"/>
                <w:lang w:bidi="ar"/>
              </w:rPr>
              <w:t>87,769,479.19</w:t>
            </w:r>
          </w:p>
        </w:tc>
      </w:tr>
      <w:tr w14:paraId="5AF9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vAlign w:val="center"/>
          </w:tcPr>
          <w:p w14:paraId="3E27B134">
            <w:pPr>
              <w:ind w:firstLine="630" w:firstLineChars="300"/>
              <w:rPr>
                <w:rFonts w:cs="Times New Roman"/>
              </w:rPr>
            </w:pPr>
            <w:r>
              <w:rPr>
                <w:rFonts w:cs="Times New Roman"/>
              </w:rPr>
              <w:t>（2）转入投资性房地产</w:t>
            </w:r>
          </w:p>
        </w:tc>
        <w:tc>
          <w:tcPr>
            <w:tcW w:w="742" w:type="pct"/>
            <w:vAlign w:val="center"/>
          </w:tcPr>
          <w:p w14:paraId="63D790DE">
            <w:pPr>
              <w:jc w:val="right"/>
              <w:textAlignment w:val="center"/>
              <w:rPr>
                <w:rFonts w:cs="Times New Roman"/>
              </w:rPr>
            </w:pPr>
            <w:r>
              <w:rPr>
                <w:rFonts w:eastAsia="Arial Narrow" w:cs="Times New Roman"/>
                <w:color w:val="000000"/>
                <w:lang w:bidi="ar"/>
              </w:rPr>
              <w:t>1,387,539.48</w:t>
            </w:r>
          </w:p>
        </w:tc>
        <w:tc>
          <w:tcPr>
            <w:tcW w:w="860" w:type="pct"/>
            <w:vAlign w:val="center"/>
          </w:tcPr>
          <w:p w14:paraId="051EEDFD">
            <w:pPr>
              <w:jc w:val="right"/>
              <w:rPr>
                <w:rFonts w:cs="Times New Roman"/>
              </w:rPr>
            </w:pPr>
          </w:p>
        </w:tc>
        <w:tc>
          <w:tcPr>
            <w:tcW w:w="711" w:type="pct"/>
            <w:vAlign w:val="center"/>
          </w:tcPr>
          <w:p w14:paraId="3798187D">
            <w:pPr>
              <w:jc w:val="right"/>
              <w:rPr>
                <w:rFonts w:cs="Times New Roman"/>
              </w:rPr>
            </w:pPr>
          </w:p>
        </w:tc>
        <w:tc>
          <w:tcPr>
            <w:tcW w:w="770" w:type="pct"/>
            <w:vAlign w:val="center"/>
          </w:tcPr>
          <w:p w14:paraId="393083CB">
            <w:pPr>
              <w:jc w:val="right"/>
              <w:rPr>
                <w:rFonts w:cs="Times New Roman"/>
              </w:rPr>
            </w:pPr>
          </w:p>
        </w:tc>
        <w:tc>
          <w:tcPr>
            <w:tcW w:w="869" w:type="pct"/>
            <w:vAlign w:val="center"/>
          </w:tcPr>
          <w:p w14:paraId="2C4A2DCA">
            <w:pPr>
              <w:jc w:val="right"/>
              <w:textAlignment w:val="center"/>
              <w:rPr>
                <w:rFonts w:cs="Times New Roman"/>
              </w:rPr>
            </w:pPr>
            <w:r>
              <w:rPr>
                <w:rFonts w:eastAsia="Arial Narrow" w:cs="Times New Roman"/>
                <w:color w:val="000000"/>
                <w:lang w:bidi="ar"/>
              </w:rPr>
              <w:t>1,387,539.48</w:t>
            </w:r>
          </w:p>
        </w:tc>
      </w:tr>
      <w:tr w14:paraId="1A1C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vAlign w:val="center"/>
          </w:tcPr>
          <w:p w14:paraId="66001DC7">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（3）其他减少</w:t>
            </w:r>
          </w:p>
        </w:tc>
        <w:tc>
          <w:tcPr>
            <w:tcW w:w="742" w:type="pct"/>
            <w:vAlign w:val="center"/>
          </w:tcPr>
          <w:p w14:paraId="2195AB0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3,874,664.71</w:t>
            </w:r>
          </w:p>
        </w:tc>
        <w:tc>
          <w:tcPr>
            <w:tcW w:w="860" w:type="pct"/>
            <w:vAlign w:val="center"/>
          </w:tcPr>
          <w:p w14:paraId="6866211F">
            <w:pPr>
              <w:jc w:val="right"/>
              <w:textAlignment w:val="center"/>
              <w:rPr>
                <w:rFonts w:cs="Times New Roman"/>
              </w:rPr>
            </w:pPr>
            <w:r>
              <w:rPr>
                <w:rFonts w:eastAsia="Arial Narrow" w:cs="Times New Roman"/>
                <w:color w:val="000000"/>
                <w:lang w:bidi="ar"/>
              </w:rPr>
              <w:t>428,648.08</w:t>
            </w:r>
          </w:p>
        </w:tc>
        <w:tc>
          <w:tcPr>
            <w:tcW w:w="711" w:type="pct"/>
            <w:vAlign w:val="center"/>
          </w:tcPr>
          <w:p w14:paraId="6431B20F">
            <w:pPr>
              <w:jc w:val="right"/>
              <w:rPr>
                <w:rFonts w:cs="Times New Roman"/>
              </w:rPr>
            </w:pPr>
          </w:p>
        </w:tc>
        <w:tc>
          <w:tcPr>
            <w:tcW w:w="770" w:type="pct"/>
            <w:vAlign w:val="center"/>
          </w:tcPr>
          <w:p w14:paraId="62C7817A">
            <w:pPr>
              <w:jc w:val="right"/>
              <w:rPr>
                <w:rFonts w:cs="Times New Roman"/>
              </w:rPr>
            </w:pPr>
          </w:p>
        </w:tc>
        <w:tc>
          <w:tcPr>
            <w:tcW w:w="869" w:type="pct"/>
            <w:vAlign w:val="center"/>
          </w:tcPr>
          <w:p w14:paraId="0952951A">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4,303,312.79</w:t>
            </w:r>
          </w:p>
        </w:tc>
      </w:tr>
      <w:tr w14:paraId="7122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3FF3E9CD">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4.期末余额</w:t>
            </w:r>
          </w:p>
        </w:tc>
        <w:tc>
          <w:tcPr>
            <w:tcW w:w="742" w:type="pct"/>
            <w:vAlign w:val="center"/>
          </w:tcPr>
          <w:p w14:paraId="34E3B184">
            <w:pPr>
              <w:jc w:val="right"/>
              <w:textAlignment w:val="center"/>
              <w:rPr>
                <w:rFonts w:cs="Times New Roman"/>
              </w:rPr>
            </w:pPr>
            <w:r>
              <w:rPr>
                <w:rFonts w:eastAsia="Arial Narrow" w:cs="Times New Roman"/>
                <w:color w:val="000000"/>
                <w:lang w:bidi="ar"/>
              </w:rPr>
              <w:t>1,382,211,464.09</w:t>
            </w:r>
          </w:p>
        </w:tc>
        <w:tc>
          <w:tcPr>
            <w:tcW w:w="860" w:type="pct"/>
            <w:vAlign w:val="center"/>
          </w:tcPr>
          <w:p w14:paraId="0CE9B027">
            <w:pPr>
              <w:jc w:val="right"/>
              <w:textAlignment w:val="center"/>
              <w:rPr>
                <w:rFonts w:cs="Times New Roman"/>
              </w:rPr>
            </w:pPr>
            <w:r>
              <w:rPr>
                <w:rFonts w:eastAsia="Arial Narrow" w:cs="Times New Roman"/>
                <w:color w:val="000000"/>
                <w:lang w:bidi="ar"/>
              </w:rPr>
              <w:t>2,031,975,055.37</w:t>
            </w:r>
          </w:p>
        </w:tc>
        <w:tc>
          <w:tcPr>
            <w:tcW w:w="711" w:type="pct"/>
            <w:vAlign w:val="center"/>
          </w:tcPr>
          <w:p w14:paraId="0FDC5BE7">
            <w:pPr>
              <w:jc w:val="right"/>
              <w:textAlignment w:val="center"/>
              <w:rPr>
                <w:rFonts w:cs="Times New Roman"/>
              </w:rPr>
            </w:pPr>
            <w:r>
              <w:rPr>
                <w:rFonts w:eastAsia="Arial Narrow" w:cs="Times New Roman"/>
                <w:color w:val="000000"/>
                <w:lang w:bidi="ar"/>
              </w:rPr>
              <w:t>50,468,945.35</w:t>
            </w:r>
          </w:p>
        </w:tc>
        <w:tc>
          <w:tcPr>
            <w:tcW w:w="770" w:type="pct"/>
            <w:vAlign w:val="center"/>
          </w:tcPr>
          <w:p w14:paraId="2D9192EB">
            <w:pPr>
              <w:jc w:val="right"/>
              <w:textAlignment w:val="center"/>
              <w:rPr>
                <w:rFonts w:cs="Times New Roman"/>
              </w:rPr>
            </w:pPr>
            <w:r>
              <w:rPr>
                <w:rFonts w:eastAsia="Arial Narrow" w:cs="Times New Roman"/>
                <w:color w:val="000000"/>
                <w:lang w:bidi="ar"/>
              </w:rPr>
              <w:t>143,015,958.07</w:t>
            </w:r>
          </w:p>
        </w:tc>
        <w:tc>
          <w:tcPr>
            <w:tcW w:w="869" w:type="pct"/>
            <w:vAlign w:val="center"/>
          </w:tcPr>
          <w:p w14:paraId="7234570B">
            <w:pPr>
              <w:jc w:val="right"/>
              <w:textAlignment w:val="center"/>
              <w:rPr>
                <w:rFonts w:cs="Times New Roman"/>
              </w:rPr>
            </w:pPr>
            <w:r>
              <w:rPr>
                <w:rFonts w:eastAsia="Arial Narrow" w:cs="Times New Roman"/>
                <w:color w:val="000000"/>
                <w:lang w:bidi="ar"/>
              </w:rPr>
              <w:t>3,607,671,422.88</w:t>
            </w:r>
          </w:p>
        </w:tc>
      </w:tr>
      <w:tr w14:paraId="1797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662c84047b6d41648e46d047cc9b134a"/>
            <w:id w:val="147472648"/>
          </w:sdtPr>
          <w:sdtEndPr>
            <w:rPr>
              <w:rFonts w:cs="Times New Roman"/>
            </w:rPr>
          </w:sdtEndPr>
          <w:sdtContent>
            <w:tc>
              <w:tcPr>
                <w:tcW w:w="5000" w:type="pct"/>
                <w:gridSpan w:val="6"/>
              </w:tcPr>
              <w:p w14:paraId="7FB8ACB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三、减值准备</w:t>
                </w:r>
              </w:p>
            </w:tc>
          </w:sdtContent>
        </w:sdt>
      </w:tr>
      <w:tr w14:paraId="3845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5AB7631B">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1.期初余额</w:t>
            </w:r>
          </w:p>
        </w:tc>
        <w:tc>
          <w:tcPr>
            <w:tcW w:w="742" w:type="pct"/>
            <w:vAlign w:val="center"/>
          </w:tcPr>
          <w:p w14:paraId="71781804">
            <w:pPr>
              <w:jc w:val="right"/>
              <w:textAlignment w:val="center"/>
              <w:rPr>
                <w:rFonts w:cs="Times New Roman"/>
              </w:rPr>
            </w:pPr>
            <w:r>
              <w:rPr>
                <w:rFonts w:eastAsia="Arial Narrow" w:cs="Times New Roman"/>
                <w:color w:val="000000"/>
                <w:lang w:bidi="ar"/>
              </w:rPr>
              <w:t>453,950,406.96</w:t>
            </w:r>
          </w:p>
        </w:tc>
        <w:tc>
          <w:tcPr>
            <w:tcW w:w="860" w:type="pct"/>
            <w:vAlign w:val="center"/>
          </w:tcPr>
          <w:p w14:paraId="4DC6936D">
            <w:pPr>
              <w:jc w:val="right"/>
              <w:textAlignment w:val="center"/>
              <w:rPr>
                <w:rFonts w:cs="Times New Roman"/>
              </w:rPr>
            </w:pPr>
            <w:r>
              <w:rPr>
                <w:rFonts w:eastAsia="Arial Narrow" w:cs="Times New Roman"/>
                <w:color w:val="000000"/>
                <w:lang w:bidi="ar"/>
              </w:rPr>
              <w:t>72,759,797.97</w:t>
            </w:r>
          </w:p>
        </w:tc>
        <w:tc>
          <w:tcPr>
            <w:tcW w:w="711" w:type="pct"/>
            <w:vAlign w:val="center"/>
          </w:tcPr>
          <w:p w14:paraId="1283CEF1">
            <w:pPr>
              <w:jc w:val="right"/>
              <w:textAlignment w:val="center"/>
              <w:rPr>
                <w:rFonts w:cs="Times New Roman"/>
              </w:rPr>
            </w:pPr>
            <w:r>
              <w:rPr>
                <w:rFonts w:eastAsia="Arial Narrow" w:cs="Times New Roman"/>
                <w:color w:val="000000"/>
                <w:lang w:bidi="ar"/>
              </w:rPr>
              <w:t>111,411.62</w:t>
            </w:r>
          </w:p>
        </w:tc>
        <w:tc>
          <w:tcPr>
            <w:tcW w:w="770" w:type="pct"/>
            <w:vAlign w:val="center"/>
          </w:tcPr>
          <w:p w14:paraId="0D580C3B">
            <w:pPr>
              <w:jc w:val="right"/>
              <w:textAlignment w:val="center"/>
              <w:rPr>
                <w:rFonts w:cs="Times New Roman"/>
              </w:rPr>
            </w:pPr>
            <w:r>
              <w:rPr>
                <w:rFonts w:eastAsia="Arial Narrow" w:cs="Times New Roman"/>
                <w:color w:val="000000"/>
                <w:lang w:bidi="ar"/>
              </w:rPr>
              <w:t>103,582,216.64</w:t>
            </w:r>
          </w:p>
        </w:tc>
        <w:tc>
          <w:tcPr>
            <w:tcW w:w="869" w:type="pct"/>
            <w:vAlign w:val="center"/>
          </w:tcPr>
          <w:p w14:paraId="23272455">
            <w:pPr>
              <w:jc w:val="right"/>
              <w:textAlignment w:val="center"/>
              <w:rPr>
                <w:rFonts w:cs="Times New Roman"/>
              </w:rPr>
            </w:pPr>
            <w:r>
              <w:rPr>
                <w:rFonts w:eastAsia="Arial Narrow" w:cs="Times New Roman"/>
                <w:color w:val="000000"/>
                <w:lang w:bidi="ar"/>
              </w:rPr>
              <w:t>630,403,833.19</w:t>
            </w:r>
          </w:p>
        </w:tc>
      </w:tr>
      <w:tr w14:paraId="6BF1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556813FA">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2.本期增加金额</w:t>
            </w:r>
          </w:p>
        </w:tc>
        <w:tc>
          <w:tcPr>
            <w:tcW w:w="742" w:type="pct"/>
            <w:vAlign w:val="center"/>
          </w:tcPr>
          <w:p w14:paraId="6BFC11AC">
            <w:pPr>
              <w:jc w:val="right"/>
              <w:rPr>
                <w:rFonts w:cs="Times New Roman"/>
              </w:rPr>
            </w:pPr>
          </w:p>
        </w:tc>
        <w:tc>
          <w:tcPr>
            <w:tcW w:w="860" w:type="pct"/>
            <w:vAlign w:val="center"/>
          </w:tcPr>
          <w:p w14:paraId="5BD50204">
            <w:pPr>
              <w:jc w:val="right"/>
              <w:rPr>
                <w:rFonts w:cs="Times New Roman"/>
              </w:rPr>
            </w:pPr>
          </w:p>
        </w:tc>
        <w:tc>
          <w:tcPr>
            <w:tcW w:w="711" w:type="pct"/>
            <w:vAlign w:val="center"/>
          </w:tcPr>
          <w:p w14:paraId="56FD5E6C">
            <w:pPr>
              <w:jc w:val="right"/>
              <w:rPr>
                <w:rFonts w:cs="Times New Roman"/>
              </w:rPr>
            </w:pPr>
          </w:p>
        </w:tc>
        <w:tc>
          <w:tcPr>
            <w:tcW w:w="770" w:type="pct"/>
            <w:vAlign w:val="center"/>
          </w:tcPr>
          <w:p w14:paraId="05E16A4F">
            <w:pPr>
              <w:jc w:val="right"/>
              <w:rPr>
                <w:rFonts w:cs="Times New Roman"/>
              </w:rPr>
            </w:pPr>
          </w:p>
        </w:tc>
        <w:tc>
          <w:tcPr>
            <w:tcW w:w="869" w:type="pct"/>
            <w:vAlign w:val="center"/>
          </w:tcPr>
          <w:p w14:paraId="40BC1A4A">
            <w:pPr>
              <w:jc w:val="right"/>
              <w:rPr>
                <w:rFonts w:cs="Times New Roman"/>
              </w:rPr>
            </w:pPr>
          </w:p>
        </w:tc>
      </w:tr>
      <w:tr w14:paraId="2A13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547F41D5">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3.本期减少金额</w:t>
            </w:r>
          </w:p>
        </w:tc>
        <w:tc>
          <w:tcPr>
            <w:tcW w:w="742" w:type="pct"/>
            <w:vAlign w:val="center"/>
          </w:tcPr>
          <w:p w14:paraId="09C0A54F">
            <w:pPr>
              <w:jc w:val="right"/>
              <w:rPr>
                <w:rFonts w:cs="Times New Roman"/>
              </w:rPr>
            </w:pPr>
          </w:p>
        </w:tc>
        <w:tc>
          <w:tcPr>
            <w:tcW w:w="860" w:type="pct"/>
            <w:vAlign w:val="center"/>
          </w:tcPr>
          <w:p w14:paraId="7C4B6A52">
            <w:pPr>
              <w:jc w:val="right"/>
              <w:rPr>
                <w:rFonts w:cs="Times New Roman"/>
              </w:rPr>
            </w:pPr>
          </w:p>
        </w:tc>
        <w:tc>
          <w:tcPr>
            <w:tcW w:w="711" w:type="pct"/>
            <w:vAlign w:val="center"/>
          </w:tcPr>
          <w:p w14:paraId="395D8AD2">
            <w:pPr>
              <w:jc w:val="right"/>
              <w:textAlignment w:val="center"/>
              <w:rPr>
                <w:rFonts w:cs="Times New Roman"/>
              </w:rPr>
            </w:pPr>
            <w:r>
              <w:rPr>
                <w:rFonts w:eastAsia="Arial Narrow" w:cs="Times New Roman"/>
                <w:color w:val="000000"/>
                <w:lang w:bidi="ar"/>
              </w:rPr>
              <w:t>13,572.85</w:t>
            </w:r>
          </w:p>
        </w:tc>
        <w:tc>
          <w:tcPr>
            <w:tcW w:w="770" w:type="pct"/>
            <w:vAlign w:val="center"/>
          </w:tcPr>
          <w:p w14:paraId="7ADEB497">
            <w:pPr>
              <w:jc w:val="right"/>
              <w:rPr>
                <w:rFonts w:cs="Times New Roman"/>
              </w:rPr>
            </w:pPr>
          </w:p>
        </w:tc>
        <w:tc>
          <w:tcPr>
            <w:tcW w:w="869" w:type="pct"/>
            <w:vAlign w:val="center"/>
          </w:tcPr>
          <w:p w14:paraId="3BA449DD">
            <w:pPr>
              <w:jc w:val="right"/>
              <w:textAlignment w:val="center"/>
              <w:rPr>
                <w:rFonts w:cs="Times New Roman"/>
              </w:rPr>
            </w:pPr>
            <w:r>
              <w:rPr>
                <w:rFonts w:eastAsia="Arial Narrow" w:cs="Times New Roman"/>
                <w:color w:val="000000"/>
                <w:lang w:bidi="ar"/>
              </w:rPr>
              <w:t>13,572.85</w:t>
            </w:r>
          </w:p>
        </w:tc>
      </w:tr>
      <w:tr w14:paraId="34D2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7F85EEE1">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（1）处置或报废</w:t>
            </w:r>
          </w:p>
        </w:tc>
        <w:tc>
          <w:tcPr>
            <w:tcW w:w="742" w:type="pct"/>
            <w:vAlign w:val="center"/>
          </w:tcPr>
          <w:p w14:paraId="04508FCF">
            <w:pPr>
              <w:jc w:val="right"/>
              <w:rPr>
                <w:rFonts w:cs="Times New Roman"/>
              </w:rPr>
            </w:pPr>
          </w:p>
        </w:tc>
        <w:tc>
          <w:tcPr>
            <w:tcW w:w="860" w:type="pct"/>
            <w:vAlign w:val="center"/>
          </w:tcPr>
          <w:p w14:paraId="1EA93E76">
            <w:pPr>
              <w:jc w:val="right"/>
              <w:rPr>
                <w:rFonts w:cs="Times New Roman"/>
              </w:rPr>
            </w:pPr>
          </w:p>
        </w:tc>
        <w:tc>
          <w:tcPr>
            <w:tcW w:w="711" w:type="pct"/>
            <w:vAlign w:val="center"/>
          </w:tcPr>
          <w:p w14:paraId="78AF67A7">
            <w:pPr>
              <w:jc w:val="right"/>
              <w:textAlignment w:val="center"/>
              <w:rPr>
                <w:rFonts w:cs="Times New Roman"/>
              </w:rPr>
            </w:pPr>
            <w:r>
              <w:rPr>
                <w:rFonts w:eastAsia="Arial Narrow" w:cs="Times New Roman"/>
                <w:color w:val="000000"/>
                <w:lang w:bidi="ar"/>
              </w:rPr>
              <w:t>13,572.85</w:t>
            </w:r>
          </w:p>
        </w:tc>
        <w:tc>
          <w:tcPr>
            <w:tcW w:w="770" w:type="pct"/>
            <w:vAlign w:val="center"/>
          </w:tcPr>
          <w:p w14:paraId="4ED90600">
            <w:pPr>
              <w:jc w:val="right"/>
              <w:rPr>
                <w:rFonts w:cs="Times New Roman"/>
              </w:rPr>
            </w:pPr>
          </w:p>
        </w:tc>
        <w:tc>
          <w:tcPr>
            <w:tcW w:w="869" w:type="pct"/>
            <w:vAlign w:val="center"/>
          </w:tcPr>
          <w:p w14:paraId="39BB14C6">
            <w:pPr>
              <w:jc w:val="right"/>
              <w:textAlignment w:val="center"/>
              <w:rPr>
                <w:rFonts w:cs="Times New Roman"/>
              </w:rPr>
            </w:pPr>
            <w:r>
              <w:rPr>
                <w:rFonts w:eastAsia="Arial Narrow" w:cs="Times New Roman"/>
                <w:color w:val="000000"/>
                <w:lang w:bidi="ar"/>
              </w:rPr>
              <w:t>13,572.85</w:t>
            </w:r>
          </w:p>
        </w:tc>
      </w:tr>
      <w:tr w14:paraId="1911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229E0AFA">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4.期末余额</w:t>
            </w:r>
          </w:p>
        </w:tc>
        <w:tc>
          <w:tcPr>
            <w:tcW w:w="742" w:type="pct"/>
            <w:vAlign w:val="center"/>
          </w:tcPr>
          <w:p w14:paraId="09C7F88C">
            <w:pPr>
              <w:jc w:val="right"/>
              <w:textAlignment w:val="center"/>
              <w:rPr>
                <w:rFonts w:cs="Times New Roman"/>
              </w:rPr>
            </w:pPr>
            <w:r>
              <w:rPr>
                <w:rFonts w:eastAsia="Arial Narrow" w:cs="Times New Roman"/>
                <w:color w:val="000000"/>
                <w:lang w:bidi="ar"/>
              </w:rPr>
              <w:t>453,950,406.96</w:t>
            </w:r>
          </w:p>
        </w:tc>
        <w:tc>
          <w:tcPr>
            <w:tcW w:w="860" w:type="pct"/>
            <w:vAlign w:val="center"/>
          </w:tcPr>
          <w:p w14:paraId="04475249">
            <w:pPr>
              <w:jc w:val="right"/>
              <w:textAlignment w:val="center"/>
              <w:rPr>
                <w:rFonts w:cs="Times New Roman"/>
              </w:rPr>
            </w:pPr>
            <w:r>
              <w:rPr>
                <w:rFonts w:eastAsia="Arial Narrow" w:cs="Times New Roman"/>
                <w:color w:val="000000"/>
                <w:lang w:bidi="ar"/>
              </w:rPr>
              <w:t>72,759,797.97</w:t>
            </w:r>
          </w:p>
        </w:tc>
        <w:tc>
          <w:tcPr>
            <w:tcW w:w="711" w:type="pct"/>
            <w:vAlign w:val="center"/>
          </w:tcPr>
          <w:p w14:paraId="145CFDD7">
            <w:pPr>
              <w:jc w:val="right"/>
              <w:textAlignment w:val="center"/>
              <w:rPr>
                <w:rFonts w:cs="Times New Roman"/>
              </w:rPr>
            </w:pPr>
            <w:r>
              <w:rPr>
                <w:rFonts w:eastAsia="Arial Narrow" w:cs="Times New Roman"/>
                <w:color w:val="000000"/>
                <w:lang w:bidi="ar"/>
              </w:rPr>
              <w:t>97,838.77</w:t>
            </w:r>
          </w:p>
        </w:tc>
        <w:tc>
          <w:tcPr>
            <w:tcW w:w="770" w:type="pct"/>
            <w:vAlign w:val="center"/>
          </w:tcPr>
          <w:p w14:paraId="337C314C">
            <w:pPr>
              <w:jc w:val="right"/>
              <w:textAlignment w:val="center"/>
              <w:rPr>
                <w:rFonts w:cs="Times New Roman"/>
              </w:rPr>
            </w:pPr>
            <w:r>
              <w:rPr>
                <w:rFonts w:eastAsia="Arial Narrow" w:cs="Times New Roman"/>
                <w:color w:val="000000"/>
                <w:lang w:bidi="ar"/>
              </w:rPr>
              <w:t>103,582,216.64</w:t>
            </w:r>
          </w:p>
        </w:tc>
        <w:tc>
          <w:tcPr>
            <w:tcW w:w="869" w:type="pct"/>
            <w:vAlign w:val="center"/>
          </w:tcPr>
          <w:p w14:paraId="167DE03E">
            <w:pPr>
              <w:jc w:val="right"/>
              <w:textAlignment w:val="center"/>
              <w:rPr>
                <w:rFonts w:cs="Times New Roman"/>
              </w:rPr>
            </w:pPr>
            <w:r>
              <w:rPr>
                <w:rFonts w:eastAsia="Arial Narrow" w:cs="Times New Roman"/>
                <w:color w:val="000000"/>
                <w:lang w:bidi="ar"/>
              </w:rPr>
              <w:t>630,390,260.34</w:t>
            </w:r>
          </w:p>
        </w:tc>
      </w:tr>
      <w:tr w14:paraId="0354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bea29c32f5204124a483fa6e274ca7df"/>
            <w:id w:val="147477369"/>
          </w:sdtPr>
          <w:sdtEndPr>
            <w:rPr>
              <w:rFonts w:cs="Times New Roman"/>
            </w:rPr>
          </w:sdtEndPr>
          <w:sdtContent>
            <w:tc>
              <w:tcPr>
                <w:tcW w:w="5000" w:type="pct"/>
                <w:gridSpan w:val="6"/>
              </w:tcPr>
              <w:p w14:paraId="2562586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四、账面价值</w:t>
                </w:r>
              </w:p>
            </w:tc>
          </w:sdtContent>
        </w:sdt>
      </w:tr>
      <w:tr w14:paraId="3E7E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5954CD2B">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1.期末账面价值</w:t>
            </w:r>
          </w:p>
        </w:tc>
        <w:tc>
          <w:tcPr>
            <w:tcW w:w="742" w:type="pct"/>
            <w:vAlign w:val="center"/>
          </w:tcPr>
          <w:p w14:paraId="0E6B80A7">
            <w:pPr>
              <w:jc w:val="right"/>
              <w:textAlignment w:val="center"/>
              <w:rPr>
                <w:rFonts w:cs="Times New Roman"/>
              </w:rPr>
            </w:pPr>
            <w:r>
              <w:rPr>
                <w:rFonts w:eastAsia="Arial Narrow" w:cs="Times New Roman"/>
                <w:color w:val="000000"/>
                <w:lang w:bidi="ar"/>
              </w:rPr>
              <w:t>2,986,741,638.34</w:t>
            </w:r>
          </w:p>
        </w:tc>
        <w:tc>
          <w:tcPr>
            <w:tcW w:w="860" w:type="pct"/>
            <w:vAlign w:val="center"/>
          </w:tcPr>
          <w:p w14:paraId="582E1B37">
            <w:pPr>
              <w:jc w:val="right"/>
              <w:textAlignment w:val="center"/>
              <w:rPr>
                <w:rFonts w:cs="Times New Roman"/>
              </w:rPr>
            </w:pPr>
            <w:r>
              <w:rPr>
                <w:rFonts w:eastAsia="Arial Narrow" w:cs="Times New Roman"/>
                <w:color w:val="000000"/>
                <w:lang w:bidi="ar"/>
              </w:rPr>
              <w:t>893,753,610.15</w:t>
            </w:r>
          </w:p>
        </w:tc>
        <w:tc>
          <w:tcPr>
            <w:tcW w:w="711" w:type="pct"/>
            <w:vAlign w:val="center"/>
          </w:tcPr>
          <w:p w14:paraId="07F1BCF7">
            <w:pPr>
              <w:jc w:val="right"/>
              <w:textAlignment w:val="center"/>
              <w:rPr>
                <w:rFonts w:cs="Times New Roman"/>
              </w:rPr>
            </w:pPr>
            <w:r>
              <w:rPr>
                <w:rFonts w:eastAsia="Arial Narrow" w:cs="Times New Roman"/>
                <w:color w:val="000000"/>
                <w:lang w:bidi="ar"/>
              </w:rPr>
              <w:t>11,821,292.83</w:t>
            </w:r>
          </w:p>
        </w:tc>
        <w:tc>
          <w:tcPr>
            <w:tcW w:w="770" w:type="pct"/>
            <w:vAlign w:val="center"/>
          </w:tcPr>
          <w:p w14:paraId="1BA5939A">
            <w:pPr>
              <w:jc w:val="right"/>
              <w:textAlignment w:val="center"/>
              <w:rPr>
                <w:rFonts w:cs="Times New Roman"/>
              </w:rPr>
            </w:pPr>
            <w:r>
              <w:rPr>
                <w:rFonts w:eastAsia="Arial Narrow" w:cs="Times New Roman"/>
                <w:color w:val="000000"/>
                <w:lang w:bidi="ar"/>
              </w:rPr>
              <w:t>64,395,962.77</w:t>
            </w:r>
          </w:p>
        </w:tc>
        <w:tc>
          <w:tcPr>
            <w:tcW w:w="869" w:type="pct"/>
            <w:vAlign w:val="center"/>
          </w:tcPr>
          <w:p w14:paraId="4F61EBCF">
            <w:pPr>
              <w:jc w:val="right"/>
              <w:textAlignment w:val="center"/>
              <w:rPr>
                <w:rFonts w:cs="Times New Roman"/>
              </w:rPr>
            </w:pPr>
            <w:r>
              <w:rPr>
                <w:rFonts w:eastAsia="Arial Narrow" w:cs="Times New Roman"/>
                <w:color w:val="000000"/>
                <w:lang w:bidi="ar"/>
              </w:rPr>
              <w:t>3,956,712,504.09</w:t>
            </w:r>
          </w:p>
        </w:tc>
      </w:tr>
      <w:tr w14:paraId="2A82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046" w:type="pct"/>
          </w:tcPr>
          <w:p w14:paraId="256C9667">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2.期初账面价值</w:t>
            </w:r>
          </w:p>
        </w:tc>
        <w:tc>
          <w:tcPr>
            <w:tcW w:w="742" w:type="pct"/>
            <w:vAlign w:val="center"/>
          </w:tcPr>
          <w:p w14:paraId="5C63FB9A">
            <w:pPr>
              <w:jc w:val="right"/>
              <w:textAlignment w:val="center"/>
              <w:rPr>
                <w:rFonts w:cs="Times New Roman"/>
              </w:rPr>
            </w:pPr>
            <w:r>
              <w:rPr>
                <w:rFonts w:eastAsia="Arial Narrow" w:cs="Times New Roman"/>
                <w:color w:val="000000"/>
                <w:lang w:bidi="ar"/>
              </w:rPr>
              <w:t>3,046,792,526.87</w:t>
            </w:r>
          </w:p>
        </w:tc>
        <w:tc>
          <w:tcPr>
            <w:tcW w:w="860" w:type="pct"/>
            <w:vAlign w:val="center"/>
          </w:tcPr>
          <w:p w14:paraId="0DDF8CF5">
            <w:pPr>
              <w:jc w:val="right"/>
              <w:textAlignment w:val="center"/>
              <w:rPr>
                <w:rFonts w:cs="Times New Roman"/>
              </w:rPr>
            </w:pPr>
            <w:r>
              <w:rPr>
                <w:rFonts w:eastAsia="Arial Narrow" w:cs="Times New Roman"/>
                <w:color w:val="000000"/>
                <w:lang w:bidi="ar"/>
              </w:rPr>
              <w:t>896,170,463.44</w:t>
            </w:r>
          </w:p>
        </w:tc>
        <w:tc>
          <w:tcPr>
            <w:tcW w:w="711" w:type="pct"/>
            <w:vAlign w:val="center"/>
          </w:tcPr>
          <w:p w14:paraId="688A201C">
            <w:pPr>
              <w:jc w:val="right"/>
              <w:textAlignment w:val="center"/>
              <w:rPr>
                <w:rFonts w:cs="Times New Roman"/>
              </w:rPr>
            </w:pPr>
            <w:r>
              <w:rPr>
                <w:rFonts w:eastAsia="Arial Narrow" w:cs="Times New Roman"/>
                <w:color w:val="000000"/>
                <w:lang w:bidi="ar"/>
              </w:rPr>
              <w:t>13,102,269.96</w:t>
            </w:r>
          </w:p>
        </w:tc>
        <w:tc>
          <w:tcPr>
            <w:tcW w:w="770" w:type="pct"/>
            <w:vAlign w:val="center"/>
          </w:tcPr>
          <w:p w14:paraId="6D1F791F">
            <w:pPr>
              <w:jc w:val="right"/>
              <w:textAlignment w:val="center"/>
              <w:rPr>
                <w:rFonts w:cs="Times New Roman"/>
              </w:rPr>
            </w:pPr>
            <w:r>
              <w:rPr>
                <w:rFonts w:eastAsia="Arial Narrow" w:cs="Times New Roman"/>
                <w:color w:val="000000"/>
                <w:lang w:bidi="ar"/>
              </w:rPr>
              <w:t>59,554,685.73</w:t>
            </w:r>
          </w:p>
        </w:tc>
        <w:tc>
          <w:tcPr>
            <w:tcW w:w="869" w:type="pct"/>
            <w:vAlign w:val="center"/>
          </w:tcPr>
          <w:p w14:paraId="24B0D0BB">
            <w:pPr>
              <w:jc w:val="right"/>
              <w:textAlignment w:val="center"/>
              <w:rPr>
                <w:rFonts w:cs="Times New Roman"/>
              </w:rPr>
            </w:pPr>
            <w:r>
              <w:rPr>
                <w:rFonts w:eastAsia="Arial Narrow" w:cs="Times New Roman"/>
                <w:color w:val="000000"/>
                <w:lang w:bidi="ar"/>
              </w:rPr>
              <w:t>4,015,619,946.00</w:t>
            </w:r>
          </w:p>
        </w:tc>
      </w:tr>
    </w:tbl>
    <w:p w14:paraId="47DC5E20">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31BA990">
      <w:pPr>
        <w:pStyle w:val="6"/>
        <w:numPr>
          <w:ilvl w:val="0"/>
          <w:numId w:val="70"/>
        </w:numPr>
        <w:rPr>
          <w:rFonts w:cs="宋体"/>
          <w:kern w:val="0"/>
        </w:rPr>
      </w:pPr>
      <w:r>
        <w:rPr>
          <w:rFonts w:hint="eastAsia" w:cs="宋体"/>
          <w:kern w:val="0"/>
        </w:rPr>
        <w:t>暂时闲置的固定资产情况</w:t>
      </w:r>
    </w:p>
    <w:sdt>
      <w:sdtPr>
        <w:rPr>
          <w:color w:val="000000" w:themeColor="text1"/>
          <w14:textFill>
            <w14:solidFill>
              <w14:schemeClr w14:val="tx1"/>
            </w14:solidFill>
          </w14:textFill>
        </w:rPr>
        <w:alias w:val="是否适用：暂时闲置的固定资产情况[双击切换]"/>
        <w:tag w:val="_GBC_ca31f29118c7481f95f99a2655f8c1e1"/>
        <w:id w:val="-434752481"/>
      </w:sdtPr>
      <w:sdtEndPr>
        <w:rPr>
          <w:color w:val="000000" w:themeColor="text1"/>
          <w14:textFill>
            <w14:solidFill>
              <w14:schemeClr w14:val="tx1"/>
            </w14:solidFill>
          </w14:textFill>
        </w:rPr>
      </w:sdtEndPr>
      <w:sdtContent>
        <w:p w14:paraId="108C6F3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670473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暂时闲置的固定资产情况"/>
          <w:tag w:val="_GBC_c0d208db81a447e9b9949f2b175cba30"/>
          <w:id w:val="-831986974"/>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暂时闲置的固定资产情况"/>
          <w:tag w:val="_GBC_fbf07452daf745ea899de2cbc824ee75"/>
          <w:id w:val="173613134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3"/>
        <w:gridCol w:w="1889"/>
        <w:gridCol w:w="1777"/>
        <w:gridCol w:w="1837"/>
        <w:gridCol w:w="1879"/>
      </w:tblGrid>
      <w:tr w14:paraId="2704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479b4fdefbf45068660c7df7422a5de"/>
            <w:id w:val="-766542040"/>
          </w:sdtPr>
          <w:sdtContent>
            <w:tc>
              <w:tcPr>
                <w:tcW w:w="919" w:type="pct"/>
                <w:tcBorders>
                  <w:top w:val="single" w:color="auto" w:sz="4" w:space="0"/>
                  <w:left w:val="single" w:color="auto" w:sz="4" w:space="0"/>
                  <w:bottom w:val="single" w:color="auto" w:sz="4" w:space="0"/>
                  <w:right w:val="single" w:color="auto" w:sz="4" w:space="0"/>
                </w:tcBorders>
                <w:vAlign w:val="center"/>
              </w:tcPr>
              <w:p w14:paraId="60BE9D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6daf085717e46eeb45863dfb97acc67"/>
            <w:id w:val="2141451040"/>
          </w:sdtPr>
          <w:sdtContent>
            <w:tc>
              <w:tcPr>
                <w:tcW w:w="1044" w:type="pct"/>
                <w:tcBorders>
                  <w:top w:val="single" w:color="auto" w:sz="4" w:space="0"/>
                  <w:left w:val="single" w:color="auto" w:sz="4" w:space="0"/>
                  <w:bottom w:val="single" w:color="auto" w:sz="4" w:space="0"/>
                  <w:right w:val="single" w:color="auto" w:sz="4" w:space="0"/>
                </w:tcBorders>
                <w:vAlign w:val="center"/>
              </w:tcPr>
              <w:p w14:paraId="156B52D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账面原值</w:t>
                </w:r>
              </w:p>
            </w:tc>
          </w:sdtContent>
        </w:sdt>
        <w:sdt>
          <w:sdtPr>
            <w:tag w:val="_PLD_c01cccda6baa4a75a8e3f067e68a603e"/>
            <w:id w:val="-2082672125"/>
          </w:sdtPr>
          <w:sdtContent>
            <w:tc>
              <w:tcPr>
                <w:tcW w:w="982" w:type="pct"/>
                <w:tcBorders>
                  <w:top w:val="single" w:color="auto" w:sz="4" w:space="0"/>
                  <w:left w:val="single" w:color="auto" w:sz="4" w:space="0"/>
                  <w:bottom w:val="single" w:color="auto" w:sz="4" w:space="0"/>
                  <w:right w:val="single" w:color="auto" w:sz="4" w:space="0"/>
                </w:tcBorders>
                <w:vAlign w:val="center"/>
              </w:tcPr>
              <w:p w14:paraId="6B09060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累计折旧</w:t>
                </w:r>
              </w:p>
            </w:tc>
          </w:sdtContent>
        </w:sdt>
        <w:sdt>
          <w:sdtPr>
            <w:tag w:val="_PLD_3bce2223595140b489f9e15ef462c5ba"/>
            <w:id w:val="-644966745"/>
          </w:sdtPr>
          <w:sdtContent>
            <w:tc>
              <w:tcPr>
                <w:tcW w:w="1015" w:type="pct"/>
                <w:tcBorders>
                  <w:top w:val="single" w:color="auto" w:sz="4" w:space="0"/>
                  <w:left w:val="single" w:color="auto" w:sz="4" w:space="0"/>
                  <w:bottom w:val="single" w:color="auto" w:sz="4" w:space="0"/>
                  <w:right w:val="single" w:color="auto" w:sz="4" w:space="0"/>
                </w:tcBorders>
                <w:vAlign w:val="center"/>
              </w:tcPr>
              <w:p w14:paraId="07F609C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363b3c8e5d5d43a580d7bab508a70591"/>
            <w:id w:val="-475907887"/>
          </w:sdtPr>
          <w:sdtContent>
            <w:tc>
              <w:tcPr>
                <w:tcW w:w="1038" w:type="pct"/>
                <w:tcBorders>
                  <w:top w:val="single" w:color="auto" w:sz="4" w:space="0"/>
                  <w:left w:val="single" w:color="auto" w:sz="4" w:space="0"/>
                  <w:bottom w:val="single" w:color="auto" w:sz="4" w:space="0"/>
                  <w:right w:val="single" w:color="auto" w:sz="4" w:space="0"/>
                </w:tcBorders>
                <w:vAlign w:val="center"/>
              </w:tcPr>
              <w:p w14:paraId="1A33E07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sdt>
        <w:sdtPr>
          <w:rPr>
            <w:rFonts w:hint="eastAsia"/>
            <w:color w:val="000000" w:themeColor="text1"/>
            <w14:textFill>
              <w14:solidFill>
                <w14:schemeClr w14:val="tx1"/>
              </w14:solidFill>
            </w14:textFill>
          </w:rPr>
          <w:alias w:val="暂时闲置的固定资产明细"/>
          <w:tag w:val="_GBC_62ededd5d71043b28231a5afe44f6376"/>
          <w:id w:val="-220757804"/>
          <w:placeholder>
            <w:docPart w:val="{33a79c4d-434e-484b-b287-76db1c31fa9d}"/>
          </w:placeholder>
        </w:sdtPr>
        <w:sdtEndPr>
          <w:rPr>
            <w:rFonts w:hint="default" w:cs="Times New Roman"/>
            <w:color w:val="000000" w:themeColor="text1"/>
            <w14:textFill>
              <w14:solidFill>
                <w14:schemeClr w14:val="tx1"/>
              </w14:solidFill>
            </w14:textFill>
          </w:rPr>
        </w:sdtEndPr>
        <w:sdtContent>
          <w:tr w14:paraId="5D90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pct"/>
                <w:tcBorders>
                  <w:top w:val="single" w:color="auto" w:sz="4" w:space="0"/>
                  <w:left w:val="single" w:color="auto" w:sz="4" w:space="0"/>
                  <w:bottom w:val="single" w:color="auto" w:sz="4" w:space="0"/>
                  <w:right w:val="single" w:color="auto" w:sz="4" w:space="0"/>
                </w:tcBorders>
                <w:vAlign w:val="center"/>
              </w:tcPr>
              <w:p w14:paraId="44DA73E5">
                <w:r>
                  <w:rPr>
                    <w:rFonts w:hint="eastAsia"/>
                  </w:rPr>
                  <w:t>机器设备</w:t>
                </w:r>
              </w:p>
            </w:tc>
            <w:tc>
              <w:tcPr>
                <w:tcW w:w="1044" w:type="pct"/>
                <w:tcBorders>
                  <w:top w:val="single" w:color="auto" w:sz="4" w:space="0"/>
                  <w:left w:val="single" w:color="auto" w:sz="4" w:space="0"/>
                  <w:bottom w:val="single" w:color="auto" w:sz="4" w:space="0"/>
                  <w:right w:val="single" w:color="auto" w:sz="4" w:space="0"/>
                </w:tcBorders>
                <w:vAlign w:val="center"/>
              </w:tcPr>
              <w:p w14:paraId="75F76957">
                <w:pPr>
                  <w:jc w:val="right"/>
                  <w:rPr>
                    <w:rFonts w:cs="Times New Roman"/>
                  </w:rPr>
                </w:pPr>
                <w:r>
                  <w:rPr>
                    <w:rFonts w:cs="Times New Roman"/>
                  </w:rPr>
                  <w:t>10,567,191.07</w:t>
                </w:r>
              </w:p>
            </w:tc>
            <w:tc>
              <w:tcPr>
                <w:tcW w:w="982" w:type="pct"/>
                <w:tcBorders>
                  <w:top w:val="single" w:color="auto" w:sz="4" w:space="0"/>
                  <w:left w:val="single" w:color="auto" w:sz="4" w:space="0"/>
                  <w:bottom w:val="single" w:color="auto" w:sz="4" w:space="0"/>
                  <w:right w:val="single" w:color="auto" w:sz="4" w:space="0"/>
                </w:tcBorders>
                <w:vAlign w:val="center"/>
              </w:tcPr>
              <w:p w14:paraId="50376A8F">
                <w:pPr>
                  <w:jc w:val="right"/>
                  <w:rPr>
                    <w:rFonts w:cs="Times New Roman"/>
                  </w:rPr>
                </w:pPr>
                <w:r>
                  <w:rPr>
                    <w:rFonts w:cs="Times New Roman"/>
                  </w:rPr>
                  <w:t>6,540,773.71</w:t>
                </w:r>
              </w:p>
            </w:tc>
            <w:tc>
              <w:tcPr>
                <w:tcW w:w="1015" w:type="pct"/>
                <w:tcBorders>
                  <w:top w:val="single" w:color="auto" w:sz="4" w:space="0"/>
                  <w:left w:val="single" w:color="auto" w:sz="4" w:space="0"/>
                  <w:bottom w:val="single" w:color="auto" w:sz="4" w:space="0"/>
                  <w:right w:val="single" w:color="auto" w:sz="4" w:space="0"/>
                </w:tcBorders>
                <w:vAlign w:val="center"/>
              </w:tcPr>
              <w:p w14:paraId="218549A4">
                <w:pPr>
                  <w:jc w:val="right"/>
                  <w:rPr>
                    <w:rFonts w:cs="Times New Roman"/>
                  </w:rPr>
                </w:pPr>
                <w:r>
                  <w:rPr>
                    <w:rFonts w:cs="Times New Roman"/>
                  </w:rPr>
                  <w:t>2,942,550.36</w:t>
                </w:r>
              </w:p>
            </w:tc>
            <w:tc>
              <w:tcPr>
                <w:tcW w:w="1038" w:type="pct"/>
                <w:tcBorders>
                  <w:top w:val="single" w:color="auto" w:sz="4" w:space="0"/>
                  <w:left w:val="single" w:color="auto" w:sz="4" w:space="0"/>
                  <w:bottom w:val="single" w:color="auto" w:sz="4" w:space="0"/>
                  <w:right w:val="single" w:color="auto" w:sz="4" w:space="0"/>
                </w:tcBorders>
                <w:vAlign w:val="center"/>
              </w:tcPr>
              <w:p w14:paraId="218187B0">
                <w:pPr>
                  <w:jc w:val="right"/>
                  <w:rPr>
                    <w:rFonts w:cs="Times New Roman"/>
                  </w:rPr>
                </w:pPr>
                <w:r>
                  <w:rPr>
                    <w:rFonts w:cs="Times New Roman"/>
                  </w:rPr>
                  <w:t>1,083,867.00</w:t>
                </w:r>
              </w:p>
            </w:tc>
          </w:tr>
        </w:sdtContent>
      </w:sdt>
      <w:sdt>
        <w:sdtPr>
          <w:rPr>
            <w:rFonts w:hint="eastAsia"/>
            <w:color w:val="000000" w:themeColor="text1"/>
            <w14:textFill>
              <w14:solidFill>
                <w14:schemeClr w14:val="tx1"/>
              </w14:solidFill>
            </w14:textFill>
          </w:rPr>
          <w:alias w:val="暂时闲置的固定资产明细"/>
          <w:tag w:val="_GBC_62ededd5d71043b28231a5afe44f6376"/>
          <w:id w:val="-1582832475"/>
          <w:placeholder>
            <w:docPart w:val="{33a79c4d-434e-484b-b287-76db1c31fa9d}"/>
          </w:placeholder>
        </w:sdtPr>
        <w:sdtEndPr>
          <w:rPr>
            <w:rFonts w:hint="default" w:cs="Times New Roman"/>
            <w:color w:val="000000" w:themeColor="text1"/>
            <w14:textFill>
              <w14:solidFill>
                <w14:schemeClr w14:val="tx1"/>
              </w14:solidFill>
            </w14:textFill>
          </w:rPr>
        </w:sdtEndPr>
        <w:sdtContent>
          <w:tr w14:paraId="6E46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pct"/>
                <w:tcBorders>
                  <w:top w:val="single" w:color="auto" w:sz="4" w:space="0"/>
                  <w:left w:val="single" w:color="auto" w:sz="4" w:space="0"/>
                  <w:bottom w:val="single" w:color="auto" w:sz="4" w:space="0"/>
                  <w:right w:val="single" w:color="auto" w:sz="4" w:space="0"/>
                </w:tcBorders>
                <w:vAlign w:val="center"/>
              </w:tcPr>
              <w:p w14:paraId="620866B0">
                <w:r>
                  <w:rPr>
                    <w:rFonts w:hint="eastAsia"/>
                  </w:rPr>
                  <w:t>合计</w:t>
                </w:r>
              </w:p>
            </w:tc>
            <w:tc>
              <w:tcPr>
                <w:tcW w:w="1044" w:type="pct"/>
                <w:tcBorders>
                  <w:top w:val="single" w:color="auto" w:sz="4" w:space="0"/>
                  <w:left w:val="single" w:color="auto" w:sz="4" w:space="0"/>
                  <w:bottom w:val="single" w:color="auto" w:sz="4" w:space="0"/>
                  <w:right w:val="single" w:color="auto" w:sz="4" w:space="0"/>
                </w:tcBorders>
                <w:vAlign w:val="center"/>
              </w:tcPr>
              <w:p w14:paraId="3DDE6AA4">
                <w:pPr>
                  <w:jc w:val="right"/>
                  <w:rPr>
                    <w:rFonts w:cs="Times New Roman"/>
                  </w:rPr>
                </w:pPr>
                <w:r>
                  <w:rPr>
                    <w:rFonts w:cs="Times New Roman"/>
                  </w:rPr>
                  <w:t>10,567,191.07</w:t>
                </w:r>
              </w:p>
            </w:tc>
            <w:tc>
              <w:tcPr>
                <w:tcW w:w="982" w:type="pct"/>
                <w:tcBorders>
                  <w:top w:val="single" w:color="auto" w:sz="4" w:space="0"/>
                  <w:left w:val="single" w:color="auto" w:sz="4" w:space="0"/>
                  <w:bottom w:val="single" w:color="auto" w:sz="4" w:space="0"/>
                  <w:right w:val="single" w:color="auto" w:sz="4" w:space="0"/>
                </w:tcBorders>
                <w:vAlign w:val="center"/>
              </w:tcPr>
              <w:p w14:paraId="66622E2A">
                <w:pPr>
                  <w:jc w:val="right"/>
                  <w:rPr>
                    <w:rFonts w:cs="Times New Roman"/>
                  </w:rPr>
                </w:pPr>
                <w:r>
                  <w:rPr>
                    <w:rFonts w:cs="Times New Roman"/>
                  </w:rPr>
                  <w:t>6,540,773.71</w:t>
                </w:r>
              </w:p>
            </w:tc>
            <w:tc>
              <w:tcPr>
                <w:tcW w:w="1015" w:type="pct"/>
                <w:tcBorders>
                  <w:top w:val="single" w:color="auto" w:sz="4" w:space="0"/>
                  <w:left w:val="single" w:color="auto" w:sz="4" w:space="0"/>
                  <w:bottom w:val="single" w:color="auto" w:sz="4" w:space="0"/>
                  <w:right w:val="single" w:color="auto" w:sz="4" w:space="0"/>
                </w:tcBorders>
                <w:vAlign w:val="center"/>
              </w:tcPr>
              <w:p w14:paraId="5C3A5390">
                <w:pPr>
                  <w:jc w:val="right"/>
                  <w:rPr>
                    <w:rFonts w:cs="Times New Roman"/>
                  </w:rPr>
                </w:pPr>
                <w:r>
                  <w:rPr>
                    <w:rFonts w:cs="Times New Roman"/>
                  </w:rPr>
                  <w:t>2,942,550.36</w:t>
                </w:r>
              </w:p>
            </w:tc>
            <w:tc>
              <w:tcPr>
                <w:tcW w:w="1038" w:type="pct"/>
                <w:tcBorders>
                  <w:top w:val="single" w:color="auto" w:sz="4" w:space="0"/>
                  <w:left w:val="single" w:color="auto" w:sz="4" w:space="0"/>
                  <w:bottom w:val="single" w:color="auto" w:sz="4" w:space="0"/>
                  <w:right w:val="single" w:color="auto" w:sz="4" w:space="0"/>
                </w:tcBorders>
                <w:vAlign w:val="center"/>
              </w:tcPr>
              <w:p w14:paraId="4743BF4E">
                <w:pPr>
                  <w:jc w:val="right"/>
                  <w:rPr>
                    <w:rFonts w:cs="Times New Roman"/>
                  </w:rPr>
                </w:pPr>
                <w:r>
                  <w:rPr>
                    <w:rFonts w:cs="Times New Roman"/>
                  </w:rPr>
                  <w:t>1,083,867.00</w:t>
                </w:r>
              </w:p>
            </w:tc>
          </w:tr>
        </w:sdtContent>
      </w:sdt>
    </w:tbl>
    <w:p w14:paraId="4048769E">
      <w:pPr>
        <w:rPr>
          <w:color w:val="000000" w:themeColor="text1"/>
          <w14:textFill>
            <w14:solidFill>
              <w14:schemeClr w14:val="tx1"/>
            </w14:solidFill>
          </w14:textFill>
        </w:rPr>
      </w:pPr>
    </w:p>
    <w:p w14:paraId="0991AEAA">
      <w:pPr>
        <w:pStyle w:val="6"/>
        <w:numPr>
          <w:ilvl w:val="0"/>
          <w:numId w:val="70"/>
        </w:numPr>
        <w:rPr>
          <w:rFonts w:cs="宋体"/>
          <w:kern w:val="0"/>
        </w:rPr>
      </w:pPr>
      <w:bookmarkStart w:id="313" w:name="OLE_LINK2"/>
      <w:r>
        <w:rPr>
          <w:rFonts w:hint="eastAsia" w:cs="宋体"/>
          <w:kern w:val="0"/>
        </w:rPr>
        <w:t>通过经营租赁租出的固定资产</w:t>
      </w:r>
      <w:bookmarkEnd w:id="313"/>
    </w:p>
    <w:sdt>
      <w:sdtPr>
        <w:rPr>
          <w:color w:val="000000" w:themeColor="text1"/>
          <w14:textFill>
            <w14:solidFill>
              <w14:schemeClr w14:val="tx1"/>
            </w14:solidFill>
          </w14:textFill>
        </w:rPr>
        <w:alias w:val="是否适用：通过经营租赁租出的固定资产[双击切换]"/>
        <w:tag w:val="_GBC_251e1c74f40b47869d759974b0f6a463"/>
        <w:id w:val="147471154"/>
        <w:placeholder>
          <w:docPart w:val="GBC22222222222222222222222222222"/>
        </w:placeholder>
      </w:sdtPr>
      <w:sdtEndPr>
        <w:rPr>
          <w:color w:val="000000" w:themeColor="text1"/>
          <w14:textFill>
            <w14:solidFill>
              <w14:schemeClr w14:val="tx1"/>
            </w14:solidFill>
          </w14:textFill>
        </w:rPr>
      </w:sdtEndPr>
      <w:sdtContent>
        <w:p w14:paraId="47AC71FE">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0CAF931">
      <w:pPr>
        <w:rPr>
          <w:color w:val="000000" w:themeColor="text1"/>
          <w14:textFill>
            <w14:solidFill>
              <w14:schemeClr w14:val="tx1"/>
            </w14:solidFill>
          </w14:textFill>
        </w:rPr>
      </w:pPr>
    </w:p>
    <w:p w14:paraId="09B6508D">
      <w:pPr>
        <w:pStyle w:val="6"/>
        <w:numPr>
          <w:ilvl w:val="0"/>
          <w:numId w:val="70"/>
        </w:numPr>
        <w:rPr>
          <w:rFonts w:cs="宋体"/>
          <w:kern w:val="0"/>
        </w:rPr>
      </w:pPr>
      <w:r>
        <w:rPr>
          <w:rFonts w:hint="eastAsia" w:cs="宋体"/>
          <w:kern w:val="0"/>
        </w:rPr>
        <w:t>未办妥产权证书的固定资产情况</w:t>
      </w:r>
    </w:p>
    <w:sdt>
      <w:sdtPr>
        <w:rPr>
          <w:color w:val="000000" w:themeColor="text1"/>
          <w14:textFill>
            <w14:solidFill>
              <w14:schemeClr w14:val="tx1"/>
            </w14:solidFill>
          </w14:textFill>
        </w:rPr>
        <w:alias w:val="是否适用：未办妥产权证书的固定资产情况[双击切换]"/>
        <w:tag w:val="_GBC_a26aa363313e4c8fbedf9041cd41bfc9"/>
        <w:id w:val="-135266323"/>
      </w:sdtPr>
      <w:sdtEndPr>
        <w:rPr>
          <w:color w:val="000000" w:themeColor="text1"/>
          <w14:textFill>
            <w14:solidFill>
              <w14:schemeClr w14:val="tx1"/>
            </w14:solidFill>
          </w14:textFill>
        </w:rPr>
      </w:sdtEndPr>
      <w:sdtContent>
        <w:p w14:paraId="49DACE4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B537F0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办妥产权证书的固定资产情况"/>
          <w:tag w:val="_GBC_b7780eb99c5c47be9731dc6ebe1dea77"/>
          <w:id w:val="-1563320509"/>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办妥产权证书的固定资产情况"/>
          <w:tag w:val="_GBC_07d37ddbabe745a3b375a7706f9047dc"/>
          <w:id w:val="88329090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6"/>
        <w:gridCol w:w="2051"/>
        <w:gridCol w:w="2432"/>
      </w:tblGrid>
      <w:tr w14:paraId="76AA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347e8d2222c4d13aa7c3569cd05e439"/>
            <w:id w:val="328640136"/>
          </w:sdtPr>
          <w:sdtContent>
            <w:tc>
              <w:tcPr>
                <w:tcW w:w="2522" w:type="pct"/>
                <w:vAlign w:val="center"/>
              </w:tcPr>
              <w:p w14:paraId="13A9B36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14c4b6f9d874d4c86e835843a896497"/>
            <w:id w:val="246847636"/>
          </w:sdtPr>
          <w:sdtContent>
            <w:tc>
              <w:tcPr>
                <w:tcW w:w="1133" w:type="pct"/>
                <w:vAlign w:val="center"/>
              </w:tcPr>
              <w:p w14:paraId="4DC0058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0735ea1c6b5c4a2395fde5f63b614530"/>
            <w:id w:val="-784810666"/>
          </w:sdtPr>
          <w:sdtContent>
            <w:tc>
              <w:tcPr>
                <w:tcW w:w="1343" w:type="pct"/>
                <w:vAlign w:val="center"/>
              </w:tcPr>
              <w:p w14:paraId="7B202BC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未办妥产权证书的原因</w:t>
                </w:r>
              </w:p>
            </w:tc>
          </w:sdtContent>
        </w:sdt>
      </w:tr>
      <w:sdt>
        <w:sdtPr>
          <w:rPr>
            <w:rFonts w:hint="eastAsia"/>
            <w:color w:val="000000" w:themeColor="text1"/>
            <w14:textFill>
              <w14:solidFill>
                <w14:schemeClr w14:val="tx1"/>
              </w14:solidFill>
            </w14:textFill>
          </w:rPr>
          <w:alias w:val="未办妥产权证书的固定资产情况明细"/>
          <w:tag w:val="_GBC_197aee8b2edc4ea19721e86529111007"/>
          <w:id w:val="-450706020"/>
          <w:placeholder>
            <w:docPart w:val="{14b795c2-6743-44fe-abc0-425cd7151248}"/>
          </w:placeholder>
        </w:sdtPr>
        <w:sdtEndPr>
          <w:rPr>
            <w:rFonts w:hint="eastAsia"/>
            <w:color w:val="000000" w:themeColor="text1"/>
            <w14:textFill>
              <w14:solidFill>
                <w14:schemeClr w14:val="tx1"/>
              </w14:solidFill>
            </w14:textFill>
          </w:rPr>
        </w:sdtEndPr>
        <w:sdtContent>
          <w:tr w14:paraId="4B04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0D30C005">
                <w:r>
                  <w:rPr>
                    <w:rFonts w:hint="eastAsia"/>
                  </w:rPr>
                  <w:t>际华橡胶工业有限公司房屋建筑物</w:t>
                </w:r>
              </w:p>
            </w:tc>
            <w:tc>
              <w:tcPr>
                <w:tcW w:w="1133" w:type="pct"/>
                <w:vAlign w:val="center"/>
              </w:tcPr>
              <w:p w14:paraId="66629B18">
                <w:pPr>
                  <w:jc w:val="right"/>
                </w:pPr>
                <w:r>
                  <w:rPr>
                    <w:rFonts w:hint="eastAsia"/>
                  </w:rPr>
                  <w:t>229,958,917.59</w:t>
                </w:r>
              </w:p>
            </w:tc>
            <w:tc>
              <w:tcPr>
                <w:tcW w:w="1343" w:type="pct"/>
                <w:vAlign w:val="center"/>
              </w:tcPr>
              <w:p w14:paraId="7996F97D">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1700197323"/>
          <w:placeholder>
            <w:docPart w:val="{14b795c2-6743-44fe-abc0-425cd7151248}"/>
          </w:placeholder>
        </w:sdtPr>
        <w:sdtEndPr>
          <w:rPr>
            <w:rFonts w:hint="eastAsia"/>
            <w:color w:val="000000" w:themeColor="text1"/>
            <w14:textFill>
              <w14:solidFill>
                <w14:schemeClr w14:val="tx1"/>
              </w14:solidFill>
            </w14:textFill>
          </w:rPr>
        </w:sdtEndPr>
        <w:sdtContent>
          <w:tr w14:paraId="616F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5B0FB2BF">
                <w:r>
                  <w:rPr>
                    <w:rFonts w:hint="eastAsia"/>
                  </w:rPr>
                  <w:t>际华制鞋工业有限公司房屋建筑物</w:t>
                </w:r>
              </w:p>
            </w:tc>
            <w:tc>
              <w:tcPr>
                <w:tcW w:w="1133" w:type="pct"/>
                <w:vAlign w:val="center"/>
              </w:tcPr>
              <w:p w14:paraId="657132F9">
                <w:pPr>
                  <w:jc w:val="right"/>
                </w:pPr>
                <w:r>
                  <w:rPr>
                    <w:rFonts w:hint="eastAsia"/>
                  </w:rPr>
                  <w:t>12,149,227.22</w:t>
                </w:r>
              </w:p>
            </w:tc>
            <w:tc>
              <w:tcPr>
                <w:tcW w:w="1343" w:type="pct"/>
                <w:vAlign w:val="center"/>
              </w:tcPr>
              <w:p w14:paraId="7F958FEB">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367569713"/>
          <w:placeholder>
            <w:docPart w:val="{14b795c2-6743-44fe-abc0-425cd7151248}"/>
          </w:placeholder>
        </w:sdtPr>
        <w:sdtEndPr>
          <w:rPr>
            <w:rFonts w:hint="eastAsia"/>
            <w:color w:val="000000" w:themeColor="text1"/>
            <w14:textFill>
              <w14:solidFill>
                <w14:schemeClr w14:val="tx1"/>
              </w14:solidFill>
            </w14:textFill>
          </w:rPr>
        </w:sdtEndPr>
        <w:sdtContent>
          <w:tr w14:paraId="6ADC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28E3E9AA">
                <w:r>
                  <w:rPr>
                    <w:rFonts w:hint="eastAsia"/>
                  </w:rPr>
                  <w:t>际华三五三六实业有限公司房屋建筑物</w:t>
                </w:r>
              </w:p>
            </w:tc>
            <w:tc>
              <w:tcPr>
                <w:tcW w:w="1133" w:type="pct"/>
                <w:vAlign w:val="center"/>
              </w:tcPr>
              <w:p w14:paraId="639222DB">
                <w:pPr>
                  <w:jc w:val="right"/>
                </w:pPr>
                <w:r>
                  <w:rPr>
                    <w:rFonts w:hint="eastAsia"/>
                  </w:rPr>
                  <w:t>93,824,294.57</w:t>
                </w:r>
              </w:p>
            </w:tc>
            <w:tc>
              <w:tcPr>
                <w:tcW w:w="1343" w:type="pct"/>
                <w:vAlign w:val="center"/>
              </w:tcPr>
              <w:p w14:paraId="5BC65558">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648216685"/>
          <w:placeholder>
            <w:docPart w:val="{14b795c2-6743-44fe-abc0-425cd7151248}"/>
          </w:placeholder>
        </w:sdtPr>
        <w:sdtEndPr>
          <w:rPr>
            <w:rFonts w:hint="eastAsia"/>
            <w:color w:val="000000" w:themeColor="text1"/>
            <w14:textFill>
              <w14:solidFill>
                <w14:schemeClr w14:val="tx1"/>
              </w14:solidFill>
            </w14:textFill>
          </w:rPr>
        </w:sdtEndPr>
        <w:sdtContent>
          <w:tr w14:paraId="0648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6BCE4D67">
                <w:r>
                  <w:rPr>
                    <w:rFonts w:hint="eastAsia"/>
                  </w:rPr>
                  <w:t>际华三五一三实业有限公司房屋建筑物</w:t>
                </w:r>
              </w:p>
            </w:tc>
            <w:tc>
              <w:tcPr>
                <w:tcW w:w="1133" w:type="pct"/>
                <w:vAlign w:val="center"/>
              </w:tcPr>
              <w:p w14:paraId="1527B7FE">
                <w:pPr>
                  <w:jc w:val="right"/>
                </w:pPr>
                <w:r>
                  <w:rPr>
                    <w:rFonts w:hint="eastAsia"/>
                  </w:rPr>
                  <w:t>88,236,084.32</w:t>
                </w:r>
              </w:p>
            </w:tc>
            <w:tc>
              <w:tcPr>
                <w:tcW w:w="1343" w:type="pct"/>
                <w:vAlign w:val="center"/>
              </w:tcPr>
              <w:p w14:paraId="5952330A">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749704714"/>
          <w:placeholder>
            <w:docPart w:val="{14b795c2-6743-44fe-abc0-425cd7151248}"/>
          </w:placeholder>
        </w:sdtPr>
        <w:sdtEndPr>
          <w:rPr>
            <w:rFonts w:hint="eastAsia"/>
            <w:color w:val="000000" w:themeColor="text1"/>
            <w14:textFill>
              <w14:solidFill>
                <w14:schemeClr w14:val="tx1"/>
              </w14:solidFill>
            </w14:textFill>
          </w:rPr>
        </w:sdtEndPr>
        <w:sdtContent>
          <w:tr w14:paraId="2209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75C23E80">
                <w:r>
                  <w:rPr>
                    <w:rFonts w:hint="eastAsia"/>
                  </w:rPr>
                  <w:t>际华三五一二皮革服装有限公司新区厂房</w:t>
                </w:r>
              </w:p>
            </w:tc>
            <w:tc>
              <w:tcPr>
                <w:tcW w:w="1133" w:type="pct"/>
                <w:vAlign w:val="center"/>
              </w:tcPr>
              <w:p w14:paraId="758D96F4">
                <w:pPr>
                  <w:jc w:val="right"/>
                </w:pPr>
                <w:r>
                  <w:rPr>
                    <w:rFonts w:hint="eastAsia"/>
                  </w:rPr>
                  <w:t>27,293,610.47</w:t>
                </w:r>
              </w:p>
            </w:tc>
            <w:tc>
              <w:tcPr>
                <w:tcW w:w="1343" w:type="pct"/>
                <w:vAlign w:val="center"/>
              </w:tcPr>
              <w:p w14:paraId="5A2B6C57">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1807346820"/>
          <w:placeholder>
            <w:docPart w:val="{14b795c2-6743-44fe-abc0-425cd7151248}"/>
          </w:placeholder>
        </w:sdtPr>
        <w:sdtEndPr>
          <w:rPr>
            <w:rFonts w:hint="eastAsia"/>
            <w:color w:val="000000" w:themeColor="text1"/>
            <w14:textFill>
              <w14:solidFill>
                <w14:schemeClr w14:val="tx1"/>
              </w14:solidFill>
            </w14:textFill>
          </w:rPr>
        </w:sdtEndPr>
        <w:sdtContent>
          <w:tr w14:paraId="77F5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41E0CD0D">
                <w:r>
                  <w:rPr>
                    <w:rFonts w:hint="eastAsia"/>
                  </w:rPr>
                  <w:t>重庆际华目的地中心实业有限公司房屋建筑物</w:t>
                </w:r>
              </w:p>
            </w:tc>
            <w:tc>
              <w:tcPr>
                <w:tcW w:w="1133" w:type="pct"/>
                <w:vAlign w:val="center"/>
              </w:tcPr>
              <w:p w14:paraId="06D19AE1">
                <w:pPr>
                  <w:jc w:val="right"/>
                </w:pPr>
                <w:r>
                  <w:rPr>
                    <w:rFonts w:hint="eastAsia"/>
                  </w:rPr>
                  <w:t>45,252,263.60</w:t>
                </w:r>
              </w:p>
            </w:tc>
            <w:tc>
              <w:tcPr>
                <w:tcW w:w="1343" w:type="pct"/>
                <w:vAlign w:val="center"/>
              </w:tcPr>
              <w:p w14:paraId="30AACB72">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577745614"/>
          <w:placeholder>
            <w:docPart w:val="{14b795c2-6743-44fe-abc0-425cd7151248}"/>
          </w:placeholder>
        </w:sdtPr>
        <w:sdtEndPr>
          <w:rPr>
            <w:rFonts w:hint="eastAsia"/>
            <w:color w:val="000000" w:themeColor="text1"/>
            <w14:textFill>
              <w14:solidFill>
                <w14:schemeClr w14:val="tx1"/>
              </w14:solidFill>
            </w14:textFill>
          </w:rPr>
        </w:sdtEndPr>
        <w:sdtContent>
          <w:tr w14:paraId="6552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21629CD2">
                <w:r>
                  <w:rPr>
                    <w:rFonts w:hint="eastAsia"/>
                  </w:rPr>
                  <w:t>际华三五四三针织服饰有限公司房屋建筑物</w:t>
                </w:r>
              </w:p>
            </w:tc>
            <w:tc>
              <w:tcPr>
                <w:tcW w:w="1133" w:type="pct"/>
                <w:vAlign w:val="center"/>
              </w:tcPr>
              <w:p w14:paraId="7CC9461D">
                <w:pPr>
                  <w:jc w:val="right"/>
                </w:pPr>
                <w:r>
                  <w:rPr>
                    <w:rFonts w:hint="eastAsia"/>
                  </w:rPr>
                  <w:t>35,227,122.87</w:t>
                </w:r>
              </w:p>
            </w:tc>
            <w:tc>
              <w:tcPr>
                <w:tcW w:w="1343" w:type="pct"/>
                <w:vAlign w:val="center"/>
              </w:tcPr>
              <w:p w14:paraId="17331493">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1014918158"/>
          <w:placeholder>
            <w:docPart w:val="{14b795c2-6743-44fe-abc0-425cd7151248}"/>
          </w:placeholder>
        </w:sdtPr>
        <w:sdtEndPr>
          <w:rPr>
            <w:rFonts w:hint="eastAsia"/>
            <w:color w:val="000000" w:themeColor="text1"/>
            <w14:textFill>
              <w14:solidFill>
                <w14:schemeClr w14:val="tx1"/>
              </w14:solidFill>
            </w14:textFill>
          </w:rPr>
        </w:sdtEndPr>
        <w:sdtContent>
          <w:tr w14:paraId="088F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6B89D9C2">
                <w:r>
                  <w:rPr>
                    <w:rFonts w:hint="eastAsia"/>
                  </w:rPr>
                  <w:t>长春际华投资建设有限公司房屋建筑物</w:t>
                </w:r>
              </w:p>
            </w:tc>
            <w:tc>
              <w:tcPr>
                <w:tcW w:w="1133" w:type="pct"/>
                <w:vAlign w:val="center"/>
              </w:tcPr>
              <w:p w14:paraId="3682A73E">
                <w:pPr>
                  <w:jc w:val="right"/>
                </w:pPr>
                <w:r>
                  <w:rPr>
                    <w:rFonts w:hint="eastAsia"/>
                  </w:rPr>
                  <w:t>20,150,645.05</w:t>
                </w:r>
              </w:p>
            </w:tc>
            <w:tc>
              <w:tcPr>
                <w:tcW w:w="1343" w:type="pct"/>
                <w:vAlign w:val="center"/>
              </w:tcPr>
              <w:p w14:paraId="005704E5">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50199071"/>
          <w:placeholder>
            <w:docPart w:val="{14b795c2-6743-44fe-abc0-425cd7151248}"/>
          </w:placeholder>
        </w:sdtPr>
        <w:sdtEndPr>
          <w:rPr>
            <w:rFonts w:hint="eastAsia"/>
            <w:color w:val="000000" w:themeColor="text1"/>
            <w14:textFill>
              <w14:solidFill>
                <w14:schemeClr w14:val="tx1"/>
              </w14:solidFill>
            </w14:textFill>
          </w:rPr>
        </w:sdtEndPr>
        <w:sdtContent>
          <w:tr w14:paraId="0FD8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009652AA">
                <w:r>
                  <w:rPr>
                    <w:rFonts w:hint="eastAsia"/>
                  </w:rPr>
                  <w:t>际华三五零二职业装有限公司房屋建筑物</w:t>
                </w:r>
              </w:p>
            </w:tc>
            <w:tc>
              <w:tcPr>
                <w:tcW w:w="1133" w:type="pct"/>
                <w:vAlign w:val="center"/>
              </w:tcPr>
              <w:p w14:paraId="1027A410">
                <w:pPr>
                  <w:jc w:val="right"/>
                </w:pPr>
                <w:r>
                  <w:rPr>
                    <w:rFonts w:hint="eastAsia"/>
                  </w:rPr>
                  <w:t>11,996,726.64</w:t>
                </w:r>
              </w:p>
            </w:tc>
            <w:tc>
              <w:tcPr>
                <w:tcW w:w="1343" w:type="pct"/>
                <w:vAlign w:val="center"/>
              </w:tcPr>
              <w:p w14:paraId="624E181C">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549927485"/>
          <w:placeholder>
            <w:docPart w:val="{14b795c2-6743-44fe-abc0-425cd7151248}"/>
          </w:placeholder>
        </w:sdtPr>
        <w:sdtEndPr>
          <w:rPr>
            <w:rFonts w:hint="eastAsia"/>
            <w:color w:val="000000" w:themeColor="text1"/>
            <w14:textFill>
              <w14:solidFill>
                <w14:schemeClr w14:val="tx1"/>
              </w14:solidFill>
            </w14:textFill>
          </w:rPr>
        </w:sdtEndPr>
        <w:sdtContent>
          <w:tr w14:paraId="0F37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0A0DCDCE">
                <w:r>
                  <w:rPr>
                    <w:rFonts w:hint="eastAsia"/>
                  </w:rPr>
                  <w:t>际华三五一四制革制鞋有限公司房屋建筑物</w:t>
                </w:r>
              </w:p>
            </w:tc>
            <w:tc>
              <w:tcPr>
                <w:tcW w:w="1133" w:type="pct"/>
                <w:vAlign w:val="center"/>
              </w:tcPr>
              <w:p w14:paraId="7F240CF2">
                <w:pPr>
                  <w:jc w:val="right"/>
                </w:pPr>
                <w:r>
                  <w:rPr>
                    <w:rFonts w:hint="eastAsia"/>
                  </w:rPr>
                  <w:t>5,624,868.72</w:t>
                </w:r>
              </w:p>
            </w:tc>
            <w:tc>
              <w:tcPr>
                <w:tcW w:w="1343" w:type="pct"/>
                <w:vAlign w:val="center"/>
              </w:tcPr>
              <w:p w14:paraId="0AAB61D0">
                <w:pPr>
                  <w:jc w:val="center"/>
                </w:pPr>
                <w:r>
                  <w:rPr>
                    <w:rFonts w:hint="eastAsia"/>
                  </w:rPr>
                  <w:t>正在办理中</w:t>
                </w:r>
              </w:p>
            </w:tc>
          </w:tr>
        </w:sdtContent>
      </w:sdt>
      <w:sdt>
        <w:sdtPr>
          <w:rPr>
            <w:rFonts w:hint="eastAsia"/>
            <w:color w:val="000000" w:themeColor="text1"/>
            <w14:textFill>
              <w14:solidFill>
                <w14:schemeClr w14:val="tx1"/>
              </w14:solidFill>
            </w14:textFill>
          </w:rPr>
          <w:alias w:val="未办妥产权证书的固定资产情况明细"/>
          <w:tag w:val="_GBC_197aee8b2edc4ea19721e86529111007"/>
          <w:id w:val="1044336765"/>
          <w:placeholder>
            <w:docPart w:val="{14b795c2-6743-44fe-abc0-425cd7151248}"/>
          </w:placeholder>
        </w:sdtPr>
        <w:sdtEndPr>
          <w:rPr>
            <w:rFonts w:hint="eastAsia"/>
            <w:color w:val="000000" w:themeColor="text1"/>
            <w14:textFill>
              <w14:solidFill>
                <w14:schemeClr w14:val="tx1"/>
              </w14:solidFill>
            </w14:textFill>
          </w:rPr>
        </w:sdtEndPr>
        <w:sdtContent>
          <w:tr w14:paraId="550A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2" w:type="pct"/>
                <w:vAlign w:val="center"/>
              </w:tcPr>
              <w:p w14:paraId="61444ABA">
                <w:pPr>
                  <w:jc w:val="center"/>
                </w:pPr>
                <w:r>
                  <w:rPr>
                    <w:rFonts w:hint="eastAsia"/>
                  </w:rPr>
                  <w:t>合计</w:t>
                </w:r>
              </w:p>
            </w:tc>
            <w:tc>
              <w:tcPr>
                <w:tcW w:w="1133" w:type="pct"/>
                <w:vAlign w:val="center"/>
              </w:tcPr>
              <w:p w14:paraId="604A2461">
                <w:pPr>
                  <w:jc w:val="right"/>
                </w:pPr>
                <w:r>
                  <w:rPr>
                    <w:rFonts w:hint="eastAsia"/>
                  </w:rPr>
                  <w:t>569,713,761.05</w:t>
                </w:r>
              </w:p>
            </w:tc>
            <w:tc>
              <w:tcPr>
                <w:tcW w:w="1343" w:type="pct"/>
                <w:vAlign w:val="center"/>
              </w:tcPr>
              <w:p w14:paraId="04971AEF"/>
            </w:tc>
          </w:tr>
        </w:sdtContent>
      </w:sdt>
    </w:tbl>
    <w:p w14:paraId="2FA79B09">
      <w:pPr>
        <w:rPr>
          <w:color w:val="000000" w:themeColor="text1"/>
          <w14:textFill>
            <w14:solidFill>
              <w14:schemeClr w14:val="tx1"/>
            </w14:solidFill>
          </w14:textFill>
        </w:rPr>
      </w:pPr>
    </w:p>
    <w:p w14:paraId="588873EE">
      <w:pPr>
        <w:rPr>
          <w:color w:val="000000" w:themeColor="text1"/>
          <w14:textFill>
            <w14:solidFill>
              <w14:schemeClr w14:val="tx1"/>
            </w14:solidFill>
          </w14:textFill>
        </w:rPr>
      </w:pPr>
    </w:p>
    <w:p w14:paraId="35B79DFB">
      <w:pPr>
        <w:pStyle w:val="6"/>
        <w:numPr>
          <w:ilvl w:val="0"/>
          <w:numId w:val="70"/>
        </w:numPr>
        <w:rPr>
          <w:rFonts w:cs="宋体"/>
          <w:kern w:val="0"/>
        </w:rPr>
      </w:pPr>
      <w:bookmarkStart w:id="314" w:name="_Hlk153460880"/>
      <w:bookmarkStart w:id="315" w:name="_Hlk167957241"/>
      <w:r>
        <w:rPr>
          <w:rFonts w:hint="eastAsia" w:cs="宋体"/>
          <w:kern w:val="0"/>
        </w:rPr>
        <w:t>固定资产的减值测试情况</w:t>
      </w:r>
    </w:p>
    <w:sdt>
      <w:sdtPr>
        <w:rPr>
          <w:color w:val="000000" w:themeColor="text1"/>
          <w14:textFill>
            <w14:solidFill>
              <w14:schemeClr w14:val="tx1"/>
            </w14:solidFill>
          </w14:textFill>
        </w:rPr>
        <w:alias w:val="是否适用：减值测试情况[双击切换]"/>
        <w:tag w:val="_GBC_9a66caee6756422c9cb01da54631670e"/>
        <w:id w:val="147454697"/>
        <w:placeholder>
          <w:docPart w:val="GBC22222222222222222222222222222"/>
        </w:placeholder>
      </w:sdtPr>
      <w:sdtEndPr>
        <w:rPr>
          <w:color w:val="000000" w:themeColor="text1"/>
          <w14:textFill>
            <w14:solidFill>
              <w14:schemeClr w14:val="tx1"/>
            </w14:solidFill>
          </w14:textFill>
        </w:rPr>
      </w:sdtEndPr>
      <w:sdtContent>
        <w:p w14:paraId="116CD61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BEA30BB">
      <w:pPr>
        <w:snapToGrid w:val="0"/>
        <w:spacing w:line="240" w:lineRule="atLeast"/>
        <w:rPr>
          <w:color w:val="000000" w:themeColor="text1"/>
          <w14:textFill>
            <w14:solidFill>
              <w14:schemeClr w14:val="tx1"/>
            </w14:solidFill>
          </w14:textFill>
        </w:rPr>
      </w:pPr>
    </w:p>
    <w:bookmarkEnd w:id="314"/>
    <w:bookmarkEnd w:id="315"/>
    <w:p w14:paraId="23F32BD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固定资产的说明[双击切换]"/>
        <w:tag w:val="_GBC_e2fd7087594d4949ada40807334de5fb"/>
        <w:id w:val="147482804"/>
        <w:placeholder>
          <w:docPart w:val="GBC22222222222222222222222222222"/>
        </w:placeholder>
      </w:sdtPr>
      <w:sdtEndPr>
        <w:rPr>
          <w:color w:val="000000" w:themeColor="text1"/>
          <w14:textFill>
            <w14:solidFill>
              <w14:schemeClr w14:val="tx1"/>
            </w14:solidFill>
          </w14:textFill>
        </w:rPr>
      </w:sdtEndPr>
      <w:sdtContent>
        <w:p w14:paraId="2EF750A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11826E">
      <w:pPr>
        <w:rPr>
          <w:color w:val="000000" w:themeColor="text1"/>
          <w14:textFill>
            <w14:solidFill>
              <w14:schemeClr w14:val="tx1"/>
            </w14:solidFill>
          </w14:textFill>
        </w:rPr>
      </w:pPr>
    </w:p>
    <w:p w14:paraId="7C740443">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固定资产清理</w:t>
      </w:r>
    </w:p>
    <w:sdt>
      <w:sdtPr>
        <w:rPr>
          <w:color w:val="000000" w:themeColor="text1"/>
          <w14:textFill>
            <w14:solidFill>
              <w14:schemeClr w14:val="tx1"/>
            </w14:solidFill>
          </w14:textFill>
        </w:rPr>
        <w:alias w:val="是否适用：固定资产清理[双击切换]"/>
        <w:tag w:val="_GBC_d005d220fbda4cd2a58ced6d0d7a1404"/>
        <w:id w:val="147465590"/>
        <w:placeholder>
          <w:docPart w:val="GBC22222222222222222222222222222"/>
        </w:placeholder>
      </w:sdtPr>
      <w:sdtEndPr>
        <w:rPr>
          <w:color w:val="000000" w:themeColor="text1"/>
          <w14:textFill>
            <w14:solidFill>
              <w14:schemeClr w14:val="tx1"/>
            </w14:solidFill>
          </w14:textFill>
        </w:rPr>
      </w:sdtEndPr>
      <w:sdtContent>
        <w:p w14:paraId="7143132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66DEA66">
      <w:pPr>
        <w:rPr>
          <w:color w:val="000000" w:themeColor="text1"/>
          <w14:textFill>
            <w14:solidFill>
              <w14:schemeClr w14:val="tx1"/>
            </w14:solidFill>
          </w14:textFill>
        </w:rPr>
      </w:pPr>
    </w:p>
    <w:p w14:paraId="785218D9">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在建工程</w:t>
      </w:r>
    </w:p>
    <w:p w14:paraId="03142AB9">
      <w:pPr>
        <w:pStyle w:val="58"/>
        <w:rPr>
          <w:rFonts w:ascii="宋体" w:hAnsi="宋体"/>
          <w:color w:val="000000" w:themeColor="text1"/>
          <w14:textFill>
            <w14:solidFill>
              <w14:schemeClr w14:val="tx1"/>
            </w14:solidFill>
          </w14:textFill>
        </w:rPr>
      </w:pPr>
      <w:bookmarkStart w:id="316" w:name="_Hlk10472757"/>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在建工程分类列示[双击切换]"/>
        <w:tag w:val="_GBC_bcbd4315343844fc923825dd150041e5"/>
        <w:id w:val="147457749"/>
        <w:placeholder>
          <w:docPart w:val="GBC22222222222222222222222222222"/>
        </w:placeholder>
      </w:sdtPr>
      <w:sdtEndPr>
        <w:rPr>
          <w:color w:val="000000" w:themeColor="text1"/>
          <w14:textFill>
            <w14:solidFill>
              <w14:schemeClr w14:val="tx1"/>
            </w14:solidFill>
          </w14:textFill>
        </w:rPr>
      </w:sdtEndPr>
      <w:sdtContent>
        <w:p w14:paraId="4CD7594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28106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在建工程分类列示"/>
          <w:tag w:val="_GBC_9df8e16a6fb54a76b384d11e7a6dd52d"/>
          <w:id w:val="1474799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在建工程分类列示"/>
          <w:tag w:val="_GBC_17b0bdb7b5f24e599fcea2e90510306a"/>
          <w:id w:val="1474571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96"/>
        <w:gridCol w:w="2939"/>
        <w:gridCol w:w="2924"/>
      </w:tblGrid>
      <w:tr w14:paraId="0517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a34a6496ee4454093b17b19ba9b805d"/>
            <w:id w:val="147478723"/>
          </w:sdtPr>
          <w:sdtContent>
            <w:tc>
              <w:tcPr>
                <w:tcW w:w="1764" w:type="pct"/>
                <w:vAlign w:val="center"/>
              </w:tcPr>
              <w:p w14:paraId="2BC7E9A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8973d2835334cdbb31181ad26b55912"/>
            <w:id w:val="147457870"/>
          </w:sdtPr>
          <w:sdtContent>
            <w:tc>
              <w:tcPr>
                <w:tcW w:w="1622" w:type="pct"/>
                <w:vAlign w:val="center"/>
              </w:tcPr>
              <w:p w14:paraId="2DCE35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55f5bd8851c54b7897a165bee2df0273"/>
            <w:id w:val="147472727"/>
          </w:sdtPr>
          <w:sdtContent>
            <w:tc>
              <w:tcPr>
                <w:tcW w:w="1614" w:type="pct"/>
                <w:vAlign w:val="center"/>
              </w:tcPr>
              <w:p w14:paraId="43479FD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8C2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14:paraId="2F1CE426">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tc>
          <w:tcPr>
            <w:tcW w:w="2939" w:type="dxa"/>
            <w:vAlign w:val="center"/>
          </w:tcPr>
          <w:p w14:paraId="6EE6DD46">
            <w:pPr>
              <w:jc w:val="right"/>
              <w:textAlignment w:val="center"/>
              <w:rPr>
                <w:rFonts w:cs="Times New Roman"/>
              </w:rPr>
            </w:pPr>
            <w:r>
              <w:rPr>
                <w:rFonts w:eastAsia="Arial Narrow" w:cs="Times New Roman"/>
                <w:color w:val="000000"/>
                <w:lang w:bidi="ar"/>
              </w:rPr>
              <w:t>399,635,284.93</w:t>
            </w:r>
          </w:p>
        </w:tc>
        <w:tc>
          <w:tcPr>
            <w:tcW w:w="2924" w:type="dxa"/>
            <w:vAlign w:val="center"/>
          </w:tcPr>
          <w:p w14:paraId="001AAA0F">
            <w:pPr>
              <w:jc w:val="right"/>
              <w:textAlignment w:val="center"/>
              <w:rPr>
                <w:rFonts w:cs="Times New Roman"/>
              </w:rPr>
            </w:pPr>
            <w:r>
              <w:rPr>
                <w:rFonts w:eastAsia="Arial Narrow" w:cs="Times New Roman"/>
                <w:color w:val="000000"/>
                <w:lang w:bidi="ar"/>
              </w:rPr>
              <w:t>275,601,526.58</w:t>
            </w:r>
          </w:p>
        </w:tc>
      </w:tr>
      <w:tr w14:paraId="3031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vAlign w:val="center"/>
          </w:tcPr>
          <w:p w14:paraId="12FF82C3">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939" w:type="dxa"/>
            <w:vAlign w:val="center"/>
          </w:tcPr>
          <w:p w14:paraId="299C0D47">
            <w:pPr>
              <w:jc w:val="right"/>
              <w:textAlignment w:val="center"/>
              <w:rPr>
                <w:rFonts w:cs="Times New Roman"/>
              </w:rPr>
            </w:pPr>
            <w:r>
              <w:rPr>
                <w:rFonts w:eastAsia="Arial Narrow" w:cs="Times New Roman"/>
                <w:color w:val="000000"/>
                <w:lang w:bidi="ar"/>
              </w:rPr>
              <w:t>399,635,284.93</w:t>
            </w:r>
          </w:p>
        </w:tc>
        <w:tc>
          <w:tcPr>
            <w:tcW w:w="2924" w:type="dxa"/>
            <w:vAlign w:val="center"/>
          </w:tcPr>
          <w:p w14:paraId="02A905C4">
            <w:pPr>
              <w:jc w:val="right"/>
              <w:textAlignment w:val="center"/>
              <w:rPr>
                <w:rFonts w:cs="Times New Roman"/>
              </w:rPr>
            </w:pPr>
            <w:r>
              <w:rPr>
                <w:rFonts w:eastAsia="Arial Narrow" w:cs="Times New Roman"/>
                <w:color w:val="000000"/>
                <w:lang w:bidi="ar"/>
              </w:rPr>
              <w:t>275,601,526.58</w:t>
            </w:r>
          </w:p>
        </w:tc>
      </w:tr>
      <w:bookmarkEnd w:id="316"/>
    </w:tbl>
    <w:p w14:paraId="44FD0514">
      <w:pPr>
        <w:rPr>
          <w:color w:val="000000" w:themeColor="text1"/>
          <w14:textFill>
            <w14:solidFill>
              <w14:schemeClr w14:val="tx1"/>
            </w14:solidFill>
          </w14:textFill>
        </w:rPr>
      </w:pPr>
      <w:bookmarkStart w:id="317" w:name="_Hlk10472837"/>
      <w:bookmarkStart w:id="318" w:name="_Hlk10472848"/>
      <w:r>
        <w:rPr>
          <w:rFonts w:hint="eastAsia"/>
          <w:color w:val="000000" w:themeColor="text1"/>
          <w14:textFill>
            <w14:solidFill>
              <w14:schemeClr w14:val="tx1"/>
            </w14:solidFill>
          </w14:textFill>
        </w:rPr>
        <w:t>其他说明：</w:t>
      </w:r>
      <w:bookmarkEnd w:id="317"/>
    </w:p>
    <w:p w14:paraId="78EA0290">
      <w:pPr>
        <w:rPr>
          <w:color w:val="000000" w:themeColor="text1"/>
          <w14:textFill>
            <w14:solidFill>
              <w14:schemeClr w14:val="tx1"/>
            </w14:solidFill>
          </w14:textFill>
        </w:rPr>
      </w:pPr>
      <w:sdt>
        <w:sdtPr>
          <w:rPr>
            <w:color w:val="000000" w:themeColor="text1"/>
            <w14:textFill>
              <w14:solidFill>
                <w14:schemeClr w14:val="tx1"/>
              </w14:solidFill>
            </w14:textFill>
          </w:rPr>
          <w:alias w:val="在建工程分类列示其他说明"/>
          <w:tag w:val="_GBC_ebe1a06b82914095a2c469c32c78af71"/>
          <w:id w:val="147467150"/>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18"/>
    <w:p w14:paraId="1906F02F">
      <w:pPr>
        <w:rPr>
          <w:color w:val="000000" w:themeColor="text1"/>
          <w14:textFill>
            <w14:solidFill>
              <w14:schemeClr w14:val="tx1"/>
            </w14:solidFill>
          </w14:textFill>
        </w:rPr>
      </w:pPr>
    </w:p>
    <w:p w14:paraId="5886D8EF">
      <w:pPr>
        <w:pStyle w:val="58"/>
        <w:rPr>
          <w:rFonts w:ascii="宋体" w:hAnsi="宋体"/>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AEBE029">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在建工程</w:t>
      </w:r>
    </w:p>
    <w:p w14:paraId="2D84D467">
      <w:pPr>
        <w:pStyle w:val="59"/>
        <w:numPr>
          <w:ilvl w:val="0"/>
          <w:numId w:val="71"/>
        </w:numPr>
      </w:pPr>
      <w:r>
        <w:rPr>
          <w:rFonts w:hint="eastAsia"/>
        </w:rPr>
        <w:t>在建工程情况</w:t>
      </w:r>
    </w:p>
    <w:sdt>
      <w:sdtPr>
        <w:rPr>
          <w:color w:val="000000" w:themeColor="text1"/>
          <w14:textFill>
            <w14:solidFill>
              <w14:schemeClr w14:val="tx1"/>
            </w14:solidFill>
          </w14:textFill>
        </w:rPr>
        <w:alias w:val="是否适用：在建工程情况[双击切换]"/>
        <w:tag w:val="_GBC_d9828cc7ad534f26902e1979f9d67530"/>
        <w:id w:val="349296145"/>
      </w:sdtPr>
      <w:sdtEndPr>
        <w:rPr>
          <w:color w:val="000000" w:themeColor="text1"/>
          <w14:textFill>
            <w14:solidFill>
              <w14:schemeClr w14:val="tx1"/>
            </w14:solidFill>
          </w14:textFill>
        </w:rPr>
      </w:sdtEndPr>
      <w:sdtContent>
        <w:p w14:paraId="4599813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96AAE8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
          <w:tag w:val="_GBC_d20598ce3f5b4d21a9055de674936a9a"/>
          <w:id w:val="-156031765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
          <w:tag w:val="_GBC_9e96d736daa247dd96af144329fff105"/>
          <w:id w:val="56800732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4394"/>
        <w:gridCol w:w="1849"/>
        <w:gridCol w:w="1542"/>
        <w:gridCol w:w="1709"/>
        <w:gridCol w:w="1511"/>
        <w:gridCol w:w="1508"/>
        <w:gridCol w:w="1422"/>
      </w:tblGrid>
      <w:tr w14:paraId="3943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blHeader/>
        </w:trPr>
        <w:tc>
          <w:tcPr>
            <w:tcW w:w="1576" w:type="pct"/>
            <w:vMerge w:val="restart"/>
            <w:vAlign w:val="center"/>
          </w:tcPr>
          <w:p w14:paraId="4E06680A">
            <w:pPr>
              <w:jc w:val="center"/>
              <w:rPr>
                <w:color w:val="000000" w:themeColor="text1"/>
                <w14:textFill>
                  <w14:solidFill>
                    <w14:schemeClr w14:val="tx1"/>
                  </w14:solidFill>
                </w14:textFill>
              </w:rPr>
            </w:pPr>
            <w:sdt>
              <w:sdtPr>
                <w:tag w:val="_PLD_27b31695edfd49cb9cafa333777d18c3"/>
                <w:id w:val="765110978"/>
              </w:sdtPr>
              <w:sdtContent>
                <w:r>
                  <w:rPr>
                    <w:rFonts w:hint="eastAsia"/>
                    <w:color w:val="000000" w:themeColor="text1"/>
                    <w14:textFill>
                      <w14:solidFill>
                        <w14:schemeClr w14:val="tx1"/>
                      </w14:solidFill>
                    </w14:textFill>
                  </w:rPr>
                  <w:t>项目</w:t>
                </w:r>
              </w:sdtContent>
            </w:sdt>
          </w:p>
        </w:tc>
        <w:sdt>
          <w:sdtPr>
            <w:tag w:val="_PLD_a5273bde7b2f4c6c8fbe3ea2d7a7eb84"/>
            <w:id w:val="1107319543"/>
          </w:sdtPr>
          <w:sdtContent>
            <w:tc>
              <w:tcPr>
                <w:tcW w:w="1829" w:type="pct"/>
                <w:gridSpan w:val="3"/>
                <w:vAlign w:val="center"/>
              </w:tcPr>
              <w:p w14:paraId="59D09E2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c57490b080449c8b91be5a872e19f79"/>
            <w:id w:val="64313124"/>
          </w:sdtPr>
          <w:sdtContent>
            <w:tc>
              <w:tcPr>
                <w:tcW w:w="1593" w:type="pct"/>
                <w:gridSpan w:val="3"/>
                <w:vAlign w:val="center"/>
              </w:tcPr>
              <w:p w14:paraId="692C6EF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113C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blHeader/>
        </w:trPr>
        <w:tc>
          <w:tcPr>
            <w:tcW w:w="1576" w:type="pct"/>
            <w:vMerge w:val="continue"/>
            <w:vAlign w:val="center"/>
          </w:tcPr>
          <w:p w14:paraId="6C1A878C">
            <w:pPr>
              <w:tabs>
                <w:tab w:val="left" w:pos="420"/>
              </w:tabs>
              <w:ind w:left="420" w:hanging="420"/>
              <w:jc w:val="center"/>
              <w:rPr>
                <w:color w:val="000000" w:themeColor="text1"/>
                <w14:textFill>
                  <w14:solidFill>
                    <w14:schemeClr w14:val="tx1"/>
                  </w14:solidFill>
                </w14:textFill>
              </w:rPr>
            </w:pPr>
          </w:p>
        </w:tc>
        <w:sdt>
          <w:sdtPr>
            <w:tag w:val="_PLD_1d60491359e245e7bc54655c8c8c15fd"/>
            <w:id w:val="1282989181"/>
          </w:sdtPr>
          <w:sdtContent>
            <w:tc>
              <w:tcPr>
                <w:tcW w:w="663" w:type="pct"/>
                <w:vAlign w:val="center"/>
              </w:tcPr>
              <w:p w14:paraId="41A43A82">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d5d8fa5186d44c82b146ad7151830389"/>
            <w:id w:val="39635888"/>
          </w:sdtPr>
          <w:sdtContent>
            <w:tc>
              <w:tcPr>
                <w:tcW w:w="553" w:type="pct"/>
                <w:vAlign w:val="center"/>
              </w:tcPr>
              <w:p w14:paraId="6F765990">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49aa1c2d25814b789479d76afb6fc844"/>
            <w:id w:val="-1841685719"/>
          </w:sdtPr>
          <w:sdtContent>
            <w:tc>
              <w:tcPr>
                <w:tcW w:w="613" w:type="pct"/>
                <w:vAlign w:val="center"/>
              </w:tcPr>
              <w:p w14:paraId="73519DE7">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4bba2db5e5a549ecafbf4e94a7af2e35"/>
            <w:id w:val="824016737"/>
          </w:sdtPr>
          <w:sdtContent>
            <w:tc>
              <w:tcPr>
                <w:tcW w:w="542" w:type="pct"/>
                <w:vAlign w:val="center"/>
              </w:tcPr>
              <w:p w14:paraId="4900CFE6">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e054d8cd1e1b4672ae08a495b587bdce"/>
            <w:id w:val="52125299"/>
          </w:sdtPr>
          <w:sdtContent>
            <w:tc>
              <w:tcPr>
                <w:tcW w:w="541" w:type="pct"/>
                <w:vAlign w:val="center"/>
              </w:tcPr>
              <w:p w14:paraId="6143159F">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bd3055c2713a44fa9cbd3fd973d34c6a"/>
            <w:id w:val="-1214121155"/>
          </w:sdtPr>
          <w:sdtContent>
            <w:tc>
              <w:tcPr>
                <w:tcW w:w="510" w:type="pct"/>
                <w:vAlign w:val="center"/>
              </w:tcPr>
              <w:p w14:paraId="357BB306">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14:paraId="605A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247417F5">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长春目的地中心</w:t>
            </w:r>
          </w:p>
        </w:tc>
        <w:tc>
          <w:tcPr>
            <w:tcW w:w="663" w:type="pct"/>
            <w:vAlign w:val="center"/>
          </w:tcPr>
          <w:p w14:paraId="25CC2F6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775,853,575.34</w:t>
            </w:r>
          </w:p>
        </w:tc>
        <w:tc>
          <w:tcPr>
            <w:tcW w:w="553" w:type="pct"/>
            <w:vAlign w:val="center"/>
          </w:tcPr>
          <w:p w14:paraId="0E4496B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700,103,655.93</w:t>
            </w:r>
          </w:p>
        </w:tc>
        <w:tc>
          <w:tcPr>
            <w:tcW w:w="613" w:type="pct"/>
            <w:vAlign w:val="center"/>
          </w:tcPr>
          <w:p w14:paraId="482EACB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75,749,919.41</w:t>
            </w:r>
          </w:p>
        </w:tc>
        <w:tc>
          <w:tcPr>
            <w:tcW w:w="542" w:type="pct"/>
            <w:vAlign w:val="center"/>
          </w:tcPr>
          <w:p w14:paraId="226A3AD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775,853,575.34</w:t>
            </w:r>
          </w:p>
        </w:tc>
        <w:tc>
          <w:tcPr>
            <w:tcW w:w="541" w:type="pct"/>
            <w:vAlign w:val="center"/>
          </w:tcPr>
          <w:p w14:paraId="7B71617A">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700,103,655.93</w:t>
            </w:r>
          </w:p>
        </w:tc>
        <w:tc>
          <w:tcPr>
            <w:tcW w:w="510" w:type="pct"/>
            <w:vAlign w:val="center"/>
          </w:tcPr>
          <w:p w14:paraId="076A9EA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75,749,919.41</w:t>
            </w:r>
          </w:p>
        </w:tc>
      </w:tr>
      <w:tr w14:paraId="48E5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07360C94">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际华三五一五皮革皮鞋有限公司新区建设项目</w:t>
            </w:r>
          </w:p>
        </w:tc>
        <w:tc>
          <w:tcPr>
            <w:tcW w:w="663" w:type="pct"/>
            <w:vAlign w:val="center"/>
          </w:tcPr>
          <w:p w14:paraId="4D8A233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54,728,846.55</w:t>
            </w:r>
          </w:p>
        </w:tc>
        <w:tc>
          <w:tcPr>
            <w:tcW w:w="553" w:type="pct"/>
            <w:vAlign w:val="center"/>
          </w:tcPr>
          <w:p w14:paraId="6412AA6B">
            <w:pPr>
              <w:jc w:val="right"/>
              <w:rPr>
                <w:rFonts w:cs="Times New Roman"/>
                <w:color w:val="000000" w:themeColor="text1"/>
                <w14:textFill>
                  <w14:solidFill>
                    <w14:schemeClr w14:val="tx1"/>
                  </w14:solidFill>
                </w14:textFill>
              </w:rPr>
            </w:pPr>
          </w:p>
        </w:tc>
        <w:tc>
          <w:tcPr>
            <w:tcW w:w="613" w:type="pct"/>
            <w:vAlign w:val="center"/>
          </w:tcPr>
          <w:p w14:paraId="7B3090B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54,728,846.55</w:t>
            </w:r>
          </w:p>
        </w:tc>
        <w:tc>
          <w:tcPr>
            <w:tcW w:w="542" w:type="pct"/>
            <w:vAlign w:val="center"/>
          </w:tcPr>
          <w:p w14:paraId="29E6201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49,931,611.23</w:t>
            </w:r>
          </w:p>
        </w:tc>
        <w:tc>
          <w:tcPr>
            <w:tcW w:w="541" w:type="pct"/>
            <w:vAlign w:val="center"/>
          </w:tcPr>
          <w:p w14:paraId="44FF6EE7">
            <w:pPr>
              <w:jc w:val="right"/>
              <w:rPr>
                <w:rFonts w:cs="Times New Roman"/>
                <w:color w:val="000000" w:themeColor="text1"/>
                <w14:textFill>
                  <w14:solidFill>
                    <w14:schemeClr w14:val="tx1"/>
                  </w14:solidFill>
                </w14:textFill>
              </w:rPr>
            </w:pPr>
          </w:p>
        </w:tc>
        <w:tc>
          <w:tcPr>
            <w:tcW w:w="510" w:type="pct"/>
            <w:vAlign w:val="center"/>
          </w:tcPr>
          <w:p w14:paraId="741ECDA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49,931,611.23</w:t>
            </w:r>
          </w:p>
        </w:tc>
      </w:tr>
      <w:tr w14:paraId="55AF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12E8530B">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三五零二职业装研发中心项目</w:t>
            </w:r>
          </w:p>
        </w:tc>
        <w:tc>
          <w:tcPr>
            <w:tcW w:w="663" w:type="pct"/>
            <w:vAlign w:val="center"/>
          </w:tcPr>
          <w:p w14:paraId="44A2EAE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1,956,834.10</w:t>
            </w:r>
          </w:p>
        </w:tc>
        <w:tc>
          <w:tcPr>
            <w:tcW w:w="553" w:type="pct"/>
            <w:vAlign w:val="center"/>
          </w:tcPr>
          <w:p w14:paraId="78811A35">
            <w:pPr>
              <w:jc w:val="right"/>
              <w:rPr>
                <w:rFonts w:cs="Times New Roman"/>
                <w:color w:val="000000" w:themeColor="text1"/>
                <w14:textFill>
                  <w14:solidFill>
                    <w14:schemeClr w14:val="tx1"/>
                  </w14:solidFill>
                </w14:textFill>
              </w:rPr>
            </w:pPr>
          </w:p>
        </w:tc>
        <w:tc>
          <w:tcPr>
            <w:tcW w:w="613" w:type="pct"/>
            <w:vAlign w:val="center"/>
          </w:tcPr>
          <w:p w14:paraId="7E86EDDC">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1,956,834.10</w:t>
            </w:r>
          </w:p>
        </w:tc>
        <w:tc>
          <w:tcPr>
            <w:tcW w:w="542" w:type="pct"/>
            <w:vAlign w:val="center"/>
          </w:tcPr>
          <w:p w14:paraId="45F3E58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18,255,124.28</w:t>
            </w:r>
          </w:p>
        </w:tc>
        <w:tc>
          <w:tcPr>
            <w:tcW w:w="541" w:type="pct"/>
            <w:vAlign w:val="center"/>
          </w:tcPr>
          <w:p w14:paraId="22E61CE7">
            <w:pPr>
              <w:jc w:val="right"/>
              <w:rPr>
                <w:rFonts w:cs="Times New Roman"/>
                <w:color w:val="000000" w:themeColor="text1"/>
                <w14:textFill>
                  <w14:solidFill>
                    <w14:schemeClr w14:val="tx1"/>
                  </w14:solidFill>
                </w14:textFill>
              </w:rPr>
            </w:pPr>
          </w:p>
        </w:tc>
        <w:tc>
          <w:tcPr>
            <w:tcW w:w="510" w:type="pct"/>
            <w:vAlign w:val="center"/>
          </w:tcPr>
          <w:p w14:paraId="4B81860B">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18,255,124.28</w:t>
            </w:r>
          </w:p>
        </w:tc>
      </w:tr>
      <w:tr w14:paraId="4507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1C4AB403">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际华三五三四制衣有限公司服装智能升级改造</w:t>
            </w:r>
          </w:p>
        </w:tc>
        <w:tc>
          <w:tcPr>
            <w:tcW w:w="663" w:type="pct"/>
            <w:vAlign w:val="center"/>
          </w:tcPr>
          <w:p w14:paraId="6C330CB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17,826,377.16</w:t>
            </w:r>
          </w:p>
        </w:tc>
        <w:tc>
          <w:tcPr>
            <w:tcW w:w="553" w:type="pct"/>
            <w:vAlign w:val="center"/>
          </w:tcPr>
          <w:p w14:paraId="1843D402">
            <w:pPr>
              <w:jc w:val="right"/>
              <w:rPr>
                <w:rFonts w:cs="Times New Roman"/>
                <w:color w:val="000000" w:themeColor="text1"/>
                <w14:textFill>
                  <w14:solidFill>
                    <w14:schemeClr w14:val="tx1"/>
                  </w14:solidFill>
                </w14:textFill>
              </w:rPr>
            </w:pPr>
          </w:p>
        </w:tc>
        <w:tc>
          <w:tcPr>
            <w:tcW w:w="613" w:type="pct"/>
            <w:vAlign w:val="center"/>
          </w:tcPr>
          <w:p w14:paraId="75796E4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17,826,377.16</w:t>
            </w:r>
          </w:p>
        </w:tc>
        <w:tc>
          <w:tcPr>
            <w:tcW w:w="542" w:type="pct"/>
            <w:vAlign w:val="center"/>
          </w:tcPr>
          <w:p w14:paraId="7A7C534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17,561,064.35</w:t>
            </w:r>
          </w:p>
        </w:tc>
        <w:tc>
          <w:tcPr>
            <w:tcW w:w="541" w:type="pct"/>
            <w:vAlign w:val="center"/>
          </w:tcPr>
          <w:p w14:paraId="255CB015">
            <w:pPr>
              <w:jc w:val="right"/>
              <w:rPr>
                <w:rFonts w:cs="Times New Roman"/>
                <w:color w:val="000000" w:themeColor="text1"/>
                <w14:textFill>
                  <w14:solidFill>
                    <w14:schemeClr w14:val="tx1"/>
                  </w14:solidFill>
                </w14:textFill>
              </w:rPr>
            </w:pPr>
          </w:p>
        </w:tc>
        <w:tc>
          <w:tcPr>
            <w:tcW w:w="510" w:type="pct"/>
            <w:vAlign w:val="center"/>
          </w:tcPr>
          <w:p w14:paraId="38E3548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17,561,064.35</w:t>
            </w:r>
          </w:p>
        </w:tc>
      </w:tr>
      <w:tr w14:paraId="0AB8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723D99E9">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三五零二西服设备</w:t>
            </w:r>
          </w:p>
        </w:tc>
        <w:tc>
          <w:tcPr>
            <w:tcW w:w="663" w:type="pct"/>
            <w:vAlign w:val="center"/>
          </w:tcPr>
          <w:p w14:paraId="720CF873">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1,334,177.51</w:t>
            </w:r>
          </w:p>
        </w:tc>
        <w:tc>
          <w:tcPr>
            <w:tcW w:w="553" w:type="pct"/>
            <w:vAlign w:val="center"/>
          </w:tcPr>
          <w:p w14:paraId="490981E4">
            <w:pPr>
              <w:jc w:val="right"/>
              <w:rPr>
                <w:rFonts w:cs="Times New Roman"/>
                <w:color w:val="000000" w:themeColor="text1"/>
                <w14:textFill>
                  <w14:solidFill>
                    <w14:schemeClr w14:val="tx1"/>
                  </w14:solidFill>
                </w14:textFill>
              </w:rPr>
            </w:pPr>
          </w:p>
        </w:tc>
        <w:tc>
          <w:tcPr>
            <w:tcW w:w="613" w:type="pct"/>
            <w:vAlign w:val="center"/>
          </w:tcPr>
          <w:p w14:paraId="602CCCE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1,334,177.51</w:t>
            </w:r>
          </w:p>
        </w:tc>
        <w:tc>
          <w:tcPr>
            <w:tcW w:w="542" w:type="pct"/>
            <w:vAlign w:val="center"/>
          </w:tcPr>
          <w:p w14:paraId="282C601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16,395,840.71</w:t>
            </w:r>
          </w:p>
        </w:tc>
        <w:tc>
          <w:tcPr>
            <w:tcW w:w="541" w:type="pct"/>
            <w:vAlign w:val="center"/>
          </w:tcPr>
          <w:p w14:paraId="303A9041">
            <w:pPr>
              <w:jc w:val="right"/>
              <w:rPr>
                <w:rFonts w:cs="Times New Roman"/>
                <w:color w:val="000000" w:themeColor="text1"/>
                <w14:textFill>
                  <w14:solidFill>
                    <w14:schemeClr w14:val="tx1"/>
                  </w14:solidFill>
                </w14:textFill>
              </w:rPr>
            </w:pPr>
          </w:p>
        </w:tc>
        <w:tc>
          <w:tcPr>
            <w:tcW w:w="510" w:type="pct"/>
            <w:vAlign w:val="center"/>
          </w:tcPr>
          <w:p w14:paraId="2A8F4D1C">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16,395,840.71</w:t>
            </w:r>
          </w:p>
        </w:tc>
      </w:tr>
      <w:tr w14:paraId="2DF7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75D1BACB">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际华三五一四制革制鞋SWYS030鞋靴生产集约化智能化项目</w:t>
            </w:r>
          </w:p>
        </w:tc>
        <w:tc>
          <w:tcPr>
            <w:tcW w:w="663" w:type="pct"/>
            <w:vAlign w:val="center"/>
          </w:tcPr>
          <w:p w14:paraId="52DED12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11,023,008.85</w:t>
            </w:r>
          </w:p>
        </w:tc>
        <w:tc>
          <w:tcPr>
            <w:tcW w:w="553" w:type="pct"/>
            <w:vAlign w:val="center"/>
          </w:tcPr>
          <w:p w14:paraId="21832808">
            <w:pPr>
              <w:jc w:val="right"/>
              <w:rPr>
                <w:rFonts w:cs="Times New Roman"/>
                <w:color w:val="000000" w:themeColor="text1"/>
                <w14:textFill>
                  <w14:solidFill>
                    <w14:schemeClr w14:val="tx1"/>
                  </w14:solidFill>
                </w14:textFill>
              </w:rPr>
            </w:pPr>
          </w:p>
        </w:tc>
        <w:tc>
          <w:tcPr>
            <w:tcW w:w="613" w:type="pct"/>
            <w:vAlign w:val="center"/>
          </w:tcPr>
          <w:p w14:paraId="3E6820C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11,023,008.85</w:t>
            </w:r>
          </w:p>
        </w:tc>
        <w:tc>
          <w:tcPr>
            <w:tcW w:w="542" w:type="pct"/>
            <w:vAlign w:val="center"/>
          </w:tcPr>
          <w:p w14:paraId="1C0E1BF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11,023,008.85</w:t>
            </w:r>
          </w:p>
        </w:tc>
        <w:tc>
          <w:tcPr>
            <w:tcW w:w="541" w:type="pct"/>
            <w:vAlign w:val="center"/>
          </w:tcPr>
          <w:p w14:paraId="7040BD07">
            <w:pPr>
              <w:jc w:val="right"/>
              <w:rPr>
                <w:rFonts w:cs="Times New Roman"/>
                <w:color w:val="000000" w:themeColor="text1"/>
                <w14:textFill>
                  <w14:solidFill>
                    <w14:schemeClr w14:val="tx1"/>
                  </w14:solidFill>
                </w14:textFill>
              </w:rPr>
            </w:pPr>
          </w:p>
        </w:tc>
        <w:tc>
          <w:tcPr>
            <w:tcW w:w="510" w:type="pct"/>
            <w:vAlign w:val="center"/>
          </w:tcPr>
          <w:p w14:paraId="04411BF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11,023,008.85</w:t>
            </w:r>
          </w:p>
        </w:tc>
      </w:tr>
      <w:tr w14:paraId="724B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1844E515">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三五二一际华玻纤复合滤料生产线</w:t>
            </w:r>
          </w:p>
        </w:tc>
        <w:tc>
          <w:tcPr>
            <w:tcW w:w="663" w:type="pct"/>
            <w:vAlign w:val="center"/>
          </w:tcPr>
          <w:p w14:paraId="20332CB9">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8,420,086.73</w:t>
            </w:r>
          </w:p>
        </w:tc>
        <w:tc>
          <w:tcPr>
            <w:tcW w:w="553" w:type="pct"/>
            <w:vAlign w:val="center"/>
          </w:tcPr>
          <w:p w14:paraId="4E20CB5F">
            <w:pPr>
              <w:jc w:val="right"/>
              <w:rPr>
                <w:rFonts w:cs="Times New Roman"/>
                <w:color w:val="000000" w:themeColor="text1"/>
                <w14:textFill>
                  <w14:solidFill>
                    <w14:schemeClr w14:val="tx1"/>
                  </w14:solidFill>
                </w14:textFill>
              </w:rPr>
            </w:pPr>
          </w:p>
        </w:tc>
        <w:tc>
          <w:tcPr>
            <w:tcW w:w="613" w:type="pct"/>
            <w:vAlign w:val="center"/>
          </w:tcPr>
          <w:p w14:paraId="5D99E20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8,420,086.73</w:t>
            </w:r>
          </w:p>
        </w:tc>
        <w:tc>
          <w:tcPr>
            <w:tcW w:w="542" w:type="pct"/>
            <w:vAlign w:val="center"/>
          </w:tcPr>
          <w:p w14:paraId="64285CF3">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8,420,086.73</w:t>
            </w:r>
          </w:p>
        </w:tc>
        <w:tc>
          <w:tcPr>
            <w:tcW w:w="541" w:type="pct"/>
            <w:vAlign w:val="center"/>
          </w:tcPr>
          <w:p w14:paraId="3E200A31">
            <w:pPr>
              <w:jc w:val="right"/>
              <w:rPr>
                <w:rFonts w:cs="Times New Roman"/>
                <w:color w:val="000000" w:themeColor="text1"/>
                <w14:textFill>
                  <w14:solidFill>
                    <w14:schemeClr w14:val="tx1"/>
                  </w14:solidFill>
                </w14:textFill>
              </w:rPr>
            </w:pPr>
          </w:p>
        </w:tc>
        <w:tc>
          <w:tcPr>
            <w:tcW w:w="510" w:type="pct"/>
            <w:vAlign w:val="center"/>
          </w:tcPr>
          <w:p w14:paraId="452869FC">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8,420,086.73</w:t>
            </w:r>
          </w:p>
        </w:tc>
      </w:tr>
      <w:tr w14:paraId="0A3C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372C7A9F">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重庆际华目的地中心一期项目工程</w:t>
            </w:r>
          </w:p>
        </w:tc>
        <w:tc>
          <w:tcPr>
            <w:tcW w:w="663" w:type="pct"/>
            <w:vAlign w:val="center"/>
          </w:tcPr>
          <w:p w14:paraId="6ACC4059">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13,677,460.22</w:t>
            </w:r>
          </w:p>
        </w:tc>
        <w:tc>
          <w:tcPr>
            <w:tcW w:w="553" w:type="pct"/>
            <w:vAlign w:val="center"/>
          </w:tcPr>
          <w:p w14:paraId="71358CA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6,110,602.68</w:t>
            </w:r>
          </w:p>
        </w:tc>
        <w:tc>
          <w:tcPr>
            <w:tcW w:w="613" w:type="pct"/>
            <w:vAlign w:val="center"/>
          </w:tcPr>
          <w:p w14:paraId="329CC6AC">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7,566,857.54</w:t>
            </w:r>
          </w:p>
        </w:tc>
        <w:tc>
          <w:tcPr>
            <w:tcW w:w="542" w:type="pct"/>
            <w:vAlign w:val="center"/>
          </w:tcPr>
          <w:p w14:paraId="13E1494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13,677,460.22</w:t>
            </w:r>
          </w:p>
        </w:tc>
        <w:tc>
          <w:tcPr>
            <w:tcW w:w="541" w:type="pct"/>
            <w:vAlign w:val="center"/>
          </w:tcPr>
          <w:p w14:paraId="41D32CD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6,110,602.68</w:t>
            </w:r>
          </w:p>
        </w:tc>
        <w:tc>
          <w:tcPr>
            <w:tcW w:w="510" w:type="pct"/>
            <w:vAlign w:val="center"/>
          </w:tcPr>
          <w:p w14:paraId="396C816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7,566,857.54</w:t>
            </w:r>
          </w:p>
        </w:tc>
      </w:tr>
      <w:tr w14:paraId="6BB5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0AC7DA63">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三五二一际华滨江二期项目过渡</w:t>
            </w:r>
          </w:p>
        </w:tc>
        <w:tc>
          <w:tcPr>
            <w:tcW w:w="663" w:type="pct"/>
            <w:vAlign w:val="center"/>
          </w:tcPr>
          <w:p w14:paraId="63088EF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3,706,706.30</w:t>
            </w:r>
          </w:p>
        </w:tc>
        <w:tc>
          <w:tcPr>
            <w:tcW w:w="553" w:type="pct"/>
            <w:vAlign w:val="center"/>
          </w:tcPr>
          <w:p w14:paraId="207FE785">
            <w:pPr>
              <w:jc w:val="right"/>
              <w:rPr>
                <w:rFonts w:cs="Times New Roman"/>
                <w:color w:val="000000" w:themeColor="text1"/>
                <w14:textFill>
                  <w14:solidFill>
                    <w14:schemeClr w14:val="tx1"/>
                  </w14:solidFill>
                </w14:textFill>
              </w:rPr>
            </w:pPr>
          </w:p>
        </w:tc>
        <w:tc>
          <w:tcPr>
            <w:tcW w:w="613" w:type="pct"/>
            <w:vAlign w:val="center"/>
          </w:tcPr>
          <w:p w14:paraId="612018B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3,706,706.30</w:t>
            </w:r>
          </w:p>
        </w:tc>
        <w:tc>
          <w:tcPr>
            <w:tcW w:w="542" w:type="pct"/>
            <w:vAlign w:val="center"/>
          </w:tcPr>
          <w:p w14:paraId="2E5C8DAA">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2,479,595.16</w:t>
            </w:r>
          </w:p>
        </w:tc>
        <w:tc>
          <w:tcPr>
            <w:tcW w:w="541" w:type="pct"/>
            <w:vAlign w:val="center"/>
          </w:tcPr>
          <w:p w14:paraId="034E495A">
            <w:pPr>
              <w:jc w:val="right"/>
              <w:rPr>
                <w:rFonts w:cs="Times New Roman"/>
                <w:color w:val="000000" w:themeColor="text1"/>
                <w14:textFill>
                  <w14:solidFill>
                    <w14:schemeClr w14:val="tx1"/>
                  </w14:solidFill>
                </w14:textFill>
              </w:rPr>
            </w:pPr>
          </w:p>
        </w:tc>
        <w:tc>
          <w:tcPr>
            <w:tcW w:w="510" w:type="pct"/>
            <w:vAlign w:val="center"/>
          </w:tcPr>
          <w:p w14:paraId="2D8BE1C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2,479,595.16</w:t>
            </w:r>
          </w:p>
        </w:tc>
      </w:tr>
      <w:tr w14:paraId="3337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6F727FFF">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三五二一际华防护装具研发中心建筑项目</w:t>
            </w:r>
          </w:p>
        </w:tc>
        <w:tc>
          <w:tcPr>
            <w:tcW w:w="663" w:type="pct"/>
            <w:vAlign w:val="center"/>
          </w:tcPr>
          <w:p w14:paraId="3FDFCFF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7,442,245.48</w:t>
            </w:r>
          </w:p>
        </w:tc>
        <w:tc>
          <w:tcPr>
            <w:tcW w:w="553" w:type="pct"/>
            <w:vAlign w:val="center"/>
          </w:tcPr>
          <w:p w14:paraId="26BA0571">
            <w:pPr>
              <w:jc w:val="right"/>
              <w:rPr>
                <w:rFonts w:cs="Times New Roman"/>
                <w:color w:val="000000" w:themeColor="text1"/>
                <w14:textFill>
                  <w14:solidFill>
                    <w14:schemeClr w14:val="tx1"/>
                  </w14:solidFill>
                </w14:textFill>
              </w:rPr>
            </w:pPr>
          </w:p>
        </w:tc>
        <w:tc>
          <w:tcPr>
            <w:tcW w:w="613" w:type="pct"/>
            <w:vAlign w:val="center"/>
          </w:tcPr>
          <w:p w14:paraId="6B38861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7,442,245.48</w:t>
            </w:r>
          </w:p>
        </w:tc>
        <w:tc>
          <w:tcPr>
            <w:tcW w:w="542" w:type="pct"/>
            <w:vAlign w:val="center"/>
          </w:tcPr>
          <w:p w14:paraId="324FAFCF">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1,651,623.05</w:t>
            </w:r>
          </w:p>
        </w:tc>
        <w:tc>
          <w:tcPr>
            <w:tcW w:w="541" w:type="pct"/>
            <w:vAlign w:val="center"/>
          </w:tcPr>
          <w:p w14:paraId="2D11C0AF">
            <w:pPr>
              <w:jc w:val="right"/>
              <w:rPr>
                <w:rFonts w:cs="Times New Roman"/>
                <w:color w:val="000000" w:themeColor="text1"/>
                <w14:textFill>
                  <w14:solidFill>
                    <w14:schemeClr w14:val="tx1"/>
                  </w14:solidFill>
                </w14:textFill>
              </w:rPr>
            </w:pPr>
          </w:p>
        </w:tc>
        <w:tc>
          <w:tcPr>
            <w:tcW w:w="510" w:type="pct"/>
            <w:vAlign w:val="center"/>
          </w:tcPr>
          <w:p w14:paraId="070AD42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1,651,623.05</w:t>
            </w:r>
          </w:p>
        </w:tc>
      </w:tr>
      <w:tr w14:paraId="7DD4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2AA1AC42">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际华三五一三实业有限公司-零购设备</w:t>
            </w:r>
          </w:p>
        </w:tc>
        <w:tc>
          <w:tcPr>
            <w:tcW w:w="663" w:type="pct"/>
            <w:vAlign w:val="center"/>
          </w:tcPr>
          <w:p w14:paraId="58946DB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8,445,625.85</w:t>
            </w:r>
          </w:p>
        </w:tc>
        <w:tc>
          <w:tcPr>
            <w:tcW w:w="553" w:type="pct"/>
            <w:vAlign w:val="center"/>
          </w:tcPr>
          <w:p w14:paraId="29B1656C">
            <w:pPr>
              <w:jc w:val="right"/>
              <w:rPr>
                <w:rFonts w:cs="Times New Roman"/>
                <w:color w:val="000000" w:themeColor="text1"/>
                <w14:textFill>
                  <w14:solidFill>
                    <w14:schemeClr w14:val="tx1"/>
                  </w14:solidFill>
                </w14:textFill>
              </w:rPr>
            </w:pPr>
          </w:p>
        </w:tc>
        <w:tc>
          <w:tcPr>
            <w:tcW w:w="613" w:type="pct"/>
            <w:vAlign w:val="center"/>
          </w:tcPr>
          <w:p w14:paraId="1183A15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8,445,625.85</w:t>
            </w:r>
          </w:p>
        </w:tc>
        <w:tc>
          <w:tcPr>
            <w:tcW w:w="542" w:type="pct"/>
            <w:vAlign w:val="center"/>
          </w:tcPr>
          <w:p w14:paraId="31FE1F8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3,843,733.92</w:t>
            </w:r>
          </w:p>
        </w:tc>
        <w:tc>
          <w:tcPr>
            <w:tcW w:w="541" w:type="pct"/>
            <w:vAlign w:val="center"/>
          </w:tcPr>
          <w:p w14:paraId="171EF684">
            <w:pPr>
              <w:jc w:val="right"/>
              <w:rPr>
                <w:rFonts w:cs="Times New Roman"/>
                <w:color w:val="000000" w:themeColor="text1"/>
                <w14:textFill>
                  <w14:solidFill>
                    <w14:schemeClr w14:val="tx1"/>
                  </w14:solidFill>
                </w14:textFill>
              </w:rPr>
            </w:pPr>
          </w:p>
        </w:tc>
        <w:tc>
          <w:tcPr>
            <w:tcW w:w="510" w:type="pct"/>
            <w:vAlign w:val="center"/>
          </w:tcPr>
          <w:p w14:paraId="7478073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3,843,733.92</w:t>
            </w:r>
          </w:p>
        </w:tc>
      </w:tr>
      <w:tr w14:paraId="025F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08E65D70">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三五四三自动输送料项目</w:t>
            </w:r>
          </w:p>
        </w:tc>
        <w:tc>
          <w:tcPr>
            <w:tcW w:w="663" w:type="pct"/>
            <w:vAlign w:val="center"/>
          </w:tcPr>
          <w:p w14:paraId="551DAB5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3,683,752.01</w:t>
            </w:r>
          </w:p>
        </w:tc>
        <w:tc>
          <w:tcPr>
            <w:tcW w:w="553" w:type="pct"/>
            <w:vAlign w:val="center"/>
          </w:tcPr>
          <w:p w14:paraId="05D97C20">
            <w:pPr>
              <w:jc w:val="right"/>
              <w:rPr>
                <w:rFonts w:cs="Times New Roman"/>
                <w:color w:val="000000" w:themeColor="text1"/>
                <w14:textFill>
                  <w14:solidFill>
                    <w14:schemeClr w14:val="tx1"/>
                  </w14:solidFill>
                </w14:textFill>
              </w:rPr>
            </w:pPr>
          </w:p>
        </w:tc>
        <w:tc>
          <w:tcPr>
            <w:tcW w:w="613" w:type="pct"/>
            <w:vAlign w:val="center"/>
          </w:tcPr>
          <w:p w14:paraId="3457F6F1">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3,683,752.01</w:t>
            </w:r>
          </w:p>
        </w:tc>
        <w:tc>
          <w:tcPr>
            <w:tcW w:w="542" w:type="pct"/>
            <w:vAlign w:val="center"/>
          </w:tcPr>
          <w:p w14:paraId="68A3D3F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3,577,557.32</w:t>
            </w:r>
          </w:p>
        </w:tc>
        <w:tc>
          <w:tcPr>
            <w:tcW w:w="541" w:type="pct"/>
            <w:vAlign w:val="center"/>
          </w:tcPr>
          <w:p w14:paraId="449176BC">
            <w:pPr>
              <w:jc w:val="right"/>
              <w:rPr>
                <w:rFonts w:cs="Times New Roman"/>
                <w:color w:val="000000" w:themeColor="text1"/>
                <w14:textFill>
                  <w14:solidFill>
                    <w14:schemeClr w14:val="tx1"/>
                  </w14:solidFill>
                </w14:textFill>
              </w:rPr>
            </w:pPr>
          </w:p>
        </w:tc>
        <w:tc>
          <w:tcPr>
            <w:tcW w:w="510" w:type="pct"/>
            <w:vAlign w:val="center"/>
          </w:tcPr>
          <w:p w14:paraId="384D420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3,577,557.32</w:t>
            </w:r>
          </w:p>
        </w:tc>
      </w:tr>
      <w:tr w14:paraId="2C49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2C91AA70">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际华三五一三实业有限公司产线改造升级</w:t>
            </w:r>
          </w:p>
        </w:tc>
        <w:tc>
          <w:tcPr>
            <w:tcW w:w="663" w:type="pct"/>
            <w:vAlign w:val="center"/>
          </w:tcPr>
          <w:p w14:paraId="47AC079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3,172,920.35</w:t>
            </w:r>
          </w:p>
        </w:tc>
        <w:tc>
          <w:tcPr>
            <w:tcW w:w="553" w:type="pct"/>
            <w:vAlign w:val="center"/>
          </w:tcPr>
          <w:p w14:paraId="16A1B4ED">
            <w:pPr>
              <w:jc w:val="right"/>
              <w:rPr>
                <w:rFonts w:cs="Times New Roman"/>
                <w:color w:val="000000" w:themeColor="text1"/>
                <w14:textFill>
                  <w14:solidFill>
                    <w14:schemeClr w14:val="tx1"/>
                  </w14:solidFill>
                </w14:textFill>
              </w:rPr>
            </w:pPr>
          </w:p>
        </w:tc>
        <w:tc>
          <w:tcPr>
            <w:tcW w:w="613" w:type="pct"/>
            <w:vAlign w:val="center"/>
          </w:tcPr>
          <w:p w14:paraId="2DC4CC0B">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3,172,920.35</w:t>
            </w:r>
          </w:p>
        </w:tc>
        <w:tc>
          <w:tcPr>
            <w:tcW w:w="542" w:type="pct"/>
            <w:vAlign w:val="center"/>
          </w:tcPr>
          <w:p w14:paraId="6F2FFDD9">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3,172,920.35</w:t>
            </w:r>
          </w:p>
        </w:tc>
        <w:tc>
          <w:tcPr>
            <w:tcW w:w="541" w:type="pct"/>
            <w:vAlign w:val="center"/>
          </w:tcPr>
          <w:p w14:paraId="3647FDF1">
            <w:pPr>
              <w:jc w:val="right"/>
              <w:rPr>
                <w:rFonts w:cs="Times New Roman"/>
                <w:color w:val="000000" w:themeColor="text1"/>
                <w14:textFill>
                  <w14:solidFill>
                    <w14:schemeClr w14:val="tx1"/>
                  </w14:solidFill>
                </w14:textFill>
              </w:rPr>
            </w:pPr>
          </w:p>
        </w:tc>
        <w:tc>
          <w:tcPr>
            <w:tcW w:w="510" w:type="pct"/>
            <w:vAlign w:val="center"/>
          </w:tcPr>
          <w:p w14:paraId="2A25954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3,172,920.35</w:t>
            </w:r>
          </w:p>
        </w:tc>
      </w:tr>
      <w:tr w14:paraId="5FBC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4C4868B6">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际华三五三四制衣有限公司空港物流园项目</w:t>
            </w:r>
          </w:p>
        </w:tc>
        <w:tc>
          <w:tcPr>
            <w:tcW w:w="663" w:type="pct"/>
            <w:vAlign w:val="center"/>
          </w:tcPr>
          <w:p w14:paraId="56304E0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3,028,433.97</w:t>
            </w:r>
          </w:p>
        </w:tc>
        <w:tc>
          <w:tcPr>
            <w:tcW w:w="553" w:type="pct"/>
            <w:vAlign w:val="center"/>
          </w:tcPr>
          <w:p w14:paraId="0F98F040">
            <w:pPr>
              <w:jc w:val="right"/>
              <w:rPr>
                <w:rFonts w:cs="Times New Roman"/>
                <w:color w:val="000000" w:themeColor="text1"/>
                <w14:textFill>
                  <w14:solidFill>
                    <w14:schemeClr w14:val="tx1"/>
                  </w14:solidFill>
                </w14:textFill>
              </w:rPr>
            </w:pPr>
          </w:p>
        </w:tc>
        <w:tc>
          <w:tcPr>
            <w:tcW w:w="613" w:type="pct"/>
            <w:vAlign w:val="center"/>
          </w:tcPr>
          <w:p w14:paraId="1011291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3,028,433.97</w:t>
            </w:r>
          </w:p>
        </w:tc>
        <w:tc>
          <w:tcPr>
            <w:tcW w:w="542" w:type="pct"/>
            <w:vAlign w:val="center"/>
          </w:tcPr>
          <w:p w14:paraId="6111A7C9">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2,723,001.20</w:t>
            </w:r>
          </w:p>
        </w:tc>
        <w:tc>
          <w:tcPr>
            <w:tcW w:w="541" w:type="pct"/>
            <w:vAlign w:val="center"/>
          </w:tcPr>
          <w:p w14:paraId="3BED52A2">
            <w:pPr>
              <w:jc w:val="right"/>
              <w:rPr>
                <w:rFonts w:cs="Times New Roman"/>
                <w:color w:val="000000" w:themeColor="text1"/>
                <w14:textFill>
                  <w14:solidFill>
                    <w14:schemeClr w14:val="tx1"/>
                  </w14:solidFill>
                </w14:textFill>
              </w:rPr>
            </w:pPr>
          </w:p>
        </w:tc>
        <w:tc>
          <w:tcPr>
            <w:tcW w:w="510" w:type="pct"/>
            <w:vAlign w:val="center"/>
          </w:tcPr>
          <w:p w14:paraId="5DCF2CB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2,723,001.20</w:t>
            </w:r>
          </w:p>
        </w:tc>
      </w:tr>
      <w:tr w14:paraId="2856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7F0C5169">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际华三五三六实业有限公司功能性工装智能生产线改造项目</w:t>
            </w:r>
          </w:p>
        </w:tc>
        <w:tc>
          <w:tcPr>
            <w:tcW w:w="663" w:type="pct"/>
            <w:vAlign w:val="center"/>
          </w:tcPr>
          <w:p w14:paraId="53D28E9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4,511,361.21</w:t>
            </w:r>
          </w:p>
        </w:tc>
        <w:tc>
          <w:tcPr>
            <w:tcW w:w="553" w:type="pct"/>
            <w:vAlign w:val="center"/>
          </w:tcPr>
          <w:p w14:paraId="45D396F4">
            <w:pPr>
              <w:jc w:val="right"/>
              <w:rPr>
                <w:rFonts w:cs="Times New Roman"/>
                <w:color w:val="000000" w:themeColor="text1"/>
                <w14:textFill>
                  <w14:solidFill>
                    <w14:schemeClr w14:val="tx1"/>
                  </w14:solidFill>
                </w14:textFill>
              </w:rPr>
            </w:pPr>
          </w:p>
        </w:tc>
        <w:tc>
          <w:tcPr>
            <w:tcW w:w="613" w:type="pct"/>
            <w:vAlign w:val="center"/>
          </w:tcPr>
          <w:p w14:paraId="1DB2338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4,511,361.21</w:t>
            </w:r>
          </w:p>
        </w:tc>
        <w:tc>
          <w:tcPr>
            <w:tcW w:w="542" w:type="pct"/>
            <w:vAlign w:val="center"/>
          </w:tcPr>
          <w:p w14:paraId="3757DF4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2,682,142.05</w:t>
            </w:r>
          </w:p>
        </w:tc>
        <w:tc>
          <w:tcPr>
            <w:tcW w:w="541" w:type="pct"/>
            <w:vAlign w:val="center"/>
          </w:tcPr>
          <w:p w14:paraId="4750E265">
            <w:pPr>
              <w:jc w:val="right"/>
              <w:rPr>
                <w:rFonts w:cs="Times New Roman"/>
                <w:color w:val="000000" w:themeColor="text1"/>
                <w14:textFill>
                  <w14:solidFill>
                    <w14:schemeClr w14:val="tx1"/>
                  </w14:solidFill>
                </w14:textFill>
              </w:rPr>
            </w:pPr>
          </w:p>
        </w:tc>
        <w:tc>
          <w:tcPr>
            <w:tcW w:w="510" w:type="pct"/>
            <w:vAlign w:val="center"/>
          </w:tcPr>
          <w:p w14:paraId="65DB9C0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2,682,142.05</w:t>
            </w:r>
          </w:p>
        </w:tc>
      </w:tr>
      <w:tr w14:paraId="20F9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367B07A8">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三五四三电脑商标机</w:t>
            </w:r>
          </w:p>
        </w:tc>
        <w:tc>
          <w:tcPr>
            <w:tcW w:w="663" w:type="pct"/>
            <w:vAlign w:val="center"/>
          </w:tcPr>
          <w:p w14:paraId="223123F2">
            <w:pPr>
              <w:jc w:val="right"/>
              <w:rPr>
                <w:rFonts w:cs="Times New Roman"/>
                <w:color w:val="000000" w:themeColor="text1"/>
                <w14:textFill>
                  <w14:solidFill>
                    <w14:schemeClr w14:val="tx1"/>
                  </w14:solidFill>
                </w14:textFill>
              </w:rPr>
            </w:pPr>
          </w:p>
        </w:tc>
        <w:tc>
          <w:tcPr>
            <w:tcW w:w="553" w:type="pct"/>
            <w:vAlign w:val="center"/>
          </w:tcPr>
          <w:p w14:paraId="228F211C">
            <w:pPr>
              <w:jc w:val="right"/>
              <w:rPr>
                <w:rFonts w:cs="Times New Roman"/>
                <w:color w:val="000000" w:themeColor="text1"/>
                <w14:textFill>
                  <w14:solidFill>
                    <w14:schemeClr w14:val="tx1"/>
                  </w14:solidFill>
                </w14:textFill>
              </w:rPr>
            </w:pPr>
          </w:p>
        </w:tc>
        <w:tc>
          <w:tcPr>
            <w:tcW w:w="613" w:type="pct"/>
            <w:vAlign w:val="center"/>
          </w:tcPr>
          <w:p w14:paraId="50A2E33D">
            <w:pPr>
              <w:jc w:val="right"/>
              <w:rPr>
                <w:rFonts w:cs="Times New Roman"/>
                <w:color w:val="000000" w:themeColor="text1"/>
                <w14:textFill>
                  <w14:solidFill>
                    <w14:schemeClr w14:val="tx1"/>
                  </w14:solidFill>
                </w14:textFill>
              </w:rPr>
            </w:pPr>
          </w:p>
        </w:tc>
        <w:tc>
          <w:tcPr>
            <w:tcW w:w="542" w:type="pct"/>
            <w:vAlign w:val="center"/>
          </w:tcPr>
          <w:p w14:paraId="160CB76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1,732,743.36</w:t>
            </w:r>
          </w:p>
        </w:tc>
        <w:tc>
          <w:tcPr>
            <w:tcW w:w="541" w:type="pct"/>
            <w:vAlign w:val="center"/>
          </w:tcPr>
          <w:p w14:paraId="10C30530">
            <w:pPr>
              <w:jc w:val="right"/>
              <w:rPr>
                <w:rFonts w:cs="Times New Roman"/>
                <w:color w:val="000000" w:themeColor="text1"/>
                <w14:textFill>
                  <w14:solidFill>
                    <w14:schemeClr w14:val="tx1"/>
                  </w14:solidFill>
                </w14:textFill>
              </w:rPr>
            </w:pPr>
          </w:p>
        </w:tc>
        <w:tc>
          <w:tcPr>
            <w:tcW w:w="510" w:type="pct"/>
            <w:vAlign w:val="center"/>
          </w:tcPr>
          <w:p w14:paraId="6CC91AD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1,732,743.36</w:t>
            </w:r>
          </w:p>
        </w:tc>
      </w:tr>
      <w:tr w14:paraId="6B89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42097673">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新疆华锦生态纺织印染项目</w:t>
            </w:r>
          </w:p>
        </w:tc>
        <w:tc>
          <w:tcPr>
            <w:tcW w:w="663" w:type="pct"/>
            <w:vAlign w:val="center"/>
          </w:tcPr>
          <w:p w14:paraId="3C4DD87B">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38,311,006.25</w:t>
            </w:r>
          </w:p>
        </w:tc>
        <w:tc>
          <w:tcPr>
            <w:tcW w:w="553" w:type="pct"/>
            <w:vAlign w:val="center"/>
          </w:tcPr>
          <w:p w14:paraId="28661A60">
            <w:pPr>
              <w:jc w:val="right"/>
              <w:rPr>
                <w:rFonts w:cs="Times New Roman"/>
                <w:color w:val="000000" w:themeColor="text1"/>
                <w14:textFill>
                  <w14:solidFill>
                    <w14:schemeClr w14:val="tx1"/>
                  </w14:solidFill>
                </w14:textFill>
              </w:rPr>
            </w:pPr>
          </w:p>
        </w:tc>
        <w:tc>
          <w:tcPr>
            <w:tcW w:w="613" w:type="pct"/>
            <w:vAlign w:val="center"/>
          </w:tcPr>
          <w:p w14:paraId="30E52F0A">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38,311,006.25</w:t>
            </w:r>
          </w:p>
        </w:tc>
        <w:tc>
          <w:tcPr>
            <w:tcW w:w="542" w:type="pct"/>
            <w:vAlign w:val="center"/>
          </w:tcPr>
          <w:p w14:paraId="2BA6AC2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1,037,622.23</w:t>
            </w:r>
          </w:p>
        </w:tc>
        <w:tc>
          <w:tcPr>
            <w:tcW w:w="541" w:type="pct"/>
            <w:vAlign w:val="center"/>
          </w:tcPr>
          <w:p w14:paraId="2D26B855">
            <w:pPr>
              <w:jc w:val="right"/>
              <w:rPr>
                <w:rFonts w:cs="Times New Roman"/>
                <w:color w:val="000000" w:themeColor="text1"/>
                <w14:textFill>
                  <w14:solidFill>
                    <w14:schemeClr w14:val="tx1"/>
                  </w14:solidFill>
                </w14:textFill>
              </w:rPr>
            </w:pPr>
          </w:p>
        </w:tc>
        <w:tc>
          <w:tcPr>
            <w:tcW w:w="510" w:type="pct"/>
            <w:vAlign w:val="center"/>
          </w:tcPr>
          <w:p w14:paraId="7236470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1,037,622.23</w:t>
            </w:r>
          </w:p>
        </w:tc>
      </w:tr>
      <w:tr w14:paraId="5089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7DD21A0F">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三五四二公司研发大楼及实验室</w:t>
            </w:r>
          </w:p>
        </w:tc>
        <w:tc>
          <w:tcPr>
            <w:tcW w:w="663" w:type="pct"/>
            <w:vAlign w:val="center"/>
          </w:tcPr>
          <w:p w14:paraId="2BB0D48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41,954,299.30</w:t>
            </w:r>
          </w:p>
        </w:tc>
        <w:tc>
          <w:tcPr>
            <w:tcW w:w="553" w:type="pct"/>
            <w:vAlign w:val="center"/>
          </w:tcPr>
          <w:p w14:paraId="76EDBB61">
            <w:pPr>
              <w:jc w:val="right"/>
              <w:rPr>
                <w:rFonts w:cs="Times New Roman"/>
                <w:color w:val="000000" w:themeColor="text1"/>
                <w14:textFill>
                  <w14:solidFill>
                    <w14:schemeClr w14:val="tx1"/>
                  </w14:solidFill>
                </w14:textFill>
              </w:rPr>
            </w:pPr>
          </w:p>
        </w:tc>
        <w:tc>
          <w:tcPr>
            <w:tcW w:w="613" w:type="pct"/>
            <w:vAlign w:val="center"/>
          </w:tcPr>
          <w:p w14:paraId="4BE885F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41,954,299.30</w:t>
            </w:r>
          </w:p>
        </w:tc>
        <w:tc>
          <w:tcPr>
            <w:tcW w:w="542" w:type="pct"/>
            <w:vAlign w:val="center"/>
          </w:tcPr>
          <w:p w14:paraId="5B1C2D8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40,847,725.77</w:t>
            </w:r>
          </w:p>
        </w:tc>
        <w:tc>
          <w:tcPr>
            <w:tcW w:w="541" w:type="pct"/>
            <w:vAlign w:val="center"/>
          </w:tcPr>
          <w:p w14:paraId="4AD98148">
            <w:pPr>
              <w:jc w:val="right"/>
              <w:rPr>
                <w:rFonts w:cs="Times New Roman"/>
                <w:color w:val="000000" w:themeColor="text1"/>
                <w14:textFill>
                  <w14:solidFill>
                    <w14:schemeClr w14:val="tx1"/>
                  </w14:solidFill>
                </w14:textFill>
              </w:rPr>
            </w:pPr>
          </w:p>
        </w:tc>
        <w:tc>
          <w:tcPr>
            <w:tcW w:w="510" w:type="pct"/>
            <w:vAlign w:val="center"/>
          </w:tcPr>
          <w:p w14:paraId="496CA445">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40,847,725.77</w:t>
            </w:r>
          </w:p>
        </w:tc>
      </w:tr>
      <w:tr w14:paraId="6394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1513FF66">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三五四二公司年产2500吨特种尼龙 66长丝中试线建设项目</w:t>
            </w:r>
          </w:p>
        </w:tc>
        <w:tc>
          <w:tcPr>
            <w:tcW w:w="663" w:type="pct"/>
            <w:vAlign w:val="center"/>
          </w:tcPr>
          <w:p w14:paraId="0274CC08">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29,677,771.29</w:t>
            </w:r>
          </w:p>
        </w:tc>
        <w:tc>
          <w:tcPr>
            <w:tcW w:w="553" w:type="pct"/>
            <w:vAlign w:val="center"/>
          </w:tcPr>
          <w:p w14:paraId="7A7933D7">
            <w:pPr>
              <w:jc w:val="right"/>
              <w:rPr>
                <w:rFonts w:cs="Times New Roman"/>
                <w:color w:val="000000" w:themeColor="text1"/>
                <w14:textFill>
                  <w14:solidFill>
                    <w14:schemeClr w14:val="tx1"/>
                  </w14:solidFill>
                </w14:textFill>
              </w:rPr>
            </w:pPr>
          </w:p>
        </w:tc>
        <w:tc>
          <w:tcPr>
            <w:tcW w:w="613" w:type="pct"/>
            <w:vAlign w:val="center"/>
          </w:tcPr>
          <w:p w14:paraId="5A8036D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29,677,771.29</w:t>
            </w:r>
          </w:p>
        </w:tc>
        <w:tc>
          <w:tcPr>
            <w:tcW w:w="542" w:type="pct"/>
            <w:vAlign w:val="center"/>
          </w:tcPr>
          <w:p w14:paraId="45FFA141">
            <w:pPr>
              <w:jc w:val="right"/>
              <w:rPr>
                <w:rFonts w:cs="Times New Roman"/>
                <w:color w:val="000000" w:themeColor="text1"/>
                <w14:textFill>
                  <w14:solidFill>
                    <w14:schemeClr w14:val="tx1"/>
                  </w14:solidFill>
                </w14:textFill>
              </w:rPr>
            </w:pPr>
          </w:p>
        </w:tc>
        <w:tc>
          <w:tcPr>
            <w:tcW w:w="541" w:type="pct"/>
            <w:vAlign w:val="center"/>
          </w:tcPr>
          <w:p w14:paraId="4CED8DC0">
            <w:pPr>
              <w:jc w:val="right"/>
              <w:rPr>
                <w:rFonts w:cs="Times New Roman"/>
                <w:color w:val="000000" w:themeColor="text1"/>
                <w14:textFill>
                  <w14:solidFill>
                    <w14:schemeClr w14:val="tx1"/>
                  </w14:solidFill>
                </w14:textFill>
              </w:rPr>
            </w:pPr>
          </w:p>
        </w:tc>
        <w:tc>
          <w:tcPr>
            <w:tcW w:w="510" w:type="pct"/>
            <w:vAlign w:val="center"/>
          </w:tcPr>
          <w:p w14:paraId="2F0BEB1A">
            <w:pPr>
              <w:jc w:val="right"/>
              <w:rPr>
                <w:rFonts w:cs="Times New Roman"/>
                <w:color w:val="000000" w:themeColor="text1"/>
                <w14:textFill>
                  <w14:solidFill>
                    <w14:schemeClr w14:val="tx1"/>
                  </w14:solidFill>
                </w14:textFill>
              </w:rPr>
            </w:pPr>
          </w:p>
        </w:tc>
      </w:tr>
      <w:tr w14:paraId="0983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398B78A7">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三五零二公司智能分拣流水线项目</w:t>
            </w:r>
          </w:p>
        </w:tc>
        <w:tc>
          <w:tcPr>
            <w:tcW w:w="663" w:type="pct"/>
            <w:vAlign w:val="center"/>
          </w:tcPr>
          <w:p w14:paraId="6D42CEA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7,547,833.09</w:t>
            </w:r>
          </w:p>
        </w:tc>
        <w:tc>
          <w:tcPr>
            <w:tcW w:w="553" w:type="pct"/>
            <w:vAlign w:val="center"/>
          </w:tcPr>
          <w:p w14:paraId="607CE575">
            <w:pPr>
              <w:jc w:val="right"/>
              <w:rPr>
                <w:rFonts w:cs="Times New Roman"/>
                <w:color w:val="000000" w:themeColor="text1"/>
                <w14:textFill>
                  <w14:solidFill>
                    <w14:schemeClr w14:val="tx1"/>
                  </w14:solidFill>
                </w14:textFill>
              </w:rPr>
            </w:pPr>
          </w:p>
        </w:tc>
        <w:tc>
          <w:tcPr>
            <w:tcW w:w="613" w:type="pct"/>
            <w:vAlign w:val="center"/>
          </w:tcPr>
          <w:p w14:paraId="2365742F">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7,547,833.09</w:t>
            </w:r>
          </w:p>
        </w:tc>
        <w:tc>
          <w:tcPr>
            <w:tcW w:w="542" w:type="pct"/>
            <w:vAlign w:val="center"/>
          </w:tcPr>
          <w:p w14:paraId="34B37EEE">
            <w:pPr>
              <w:jc w:val="right"/>
              <w:rPr>
                <w:rFonts w:cs="Times New Roman"/>
                <w:color w:val="000000" w:themeColor="text1"/>
                <w14:textFill>
                  <w14:solidFill>
                    <w14:schemeClr w14:val="tx1"/>
                  </w14:solidFill>
                </w14:textFill>
              </w:rPr>
            </w:pPr>
          </w:p>
        </w:tc>
        <w:tc>
          <w:tcPr>
            <w:tcW w:w="541" w:type="pct"/>
            <w:vAlign w:val="center"/>
          </w:tcPr>
          <w:p w14:paraId="65B3E09E">
            <w:pPr>
              <w:jc w:val="right"/>
              <w:rPr>
                <w:rFonts w:cs="Times New Roman"/>
                <w:color w:val="000000" w:themeColor="text1"/>
                <w14:textFill>
                  <w14:solidFill>
                    <w14:schemeClr w14:val="tx1"/>
                  </w14:solidFill>
                </w14:textFill>
              </w:rPr>
            </w:pPr>
          </w:p>
        </w:tc>
        <w:tc>
          <w:tcPr>
            <w:tcW w:w="510" w:type="pct"/>
            <w:vAlign w:val="center"/>
          </w:tcPr>
          <w:p w14:paraId="4CE53C50">
            <w:pPr>
              <w:jc w:val="right"/>
              <w:rPr>
                <w:rFonts w:cs="Times New Roman"/>
                <w:color w:val="000000" w:themeColor="text1"/>
                <w14:textFill>
                  <w14:solidFill>
                    <w14:schemeClr w14:val="tx1"/>
                  </w14:solidFill>
                </w14:textFill>
              </w:rPr>
            </w:pPr>
          </w:p>
        </w:tc>
      </w:tr>
      <w:tr w14:paraId="424D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6BB88E30">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三五零二际华华北特种防护装备生产研发基地</w:t>
            </w:r>
          </w:p>
        </w:tc>
        <w:tc>
          <w:tcPr>
            <w:tcW w:w="663" w:type="pct"/>
            <w:vAlign w:val="center"/>
          </w:tcPr>
          <w:p w14:paraId="6B17C26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4,226,589.22</w:t>
            </w:r>
          </w:p>
        </w:tc>
        <w:tc>
          <w:tcPr>
            <w:tcW w:w="553" w:type="pct"/>
            <w:vAlign w:val="center"/>
          </w:tcPr>
          <w:p w14:paraId="1EB01310">
            <w:pPr>
              <w:jc w:val="right"/>
              <w:rPr>
                <w:rFonts w:cs="Times New Roman"/>
                <w:color w:val="000000" w:themeColor="text1"/>
                <w14:textFill>
                  <w14:solidFill>
                    <w14:schemeClr w14:val="tx1"/>
                  </w14:solidFill>
                </w14:textFill>
              </w:rPr>
            </w:pPr>
          </w:p>
        </w:tc>
        <w:tc>
          <w:tcPr>
            <w:tcW w:w="613" w:type="pct"/>
            <w:vAlign w:val="center"/>
          </w:tcPr>
          <w:p w14:paraId="63EDE9A4">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4,226,589.22</w:t>
            </w:r>
          </w:p>
        </w:tc>
        <w:tc>
          <w:tcPr>
            <w:tcW w:w="542" w:type="pct"/>
            <w:vAlign w:val="center"/>
          </w:tcPr>
          <w:p w14:paraId="7E860E73">
            <w:pPr>
              <w:jc w:val="right"/>
              <w:rPr>
                <w:rFonts w:cs="Times New Roman"/>
                <w:color w:val="000000" w:themeColor="text1"/>
                <w14:textFill>
                  <w14:solidFill>
                    <w14:schemeClr w14:val="tx1"/>
                  </w14:solidFill>
                </w14:textFill>
              </w:rPr>
            </w:pPr>
          </w:p>
        </w:tc>
        <w:tc>
          <w:tcPr>
            <w:tcW w:w="541" w:type="pct"/>
            <w:vAlign w:val="center"/>
          </w:tcPr>
          <w:p w14:paraId="24972996">
            <w:pPr>
              <w:jc w:val="right"/>
              <w:rPr>
                <w:rFonts w:cs="Times New Roman"/>
                <w:color w:val="000000" w:themeColor="text1"/>
                <w14:textFill>
                  <w14:solidFill>
                    <w14:schemeClr w14:val="tx1"/>
                  </w14:solidFill>
                </w14:textFill>
              </w:rPr>
            </w:pPr>
          </w:p>
        </w:tc>
        <w:tc>
          <w:tcPr>
            <w:tcW w:w="510" w:type="pct"/>
            <w:vAlign w:val="center"/>
          </w:tcPr>
          <w:p w14:paraId="521063CC">
            <w:pPr>
              <w:jc w:val="right"/>
              <w:rPr>
                <w:rFonts w:cs="Times New Roman"/>
                <w:color w:val="000000" w:themeColor="text1"/>
                <w14:textFill>
                  <w14:solidFill>
                    <w14:schemeClr w14:val="tx1"/>
                  </w14:solidFill>
                </w14:textFill>
              </w:rPr>
            </w:pPr>
          </w:p>
        </w:tc>
      </w:tr>
      <w:tr w14:paraId="4C83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0D582F85">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2.83万锭智能纺纱生产线改造项目</w:t>
            </w:r>
          </w:p>
        </w:tc>
        <w:tc>
          <w:tcPr>
            <w:tcW w:w="663" w:type="pct"/>
            <w:vAlign w:val="center"/>
          </w:tcPr>
          <w:p w14:paraId="5086BE6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23,946,902.66</w:t>
            </w:r>
          </w:p>
        </w:tc>
        <w:tc>
          <w:tcPr>
            <w:tcW w:w="553" w:type="pct"/>
            <w:vAlign w:val="center"/>
          </w:tcPr>
          <w:p w14:paraId="13256485">
            <w:pPr>
              <w:jc w:val="right"/>
              <w:rPr>
                <w:rFonts w:cs="Times New Roman"/>
                <w:color w:val="000000" w:themeColor="text1"/>
                <w14:textFill>
                  <w14:solidFill>
                    <w14:schemeClr w14:val="tx1"/>
                  </w14:solidFill>
                </w14:textFill>
              </w:rPr>
            </w:pPr>
          </w:p>
        </w:tc>
        <w:tc>
          <w:tcPr>
            <w:tcW w:w="613" w:type="pct"/>
            <w:vAlign w:val="center"/>
          </w:tcPr>
          <w:p w14:paraId="49C24D0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23,946,902.66</w:t>
            </w:r>
          </w:p>
        </w:tc>
        <w:tc>
          <w:tcPr>
            <w:tcW w:w="542" w:type="pct"/>
            <w:vAlign w:val="center"/>
          </w:tcPr>
          <w:p w14:paraId="60B3220B">
            <w:pPr>
              <w:jc w:val="right"/>
              <w:rPr>
                <w:rFonts w:cs="Times New Roman"/>
                <w:color w:val="000000" w:themeColor="text1"/>
                <w14:textFill>
                  <w14:solidFill>
                    <w14:schemeClr w14:val="tx1"/>
                  </w14:solidFill>
                </w14:textFill>
              </w:rPr>
            </w:pPr>
          </w:p>
        </w:tc>
        <w:tc>
          <w:tcPr>
            <w:tcW w:w="541" w:type="pct"/>
            <w:vAlign w:val="center"/>
          </w:tcPr>
          <w:p w14:paraId="6460D02B">
            <w:pPr>
              <w:jc w:val="right"/>
              <w:rPr>
                <w:rFonts w:cs="Times New Roman"/>
                <w:color w:val="000000" w:themeColor="text1"/>
                <w14:textFill>
                  <w14:solidFill>
                    <w14:schemeClr w14:val="tx1"/>
                  </w14:solidFill>
                </w14:textFill>
              </w:rPr>
            </w:pPr>
          </w:p>
        </w:tc>
        <w:tc>
          <w:tcPr>
            <w:tcW w:w="510" w:type="pct"/>
            <w:vAlign w:val="center"/>
          </w:tcPr>
          <w:p w14:paraId="02D7EE21">
            <w:pPr>
              <w:jc w:val="right"/>
              <w:rPr>
                <w:rFonts w:cs="Times New Roman"/>
                <w:color w:val="000000" w:themeColor="text1"/>
                <w14:textFill>
                  <w14:solidFill>
                    <w14:schemeClr w14:val="tx1"/>
                  </w14:solidFill>
                </w14:textFill>
              </w:rPr>
            </w:pPr>
          </w:p>
        </w:tc>
      </w:tr>
      <w:tr w14:paraId="25B5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60E8680C">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汉川梭织基地数智化织机改造项目</w:t>
            </w:r>
          </w:p>
        </w:tc>
        <w:tc>
          <w:tcPr>
            <w:tcW w:w="663" w:type="pct"/>
            <w:vAlign w:val="center"/>
          </w:tcPr>
          <w:p w14:paraId="5A460E2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24,979,028.11</w:t>
            </w:r>
          </w:p>
        </w:tc>
        <w:tc>
          <w:tcPr>
            <w:tcW w:w="553" w:type="pct"/>
            <w:vAlign w:val="center"/>
          </w:tcPr>
          <w:p w14:paraId="75B0D221">
            <w:pPr>
              <w:jc w:val="right"/>
              <w:rPr>
                <w:rFonts w:cs="Times New Roman"/>
                <w:color w:val="000000" w:themeColor="text1"/>
                <w14:textFill>
                  <w14:solidFill>
                    <w14:schemeClr w14:val="tx1"/>
                  </w14:solidFill>
                </w14:textFill>
              </w:rPr>
            </w:pPr>
          </w:p>
        </w:tc>
        <w:tc>
          <w:tcPr>
            <w:tcW w:w="613" w:type="pct"/>
            <w:vAlign w:val="center"/>
          </w:tcPr>
          <w:p w14:paraId="4C305A6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24,979,028.11</w:t>
            </w:r>
          </w:p>
        </w:tc>
        <w:tc>
          <w:tcPr>
            <w:tcW w:w="542" w:type="pct"/>
            <w:vAlign w:val="center"/>
          </w:tcPr>
          <w:p w14:paraId="1C6EFAB3">
            <w:pPr>
              <w:jc w:val="right"/>
              <w:rPr>
                <w:rFonts w:cs="Times New Roman"/>
                <w:color w:val="000000" w:themeColor="text1"/>
                <w14:textFill>
                  <w14:solidFill>
                    <w14:schemeClr w14:val="tx1"/>
                  </w14:solidFill>
                </w14:textFill>
              </w:rPr>
            </w:pPr>
          </w:p>
        </w:tc>
        <w:tc>
          <w:tcPr>
            <w:tcW w:w="541" w:type="pct"/>
            <w:vAlign w:val="center"/>
          </w:tcPr>
          <w:p w14:paraId="6D117FCF">
            <w:pPr>
              <w:jc w:val="right"/>
              <w:rPr>
                <w:rFonts w:cs="Times New Roman"/>
                <w:color w:val="000000" w:themeColor="text1"/>
                <w14:textFill>
                  <w14:solidFill>
                    <w14:schemeClr w14:val="tx1"/>
                  </w14:solidFill>
                </w14:textFill>
              </w:rPr>
            </w:pPr>
          </w:p>
        </w:tc>
        <w:tc>
          <w:tcPr>
            <w:tcW w:w="510" w:type="pct"/>
            <w:vAlign w:val="center"/>
          </w:tcPr>
          <w:p w14:paraId="656D52D7">
            <w:pPr>
              <w:jc w:val="right"/>
              <w:rPr>
                <w:rFonts w:cs="Times New Roman"/>
                <w:color w:val="000000" w:themeColor="text1"/>
                <w14:textFill>
                  <w14:solidFill>
                    <w14:schemeClr w14:val="tx1"/>
                  </w14:solidFill>
                </w14:textFill>
              </w:rPr>
            </w:pPr>
          </w:p>
        </w:tc>
      </w:tr>
      <w:tr w14:paraId="4BEB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4E8560D3">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橡胶工业公租房项目</w:t>
            </w:r>
          </w:p>
        </w:tc>
        <w:tc>
          <w:tcPr>
            <w:tcW w:w="663" w:type="pct"/>
            <w:vAlign w:val="center"/>
          </w:tcPr>
          <w:p w14:paraId="6A53E6E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8,242,971.51</w:t>
            </w:r>
          </w:p>
        </w:tc>
        <w:tc>
          <w:tcPr>
            <w:tcW w:w="553" w:type="pct"/>
            <w:vAlign w:val="center"/>
          </w:tcPr>
          <w:p w14:paraId="5F9F400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8,242,971.51</w:t>
            </w:r>
          </w:p>
        </w:tc>
        <w:tc>
          <w:tcPr>
            <w:tcW w:w="613" w:type="pct"/>
            <w:vAlign w:val="center"/>
          </w:tcPr>
          <w:p w14:paraId="7BD83456">
            <w:pPr>
              <w:jc w:val="right"/>
              <w:rPr>
                <w:rFonts w:cs="Times New Roman"/>
                <w:color w:val="000000" w:themeColor="text1"/>
                <w14:textFill>
                  <w14:solidFill>
                    <w14:schemeClr w14:val="tx1"/>
                  </w14:solidFill>
                </w14:textFill>
              </w:rPr>
            </w:pPr>
          </w:p>
        </w:tc>
        <w:tc>
          <w:tcPr>
            <w:tcW w:w="542" w:type="pct"/>
            <w:vAlign w:val="center"/>
          </w:tcPr>
          <w:p w14:paraId="2617DC7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8,242,971.51</w:t>
            </w:r>
          </w:p>
        </w:tc>
        <w:tc>
          <w:tcPr>
            <w:tcW w:w="541" w:type="pct"/>
            <w:vAlign w:val="center"/>
          </w:tcPr>
          <w:p w14:paraId="4D4CE9A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8,242,971.51</w:t>
            </w:r>
          </w:p>
        </w:tc>
        <w:tc>
          <w:tcPr>
            <w:tcW w:w="510" w:type="pct"/>
            <w:vAlign w:val="center"/>
          </w:tcPr>
          <w:p w14:paraId="0BDA6679">
            <w:pPr>
              <w:jc w:val="right"/>
              <w:rPr>
                <w:rFonts w:cs="Times New Roman"/>
                <w:color w:val="000000" w:themeColor="text1"/>
                <w14:textFill>
                  <w14:solidFill>
                    <w14:schemeClr w14:val="tx1"/>
                  </w14:solidFill>
                </w14:textFill>
              </w:rPr>
            </w:pPr>
          </w:p>
        </w:tc>
      </w:tr>
      <w:tr w14:paraId="1A3D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0D08D239">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三五一五公司PUTPU30工位圆盘注射机</w:t>
            </w:r>
          </w:p>
        </w:tc>
        <w:tc>
          <w:tcPr>
            <w:tcW w:w="663" w:type="pct"/>
            <w:vAlign w:val="center"/>
          </w:tcPr>
          <w:p w14:paraId="199F0EC3">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6,185,840.70</w:t>
            </w:r>
          </w:p>
        </w:tc>
        <w:tc>
          <w:tcPr>
            <w:tcW w:w="553" w:type="pct"/>
            <w:vAlign w:val="center"/>
          </w:tcPr>
          <w:p w14:paraId="3789762D">
            <w:pPr>
              <w:jc w:val="right"/>
              <w:rPr>
                <w:rFonts w:cs="Times New Roman"/>
                <w:color w:val="000000" w:themeColor="text1"/>
                <w14:textFill>
                  <w14:solidFill>
                    <w14:schemeClr w14:val="tx1"/>
                  </w14:solidFill>
                </w14:textFill>
              </w:rPr>
            </w:pPr>
          </w:p>
        </w:tc>
        <w:tc>
          <w:tcPr>
            <w:tcW w:w="613" w:type="pct"/>
            <w:vAlign w:val="center"/>
          </w:tcPr>
          <w:p w14:paraId="23840F06">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6,185,840.70</w:t>
            </w:r>
          </w:p>
        </w:tc>
        <w:tc>
          <w:tcPr>
            <w:tcW w:w="542" w:type="pct"/>
            <w:vAlign w:val="center"/>
          </w:tcPr>
          <w:p w14:paraId="3A0EBB1F">
            <w:pPr>
              <w:jc w:val="right"/>
              <w:rPr>
                <w:rFonts w:cs="Times New Roman"/>
                <w:color w:val="000000" w:themeColor="text1"/>
                <w14:textFill>
                  <w14:solidFill>
                    <w14:schemeClr w14:val="tx1"/>
                  </w14:solidFill>
                </w14:textFill>
              </w:rPr>
            </w:pPr>
          </w:p>
        </w:tc>
        <w:tc>
          <w:tcPr>
            <w:tcW w:w="541" w:type="pct"/>
            <w:vAlign w:val="center"/>
          </w:tcPr>
          <w:p w14:paraId="18E4AB46">
            <w:pPr>
              <w:jc w:val="right"/>
              <w:rPr>
                <w:rFonts w:cs="Times New Roman"/>
                <w:color w:val="000000" w:themeColor="text1"/>
                <w14:textFill>
                  <w14:solidFill>
                    <w14:schemeClr w14:val="tx1"/>
                  </w14:solidFill>
                </w14:textFill>
              </w:rPr>
            </w:pPr>
          </w:p>
        </w:tc>
        <w:tc>
          <w:tcPr>
            <w:tcW w:w="510" w:type="pct"/>
            <w:vAlign w:val="center"/>
          </w:tcPr>
          <w:p w14:paraId="55F123BF">
            <w:pPr>
              <w:jc w:val="right"/>
              <w:rPr>
                <w:rFonts w:cs="Times New Roman"/>
                <w:color w:val="000000" w:themeColor="text1"/>
                <w14:textFill>
                  <w14:solidFill>
                    <w14:schemeClr w14:val="tx1"/>
                  </w14:solidFill>
                </w14:textFill>
              </w:rPr>
            </w:pPr>
          </w:p>
        </w:tc>
      </w:tr>
      <w:tr w14:paraId="7578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1A75523D">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三五一五专家楼建设项目</w:t>
            </w:r>
          </w:p>
        </w:tc>
        <w:tc>
          <w:tcPr>
            <w:tcW w:w="663" w:type="pct"/>
            <w:vAlign w:val="center"/>
          </w:tcPr>
          <w:p w14:paraId="44B24EA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1,061,987.03</w:t>
            </w:r>
          </w:p>
        </w:tc>
        <w:tc>
          <w:tcPr>
            <w:tcW w:w="553" w:type="pct"/>
            <w:vAlign w:val="center"/>
          </w:tcPr>
          <w:p w14:paraId="4705DC30">
            <w:pPr>
              <w:jc w:val="right"/>
              <w:rPr>
                <w:rFonts w:cs="Times New Roman"/>
                <w:color w:val="000000" w:themeColor="text1"/>
                <w14:textFill>
                  <w14:solidFill>
                    <w14:schemeClr w14:val="tx1"/>
                  </w14:solidFill>
                </w14:textFill>
              </w:rPr>
            </w:pPr>
          </w:p>
        </w:tc>
        <w:tc>
          <w:tcPr>
            <w:tcW w:w="613" w:type="pct"/>
            <w:vAlign w:val="center"/>
          </w:tcPr>
          <w:p w14:paraId="5B721CEB">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1,061,987.03</w:t>
            </w:r>
          </w:p>
        </w:tc>
        <w:tc>
          <w:tcPr>
            <w:tcW w:w="542" w:type="pct"/>
            <w:vAlign w:val="center"/>
          </w:tcPr>
          <w:p w14:paraId="4276A73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49,867.92</w:t>
            </w:r>
          </w:p>
        </w:tc>
        <w:tc>
          <w:tcPr>
            <w:tcW w:w="541" w:type="pct"/>
            <w:vAlign w:val="center"/>
          </w:tcPr>
          <w:p w14:paraId="04CF30D4">
            <w:pPr>
              <w:jc w:val="right"/>
              <w:rPr>
                <w:rFonts w:cs="Times New Roman"/>
                <w:color w:val="000000" w:themeColor="text1"/>
                <w14:textFill>
                  <w14:solidFill>
                    <w14:schemeClr w14:val="tx1"/>
                  </w14:solidFill>
                </w14:textFill>
              </w:rPr>
            </w:pPr>
          </w:p>
        </w:tc>
        <w:tc>
          <w:tcPr>
            <w:tcW w:w="510" w:type="pct"/>
            <w:vAlign w:val="center"/>
          </w:tcPr>
          <w:p w14:paraId="185ACF90">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49,867.92</w:t>
            </w:r>
          </w:p>
        </w:tc>
      </w:tr>
      <w:tr w14:paraId="68CF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576" w:type="pct"/>
            <w:vAlign w:val="center"/>
          </w:tcPr>
          <w:p w14:paraId="4F73E9CE">
            <w:pP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bidi="ar"/>
                <w14:textFill>
                  <w14:solidFill>
                    <w14:schemeClr w14:val="tx1"/>
                  </w14:solidFill>
                </w14:textFill>
              </w:rPr>
              <w:t>其他</w:t>
            </w:r>
          </w:p>
        </w:tc>
        <w:tc>
          <w:tcPr>
            <w:tcW w:w="663" w:type="pct"/>
            <w:vAlign w:val="center"/>
          </w:tcPr>
          <w:p w14:paraId="27CDD94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11,518,576.94</w:t>
            </w:r>
          </w:p>
        </w:tc>
        <w:tc>
          <w:tcPr>
            <w:tcW w:w="553" w:type="pct"/>
            <w:vAlign w:val="center"/>
          </w:tcPr>
          <w:p w14:paraId="308F5151">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2,371,702.68</w:t>
            </w:r>
          </w:p>
        </w:tc>
        <w:tc>
          <w:tcPr>
            <w:tcW w:w="613" w:type="pct"/>
            <w:vAlign w:val="center"/>
          </w:tcPr>
          <w:p w14:paraId="39BCAD7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9,146,874.26</w:t>
            </w:r>
          </w:p>
        </w:tc>
        <w:tc>
          <w:tcPr>
            <w:tcW w:w="542" w:type="pct"/>
            <w:vAlign w:val="center"/>
          </w:tcPr>
          <w:p w14:paraId="31015C3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9,271,183.83</w:t>
            </w:r>
          </w:p>
        </w:tc>
        <w:tc>
          <w:tcPr>
            <w:tcW w:w="541" w:type="pct"/>
            <w:vAlign w:val="center"/>
          </w:tcPr>
          <w:p w14:paraId="6769E25D">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2,371,702.68</w:t>
            </w:r>
          </w:p>
        </w:tc>
        <w:tc>
          <w:tcPr>
            <w:tcW w:w="510" w:type="pct"/>
            <w:vAlign w:val="center"/>
          </w:tcPr>
          <w:p w14:paraId="4469C83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6,899,481.15</w:t>
            </w:r>
          </w:p>
        </w:tc>
      </w:tr>
      <w:tr w14:paraId="3E33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fb8a9351bc5144ab907a84376899a536"/>
            <w:id w:val="-993416673"/>
          </w:sdtPr>
          <w:sdtContent>
            <w:tc>
              <w:tcPr>
                <w:tcW w:w="1576" w:type="pct"/>
                <w:vAlign w:val="center"/>
              </w:tcPr>
              <w:p w14:paraId="25D860B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663" w:type="pct"/>
            <w:vAlign w:val="center"/>
          </w:tcPr>
          <w:p w14:paraId="0C2007AB">
            <w:pPr>
              <w:jc w:val="right"/>
              <w:textAlignment w:val="center"/>
              <w:rPr>
                <w:rFonts w:cs="Times New Roman"/>
              </w:rPr>
            </w:pPr>
            <w:r>
              <w:rPr>
                <w:rFonts w:eastAsia="Arial Narrow" w:cs="Times New Roman"/>
                <w:color w:val="000000"/>
                <w:lang w:bidi="ar"/>
              </w:rPr>
              <w:t>1,116,464,217.73</w:t>
            </w:r>
          </w:p>
        </w:tc>
        <w:tc>
          <w:tcPr>
            <w:tcW w:w="553" w:type="pct"/>
            <w:vAlign w:val="center"/>
          </w:tcPr>
          <w:p w14:paraId="28C3F80F">
            <w:pPr>
              <w:jc w:val="right"/>
              <w:textAlignment w:val="center"/>
              <w:rPr>
                <w:rFonts w:cs="Times New Roman"/>
              </w:rPr>
            </w:pPr>
            <w:r>
              <w:rPr>
                <w:rFonts w:eastAsia="Arial Narrow" w:cs="Times New Roman"/>
                <w:color w:val="000000"/>
                <w:lang w:bidi="ar"/>
              </w:rPr>
              <w:t>716,828,932.80</w:t>
            </w:r>
          </w:p>
        </w:tc>
        <w:tc>
          <w:tcPr>
            <w:tcW w:w="613" w:type="pct"/>
            <w:vAlign w:val="center"/>
          </w:tcPr>
          <w:p w14:paraId="3615F748">
            <w:pPr>
              <w:jc w:val="right"/>
              <w:textAlignment w:val="center"/>
              <w:rPr>
                <w:rFonts w:cs="Times New Roman"/>
              </w:rPr>
            </w:pPr>
            <w:r>
              <w:rPr>
                <w:rFonts w:eastAsia="Arial Narrow" w:cs="Times New Roman"/>
                <w:color w:val="000000"/>
                <w:lang w:bidi="ar"/>
              </w:rPr>
              <w:t>399,635,284.93</w:t>
            </w:r>
          </w:p>
        </w:tc>
        <w:tc>
          <w:tcPr>
            <w:tcW w:w="542" w:type="pct"/>
            <w:vAlign w:val="center"/>
          </w:tcPr>
          <w:p w14:paraId="53B55E7F">
            <w:pPr>
              <w:jc w:val="right"/>
              <w:textAlignment w:val="center"/>
              <w:rPr>
                <w:rFonts w:cs="Times New Roman"/>
              </w:rPr>
            </w:pPr>
            <w:r>
              <w:rPr>
                <w:rFonts w:eastAsia="Arial Narrow" w:cs="Times New Roman"/>
                <w:color w:val="000000"/>
                <w:lang w:bidi="ar"/>
              </w:rPr>
              <w:t>992,430,459.38</w:t>
            </w:r>
          </w:p>
        </w:tc>
        <w:tc>
          <w:tcPr>
            <w:tcW w:w="541" w:type="pct"/>
            <w:vAlign w:val="center"/>
          </w:tcPr>
          <w:p w14:paraId="390F9E6D">
            <w:pPr>
              <w:jc w:val="right"/>
              <w:textAlignment w:val="center"/>
              <w:rPr>
                <w:rFonts w:cs="Times New Roman"/>
              </w:rPr>
            </w:pPr>
            <w:r>
              <w:rPr>
                <w:rFonts w:eastAsia="Arial Narrow" w:cs="Times New Roman"/>
                <w:color w:val="000000"/>
                <w:lang w:bidi="ar"/>
              </w:rPr>
              <w:t>716,828,932.80</w:t>
            </w:r>
          </w:p>
        </w:tc>
        <w:tc>
          <w:tcPr>
            <w:tcW w:w="510" w:type="pct"/>
            <w:vAlign w:val="center"/>
          </w:tcPr>
          <w:p w14:paraId="20E941E2">
            <w:pPr>
              <w:jc w:val="right"/>
              <w:textAlignment w:val="center"/>
              <w:rPr>
                <w:rFonts w:cs="Times New Roman"/>
              </w:rPr>
            </w:pPr>
            <w:r>
              <w:rPr>
                <w:rFonts w:eastAsia="Arial Narrow" w:cs="Times New Roman"/>
                <w:color w:val="000000"/>
                <w:lang w:bidi="ar"/>
              </w:rPr>
              <w:t>275,601,526.58</w:t>
            </w:r>
          </w:p>
        </w:tc>
      </w:tr>
    </w:tbl>
    <w:p w14:paraId="745D254A"/>
    <w:p w14:paraId="334DB4CA">
      <w:pPr>
        <w:pStyle w:val="59"/>
        <w:numPr>
          <w:ilvl w:val="0"/>
          <w:numId w:val="71"/>
        </w:numPr>
      </w:pPr>
      <w:r>
        <w:rPr>
          <w:rFonts w:hint="eastAsia"/>
        </w:rPr>
        <w:t>重要在建工程项目本期变动情况</w:t>
      </w:r>
    </w:p>
    <w:sdt>
      <w:sdtPr>
        <w:rPr>
          <w:color w:val="000000" w:themeColor="text1"/>
          <w14:textFill>
            <w14:solidFill>
              <w14:schemeClr w14:val="tx1"/>
            </w14:solidFill>
          </w14:textFill>
        </w:rPr>
        <w:alias w:val="是否适用：重要在建工程项目本期变动情况[双击切换]"/>
        <w:tag w:val="_GBC_ec2dd768673145d4bb9d3c31a6fa701a"/>
        <w:id w:val="-1156527259"/>
      </w:sdtPr>
      <w:sdtEndPr>
        <w:rPr>
          <w:color w:val="000000" w:themeColor="text1"/>
          <w14:textFill>
            <w14:solidFill>
              <w14:schemeClr w14:val="tx1"/>
            </w14:solidFill>
          </w14:textFill>
        </w:rPr>
      </w:sdtEndPr>
      <w:sdtContent>
        <w:p w14:paraId="4FBFC1C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0D9CBC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项目变动情况"/>
          <w:tag w:val="_GBC_29f36690ce0d4e8bbec5f76711e80456"/>
          <w:id w:val="1094365489"/>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项目变动情况"/>
          <w:tag w:val="_GBC_6fab639954e742c1bd6f75b3c51ecaf8"/>
          <w:id w:val="41228041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007"/>
        <w:gridCol w:w="1452"/>
        <w:gridCol w:w="1536"/>
        <w:gridCol w:w="1405"/>
        <w:gridCol w:w="1405"/>
        <w:gridCol w:w="1511"/>
        <w:gridCol w:w="1547"/>
        <w:gridCol w:w="1542"/>
        <w:gridCol w:w="1522"/>
      </w:tblGrid>
      <w:tr w14:paraId="2481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911d5911af294d4f9d2b6b16b5f6c08b"/>
            <w:id w:val="1983805886"/>
          </w:sdtPr>
          <w:sdtContent>
            <w:tc>
              <w:tcPr>
                <w:tcW w:w="720" w:type="pct"/>
                <w:vAlign w:val="center"/>
              </w:tcPr>
              <w:p w14:paraId="657CC1EE">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sdtContent>
        </w:sdt>
        <w:sdt>
          <w:sdtPr>
            <w:tag w:val="_PLD_667404be40294d63b853abf58a9d185f"/>
            <w:id w:val="-937592410"/>
          </w:sdtPr>
          <w:sdtContent>
            <w:tc>
              <w:tcPr>
                <w:tcW w:w="521" w:type="pct"/>
                <w:vAlign w:val="center"/>
              </w:tcPr>
              <w:p w14:paraId="227392FD">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预算数</w:t>
                </w:r>
              </w:p>
            </w:tc>
          </w:sdtContent>
        </w:sdt>
        <w:sdt>
          <w:sdtPr>
            <w:tag w:val="_PLD_25c75ebdcb434964b5f5e8b512151b0b"/>
            <w:id w:val="748626905"/>
          </w:sdtPr>
          <w:sdtContent>
            <w:tc>
              <w:tcPr>
                <w:tcW w:w="551" w:type="pct"/>
                <w:vAlign w:val="center"/>
              </w:tcPr>
              <w:p w14:paraId="5040AA65">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0117182ae7e24536a0996423ddcfa5f0"/>
            <w:id w:val="-2069100228"/>
          </w:sdtPr>
          <w:sdtContent>
            <w:tc>
              <w:tcPr>
                <w:tcW w:w="504" w:type="pct"/>
                <w:vAlign w:val="center"/>
              </w:tcPr>
              <w:p w14:paraId="1E1DEC04">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p w14:paraId="038A7AB4">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6db4feaec90f4eeeb4ed5fb04d298657"/>
            <w:id w:val="-1772922661"/>
          </w:sdtPr>
          <w:sdtContent>
            <w:tc>
              <w:tcPr>
                <w:tcW w:w="504" w:type="pct"/>
                <w:vAlign w:val="center"/>
              </w:tcPr>
              <w:p w14:paraId="0D19180D">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本期转入固定资产金额</w:t>
                </w:r>
              </w:p>
            </w:tc>
          </w:sdtContent>
        </w:sdt>
        <w:sdt>
          <w:sdtPr>
            <w:tag w:val="_PLD_7954fe4b89f644d29865af249dfe8c3f"/>
            <w:id w:val="436032319"/>
          </w:sdtPr>
          <w:sdtContent>
            <w:tc>
              <w:tcPr>
                <w:tcW w:w="542" w:type="pct"/>
                <w:vAlign w:val="center"/>
              </w:tcPr>
              <w:p w14:paraId="035F61D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9aa12b28eda4362b90372032218ea1a"/>
            <w:id w:val="-255369960"/>
          </w:sdtPr>
          <w:sdtContent>
            <w:tc>
              <w:tcPr>
                <w:tcW w:w="555" w:type="pct"/>
                <w:vAlign w:val="center"/>
              </w:tcPr>
              <w:p w14:paraId="3B15891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工程累计投入占预算比例(%)</w:t>
                </w:r>
              </w:p>
            </w:tc>
          </w:sdtContent>
        </w:sdt>
        <w:sdt>
          <w:sdtPr>
            <w:tag w:val="_PLD_9e610c25eba14177abc9b359511cb935"/>
            <w:id w:val="-1355107922"/>
          </w:sdtPr>
          <w:sdtContent>
            <w:tc>
              <w:tcPr>
                <w:tcW w:w="553" w:type="pct"/>
                <w:vAlign w:val="center"/>
              </w:tcPr>
              <w:p w14:paraId="1235F01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工程进度</w:t>
                </w:r>
              </w:p>
            </w:tc>
          </w:sdtContent>
        </w:sdt>
        <w:sdt>
          <w:sdtPr>
            <w:tag w:val="_PLD_39440674746d4382a4f99328187752a9"/>
            <w:id w:val="-766388081"/>
          </w:sdtPr>
          <w:sdtContent>
            <w:tc>
              <w:tcPr>
                <w:tcW w:w="546" w:type="pct"/>
                <w:vAlign w:val="center"/>
              </w:tcPr>
              <w:p w14:paraId="4A16AD9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资金来源</w:t>
                </w:r>
              </w:p>
            </w:tc>
          </w:sdtContent>
        </w:sdt>
      </w:tr>
      <w:sdt>
        <w:sdtPr>
          <w:rPr>
            <w:rFonts w:hint="eastAsia"/>
            <w:color w:val="000000" w:themeColor="text1"/>
            <w14:textFill>
              <w14:solidFill>
                <w14:schemeClr w14:val="tx1"/>
              </w14:solidFill>
            </w14:textFill>
          </w:rPr>
          <w:alias w:val="在建工程明细"/>
          <w:tag w:val="_GBC_b84d9018f52b45beabeca7c2371cdc18"/>
          <w:id w:val="1323778071"/>
          <w:placeholder>
            <w:docPart w:val="{3f5a80b8-9fdb-4bf0-8ff3-8b04cdbaa619}"/>
          </w:placeholder>
        </w:sdtPr>
        <w:sdtEndPr>
          <w:rPr>
            <w:rFonts w:hint="eastAsia"/>
            <w:color w:val="000000" w:themeColor="text1"/>
            <w14:textFill>
              <w14:solidFill>
                <w14:schemeClr w14:val="tx1"/>
              </w14:solidFill>
            </w14:textFill>
          </w:rPr>
        </w:sdtEndPr>
        <w:sdtContent>
          <w:tr w14:paraId="542B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606" w:hRule="atLeast"/>
            </w:trPr>
            <w:tc>
              <w:tcPr>
                <w:tcW w:w="720" w:type="pct"/>
                <w:vAlign w:val="center"/>
              </w:tcPr>
              <w:p w14:paraId="29B7E5BB">
                <w:pPr>
                  <w:ind w:right="105"/>
                  <w:jc w:val="both"/>
                </w:pPr>
                <w:r>
                  <w:rPr>
                    <w:rFonts w:hint="eastAsia"/>
                  </w:rPr>
                  <w:t>长春目的地中心</w:t>
                </w:r>
              </w:p>
            </w:tc>
            <w:tc>
              <w:tcPr>
                <w:tcW w:w="521" w:type="pct"/>
                <w:vAlign w:val="center"/>
              </w:tcPr>
              <w:p w14:paraId="5101EDFC">
                <w:pPr>
                  <w:ind w:right="105"/>
                  <w:jc w:val="right"/>
                  <w:rPr>
                    <w:rFonts w:cs="Times New Roman"/>
                  </w:rPr>
                </w:pPr>
                <w:r>
                  <w:rPr>
                    <w:rFonts w:cs="Times New Roman"/>
                  </w:rPr>
                  <w:t>158,630</w:t>
                </w:r>
              </w:p>
            </w:tc>
            <w:tc>
              <w:tcPr>
                <w:tcW w:w="551" w:type="pct"/>
                <w:vAlign w:val="center"/>
              </w:tcPr>
              <w:p w14:paraId="6967FB55">
                <w:pPr>
                  <w:jc w:val="right"/>
                  <w:rPr>
                    <w:rFonts w:cs="Times New Roman"/>
                  </w:rPr>
                </w:pPr>
                <w:r>
                  <w:rPr>
                    <w:rFonts w:cs="Times New Roman"/>
                  </w:rPr>
                  <w:t>77,585.36</w:t>
                </w:r>
              </w:p>
            </w:tc>
            <w:tc>
              <w:tcPr>
                <w:tcW w:w="504" w:type="pct"/>
              </w:tcPr>
              <w:p w14:paraId="69D865C3">
                <w:pPr>
                  <w:ind w:right="73"/>
                  <w:jc w:val="right"/>
                  <w:rPr>
                    <w:rFonts w:cs="Times New Roman"/>
                  </w:rPr>
                </w:pPr>
              </w:p>
            </w:tc>
            <w:tc>
              <w:tcPr>
                <w:tcW w:w="504" w:type="pct"/>
              </w:tcPr>
              <w:p w14:paraId="26809682">
                <w:pPr>
                  <w:ind w:right="73"/>
                  <w:jc w:val="right"/>
                  <w:rPr>
                    <w:rFonts w:cs="Times New Roman"/>
                  </w:rPr>
                </w:pPr>
              </w:p>
            </w:tc>
            <w:tc>
              <w:tcPr>
                <w:tcW w:w="542" w:type="pct"/>
                <w:vAlign w:val="center"/>
              </w:tcPr>
              <w:p w14:paraId="02C7405E">
                <w:pPr>
                  <w:jc w:val="right"/>
                  <w:rPr>
                    <w:rFonts w:cs="Times New Roman"/>
                  </w:rPr>
                </w:pPr>
                <w:r>
                  <w:rPr>
                    <w:rFonts w:cs="Times New Roman"/>
                  </w:rPr>
                  <w:t>77,585.36</w:t>
                </w:r>
              </w:p>
            </w:tc>
            <w:tc>
              <w:tcPr>
                <w:tcW w:w="555" w:type="pct"/>
                <w:vAlign w:val="center"/>
              </w:tcPr>
              <w:p w14:paraId="193F366A">
                <w:pPr>
                  <w:jc w:val="right"/>
                  <w:rPr>
                    <w:rFonts w:cs="Times New Roman"/>
                  </w:rPr>
                </w:pPr>
                <w:r>
                  <w:rPr>
                    <w:rFonts w:cs="Times New Roman"/>
                  </w:rPr>
                  <w:t>87.37</w:t>
                </w:r>
              </w:p>
            </w:tc>
            <w:tc>
              <w:tcPr>
                <w:tcW w:w="553" w:type="pct"/>
                <w:vAlign w:val="center"/>
              </w:tcPr>
              <w:p w14:paraId="0F929AB8">
                <w:pPr>
                  <w:jc w:val="right"/>
                  <w:rPr>
                    <w:rFonts w:cs="Times New Roman"/>
                  </w:rPr>
                </w:pPr>
                <w:r>
                  <w:rPr>
                    <w:rFonts w:cs="Times New Roman"/>
                  </w:rPr>
                  <w:t>99.65</w:t>
                </w:r>
              </w:p>
            </w:tc>
            <w:tc>
              <w:tcPr>
                <w:tcW w:w="546" w:type="pct"/>
                <w:vAlign w:val="center"/>
              </w:tcPr>
              <w:p w14:paraId="5F23F6D0">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自有资金</w:t>
                </w:r>
              </w:p>
              <w:p w14:paraId="33216156">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募集资金</w:t>
                </w:r>
              </w:p>
            </w:tc>
          </w:tr>
        </w:sdtContent>
      </w:sdt>
      <w:sdt>
        <w:sdtPr>
          <w:rPr>
            <w:rFonts w:hint="eastAsia"/>
            <w:color w:val="000000" w:themeColor="text1"/>
            <w14:textFill>
              <w14:solidFill>
                <w14:schemeClr w14:val="tx1"/>
              </w14:solidFill>
            </w14:textFill>
          </w:rPr>
          <w:alias w:val="在建工程明细"/>
          <w:tag w:val="_GBC_b84d9018f52b45beabeca7c2371cdc18"/>
          <w:id w:val="394240584"/>
          <w:placeholder>
            <w:docPart w:val="{3f5a80b8-9fdb-4bf0-8ff3-8b04cdbaa619}"/>
          </w:placeholder>
        </w:sdtPr>
        <w:sdtEndPr>
          <w:rPr>
            <w:rFonts w:hint="eastAsia"/>
            <w:color w:val="000000" w:themeColor="text1"/>
            <w14:textFill>
              <w14:solidFill>
                <w14:schemeClr w14:val="tx1"/>
              </w14:solidFill>
            </w14:textFill>
          </w:rPr>
        </w:sdtEndPr>
        <w:sdtContent>
          <w:tr w14:paraId="491F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vAlign w:val="center"/>
              </w:tcPr>
              <w:p w14:paraId="5F78010A">
                <w:pPr>
                  <w:ind w:right="105"/>
                  <w:jc w:val="both"/>
                </w:pPr>
                <w:r>
                  <w:rPr>
                    <w:rFonts w:hint="eastAsia"/>
                  </w:rPr>
                  <w:t>际华三五一五皮革皮鞋有限公司新区建设项目</w:t>
                </w:r>
              </w:p>
            </w:tc>
            <w:tc>
              <w:tcPr>
                <w:tcW w:w="521" w:type="pct"/>
                <w:vAlign w:val="center"/>
              </w:tcPr>
              <w:p w14:paraId="39B02791">
                <w:pPr>
                  <w:ind w:right="105"/>
                  <w:jc w:val="right"/>
                  <w:rPr>
                    <w:rFonts w:cs="Times New Roman"/>
                  </w:rPr>
                </w:pPr>
                <w:r>
                  <w:rPr>
                    <w:rFonts w:cs="Times New Roman"/>
                  </w:rPr>
                  <w:t>9,750</w:t>
                </w:r>
              </w:p>
            </w:tc>
            <w:tc>
              <w:tcPr>
                <w:tcW w:w="551" w:type="pct"/>
                <w:vAlign w:val="center"/>
              </w:tcPr>
              <w:p w14:paraId="2E04F97A">
                <w:pPr>
                  <w:jc w:val="right"/>
                  <w:rPr>
                    <w:rFonts w:cs="Times New Roman"/>
                  </w:rPr>
                </w:pPr>
                <w:r>
                  <w:rPr>
                    <w:rFonts w:cs="Times New Roman"/>
                  </w:rPr>
                  <w:t>4,993.16</w:t>
                </w:r>
              </w:p>
            </w:tc>
            <w:tc>
              <w:tcPr>
                <w:tcW w:w="504" w:type="pct"/>
                <w:vAlign w:val="center"/>
              </w:tcPr>
              <w:p w14:paraId="38D6184B">
                <w:pPr>
                  <w:ind w:right="73"/>
                  <w:jc w:val="right"/>
                  <w:rPr>
                    <w:rFonts w:cs="Times New Roman"/>
                  </w:rPr>
                </w:pPr>
                <w:r>
                  <w:rPr>
                    <w:rFonts w:cs="Times New Roman"/>
                  </w:rPr>
                  <w:t>489.71</w:t>
                </w:r>
              </w:p>
            </w:tc>
            <w:tc>
              <w:tcPr>
                <w:tcW w:w="504" w:type="pct"/>
                <w:vAlign w:val="center"/>
              </w:tcPr>
              <w:p w14:paraId="49813968">
                <w:pPr>
                  <w:ind w:right="73"/>
                  <w:jc w:val="right"/>
                  <w:rPr>
                    <w:rFonts w:cs="Times New Roman"/>
                  </w:rPr>
                </w:pPr>
                <w:r>
                  <w:rPr>
                    <w:rFonts w:cs="Times New Roman"/>
                  </w:rPr>
                  <w:t>9.99</w:t>
                </w:r>
              </w:p>
            </w:tc>
            <w:tc>
              <w:tcPr>
                <w:tcW w:w="542" w:type="pct"/>
                <w:vAlign w:val="center"/>
              </w:tcPr>
              <w:p w14:paraId="59B90503">
                <w:pPr>
                  <w:jc w:val="right"/>
                  <w:rPr>
                    <w:rFonts w:cs="Times New Roman"/>
                  </w:rPr>
                </w:pPr>
                <w:r>
                  <w:rPr>
                    <w:rFonts w:cs="Times New Roman"/>
                  </w:rPr>
                  <w:t>5,472.88</w:t>
                </w:r>
              </w:p>
            </w:tc>
            <w:tc>
              <w:tcPr>
                <w:tcW w:w="555" w:type="pct"/>
                <w:vAlign w:val="center"/>
              </w:tcPr>
              <w:p w14:paraId="19814DA7">
                <w:pPr>
                  <w:jc w:val="right"/>
                  <w:rPr>
                    <w:rFonts w:cs="Times New Roman"/>
                  </w:rPr>
                </w:pPr>
                <w:r>
                  <w:rPr>
                    <w:rFonts w:hint="eastAsia" w:cs="Times New Roman"/>
                  </w:rPr>
                  <w:t>88.00</w:t>
                </w:r>
              </w:p>
            </w:tc>
            <w:tc>
              <w:tcPr>
                <w:tcW w:w="553" w:type="pct"/>
                <w:vAlign w:val="center"/>
              </w:tcPr>
              <w:p w14:paraId="5206F5C6">
                <w:pPr>
                  <w:jc w:val="right"/>
                  <w:rPr>
                    <w:rFonts w:cs="Times New Roman"/>
                  </w:rPr>
                </w:pPr>
                <w:r>
                  <w:rPr>
                    <w:rFonts w:cs="Times New Roman"/>
                  </w:rPr>
                  <w:t>98.00</w:t>
                </w:r>
              </w:p>
            </w:tc>
            <w:tc>
              <w:tcPr>
                <w:tcW w:w="546" w:type="pct"/>
                <w:vAlign w:val="center"/>
              </w:tcPr>
              <w:p w14:paraId="438044C3">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自有资金</w:t>
                </w:r>
              </w:p>
            </w:tc>
          </w:tr>
        </w:sdtContent>
      </w:sdt>
      <w:sdt>
        <w:sdtPr>
          <w:rPr>
            <w:rFonts w:hint="eastAsia"/>
            <w:color w:val="000000" w:themeColor="text1"/>
            <w14:textFill>
              <w14:solidFill>
                <w14:schemeClr w14:val="tx1"/>
              </w14:solidFill>
            </w14:textFill>
          </w:rPr>
          <w:alias w:val="在建工程明细"/>
          <w:tag w:val="_GBC_b84d9018f52b45beabeca7c2371cdc18"/>
          <w:id w:val="417905440"/>
          <w:placeholder>
            <w:docPart w:val="{3f5a80b8-9fdb-4bf0-8ff3-8b04cdbaa619}"/>
          </w:placeholder>
        </w:sdtPr>
        <w:sdtEndPr>
          <w:rPr>
            <w:rFonts w:hint="eastAsia"/>
            <w:color w:val="000000" w:themeColor="text1"/>
            <w14:textFill>
              <w14:solidFill>
                <w14:schemeClr w14:val="tx1"/>
              </w14:solidFill>
            </w14:textFill>
          </w:rPr>
        </w:sdtEndPr>
        <w:sdtContent>
          <w:tr w14:paraId="2771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606" w:hRule="atLeast"/>
            </w:trPr>
            <w:tc>
              <w:tcPr>
                <w:tcW w:w="720" w:type="pct"/>
                <w:vAlign w:val="center"/>
              </w:tcPr>
              <w:p w14:paraId="17826365">
                <w:pPr>
                  <w:ind w:right="105"/>
                  <w:jc w:val="both"/>
                </w:pPr>
                <w:r>
                  <w:rPr>
                    <w:rFonts w:hint="eastAsia"/>
                  </w:rPr>
                  <w:t>三五四二公司研发大楼及实验室</w:t>
                </w:r>
              </w:p>
            </w:tc>
            <w:tc>
              <w:tcPr>
                <w:tcW w:w="521" w:type="pct"/>
                <w:vAlign w:val="center"/>
              </w:tcPr>
              <w:p w14:paraId="7EF39C95">
                <w:pPr>
                  <w:ind w:right="105"/>
                  <w:jc w:val="right"/>
                  <w:rPr>
                    <w:rFonts w:cs="Times New Roman"/>
                  </w:rPr>
                </w:pPr>
                <w:r>
                  <w:rPr>
                    <w:rFonts w:cs="Times New Roman"/>
                  </w:rPr>
                  <w:t>7,739.6</w:t>
                </w:r>
              </w:p>
            </w:tc>
            <w:tc>
              <w:tcPr>
                <w:tcW w:w="551" w:type="pct"/>
                <w:vAlign w:val="center"/>
              </w:tcPr>
              <w:p w14:paraId="2C58FA10">
                <w:pPr>
                  <w:jc w:val="right"/>
                  <w:rPr>
                    <w:rFonts w:cs="Times New Roman"/>
                  </w:rPr>
                </w:pPr>
                <w:r>
                  <w:rPr>
                    <w:rFonts w:cs="Times New Roman"/>
                  </w:rPr>
                  <w:t>4,084.77</w:t>
                </w:r>
              </w:p>
            </w:tc>
            <w:tc>
              <w:tcPr>
                <w:tcW w:w="504" w:type="pct"/>
                <w:vAlign w:val="center"/>
              </w:tcPr>
              <w:p w14:paraId="015A1DDA">
                <w:pPr>
                  <w:ind w:right="73"/>
                  <w:jc w:val="right"/>
                  <w:rPr>
                    <w:rFonts w:cs="Times New Roman"/>
                  </w:rPr>
                </w:pPr>
                <w:r>
                  <w:rPr>
                    <w:rFonts w:cs="Times New Roman"/>
                  </w:rPr>
                  <w:t>110.66</w:t>
                </w:r>
              </w:p>
            </w:tc>
            <w:tc>
              <w:tcPr>
                <w:tcW w:w="504" w:type="pct"/>
                <w:vAlign w:val="center"/>
              </w:tcPr>
              <w:p w14:paraId="4A2C57D2">
                <w:pPr>
                  <w:ind w:right="73"/>
                  <w:jc w:val="right"/>
                  <w:rPr>
                    <w:rFonts w:cs="Times New Roman"/>
                  </w:rPr>
                </w:pPr>
              </w:p>
            </w:tc>
            <w:tc>
              <w:tcPr>
                <w:tcW w:w="542" w:type="pct"/>
                <w:vAlign w:val="center"/>
              </w:tcPr>
              <w:p w14:paraId="4D0789EB">
                <w:pPr>
                  <w:jc w:val="right"/>
                  <w:rPr>
                    <w:rFonts w:cs="Times New Roman"/>
                  </w:rPr>
                </w:pPr>
                <w:r>
                  <w:rPr>
                    <w:rFonts w:hint="eastAsia" w:cs="Times New Roman"/>
                  </w:rPr>
                  <w:t>4,195.43</w:t>
                </w:r>
              </w:p>
            </w:tc>
            <w:tc>
              <w:tcPr>
                <w:tcW w:w="555" w:type="pct"/>
                <w:vAlign w:val="center"/>
              </w:tcPr>
              <w:p w14:paraId="1A305FD2">
                <w:pPr>
                  <w:jc w:val="right"/>
                  <w:rPr>
                    <w:rFonts w:cs="Times New Roman"/>
                  </w:rPr>
                </w:pPr>
                <w:r>
                  <w:rPr>
                    <w:rFonts w:hint="eastAsia" w:cs="Times New Roman"/>
                  </w:rPr>
                  <w:t>55.93</w:t>
                </w:r>
              </w:p>
            </w:tc>
            <w:tc>
              <w:tcPr>
                <w:tcW w:w="553" w:type="pct"/>
                <w:vAlign w:val="center"/>
              </w:tcPr>
              <w:p w14:paraId="3A912E40">
                <w:pPr>
                  <w:jc w:val="right"/>
                  <w:rPr>
                    <w:rFonts w:cs="Times New Roman"/>
                  </w:rPr>
                </w:pPr>
                <w:r>
                  <w:rPr>
                    <w:rFonts w:cs="Times New Roman"/>
                  </w:rPr>
                  <w:t>97.00</w:t>
                </w:r>
              </w:p>
            </w:tc>
            <w:tc>
              <w:tcPr>
                <w:tcW w:w="546" w:type="pct"/>
                <w:vAlign w:val="center"/>
              </w:tcPr>
              <w:p w14:paraId="68334265">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自有资金</w:t>
                </w:r>
              </w:p>
              <w:p w14:paraId="3046BDA1">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募集资金</w:t>
                </w:r>
              </w:p>
            </w:tc>
          </w:tr>
        </w:sdtContent>
      </w:sdt>
      <w:sdt>
        <w:sdtPr>
          <w:rPr>
            <w:rFonts w:hint="eastAsia"/>
            <w:color w:val="000000" w:themeColor="text1"/>
            <w14:textFill>
              <w14:solidFill>
                <w14:schemeClr w14:val="tx1"/>
              </w14:solidFill>
            </w14:textFill>
          </w:rPr>
          <w:alias w:val="在建工程明细"/>
          <w:tag w:val="_GBC_b84d9018f52b45beabeca7c2371cdc18"/>
          <w:id w:val="432023542"/>
          <w:placeholder>
            <w:docPart w:val="{3f5a80b8-9fdb-4bf0-8ff3-8b04cdbaa619}"/>
          </w:placeholder>
        </w:sdtPr>
        <w:sdtEndPr>
          <w:rPr>
            <w:rFonts w:hint="eastAsia"/>
            <w:color w:val="000000" w:themeColor="text1"/>
            <w14:textFill>
              <w14:solidFill>
                <w14:schemeClr w14:val="tx1"/>
              </w14:solidFill>
            </w14:textFill>
          </w:rPr>
        </w:sdtEndPr>
        <w:sdtContent>
          <w:tr w14:paraId="0810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618" w:hRule="atLeast"/>
            </w:trPr>
            <w:tc>
              <w:tcPr>
                <w:tcW w:w="720" w:type="pct"/>
                <w:vAlign w:val="center"/>
              </w:tcPr>
              <w:p w14:paraId="0672CAC2">
                <w:pPr>
                  <w:ind w:right="105"/>
                  <w:jc w:val="both"/>
                </w:pPr>
                <w:r>
                  <w:rPr>
                    <w:rFonts w:hint="eastAsia"/>
                  </w:rPr>
                  <w:t>新疆华锦面料生产基地项目</w:t>
                </w:r>
              </w:p>
            </w:tc>
            <w:tc>
              <w:tcPr>
                <w:tcW w:w="521" w:type="pct"/>
                <w:vAlign w:val="center"/>
              </w:tcPr>
              <w:p w14:paraId="34ADE5A9">
                <w:pPr>
                  <w:ind w:right="105"/>
                  <w:jc w:val="right"/>
                  <w:rPr>
                    <w:rFonts w:cs="Times New Roman"/>
                  </w:rPr>
                </w:pPr>
                <w:r>
                  <w:rPr>
                    <w:rFonts w:cs="Times New Roman"/>
                  </w:rPr>
                  <w:t>36,175.84</w:t>
                </w:r>
              </w:p>
            </w:tc>
            <w:tc>
              <w:tcPr>
                <w:tcW w:w="551" w:type="pct"/>
                <w:vAlign w:val="center"/>
              </w:tcPr>
              <w:p w14:paraId="5A018FC3">
                <w:pPr>
                  <w:jc w:val="right"/>
                  <w:rPr>
                    <w:rFonts w:cs="Times New Roman"/>
                  </w:rPr>
                </w:pPr>
                <w:r>
                  <w:rPr>
                    <w:rFonts w:cs="Times New Roman"/>
                  </w:rPr>
                  <w:t>103.76</w:t>
                </w:r>
              </w:p>
            </w:tc>
            <w:tc>
              <w:tcPr>
                <w:tcW w:w="504" w:type="pct"/>
                <w:vAlign w:val="center"/>
              </w:tcPr>
              <w:p w14:paraId="56CFDA33">
                <w:pPr>
                  <w:ind w:right="73"/>
                  <w:jc w:val="right"/>
                  <w:rPr>
                    <w:rFonts w:cs="Times New Roman"/>
                  </w:rPr>
                </w:pPr>
                <w:r>
                  <w:rPr>
                    <w:rFonts w:cs="Times New Roman"/>
                  </w:rPr>
                  <w:t>3,727.34</w:t>
                </w:r>
              </w:p>
            </w:tc>
            <w:tc>
              <w:tcPr>
                <w:tcW w:w="504" w:type="pct"/>
                <w:vAlign w:val="center"/>
              </w:tcPr>
              <w:p w14:paraId="73E9FB26">
                <w:pPr>
                  <w:ind w:right="73"/>
                  <w:jc w:val="right"/>
                  <w:rPr>
                    <w:rFonts w:cs="Times New Roman"/>
                  </w:rPr>
                </w:pPr>
              </w:p>
            </w:tc>
            <w:tc>
              <w:tcPr>
                <w:tcW w:w="542" w:type="pct"/>
                <w:vAlign w:val="center"/>
              </w:tcPr>
              <w:p w14:paraId="644985FE">
                <w:pPr>
                  <w:jc w:val="right"/>
                  <w:rPr>
                    <w:rFonts w:cs="Times New Roman"/>
                  </w:rPr>
                </w:pPr>
                <w:r>
                  <w:rPr>
                    <w:rFonts w:hint="eastAsia" w:cs="Times New Roman"/>
                  </w:rPr>
                  <w:t>3,831.10</w:t>
                </w:r>
              </w:p>
            </w:tc>
            <w:tc>
              <w:tcPr>
                <w:tcW w:w="555" w:type="pct"/>
                <w:vAlign w:val="center"/>
              </w:tcPr>
              <w:p w14:paraId="66CB13DD">
                <w:pPr>
                  <w:jc w:val="right"/>
                  <w:rPr>
                    <w:rFonts w:cs="Times New Roman"/>
                  </w:rPr>
                </w:pPr>
                <w:r>
                  <w:rPr>
                    <w:rFonts w:hint="eastAsia" w:cs="Times New Roman"/>
                  </w:rPr>
                  <w:t>10.30</w:t>
                </w:r>
              </w:p>
            </w:tc>
            <w:tc>
              <w:tcPr>
                <w:tcW w:w="553" w:type="pct"/>
                <w:vAlign w:val="center"/>
              </w:tcPr>
              <w:p w14:paraId="6BAC1EBB">
                <w:pPr>
                  <w:jc w:val="right"/>
                  <w:rPr>
                    <w:rFonts w:cs="Times New Roman"/>
                  </w:rPr>
                </w:pPr>
                <w:r>
                  <w:rPr>
                    <w:rFonts w:hint="eastAsia" w:cs="Times New Roman"/>
                  </w:rPr>
                  <w:t>50.00</w:t>
                </w:r>
              </w:p>
            </w:tc>
            <w:tc>
              <w:tcPr>
                <w:tcW w:w="546" w:type="pct"/>
                <w:vAlign w:val="center"/>
              </w:tcPr>
              <w:p w14:paraId="1DFE3BBD">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自有资金、</w:t>
                </w:r>
              </w:p>
              <w:p w14:paraId="71114848">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借款</w:t>
                </w:r>
              </w:p>
            </w:tc>
          </w:tr>
        </w:sdtContent>
      </w:sdt>
      <w:tr w14:paraId="49446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488" w:hRule="atLeast"/>
        </w:trPr>
        <w:sdt>
          <w:sdtPr>
            <w:tag w:val="_PLD_942a3001646f41f087960bab251b2bbb"/>
            <w:id w:val="1712924619"/>
          </w:sdtPr>
          <w:sdtContent>
            <w:tc>
              <w:tcPr>
                <w:tcW w:w="720" w:type="pct"/>
                <w:vAlign w:val="center"/>
              </w:tcPr>
              <w:p w14:paraId="2CF0D54D">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521" w:type="pct"/>
            <w:vAlign w:val="center"/>
          </w:tcPr>
          <w:p w14:paraId="4DC96B0E">
            <w:pPr>
              <w:ind w:right="105"/>
              <w:jc w:val="right"/>
              <w:rPr>
                <w:rFonts w:cs="Times New Roman"/>
              </w:rPr>
            </w:pPr>
            <w:r>
              <w:rPr>
                <w:rFonts w:cs="Times New Roman"/>
              </w:rPr>
              <w:t>212,295.44</w:t>
            </w:r>
          </w:p>
        </w:tc>
        <w:tc>
          <w:tcPr>
            <w:tcW w:w="551" w:type="pct"/>
            <w:vAlign w:val="center"/>
          </w:tcPr>
          <w:p w14:paraId="6E2340D2">
            <w:pPr>
              <w:jc w:val="right"/>
              <w:rPr>
                <w:rFonts w:cs="Times New Roman"/>
              </w:rPr>
            </w:pPr>
            <w:r>
              <w:rPr>
                <w:rFonts w:cs="Times New Roman"/>
              </w:rPr>
              <w:t>86,767.05</w:t>
            </w:r>
          </w:p>
        </w:tc>
        <w:tc>
          <w:tcPr>
            <w:tcW w:w="504" w:type="pct"/>
            <w:vAlign w:val="center"/>
          </w:tcPr>
          <w:p w14:paraId="15AEA809">
            <w:pPr>
              <w:ind w:right="73"/>
              <w:jc w:val="right"/>
              <w:rPr>
                <w:rFonts w:cs="Times New Roman"/>
              </w:rPr>
            </w:pPr>
            <w:r>
              <w:rPr>
                <w:rFonts w:cs="Times New Roman"/>
              </w:rPr>
              <w:t>4,327.71</w:t>
            </w:r>
          </w:p>
        </w:tc>
        <w:tc>
          <w:tcPr>
            <w:tcW w:w="504" w:type="pct"/>
            <w:vAlign w:val="center"/>
          </w:tcPr>
          <w:p w14:paraId="2EBE2908">
            <w:pPr>
              <w:ind w:right="73"/>
              <w:jc w:val="right"/>
              <w:rPr>
                <w:rFonts w:cs="Times New Roman"/>
              </w:rPr>
            </w:pPr>
            <w:r>
              <w:rPr>
                <w:rFonts w:hint="eastAsia" w:cs="Times New Roman"/>
              </w:rPr>
              <w:t>9.99</w:t>
            </w:r>
          </w:p>
        </w:tc>
        <w:tc>
          <w:tcPr>
            <w:tcW w:w="542" w:type="pct"/>
            <w:vAlign w:val="center"/>
          </w:tcPr>
          <w:p w14:paraId="138F59B0">
            <w:pPr>
              <w:jc w:val="right"/>
              <w:rPr>
                <w:rFonts w:cs="Times New Roman"/>
              </w:rPr>
            </w:pPr>
            <w:r>
              <w:rPr>
                <w:rFonts w:cs="Times New Roman"/>
              </w:rPr>
              <w:t>91,084.77</w:t>
            </w:r>
          </w:p>
        </w:tc>
        <w:tc>
          <w:tcPr>
            <w:tcW w:w="555" w:type="pct"/>
            <w:vAlign w:val="center"/>
          </w:tcPr>
          <w:p w14:paraId="4FD0171C">
            <w:pPr>
              <w:ind w:right="174"/>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553" w:type="pct"/>
            <w:vAlign w:val="center"/>
          </w:tcPr>
          <w:p w14:paraId="476425DB">
            <w:pPr>
              <w:ind w:right="174"/>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546" w:type="pct"/>
            <w:vAlign w:val="center"/>
          </w:tcPr>
          <w:p w14:paraId="5B1C5625">
            <w:pPr>
              <w:ind w:right="17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bl>
    <w:p w14:paraId="5534F381">
      <w:pPr>
        <w:snapToGrid w:val="0"/>
        <w:spacing w:line="240" w:lineRule="atLeast"/>
        <w:rPr>
          <w:color w:val="000000" w:themeColor="text1"/>
          <w14:textFill>
            <w14:solidFill>
              <w14:schemeClr w14:val="tx1"/>
            </w14:solidFill>
          </w14:textFill>
        </w:rPr>
      </w:pPr>
    </w:p>
    <w:p w14:paraId="24AA3069">
      <w:pPr>
        <w:snapToGrid w:val="0"/>
        <w:spacing w:line="240" w:lineRule="atLeast"/>
        <w:rPr>
          <w:color w:val="000000" w:themeColor="text1"/>
          <w14:textFill>
            <w14:solidFill>
              <w14:schemeClr w14:val="tx1"/>
            </w14:solidFill>
          </w14:textFill>
        </w:rPr>
      </w:pPr>
    </w:p>
    <w:p w14:paraId="7CE1444E">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33B9B39">
      <w:pPr>
        <w:snapToGrid w:val="0"/>
        <w:spacing w:line="240" w:lineRule="atLeast"/>
        <w:rPr>
          <w:color w:val="000000" w:themeColor="text1"/>
          <w14:textFill>
            <w14:solidFill>
              <w14:schemeClr w14:val="tx1"/>
            </w14:solidFill>
          </w14:textFill>
        </w:rPr>
      </w:pPr>
    </w:p>
    <w:p w14:paraId="60070FD3">
      <w:pPr>
        <w:pStyle w:val="59"/>
        <w:numPr>
          <w:ilvl w:val="0"/>
          <w:numId w:val="71"/>
        </w:numPr>
      </w:pPr>
      <w:bookmarkStart w:id="319" w:name="_Hlk167958414"/>
      <w:r>
        <w:rPr>
          <w:rFonts w:hint="eastAsia"/>
        </w:rPr>
        <w:t>本期计提在建工程减值准备情况</w:t>
      </w:r>
    </w:p>
    <w:sdt>
      <w:sdtPr>
        <w:rPr>
          <w:color w:val="000000" w:themeColor="text1"/>
          <w14:textFill>
            <w14:solidFill>
              <w14:schemeClr w14:val="tx1"/>
            </w14:solidFill>
          </w14:textFill>
        </w:rPr>
        <w:alias w:val="是否适用：本期计提在建工程减值准备情况[双击切换]"/>
        <w:tag w:val="_GBC_7dd31cf4784347cd87139a8c2548b22d"/>
        <w:id w:val="147453589"/>
        <w:placeholder>
          <w:docPart w:val="GBC22222222222222222222222222222"/>
        </w:placeholder>
      </w:sdtPr>
      <w:sdtEndPr>
        <w:rPr>
          <w:color w:val="000000" w:themeColor="text1"/>
          <w14:textFill>
            <w14:solidFill>
              <w14:schemeClr w14:val="tx1"/>
            </w14:solidFill>
          </w14:textFill>
        </w:rPr>
      </w:sdtEndPr>
      <w:sdtContent>
        <w:p w14:paraId="43DA097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27F94F">
      <w:pPr>
        <w:rPr>
          <w:color w:val="000000" w:themeColor="text1"/>
          <w14:textFill>
            <w14:solidFill>
              <w14:schemeClr w14:val="tx1"/>
            </w14:solidFill>
          </w14:textFill>
        </w:rPr>
      </w:pPr>
    </w:p>
    <w:p w14:paraId="6E5CBD79">
      <w:pPr>
        <w:pStyle w:val="59"/>
        <w:numPr>
          <w:ilvl w:val="0"/>
          <w:numId w:val="71"/>
        </w:numPr>
      </w:pPr>
      <w:bookmarkStart w:id="320" w:name="_Hlk153461314"/>
      <w:r>
        <w:rPr>
          <w:rFonts w:hint="eastAsia"/>
        </w:rPr>
        <w:t>在建工程的减值测试情况</w:t>
      </w:r>
    </w:p>
    <w:sdt>
      <w:sdtPr>
        <w:rPr>
          <w:color w:val="000000" w:themeColor="text1"/>
          <w14:textFill>
            <w14:solidFill>
              <w14:schemeClr w14:val="tx1"/>
            </w14:solidFill>
          </w14:textFill>
        </w:rPr>
        <w:alias w:val="是否适用：减值测试情况[双击切换]"/>
        <w:tag w:val="_GBC_f6d4bcf1dee14a709974326281981b12"/>
        <w:id w:val="147475170"/>
        <w:placeholder>
          <w:docPart w:val="GBC22222222222222222222222222222"/>
        </w:placeholder>
      </w:sdtPr>
      <w:sdtEndPr>
        <w:rPr>
          <w:color w:val="000000" w:themeColor="text1"/>
          <w14:textFill>
            <w14:solidFill>
              <w14:schemeClr w14:val="tx1"/>
            </w14:solidFill>
          </w14:textFill>
        </w:rPr>
      </w:sdtEndPr>
      <w:sdtContent>
        <w:p w14:paraId="3D21D11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E74F7D0">
      <w:pPr>
        <w:snapToGrid w:val="0"/>
        <w:spacing w:line="240" w:lineRule="atLeast"/>
        <w:rPr>
          <w:color w:val="000000" w:themeColor="text1"/>
          <w14:textFill>
            <w14:solidFill>
              <w14:schemeClr w14:val="tx1"/>
            </w14:solidFill>
          </w14:textFill>
        </w:rPr>
      </w:pPr>
    </w:p>
    <w:bookmarkEnd w:id="319"/>
    <w:bookmarkEnd w:id="320"/>
    <w:p w14:paraId="56275CE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在建工程的说明[双击切换]"/>
        <w:tag w:val="_GBC_c0ffdfbb304348758da855627ba6d858"/>
        <w:id w:val="147463571"/>
        <w:placeholder>
          <w:docPart w:val="GBC22222222222222222222222222222"/>
        </w:placeholder>
      </w:sdtPr>
      <w:sdtEndPr>
        <w:rPr>
          <w:color w:val="000000" w:themeColor="text1"/>
          <w14:textFill>
            <w14:solidFill>
              <w14:schemeClr w14:val="tx1"/>
            </w14:solidFill>
          </w14:textFill>
        </w:rPr>
      </w:sdtEndPr>
      <w:sdtContent>
        <w:p w14:paraId="679FCB3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54D6DCE">
      <w:pPr>
        <w:rPr>
          <w:color w:val="000000" w:themeColor="text1"/>
          <w14:textFill>
            <w14:solidFill>
              <w14:schemeClr w14:val="tx1"/>
            </w14:solidFill>
          </w14:textFill>
        </w:rPr>
      </w:pPr>
    </w:p>
    <w:p w14:paraId="38A30D57">
      <w:pPr>
        <w:pStyle w:val="58"/>
        <w:rPr>
          <w:rFonts w:ascii="宋体" w:hAnsi="宋体"/>
          <w:color w:val="000000" w:themeColor="text1"/>
          <w14:textFill>
            <w14:solidFill>
              <w14:schemeClr w14:val="tx1"/>
            </w14:solidFill>
          </w14:textFill>
        </w:rPr>
      </w:pPr>
      <w:bookmarkStart w:id="321" w:name="_Hlk11683481"/>
      <w:r>
        <w:rPr>
          <w:rFonts w:hint="eastAsia" w:ascii="宋体" w:hAnsi="宋体"/>
          <w:color w:val="000000" w:themeColor="text1"/>
          <w14:textFill>
            <w14:solidFill>
              <w14:schemeClr w14:val="tx1"/>
            </w14:solidFill>
          </w14:textFill>
        </w:rPr>
        <w:t>工程物资</w:t>
      </w:r>
    </w:p>
    <w:sdt>
      <w:sdtPr>
        <w:rPr>
          <w:color w:val="000000" w:themeColor="text1"/>
          <w14:textFill>
            <w14:solidFill>
              <w14:schemeClr w14:val="tx1"/>
            </w14:solidFill>
          </w14:textFill>
        </w:rPr>
        <w:alias w:val="是否适用：工程物资[双击切换]"/>
        <w:tag w:val="_GBC_0d711628566c4b08b883151766986b20"/>
        <w:id w:val="147482565"/>
        <w:placeholder>
          <w:docPart w:val="GBC22222222222222222222222222222"/>
        </w:placeholder>
      </w:sdtPr>
      <w:sdtEndPr>
        <w:rPr>
          <w:color w:val="000000" w:themeColor="text1"/>
          <w14:textFill>
            <w14:solidFill>
              <w14:schemeClr w14:val="tx1"/>
            </w14:solidFill>
          </w14:textFill>
        </w:rPr>
      </w:sdtEndPr>
      <w:sdtContent>
        <w:p w14:paraId="32F0FC6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21"/>
    <w:p w14:paraId="292F08D5">
      <w:pPr>
        <w:rPr>
          <w:color w:val="000000" w:themeColor="text1"/>
          <w14:textFill>
            <w14:solidFill>
              <w14:schemeClr w14:val="tx1"/>
            </w14:solidFill>
          </w14:textFill>
        </w:rPr>
      </w:pPr>
    </w:p>
    <w:p w14:paraId="3F55E04F">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生产性生物资产</w:t>
      </w:r>
    </w:p>
    <w:p w14:paraId="6E3809CA">
      <w:pPr>
        <w:pStyle w:val="58"/>
        <w:numPr>
          <w:ilvl w:val="0"/>
          <w:numId w:val="72"/>
        </w:numPr>
        <w:tabs>
          <w:tab w:val="left" w:pos="602"/>
          <w:tab w:val="left" w:pos="798"/>
        </w:tabs>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采用成本计量模式的生产性生物资产</w:t>
      </w:r>
    </w:p>
    <w:sdt>
      <w:sdtPr>
        <w:rPr>
          <w:rFonts w:hint="eastAsia"/>
          <w:color w:val="000000" w:themeColor="text1"/>
          <w14:textFill>
            <w14:solidFill>
              <w14:schemeClr w14:val="tx1"/>
            </w14:solidFill>
          </w14:textFill>
        </w:rPr>
        <w:alias w:val="是否适用：财务附注：以成本计量的生产性生物资产[双击切换]"/>
        <w:tag w:val="_GBC_fca5101d9b46492484acd605f0ade969"/>
        <w:id w:val="147463970"/>
        <w:placeholder>
          <w:docPart w:val="GBC22222222222222222222222222222"/>
        </w:placeholder>
      </w:sdtPr>
      <w:sdtEndPr>
        <w:rPr>
          <w:rFonts w:hint="eastAsia"/>
          <w:color w:val="000000" w:themeColor="text1"/>
          <w14:textFill>
            <w14:solidFill>
              <w14:schemeClr w14:val="tx1"/>
            </w14:solidFill>
          </w14:textFill>
        </w:rPr>
      </w:sdtEndPr>
      <w:sdtContent>
        <w:p w14:paraId="37569AAF">
          <w:pPr>
            <w:ind w:right="210" w:rightChars="10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359654">
      <w:pPr>
        <w:ind w:right="210" w:rightChars="100"/>
        <w:rPr>
          <w:color w:val="000000" w:themeColor="text1"/>
          <w14:textFill>
            <w14:solidFill>
              <w14:schemeClr w14:val="tx1"/>
            </w14:solidFill>
          </w14:textFill>
        </w:rPr>
      </w:pPr>
    </w:p>
    <w:p w14:paraId="677C89F1">
      <w:pPr>
        <w:pStyle w:val="58"/>
        <w:numPr>
          <w:ilvl w:val="0"/>
          <w:numId w:val="72"/>
        </w:numPr>
        <w:tabs>
          <w:tab w:val="left" w:pos="602"/>
          <w:tab w:val="left" w:pos="798"/>
        </w:tabs>
        <w:rPr>
          <w:rFonts w:ascii="宋体" w:hAnsi="宋体"/>
          <w:color w:val="000000" w:themeColor="text1"/>
          <w:kern w:val="0"/>
          <w:szCs w:val="21"/>
          <w14:textFill>
            <w14:solidFill>
              <w14:schemeClr w14:val="tx1"/>
            </w14:solidFill>
          </w14:textFill>
        </w:rPr>
      </w:pPr>
      <w:bookmarkStart w:id="322" w:name="_Hlk167958925"/>
      <w:bookmarkStart w:id="323" w:name="_Hlk153461442"/>
      <w:r>
        <w:rPr>
          <w:rFonts w:hint="eastAsia" w:ascii="宋体" w:hAnsi="宋体"/>
          <w:color w:val="000000" w:themeColor="text1"/>
          <w:kern w:val="0"/>
          <w:szCs w:val="21"/>
          <w14:textFill>
            <w14:solidFill>
              <w14:schemeClr w14:val="tx1"/>
            </w14:solidFill>
          </w14:textFill>
        </w:rPr>
        <w:t>采用成本计量模式的生产性生物资产的减值测试情况</w:t>
      </w:r>
    </w:p>
    <w:sdt>
      <w:sdtPr>
        <w:rPr>
          <w:color w:val="000000" w:themeColor="text1"/>
          <w14:textFill>
            <w14:solidFill>
              <w14:schemeClr w14:val="tx1"/>
            </w14:solidFill>
          </w14:textFill>
        </w:rPr>
        <w:alias w:val="是否适用：减值测试情况[双击切换]"/>
        <w:tag w:val="_GBC_9e260b0f45a84f50898aaf872db0ca84"/>
        <w:id w:val="147479293"/>
        <w:placeholder>
          <w:docPart w:val="GBC22222222222222222222222222222"/>
        </w:placeholder>
      </w:sdtPr>
      <w:sdtEndPr>
        <w:rPr>
          <w:color w:val="000000" w:themeColor="text1"/>
          <w14:textFill>
            <w14:solidFill>
              <w14:schemeClr w14:val="tx1"/>
            </w14:solidFill>
          </w14:textFill>
        </w:rPr>
      </w:sdtEndPr>
      <w:sdtContent>
        <w:p w14:paraId="2B5A09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2746F24">
      <w:pPr>
        <w:snapToGrid w:val="0"/>
        <w:spacing w:line="240" w:lineRule="atLeast"/>
        <w:rPr>
          <w:color w:val="000000" w:themeColor="text1"/>
          <w14:textFill>
            <w14:solidFill>
              <w14:schemeClr w14:val="tx1"/>
            </w14:solidFill>
          </w14:textFill>
        </w:rPr>
      </w:pPr>
    </w:p>
    <w:bookmarkEnd w:id="322"/>
    <w:bookmarkEnd w:id="323"/>
    <w:p w14:paraId="177BE001">
      <w:pPr>
        <w:pStyle w:val="58"/>
        <w:numPr>
          <w:ilvl w:val="0"/>
          <w:numId w:val="72"/>
        </w:numPr>
        <w:tabs>
          <w:tab w:val="left" w:pos="602"/>
          <w:tab w:val="left" w:pos="798"/>
        </w:tabs>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采用公允价值计量模式的生产性生物资产</w:t>
      </w:r>
    </w:p>
    <w:sdt>
      <w:sdtPr>
        <w:rPr>
          <w:color w:val="000000" w:themeColor="text1"/>
          <w14:textFill>
            <w14:solidFill>
              <w14:schemeClr w14:val="tx1"/>
            </w14:solidFill>
          </w14:textFill>
        </w:rPr>
        <w:alias w:val="是否适用：财务附注：以公允价值计量的生产性生物资产[双击切换]"/>
        <w:tag w:val="_GBC_3a67921e606f4abca6478a1ffb759394"/>
        <w:id w:val="147481896"/>
        <w:placeholder>
          <w:docPart w:val="GBC22222222222222222222222222222"/>
        </w:placeholder>
      </w:sdtPr>
      <w:sdtEndPr>
        <w:rPr>
          <w:color w:val="000000" w:themeColor="text1"/>
          <w14:textFill>
            <w14:solidFill>
              <w14:schemeClr w14:val="tx1"/>
            </w14:solidFill>
          </w14:textFill>
        </w:rPr>
      </w:sdtEndPr>
      <w:sdtContent>
        <w:p w14:paraId="306CF2E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C39F9F4">
      <w:pPr>
        <w:rPr>
          <w:color w:val="000000" w:themeColor="text1"/>
          <w14:textFill>
            <w14:solidFill>
              <w14:schemeClr w14:val="tx1"/>
            </w14:solidFill>
          </w14:textFill>
        </w:rPr>
      </w:pPr>
    </w:p>
    <w:p w14:paraId="2637315E">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生产性生物资产的说明[双击切换]"/>
        <w:tag w:val="_GBC_48247874e2c54937aabce9db1308bea7"/>
        <w:id w:val="147466693"/>
        <w:placeholder>
          <w:docPart w:val="GBC22222222222222222222222222222"/>
        </w:placeholder>
      </w:sdtPr>
      <w:sdtEndPr>
        <w:rPr>
          <w:color w:val="000000" w:themeColor="text1"/>
          <w14:textFill>
            <w14:solidFill>
              <w14:schemeClr w14:val="tx1"/>
            </w14:solidFill>
          </w14:textFill>
        </w:rPr>
      </w:sdtEndPr>
      <w:sdtContent>
        <w:p w14:paraId="6A20F1A3">
          <w:pPr>
            <w:autoSpaceDE w:val="0"/>
            <w:autoSpaceDN w:val="0"/>
            <w:adjustRightIn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AFBB86">
      <w:pPr>
        <w:rPr>
          <w:color w:val="000000" w:themeColor="text1"/>
          <w14:textFill>
            <w14:solidFill>
              <w14:schemeClr w14:val="tx1"/>
            </w14:solidFill>
          </w14:textFill>
        </w:rPr>
      </w:pPr>
    </w:p>
    <w:p w14:paraId="5116D4CF">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油气资产</w:t>
      </w:r>
    </w:p>
    <w:p w14:paraId="0AEB0687">
      <w:pPr>
        <w:pStyle w:val="58"/>
        <w:numPr>
          <w:ilvl w:val="0"/>
          <w:numId w:val="73"/>
        </w:numPr>
        <w:rPr>
          <w:color w:val="000000" w:themeColor="text1"/>
          <w14:textFill>
            <w14:solidFill>
              <w14:schemeClr w14:val="tx1"/>
            </w14:solidFill>
          </w14:textFill>
        </w:rPr>
      </w:pPr>
      <w:r>
        <w:rPr>
          <w:rFonts w:hint="eastAsia"/>
          <w:color w:val="000000" w:themeColor="text1"/>
          <w14:textFill>
            <w14:solidFill>
              <w14:schemeClr w14:val="tx1"/>
            </w14:solidFill>
          </w14:textFill>
        </w:rPr>
        <w:t>油气资产情况</w:t>
      </w:r>
    </w:p>
    <w:sdt>
      <w:sdtPr>
        <w:rPr>
          <w:color w:val="000000" w:themeColor="text1"/>
          <w14:textFill>
            <w14:solidFill>
              <w14:schemeClr w14:val="tx1"/>
            </w14:solidFill>
          </w14:textFill>
        </w:rPr>
        <w:alias w:val="是否适用：油气资产[双击切换]"/>
        <w:tag w:val="_GBC_7dce41817eb749dba0d132424020d250"/>
        <w:id w:val="147469891"/>
        <w:placeholder>
          <w:docPart w:val="GBC22222222222222222222222222222"/>
        </w:placeholder>
      </w:sdtPr>
      <w:sdtEndPr>
        <w:rPr>
          <w:color w:val="000000" w:themeColor="text1"/>
          <w14:textFill>
            <w14:solidFill>
              <w14:schemeClr w14:val="tx1"/>
            </w14:solidFill>
          </w14:textFill>
        </w:rPr>
      </w:sdtEndPr>
      <w:sdtContent>
        <w:p w14:paraId="384EA8F2">
          <w:pPr>
            <w:autoSpaceDE w:val="0"/>
            <w:autoSpaceDN w:val="0"/>
            <w:adjustRightIn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5EBDB5B">
      <w:pPr>
        <w:autoSpaceDE w:val="0"/>
        <w:autoSpaceDN w:val="0"/>
        <w:adjustRightInd w:val="0"/>
        <w:rPr>
          <w:color w:val="000000" w:themeColor="text1"/>
          <w14:textFill>
            <w14:solidFill>
              <w14:schemeClr w14:val="tx1"/>
            </w14:solidFill>
          </w14:textFill>
        </w:rPr>
      </w:pPr>
    </w:p>
    <w:p w14:paraId="0C09238F">
      <w:pPr>
        <w:pStyle w:val="58"/>
        <w:numPr>
          <w:ilvl w:val="0"/>
          <w:numId w:val="73"/>
        </w:numPr>
        <w:rPr>
          <w:color w:val="000000" w:themeColor="text1"/>
          <w14:textFill>
            <w14:solidFill>
              <w14:schemeClr w14:val="tx1"/>
            </w14:solidFill>
          </w14:textFill>
        </w:rPr>
      </w:pPr>
      <w:bookmarkStart w:id="324" w:name="_Hlk167959265"/>
      <w:bookmarkStart w:id="325" w:name="_Hlk153461604"/>
      <w:r>
        <w:rPr>
          <w:rFonts w:hint="eastAsia"/>
          <w:color w:val="000000" w:themeColor="text1"/>
          <w14:textFill>
            <w14:solidFill>
              <w14:schemeClr w14:val="tx1"/>
            </w14:solidFill>
          </w14:textFill>
        </w:rPr>
        <w:t>油气资产的减值测试情况</w:t>
      </w:r>
    </w:p>
    <w:sdt>
      <w:sdtPr>
        <w:rPr>
          <w:color w:val="000000" w:themeColor="text1"/>
          <w14:textFill>
            <w14:solidFill>
              <w14:schemeClr w14:val="tx1"/>
            </w14:solidFill>
          </w14:textFill>
        </w:rPr>
        <w:alias w:val="是否适用：减值测试情况[双击切换]"/>
        <w:tag w:val="_GBC_3d3afd59d9f741639537a668ab2d0ccf"/>
        <w:id w:val="147480234"/>
        <w:placeholder>
          <w:docPart w:val="GBC22222222222222222222222222222"/>
        </w:placeholder>
      </w:sdtPr>
      <w:sdtEndPr>
        <w:rPr>
          <w:color w:val="000000" w:themeColor="text1"/>
          <w14:textFill>
            <w14:solidFill>
              <w14:schemeClr w14:val="tx1"/>
            </w14:solidFill>
          </w14:textFill>
        </w:rPr>
      </w:sdtEndPr>
      <w:sdtContent>
        <w:p w14:paraId="0F0663A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01492E">
      <w:pPr>
        <w:snapToGrid w:val="0"/>
        <w:spacing w:line="240" w:lineRule="atLeast"/>
        <w:rPr>
          <w:color w:val="000000" w:themeColor="text1"/>
          <w14:textFill>
            <w14:solidFill>
              <w14:schemeClr w14:val="tx1"/>
            </w14:solidFill>
          </w14:textFill>
        </w:rPr>
      </w:pPr>
    </w:p>
    <w:bookmarkEnd w:id="324"/>
    <w:bookmarkEnd w:id="325"/>
    <w:p w14:paraId="7CE53F47">
      <w:pPr>
        <w:autoSpaceDE w:val="0"/>
        <w:autoSpaceDN w:val="0"/>
        <w:adjustRightInd w:val="0"/>
        <w:rPr>
          <w:color w:val="000000" w:themeColor="text1"/>
          <w14:textFill>
            <w14:solidFill>
              <w14:schemeClr w14:val="tx1"/>
            </w14:solidFill>
          </w14:textFill>
        </w:rPr>
      </w:pPr>
      <w:bookmarkStart w:id="326" w:name="_Hlk167959495"/>
      <w:r>
        <w:rPr>
          <w:rFonts w:hint="eastAsia"/>
          <w:color w:val="000000" w:themeColor="text1"/>
          <w14:textFill>
            <w14:solidFill>
              <w14:schemeClr w14:val="tx1"/>
            </w14:solidFill>
          </w14:textFill>
        </w:rPr>
        <w:t>其他说明：</w:t>
      </w:r>
    </w:p>
    <w:p w14:paraId="407BCAB0">
      <w:pPr>
        <w:autoSpaceDE w:val="0"/>
        <w:autoSpaceDN w:val="0"/>
        <w:adjustRightInd w:val="0"/>
        <w:rPr>
          <w:color w:val="000000" w:themeColor="text1"/>
          <w14:textFill>
            <w14:solidFill>
              <w14:schemeClr w14:val="tx1"/>
            </w14:solidFill>
          </w14:textFill>
        </w:rPr>
      </w:pPr>
      <w:sdt>
        <w:sdtPr>
          <w:rPr>
            <w:color w:val="000000" w:themeColor="text1"/>
            <w14:textFill>
              <w14:solidFill>
                <w14:schemeClr w14:val="tx1"/>
              </w14:solidFill>
            </w14:textFill>
          </w:rPr>
          <w:alias w:val="油气资产的说明"/>
          <w:tag w:val="_GBC_f691a34a4bb64e549c6319049096f28b"/>
          <w:id w:val="147465212"/>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435B2054">
      <w:pPr>
        <w:snapToGrid w:val="0"/>
        <w:spacing w:line="240" w:lineRule="atLeast"/>
        <w:rPr>
          <w:color w:val="000000" w:themeColor="text1"/>
          <w14:textFill>
            <w14:solidFill>
              <w14:schemeClr w14:val="tx1"/>
            </w14:solidFill>
          </w14:textFill>
        </w:rPr>
      </w:pPr>
    </w:p>
    <w:bookmarkEnd w:id="326"/>
    <w:sdt>
      <w:sdtPr>
        <w:rPr>
          <w:rFonts w:hint="eastAsia" w:ascii="宋体" w:hAnsi="宋体" w:cs="宋体"/>
          <w:b w:val="0"/>
          <w:bCs/>
          <w:color w:val="000000" w:themeColor="text1"/>
          <w:kern w:val="0"/>
          <w:sz w:val="21"/>
          <w:szCs w:val="21"/>
          <w14:textFill>
            <w14:solidFill>
              <w14:schemeClr w14:val="tx1"/>
            </w14:solidFill>
          </w14:textFill>
        </w:rPr>
        <w:alias w:val="模块:使用权资产"/>
        <w:tag w:val="_SEC_42126bf96c7241e38ff33aae0d98dae2"/>
        <w:id w:val="147466188"/>
        <w:placeholder>
          <w:docPart w:val="GBC22222222222222222222222222222"/>
        </w:placeholder>
      </w:sdtPr>
      <w:sdtEndPr>
        <w:rPr>
          <w:rFonts w:hint="eastAsia" w:ascii="Times New Roman" w:hAnsi="Times New Roman" w:cs="宋体"/>
          <w:b w:val="0"/>
          <w:bCs/>
          <w:color w:val="000000" w:themeColor="text1"/>
          <w:kern w:val="0"/>
          <w:sz w:val="21"/>
          <w:szCs w:val="21"/>
          <w14:textFill>
            <w14:solidFill>
              <w14:schemeClr w14:val="tx1"/>
            </w14:solidFill>
          </w14:textFill>
        </w:rPr>
      </w:sdtEndPr>
      <w:sdtContent>
        <w:sdt>
          <w:sdtPr>
            <w:tag w:val="_PLD_dbf30b0808914e11a730d24190f6e581"/>
            <w:id w:val="147468603"/>
          </w:sdtPr>
          <w:sdtContent>
            <w:p w14:paraId="3E74FD5B">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使用权资产</w:t>
              </w:r>
            </w:p>
          </w:sdtContent>
        </w:sdt>
        <w:p w14:paraId="5370393D">
          <w:pPr>
            <w:pStyle w:val="58"/>
            <w:numPr>
              <w:ilvl w:val="0"/>
              <w:numId w:val="74"/>
            </w:numPr>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使用权资产情况</w:t>
          </w:r>
        </w:p>
        <w:sdt>
          <w:sdtPr>
            <w:rPr>
              <w:color w:val="000000" w:themeColor="text1"/>
              <w14:textFill>
                <w14:solidFill>
                  <w14:schemeClr w14:val="tx1"/>
                </w14:solidFill>
              </w14:textFill>
            </w:rPr>
            <w:alias w:val="是否适用：使用权资产[双击切换]"/>
            <w:tag w:val="_GBC_3ac132175b304712af4889ae3914ef7d"/>
            <w:id w:val="147459724"/>
            <w:placeholder>
              <w:docPart w:val="GBC22222222222222222222222222222"/>
            </w:placeholder>
          </w:sdtPr>
          <w:sdtEndPr>
            <w:rPr>
              <w:color w:val="000000" w:themeColor="text1"/>
              <w14:textFill>
                <w14:solidFill>
                  <w14:schemeClr w14:val="tx1"/>
                </w14:solidFill>
              </w14:textFill>
            </w:rPr>
          </w:sdtEndPr>
          <w:sdtContent>
            <w:p w14:paraId="0BE71F1F">
              <w:pPr>
                <w:rPr>
                  <w:color w:val="000000" w:themeColor="text1"/>
                  <w14:textFill>
                    <w14:solidFill>
                      <w14:schemeClr w14:val="tx1"/>
                    </w14:solidFill>
                  </w14:textFill>
                </w:rPr>
              </w:pPr>
              <w:bookmarkStart w:id="327" w:name="_Hlk11679747"/>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622931C">
          <w:pPr>
            <w:autoSpaceDE w:val="0"/>
            <w:autoSpaceDN w:val="0"/>
            <w:adjustRightInd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使用权资产"/>
              <w:tag w:val="_GBC_126de13c7c92490d95bdebd7efe2d59b"/>
              <w:id w:val="14747209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使用权资产"/>
              <w:tag w:val="_GBC_bb9e8b7096ab49fc95311a6c81431e95"/>
              <w:id w:val="1474743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9"/>
            <w:gridCol w:w="2722"/>
            <w:gridCol w:w="2928"/>
          </w:tblGrid>
          <w:tr w14:paraId="3CEE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sdt>
              <w:sdtPr>
                <w:tag w:val="_PLD_e7cc7a86c52f4dc596615cce534e6d6a"/>
                <w:id w:val="147466974"/>
              </w:sdtPr>
              <w:sdtContent>
                <w:tc>
                  <w:tcPr>
                    <w:tcW w:w="1878" w:type="pct"/>
                    <w:vAlign w:val="center"/>
                  </w:tcPr>
                  <w:p w14:paraId="16055ABF">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rPr>
                  <w:color w:val="000000" w:themeColor="text1"/>
                  <w14:textFill>
                    <w14:solidFill>
                      <w14:schemeClr w14:val="tx1"/>
                    </w14:solidFill>
                  </w14:textFill>
                </w:rPr>
                <w:alias w:val="使用权资产明细-项目"/>
                <w:tag w:val="_GBC_ea9ffc7b81304e04ad88fe7fcccf7ec1"/>
                <w:id w:val="147482864"/>
              </w:sdtPr>
              <w:sdtEndPr>
                <w:rPr>
                  <w:color w:val="000000" w:themeColor="text1"/>
                  <w14:textFill>
                    <w14:solidFill>
                      <w14:schemeClr w14:val="tx1"/>
                    </w14:solidFill>
                  </w14:textFill>
                </w:rPr>
              </w:sdtEndPr>
              <w:sdtContent>
                <w:tc>
                  <w:tcPr>
                    <w:tcW w:w="1504" w:type="pct"/>
                    <w:vAlign w:val="center"/>
                  </w:tcPr>
                  <w:p w14:paraId="1CF54FE0">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房屋及建筑物</w:t>
                    </w:r>
                  </w:p>
                </w:tc>
              </w:sdtContent>
            </w:sdt>
            <w:sdt>
              <w:sdtPr>
                <w:tag w:val="_PLD_8404013d36434d0f94f9d2e0e06379db"/>
                <w:id w:val="147461686"/>
              </w:sdtPr>
              <w:sdtContent>
                <w:tc>
                  <w:tcPr>
                    <w:tcW w:w="1617" w:type="pct"/>
                    <w:vAlign w:val="center"/>
                  </w:tcPr>
                  <w:p w14:paraId="1BD2FAE2">
                    <w:pPr>
                      <w:spacing w:line="24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14:paraId="5599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8a1172a4974b4db489d9ace1c9b06ff9"/>
                <w:id w:val="147471045"/>
              </w:sdtPr>
              <w:sdtContent>
                <w:tc>
                  <w:tcPr>
                    <w:tcW w:w="5000" w:type="pct"/>
                    <w:gridSpan w:val="3"/>
                    <w:vAlign w:val="center"/>
                  </w:tcPr>
                  <w:p w14:paraId="13D214F8">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账面</w:t>
                    </w:r>
                    <w:r>
                      <w:rPr>
                        <w:color w:val="000000" w:themeColor="text1"/>
                        <w14:textFill>
                          <w14:solidFill>
                            <w14:schemeClr w14:val="tx1"/>
                          </w14:solidFill>
                        </w14:textFill>
                      </w:rPr>
                      <w:t>原</w:t>
                    </w:r>
                    <w:r>
                      <w:rPr>
                        <w:rFonts w:hint="eastAsia"/>
                        <w:color w:val="000000" w:themeColor="text1"/>
                        <w14:textFill>
                          <w14:solidFill>
                            <w14:schemeClr w14:val="tx1"/>
                          </w14:solidFill>
                        </w14:textFill>
                      </w:rPr>
                      <w:t>值</w:t>
                    </w:r>
                  </w:p>
                </w:tc>
              </w:sdtContent>
            </w:sdt>
          </w:tr>
          <w:tr w14:paraId="2A23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7321597C">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w:t>
                </w:r>
                <w:r>
                  <w:rPr>
                    <w:color w:val="000000" w:themeColor="text1"/>
                    <w14:textFill>
                      <w14:solidFill>
                        <w14:schemeClr w14:val="tx1"/>
                      </w14:solidFill>
                    </w14:textFill>
                  </w:rPr>
                  <w:t>初余额</w:t>
                </w:r>
              </w:p>
            </w:tc>
            <w:tc>
              <w:tcPr>
                <w:tcW w:w="1504" w:type="pct"/>
                <w:vAlign w:val="center"/>
              </w:tcPr>
              <w:p w14:paraId="149207DD">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15,967,621.24</w:t>
                </w:r>
              </w:p>
            </w:tc>
            <w:tc>
              <w:tcPr>
                <w:tcW w:w="1617" w:type="pct"/>
                <w:vAlign w:val="center"/>
              </w:tcPr>
              <w:p w14:paraId="60B1C7E0">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15,967,621.24</w:t>
                </w:r>
              </w:p>
            </w:tc>
          </w:tr>
          <w:tr w14:paraId="1920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15504036">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1504" w:type="pct"/>
              </w:tcPr>
              <w:p w14:paraId="30510123">
                <w:pPr>
                  <w:spacing w:line="240" w:lineRule="atLeast"/>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c>
              <w:tcPr>
                <w:tcW w:w="1617" w:type="pct"/>
              </w:tcPr>
              <w:p w14:paraId="2A548711">
                <w:pPr>
                  <w:spacing w:line="240" w:lineRule="atLeast"/>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r>
          <w:tr w14:paraId="6C8A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36CEF75E">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3.本期减少</w:t>
                </w:r>
                <w:r>
                  <w:rPr>
                    <w:rFonts w:hint="eastAsia"/>
                    <w:color w:val="000000" w:themeColor="text1"/>
                    <w14:textFill>
                      <w14:solidFill>
                        <w14:schemeClr w14:val="tx1"/>
                      </w14:solidFill>
                    </w14:textFill>
                  </w:rPr>
                  <w:t>金额</w:t>
                </w:r>
              </w:p>
            </w:tc>
            <w:tc>
              <w:tcPr>
                <w:tcW w:w="1504" w:type="pct"/>
              </w:tcPr>
              <w:p w14:paraId="7438A08D">
                <w:pPr>
                  <w:spacing w:line="240" w:lineRule="atLeast"/>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c>
              <w:tcPr>
                <w:tcW w:w="1617" w:type="pct"/>
              </w:tcPr>
              <w:p w14:paraId="41B9D469">
                <w:pPr>
                  <w:spacing w:line="240" w:lineRule="atLeast"/>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r>
          <w:tr w14:paraId="5B74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246A403A">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4.期末余额</w:t>
                </w:r>
              </w:p>
            </w:tc>
            <w:tc>
              <w:tcPr>
                <w:tcW w:w="1504" w:type="pct"/>
                <w:vAlign w:val="center"/>
              </w:tcPr>
              <w:p w14:paraId="1AF3ABE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15,967,621.24</w:t>
                </w:r>
              </w:p>
            </w:tc>
            <w:tc>
              <w:tcPr>
                <w:tcW w:w="1617" w:type="pct"/>
                <w:vAlign w:val="center"/>
              </w:tcPr>
              <w:p w14:paraId="69D5F793">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15,967,621.24</w:t>
                </w:r>
              </w:p>
            </w:tc>
          </w:tr>
          <w:tr w14:paraId="2E42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c5fd254e7ed54ab8b2346f3d57a1cc54"/>
                <w:id w:val="147480453"/>
              </w:sdtPr>
              <w:sdtEndPr>
                <w:rPr>
                  <w:rFonts w:cs="Times New Roman"/>
                </w:rPr>
              </w:sdtEndPr>
              <w:sdtContent>
                <w:tc>
                  <w:tcPr>
                    <w:tcW w:w="5000" w:type="pct"/>
                    <w:gridSpan w:val="3"/>
                    <w:vAlign w:val="center"/>
                  </w:tcPr>
                  <w:p w14:paraId="68A0B84F">
                    <w:pPr>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二、累计折旧</w:t>
                    </w:r>
                  </w:p>
                </w:tc>
              </w:sdtContent>
            </w:sdt>
          </w:tr>
          <w:tr w14:paraId="2D5D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37000527">
                <w:pPr>
                  <w:spacing w:line="240" w:lineRule="atLeas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1504" w:type="pct"/>
                <w:vAlign w:val="center"/>
              </w:tcPr>
              <w:p w14:paraId="10DB3029">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5,296,909.95</w:t>
                </w:r>
              </w:p>
            </w:tc>
            <w:tc>
              <w:tcPr>
                <w:tcW w:w="1617" w:type="pct"/>
                <w:vAlign w:val="center"/>
              </w:tcPr>
              <w:p w14:paraId="38A8A969">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5,296,909.95</w:t>
                </w:r>
              </w:p>
            </w:tc>
          </w:tr>
          <w:tr w14:paraId="0C29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4ACA33EF">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1504" w:type="pct"/>
                <w:vAlign w:val="center"/>
              </w:tcPr>
              <w:p w14:paraId="3ECFD209">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709,745.55</w:t>
                </w:r>
              </w:p>
            </w:tc>
            <w:tc>
              <w:tcPr>
                <w:tcW w:w="1617" w:type="pct"/>
                <w:vAlign w:val="center"/>
              </w:tcPr>
              <w:p w14:paraId="4DAF6C0E">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709,745.55</w:t>
                </w:r>
              </w:p>
            </w:tc>
          </w:tr>
          <w:tr w14:paraId="6A70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59B8A3BC">
                <w:pPr>
                  <w:spacing w:line="240" w:lineRule="atLeast"/>
                  <w:ind w:firstLine="630" w:firstLineChars="300"/>
                  <w:rPr>
                    <w:color w:val="000000" w:themeColor="text1"/>
                    <w14:textFill>
                      <w14:solidFill>
                        <w14:schemeClr w14:val="tx1"/>
                      </w14:solidFill>
                    </w14:textFill>
                  </w:rPr>
                </w:pPr>
                <w:r>
                  <w:rPr>
                    <w:color w:val="000000" w:themeColor="text1"/>
                    <w14:textFill>
                      <w14:solidFill>
                        <w14:schemeClr w14:val="tx1"/>
                      </w14:solidFill>
                    </w14:textFill>
                  </w:rPr>
                  <w:t>(1)计提</w:t>
                </w:r>
              </w:p>
            </w:tc>
            <w:tc>
              <w:tcPr>
                <w:tcW w:w="1504" w:type="pct"/>
                <w:vAlign w:val="center"/>
              </w:tcPr>
              <w:p w14:paraId="1C73927E">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709,745.55</w:t>
                </w:r>
              </w:p>
            </w:tc>
            <w:tc>
              <w:tcPr>
                <w:tcW w:w="1617" w:type="pct"/>
                <w:vAlign w:val="center"/>
              </w:tcPr>
              <w:p w14:paraId="5A8309B4">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709,745.55</w:t>
                </w:r>
              </w:p>
            </w:tc>
          </w:tr>
          <w:tr w14:paraId="4695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2D33AE64">
                <w:pPr>
                  <w:spacing w:line="240" w:lineRule="atLeas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本期减少</w:t>
                </w:r>
                <w:r>
                  <w:rPr>
                    <w:rFonts w:hint="eastAsia"/>
                    <w:color w:val="000000" w:themeColor="text1"/>
                    <w14:textFill>
                      <w14:solidFill>
                        <w14:schemeClr w14:val="tx1"/>
                      </w14:solidFill>
                    </w14:textFill>
                  </w:rPr>
                  <w:t>金额</w:t>
                </w:r>
              </w:p>
            </w:tc>
            <w:tc>
              <w:tcPr>
                <w:tcW w:w="1504" w:type="pct"/>
                <w:vAlign w:val="center"/>
              </w:tcPr>
              <w:p w14:paraId="677BD198">
                <w:pPr>
                  <w:jc w:val="right"/>
                  <w:rPr>
                    <w:rFonts w:cs="Times New Roman"/>
                    <w:color w:val="000000" w:themeColor="text1"/>
                    <w14:textFill>
                      <w14:solidFill>
                        <w14:schemeClr w14:val="tx1"/>
                      </w14:solidFill>
                    </w14:textFill>
                  </w:rPr>
                </w:pPr>
              </w:p>
            </w:tc>
            <w:tc>
              <w:tcPr>
                <w:tcW w:w="1617" w:type="pct"/>
                <w:vAlign w:val="center"/>
              </w:tcPr>
              <w:p w14:paraId="2B676CA3">
                <w:pPr>
                  <w:jc w:val="right"/>
                  <w:rPr>
                    <w:rFonts w:cs="Times New Roman"/>
                    <w:color w:val="000000" w:themeColor="text1"/>
                    <w14:textFill>
                      <w14:solidFill>
                        <w14:schemeClr w14:val="tx1"/>
                      </w14:solidFill>
                    </w14:textFill>
                  </w:rPr>
                </w:pPr>
              </w:p>
            </w:tc>
          </w:tr>
          <w:tr w14:paraId="30C5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7E577F03">
                <w:pPr>
                  <w:spacing w:line="240" w:lineRule="atLeas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期末余额</w:t>
                </w:r>
              </w:p>
            </w:tc>
            <w:tc>
              <w:tcPr>
                <w:tcW w:w="1504" w:type="pct"/>
                <w:vAlign w:val="center"/>
              </w:tcPr>
              <w:p w14:paraId="4DDEA227">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6,006,655.50</w:t>
                </w:r>
              </w:p>
            </w:tc>
            <w:tc>
              <w:tcPr>
                <w:tcW w:w="1617" w:type="pct"/>
                <w:vAlign w:val="center"/>
              </w:tcPr>
              <w:p w14:paraId="4921678E">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6,006,655.50</w:t>
                </w:r>
              </w:p>
            </w:tc>
          </w:tr>
          <w:tr w14:paraId="70D0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977579b288954e92aacbdc72b4e58579"/>
                <w:id w:val="147469132"/>
              </w:sdtPr>
              <w:sdtEndPr>
                <w:rPr>
                  <w:rFonts w:cs="Times New Roman"/>
                </w:rPr>
              </w:sdtEndPr>
              <w:sdtContent>
                <w:tc>
                  <w:tcPr>
                    <w:tcW w:w="5000" w:type="pct"/>
                    <w:gridSpan w:val="3"/>
                    <w:vAlign w:val="center"/>
                  </w:tcPr>
                  <w:p w14:paraId="55A63C9B">
                    <w:pPr>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三、减值准备</w:t>
                    </w:r>
                  </w:p>
                </w:tc>
              </w:sdtContent>
            </w:sdt>
          </w:tr>
          <w:tr w14:paraId="035C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a609076f16da4fedb37d9fc1d72dfd8f"/>
                <w:id w:val="147473910"/>
              </w:sdtPr>
              <w:sdtEndPr>
                <w:rPr>
                  <w:rFonts w:cs="Times New Roman"/>
                </w:rPr>
              </w:sdtEndPr>
              <w:sdtContent>
                <w:tc>
                  <w:tcPr>
                    <w:tcW w:w="5000" w:type="pct"/>
                    <w:gridSpan w:val="3"/>
                    <w:vAlign w:val="center"/>
                  </w:tcPr>
                  <w:p w14:paraId="6AACB080">
                    <w:pPr>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四、账面价值</w:t>
                    </w:r>
                  </w:p>
                </w:tc>
              </w:sdtContent>
            </w:sdt>
          </w:tr>
          <w:tr w14:paraId="2810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4DE20BE8">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1.期末账面价值</w:t>
                </w:r>
              </w:p>
            </w:tc>
            <w:tc>
              <w:tcPr>
                <w:tcW w:w="1504" w:type="pct"/>
                <w:vAlign w:val="center"/>
              </w:tcPr>
              <w:p w14:paraId="7077D996">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9,960,965.74</w:t>
                </w:r>
              </w:p>
            </w:tc>
            <w:tc>
              <w:tcPr>
                <w:tcW w:w="1617" w:type="pct"/>
                <w:vAlign w:val="center"/>
              </w:tcPr>
              <w:p w14:paraId="3A29D849">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9,960,965.74</w:t>
                </w:r>
              </w:p>
            </w:tc>
          </w:tr>
          <w:tr w14:paraId="7893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78" w:type="pct"/>
                <w:vAlign w:val="center"/>
              </w:tcPr>
              <w:p w14:paraId="2F40CA64">
                <w:pPr>
                  <w:spacing w:line="24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2.期初账面价值</w:t>
                </w:r>
              </w:p>
            </w:tc>
            <w:tc>
              <w:tcPr>
                <w:tcW w:w="1504" w:type="pct"/>
                <w:vAlign w:val="center"/>
              </w:tcPr>
              <w:p w14:paraId="1B44CC32">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10,670,711.29</w:t>
                </w:r>
              </w:p>
            </w:tc>
            <w:tc>
              <w:tcPr>
                <w:tcW w:w="1617" w:type="pct"/>
                <w:vAlign w:val="center"/>
              </w:tcPr>
              <w:p w14:paraId="5ECDCC77">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10,670,711.29</w:t>
                </w:r>
              </w:p>
            </w:tc>
          </w:tr>
        </w:tbl>
        <w:p w14:paraId="1442AC5E"/>
        <w:p w14:paraId="35546396">
          <w:pPr>
            <w:autoSpaceDE w:val="0"/>
            <w:autoSpaceDN w:val="0"/>
            <w:adjustRightInd w:val="0"/>
            <w:rPr>
              <w:color w:val="000000" w:themeColor="text1"/>
              <w14:textFill>
                <w14:solidFill>
                  <w14:schemeClr w14:val="tx1"/>
                </w14:solidFill>
              </w14:textFill>
            </w:rPr>
          </w:pPr>
        </w:p>
      </w:sdtContent>
    </w:sdt>
    <w:bookmarkEnd w:id="327"/>
    <w:p w14:paraId="10D1175A">
      <w:pPr>
        <w:pStyle w:val="58"/>
        <w:numPr>
          <w:ilvl w:val="0"/>
          <w:numId w:val="74"/>
        </w:numPr>
        <w:rPr>
          <w:color w:val="000000" w:themeColor="text1"/>
          <w14:textFill>
            <w14:solidFill>
              <w14:schemeClr w14:val="tx1"/>
            </w14:solidFill>
          </w14:textFill>
        </w:rPr>
      </w:pPr>
      <w:bookmarkStart w:id="328" w:name="_Hlk153461708"/>
      <w:bookmarkStart w:id="329" w:name="_Hlk167959535"/>
      <w:r>
        <w:rPr>
          <w:rFonts w:hint="eastAsia"/>
          <w:color w:val="000000" w:themeColor="text1"/>
          <w14:textFill>
            <w14:solidFill>
              <w14:schemeClr w14:val="tx1"/>
            </w14:solidFill>
          </w14:textFill>
        </w:rPr>
        <w:t>使用权资产的减值测试情况</w:t>
      </w:r>
    </w:p>
    <w:sdt>
      <w:sdtPr>
        <w:rPr>
          <w:color w:val="000000" w:themeColor="text1"/>
          <w14:textFill>
            <w14:solidFill>
              <w14:schemeClr w14:val="tx1"/>
            </w14:solidFill>
          </w14:textFill>
        </w:rPr>
        <w:alias w:val="是否适用：减值测试情况[双击切换]"/>
        <w:tag w:val="_GBC_d79f93753a2c43fc80991be4c588d144"/>
        <w:id w:val="147466590"/>
        <w:placeholder>
          <w:docPart w:val="GBC22222222222222222222222222222"/>
        </w:placeholder>
      </w:sdtPr>
      <w:sdtEndPr>
        <w:rPr>
          <w:color w:val="000000" w:themeColor="text1"/>
          <w14:textFill>
            <w14:solidFill>
              <w14:schemeClr w14:val="tx1"/>
            </w14:solidFill>
          </w14:textFill>
        </w:rPr>
      </w:sdtEndPr>
      <w:sdtContent>
        <w:p w14:paraId="6073A5A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7CCD966">
      <w:pPr>
        <w:snapToGrid w:val="0"/>
        <w:spacing w:line="240" w:lineRule="atLeast"/>
        <w:rPr>
          <w:color w:val="000000" w:themeColor="text1"/>
          <w14:textFill>
            <w14:solidFill>
              <w14:schemeClr w14:val="tx1"/>
            </w14:solidFill>
          </w14:textFill>
        </w:rPr>
      </w:pPr>
    </w:p>
    <w:bookmarkEnd w:id="328"/>
    <w:bookmarkEnd w:id="329"/>
    <w:p w14:paraId="3136B31E">
      <w:pPr>
        <w:autoSpaceDE w:val="0"/>
        <w:autoSpaceDN w:val="0"/>
        <w:adjustRightInd w:val="0"/>
        <w:rPr>
          <w:color w:val="000000" w:themeColor="text1"/>
          <w14:textFill>
            <w14:solidFill>
              <w14:schemeClr w14:val="tx1"/>
            </w14:solidFill>
          </w14:textFill>
        </w:rPr>
      </w:pPr>
      <w:bookmarkStart w:id="330" w:name="_Hlk167959640"/>
      <w:r>
        <w:rPr>
          <w:rFonts w:hint="eastAsia"/>
          <w:color w:val="000000" w:themeColor="text1"/>
          <w14:textFill>
            <w14:solidFill>
              <w14:schemeClr w14:val="tx1"/>
            </w14:solidFill>
          </w14:textFill>
        </w:rPr>
        <w:t>其他说明：</w:t>
      </w:r>
    </w:p>
    <w:p w14:paraId="7FD2D872">
      <w:pPr>
        <w:rPr>
          <w:color w:val="000000" w:themeColor="text1"/>
          <w14:textFill>
            <w14:solidFill>
              <w14:schemeClr w14:val="tx1"/>
            </w14:solidFill>
          </w14:textFill>
        </w:rPr>
      </w:pPr>
      <w:sdt>
        <w:sdtPr>
          <w:rPr>
            <w:color w:val="000000" w:themeColor="text1"/>
            <w14:textFill>
              <w14:solidFill>
                <w14:schemeClr w14:val="tx1"/>
              </w14:solidFill>
            </w14:textFill>
          </w:rPr>
          <w:alias w:val="使用权资产其他说明"/>
          <w:tag w:val="_GBC_30439a7674b44ef39168f8672c6df2c9"/>
          <w:id w:val="147460538"/>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4320AEB6">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263FD89B">
      <w:pPr>
        <w:rPr>
          <w:color w:val="000000" w:themeColor="text1"/>
          <w14:textFill>
            <w14:solidFill>
              <w14:schemeClr w14:val="tx1"/>
            </w14:solidFill>
          </w14:textFill>
        </w:rPr>
      </w:pPr>
    </w:p>
    <w:bookmarkEnd w:id="330"/>
    <w:p w14:paraId="7E5A4A0D">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无形资产</w:t>
      </w:r>
    </w:p>
    <w:p w14:paraId="2F725739">
      <w:pPr>
        <w:pStyle w:val="58"/>
        <w:numPr>
          <w:ilvl w:val="0"/>
          <w:numId w:val="75"/>
        </w:numPr>
        <w:tabs>
          <w:tab w:val="left" w:pos="602"/>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无形资产情况</w:t>
      </w:r>
    </w:p>
    <w:p w14:paraId="55EC88B5">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无形资产情况[双击切换]"/>
          <w:tag w:val="_GBC_0882d05501f84259b91efc5f2eae98cf"/>
          <w:id w:val="147455274"/>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0F31BBBD">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无形资产情况"/>
          <w:tag w:val="_GBC_e04514c8858e489490302ba7c2e1448a"/>
          <w:id w:val="1474536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无形资产情况"/>
          <w:tag w:val="_GBC_5ac7324577934f838e3655199c980c1c"/>
          <w:id w:val="1474597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8"/>
        <w:gridCol w:w="1732"/>
        <w:gridCol w:w="1736"/>
        <w:gridCol w:w="1677"/>
        <w:gridCol w:w="1424"/>
        <w:gridCol w:w="1424"/>
        <w:gridCol w:w="1451"/>
        <w:gridCol w:w="1947"/>
      </w:tblGrid>
      <w:tr w14:paraId="31BA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16e062da10ef4301a1526b8633f88a31"/>
            <w:id w:val="147480011"/>
          </w:sdtPr>
          <w:sdtEndPr>
            <w:rPr>
              <w:rFonts w:cs="Times New Roman"/>
            </w:rPr>
          </w:sdtEndPr>
          <w:sdtContent>
            <w:tc>
              <w:tcPr>
                <w:tcW w:w="958" w:type="pct"/>
                <w:vAlign w:val="center"/>
              </w:tcPr>
              <w:p w14:paraId="72BED4F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8b465b50cb10415c8931fdb66ee29ca3"/>
            <w:id w:val="147455661"/>
          </w:sdtPr>
          <w:sdtEndPr>
            <w:rPr>
              <w:rFonts w:cs="Times New Roman"/>
            </w:rPr>
          </w:sdtEndPr>
          <w:sdtContent>
            <w:tc>
              <w:tcPr>
                <w:tcW w:w="615" w:type="pct"/>
                <w:vAlign w:val="center"/>
              </w:tcPr>
              <w:p w14:paraId="3F90FEB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土地使用权</w:t>
                </w:r>
              </w:p>
            </w:tc>
          </w:sdtContent>
        </w:sdt>
        <w:sdt>
          <w:sdtPr>
            <w:rPr>
              <w:rFonts w:cs="Times New Roman"/>
            </w:rPr>
            <w:tag w:val="_PLD_55a0c34977f7438f8a4e60b2ec43e654"/>
            <w:id w:val="147470156"/>
          </w:sdtPr>
          <w:sdtEndPr>
            <w:rPr>
              <w:rFonts w:cs="Times New Roman"/>
            </w:rPr>
          </w:sdtEndPr>
          <w:sdtContent>
            <w:tc>
              <w:tcPr>
                <w:tcW w:w="616" w:type="pct"/>
                <w:vAlign w:val="center"/>
              </w:tcPr>
              <w:p w14:paraId="587B13E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专利权</w:t>
                </w:r>
              </w:p>
            </w:tc>
          </w:sdtContent>
        </w:sdt>
        <w:sdt>
          <w:sdtPr>
            <w:rPr>
              <w:rFonts w:cs="Times New Roman"/>
            </w:rPr>
            <w:tag w:val="_PLD_624f8e9465f646f5a305cf5fc59a830c"/>
            <w:id w:val="147466030"/>
          </w:sdtPr>
          <w:sdtEndPr>
            <w:rPr>
              <w:rFonts w:cs="Times New Roman"/>
            </w:rPr>
          </w:sdtEndPr>
          <w:sdtContent>
            <w:tc>
              <w:tcPr>
                <w:tcW w:w="595" w:type="pct"/>
                <w:vAlign w:val="center"/>
              </w:tcPr>
              <w:p w14:paraId="7DFCE8A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非专利技术</w:t>
                </w:r>
              </w:p>
            </w:tc>
          </w:sdtContent>
        </w:sdt>
        <w:sdt>
          <w:sdtPr>
            <w:rPr>
              <w:rFonts w:cs="Times New Roman"/>
              <w:color w:val="000000" w:themeColor="text1"/>
              <w14:textFill>
                <w14:solidFill>
                  <w14:schemeClr w14:val="tx1"/>
                </w14:solidFill>
              </w14:textFill>
            </w:rPr>
            <w:alias w:val="无形资产明细－项目"/>
            <w:tag w:val="_GBC_ee2531f58c0a420e83919cd1efe46139"/>
            <w:id w:val="147457947"/>
          </w:sdtPr>
          <w:sdtEndPr>
            <w:rPr>
              <w:rFonts w:cs="Times New Roman"/>
              <w:color w:val="000000" w:themeColor="text1"/>
              <w14:textFill>
                <w14:solidFill>
                  <w14:schemeClr w14:val="tx1"/>
                </w14:solidFill>
              </w14:textFill>
            </w:rPr>
          </w:sdtEndPr>
          <w:sdtContent>
            <w:tc>
              <w:tcPr>
                <w:tcW w:w="505" w:type="pct"/>
                <w:vAlign w:val="center"/>
              </w:tcPr>
              <w:p w14:paraId="309DF60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软件</w:t>
                </w:r>
              </w:p>
            </w:tc>
          </w:sdtContent>
        </w:sdt>
        <w:tc>
          <w:tcPr>
            <w:tcW w:w="505" w:type="pct"/>
            <w:vAlign w:val="center"/>
          </w:tcPr>
          <w:sdt>
            <w:sdtPr>
              <w:rPr>
                <w:rFonts w:cs="Times New Roman"/>
                <w:color w:val="000000" w:themeColor="text1"/>
                <w14:textFill>
                  <w14:solidFill>
                    <w14:schemeClr w14:val="tx1"/>
                  </w14:solidFill>
                </w14:textFill>
              </w:rPr>
              <w:alias w:val="无形资产明细－项目"/>
              <w:tag w:val="_GBC_ee2531f58c0a420e83919cd1efe46139"/>
              <w:id w:val="147463722"/>
            </w:sdtPr>
            <w:sdtEndPr>
              <w:rPr>
                <w:rFonts w:cs="Times New Roman"/>
                <w:color w:val="000000" w:themeColor="text1"/>
                <w14:textFill>
                  <w14:solidFill>
                    <w14:schemeClr w14:val="tx1"/>
                  </w14:solidFill>
                </w14:textFill>
              </w:rPr>
            </w:sdtEndPr>
            <w:sdtContent>
              <w:p w14:paraId="3D2D535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商标权</w:t>
                </w:r>
              </w:p>
            </w:sdtContent>
          </w:sdt>
        </w:tc>
        <w:sdt>
          <w:sdtPr>
            <w:rPr>
              <w:rFonts w:cs="Times New Roman"/>
              <w:color w:val="000000" w:themeColor="text1"/>
              <w14:textFill>
                <w14:solidFill>
                  <w14:schemeClr w14:val="tx1"/>
                </w14:solidFill>
              </w14:textFill>
            </w:rPr>
            <w:alias w:val="无形资产明细－项目"/>
            <w:tag w:val="_GBC_ee2531f58c0a420e83919cd1efe46139"/>
            <w:id w:val="147462854"/>
          </w:sdtPr>
          <w:sdtEndPr>
            <w:rPr>
              <w:rFonts w:cs="Times New Roman"/>
              <w:color w:val="000000" w:themeColor="text1"/>
              <w14:textFill>
                <w14:solidFill>
                  <w14:schemeClr w14:val="tx1"/>
                </w14:solidFill>
              </w14:textFill>
            </w:rPr>
          </w:sdtEndPr>
          <w:sdtContent>
            <w:tc>
              <w:tcPr>
                <w:tcW w:w="515" w:type="pct"/>
                <w:vAlign w:val="center"/>
              </w:tcPr>
              <w:p w14:paraId="293344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w:t>
                </w:r>
              </w:p>
            </w:tc>
          </w:sdtContent>
        </w:sdt>
        <w:sdt>
          <w:sdtPr>
            <w:rPr>
              <w:rFonts w:cs="Times New Roman"/>
            </w:rPr>
            <w:tag w:val="_PLD_57620ddc57e34012a99d49f2280a99e2"/>
            <w:id w:val="147451048"/>
          </w:sdtPr>
          <w:sdtEndPr>
            <w:rPr>
              <w:rFonts w:cs="Times New Roman"/>
            </w:rPr>
          </w:sdtEndPr>
          <w:sdtContent>
            <w:tc>
              <w:tcPr>
                <w:tcW w:w="687" w:type="pct"/>
                <w:vAlign w:val="center"/>
              </w:tcPr>
              <w:p w14:paraId="0DFB4BD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r>
      <w:tr w14:paraId="2728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97ce5956782c457c89e9607c943b01d4"/>
            <w:id w:val="147473969"/>
          </w:sdtPr>
          <w:sdtEndPr>
            <w:rPr>
              <w:rFonts w:cs="Times New Roman"/>
            </w:rPr>
          </w:sdtEndPr>
          <w:sdtContent>
            <w:tc>
              <w:tcPr>
                <w:tcW w:w="5000" w:type="pct"/>
                <w:gridSpan w:val="8"/>
                <w:vAlign w:val="center"/>
              </w:tcPr>
              <w:p w14:paraId="1E7875D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一、账面原值</w:t>
                </w:r>
              </w:p>
            </w:tc>
          </w:sdtContent>
        </w:sdt>
      </w:tr>
      <w:tr w14:paraId="4BCB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04C1A428">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1.期初余额</w:t>
            </w:r>
          </w:p>
        </w:tc>
        <w:tc>
          <w:tcPr>
            <w:tcW w:w="615" w:type="pct"/>
            <w:vAlign w:val="center"/>
          </w:tcPr>
          <w:p w14:paraId="15CD81CF">
            <w:pPr>
              <w:jc w:val="right"/>
              <w:textAlignment w:val="center"/>
              <w:rPr>
                <w:rFonts w:cs="Times New Roman"/>
              </w:rPr>
            </w:pPr>
            <w:r>
              <w:rPr>
                <w:rFonts w:cs="Times New Roman"/>
                <w:color w:val="000000"/>
              </w:rPr>
              <w:t>2,465,583,327.52</w:t>
            </w:r>
          </w:p>
        </w:tc>
        <w:tc>
          <w:tcPr>
            <w:tcW w:w="616" w:type="pct"/>
            <w:vAlign w:val="center"/>
          </w:tcPr>
          <w:p w14:paraId="3E39CE65">
            <w:pPr>
              <w:jc w:val="right"/>
              <w:textAlignment w:val="center"/>
              <w:rPr>
                <w:rFonts w:cs="Times New Roman"/>
              </w:rPr>
            </w:pPr>
            <w:r>
              <w:rPr>
                <w:rFonts w:cs="Times New Roman"/>
                <w:color w:val="000000"/>
              </w:rPr>
              <w:t>17,529,493.58</w:t>
            </w:r>
          </w:p>
        </w:tc>
        <w:tc>
          <w:tcPr>
            <w:tcW w:w="595" w:type="pct"/>
            <w:vAlign w:val="center"/>
          </w:tcPr>
          <w:p w14:paraId="38829CB7">
            <w:pPr>
              <w:jc w:val="right"/>
              <w:textAlignment w:val="center"/>
              <w:rPr>
                <w:rFonts w:cs="Times New Roman"/>
              </w:rPr>
            </w:pPr>
            <w:r>
              <w:rPr>
                <w:rFonts w:cs="Times New Roman"/>
                <w:color w:val="000000"/>
              </w:rPr>
              <w:t>998,201.15</w:t>
            </w:r>
          </w:p>
        </w:tc>
        <w:tc>
          <w:tcPr>
            <w:tcW w:w="505" w:type="pct"/>
            <w:vAlign w:val="center"/>
          </w:tcPr>
          <w:p w14:paraId="55F19ED0">
            <w:pPr>
              <w:jc w:val="right"/>
              <w:textAlignment w:val="center"/>
              <w:rPr>
                <w:rFonts w:cs="Times New Roman"/>
              </w:rPr>
            </w:pPr>
            <w:r>
              <w:rPr>
                <w:rFonts w:cs="Times New Roman"/>
                <w:color w:val="000000"/>
              </w:rPr>
              <w:t>26,099,719.52</w:t>
            </w:r>
          </w:p>
        </w:tc>
        <w:tc>
          <w:tcPr>
            <w:tcW w:w="505" w:type="pct"/>
            <w:vAlign w:val="center"/>
          </w:tcPr>
          <w:p w14:paraId="389D2159">
            <w:pPr>
              <w:jc w:val="right"/>
              <w:textAlignment w:val="center"/>
              <w:rPr>
                <w:rFonts w:cs="Times New Roman"/>
              </w:rPr>
            </w:pPr>
            <w:r>
              <w:rPr>
                <w:rFonts w:cs="Times New Roman"/>
                <w:color w:val="000000"/>
              </w:rPr>
              <w:t>15,239,537.05</w:t>
            </w:r>
          </w:p>
        </w:tc>
        <w:tc>
          <w:tcPr>
            <w:tcW w:w="515" w:type="pct"/>
            <w:vAlign w:val="center"/>
          </w:tcPr>
          <w:p w14:paraId="010C6679">
            <w:pPr>
              <w:jc w:val="right"/>
              <w:textAlignment w:val="center"/>
              <w:rPr>
                <w:rFonts w:cs="Times New Roman"/>
              </w:rPr>
            </w:pPr>
            <w:r>
              <w:rPr>
                <w:rFonts w:cs="Times New Roman"/>
                <w:color w:val="000000"/>
              </w:rPr>
              <w:t>1,060,377.33</w:t>
            </w:r>
          </w:p>
        </w:tc>
        <w:tc>
          <w:tcPr>
            <w:tcW w:w="687" w:type="pct"/>
            <w:vAlign w:val="center"/>
          </w:tcPr>
          <w:p w14:paraId="57B4E36A">
            <w:pPr>
              <w:jc w:val="right"/>
              <w:textAlignment w:val="center"/>
              <w:rPr>
                <w:rFonts w:cs="Times New Roman"/>
              </w:rPr>
            </w:pPr>
            <w:r>
              <w:rPr>
                <w:rFonts w:cs="Times New Roman"/>
                <w:color w:val="000000"/>
              </w:rPr>
              <w:t>2,526,510,656.15</w:t>
            </w:r>
          </w:p>
        </w:tc>
      </w:tr>
      <w:tr w14:paraId="5ABC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6DAFDB00">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2.本期增加金额</w:t>
            </w:r>
          </w:p>
        </w:tc>
        <w:tc>
          <w:tcPr>
            <w:tcW w:w="615" w:type="pct"/>
            <w:vAlign w:val="center"/>
          </w:tcPr>
          <w:p w14:paraId="5A014778">
            <w:pPr>
              <w:jc w:val="right"/>
              <w:textAlignment w:val="center"/>
              <w:rPr>
                <w:rFonts w:cs="Times New Roman"/>
              </w:rPr>
            </w:pPr>
            <w:r>
              <w:rPr>
                <w:rFonts w:cs="Times New Roman"/>
                <w:color w:val="000000"/>
              </w:rPr>
              <w:t>15,336,609.47</w:t>
            </w:r>
          </w:p>
        </w:tc>
        <w:tc>
          <w:tcPr>
            <w:tcW w:w="616" w:type="pct"/>
            <w:vAlign w:val="center"/>
          </w:tcPr>
          <w:p w14:paraId="01692374">
            <w:pPr>
              <w:jc w:val="right"/>
              <w:rPr>
                <w:rFonts w:cs="Times New Roman"/>
              </w:rPr>
            </w:pPr>
          </w:p>
        </w:tc>
        <w:tc>
          <w:tcPr>
            <w:tcW w:w="595" w:type="pct"/>
            <w:vAlign w:val="center"/>
          </w:tcPr>
          <w:p w14:paraId="2A8ACDF4">
            <w:pPr>
              <w:jc w:val="right"/>
              <w:rPr>
                <w:rFonts w:cs="Times New Roman"/>
              </w:rPr>
            </w:pPr>
          </w:p>
        </w:tc>
        <w:tc>
          <w:tcPr>
            <w:tcW w:w="505" w:type="pct"/>
            <w:vAlign w:val="center"/>
          </w:tcPr>
          <w:p w14:paraId="64A213AE">
            <w:pPr>
              <w:jc w:val="right"/>
              <w:textAlignment w:val="center"/>
              <w:rPr>
                <w:rFonts w:cs="Times New Roman"/>
              </w:rPr>
            </w:pPr>
            <w:r>
              <w:rPr>
                <w:rFonts w:cs="Times New Roman"/>
                <w:color w:val="000000"/>
              </w:rPr>
              <w:t>544,386.15</w:t>
            </w:r>
          </w:p>
        </w:tc>
        <w:tc>
          <w:tcPr>
            <w:tcW w:w="505" w:type="pct"/>
            <w:vAlign w:val="center"/>
          </w:tcPr>
          <w:p w14:paraId="577E21AC">
            <w:pPr>
              <w:jc w:val="right"/>
              <w:rPr>
                <w:rFonts w:cs="Times New Roman"/>
              </w:rPr>
            </w:pPr>
          </w:p>
        </w:tc>
        <w:tc>
          <w:tcPr>
            <w:tcW w:w="515" w:type="pct"/>
            <w:vAlign w:val="center"/>
          </w:tcPr>
          <w:p w14:paraId="4BBEB132">
            <w:pPr>
              <w:jc w:val="right"/>
              <w:rPr>
                <w:rFonts w:cs="Times New Roman"/>
              </w:rPr>
            </w:pPr>
          </w:p>
        </w:tc>
        <w:tc>
          <w:tcPr>
            <w:tcW w:w="687" w:type="pct"/>
            <w:vAlign w:val="center"/>
          </w:tcPr>
          <w:p w14:paraId="06E62461">
            <w:pPr>
              <w:jc w:val="right"/>
              <w:textAlignment w:val="center"/>
              <w:rPr>
                <w:rFonts w:cs="Times New Roman"/>
              </w:rPr>
            </w:pPr>
            <w:r>
              <w:rPr>
                <w:rFonts w:cs="Times New Roman"/>
                <w:color w:val="000000"/>
              </w:rPr>
              <w:t>15,880,995.62</w:t>
            </w:r>
          </w:p>
        </w:tc>
      </w:tr>
      <w:tr w14:paraId="66DD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2899601C">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(1)购置</w:t>
            </w:r>
          </w:p>
        </w:tc>
        <w:tc>
          <w:tcPr>
            <w:tcW w:w="615" w:type="pct"/>
            <w:vAlign w:val="center"/>
          </w:tcPr>
          <w:p w14:paraId="67F4F6D0">
            <w:pPr>
              <w:jc w:val="right"/>
              <w:textAlignment w:val="center"/>
              <w:rPr>
                <w:rFonts w:cs="Times New Roman"/>
              </w:rPr>
            </w:pPr>
            <w:r>
              <w:rPr>
                <w:rFonts w:cs="Times New Roman"/>
                <w:color w:val="000000"/>
              </w:rPr>
              <w:t>15,336,609.47</w:t>
            </w:r>
          </w:p>
        </w:tc>
        <w:tc>
          <w:tcPr>
            <w:tcW w:w="616" w:type="pct"/>
            <w:vAlign w:val="center"/>
          </w:tcPr>
          <w:p w14:paraId="70344492">
            <w:pPr>
              <w:jc w:val="right"/>
              <w:rPr>
                <w:rFonts w:cs="Times New Roman"/>
              </w:rPr>
            </w:pPr>
          </w:p>
        </w:tc>
        <w:tc>
          <w:tcPr>
            <w:tcW w:w="595" w:type="pct"/>
            <w:vAlign w:val="center"/>
          </w:tcPr>
          <w:p w14:paraId="74244E1F">
            <w:pPr>
              <w:jc w:val="right"/>
              <w:rPr>
                <w:rFonts w:cs="Times New Roman"/>
              </w:rPr>
            </w:pPr>
          </w:p>
        </w:tc>
        <w:tc>
          <w:tcPr>
            <w:tcW w:w="505" w:type="pct"/>
            <w:vAlign w:val="center"/>
          </w:tcPr>
          <w:p w14:paraId="04115591">
            <w:pPr>
              <w:jc w:val="right"/>
              <w:textAlignment w:val="center"/>
              <w:rPr>
                <w:rFonts w:cs="Times New Roman"/>
              </w:rPr>
            </w:pPr>
            <w:r>
              <w:rPr>
                <w:rFonts w:cs="Times New Roman"/>
                <w:color w:val="000000"/>
              </w:rPr>
              <w:t>544,386.15</w:t>
            </w:r>
          </w:p>
        </w:tc>
        <w:tc>
          <w:tcPr>
            <w:tcW w:w="505" w:type="pct"/>
            <w:vAlign w:val="center"/>
          </w:tcPr>
          <w:p w14:paraId="695EF5A0">
            <w:pPr>
              <w:jc w:val="right"/>
              <w:rPr>
                <w:rFonts w:cs="Times New Roman"/>
              </w:rPr>
            </w:pPr>
          </w:p>
        </w:tc>
        <w:tc>
          <w:tcPr>
            <w:tcW w:w="515" w:type="pct"/>
            <w:vAlign w:val="center"/>
          </w:tcPr>
          <w:p w14:paraId="39473280">
            <w:pPr>
              <w:jc w:val="right"/>
              <w:rPr>
                <w:rFonts w:cs="Times New Roman"/>
              </w:rPr>
            </w:pPr>
          </w:p>
        </w:tc>
        <w:tc>
          <w:tcPr>
            <w:tcW w:w="687" w:type="pct"/>
            <w:vAlign w:val="center"/>
          </w:tcPr>
          <w:p w14:paraId="2C25E80F">
            <w:pPr>
              <w:jc w:val="right"/>
              <w:textAlignment w:val="center"/>
              <w:rPr>
                <w:rFonts w:cs="Times New Roman"/>
              </w:rPr>
            </w:pPr>
            <w:r>
              <w:rPr>
                <w:rFonts w:cs="Times New Roman"/>
                <w:color w:val="000000"/>
              </w:rPr>
              <w:t>15,880,995.62</w:t>
            </w:r>
          </w:p>
        </w:tc>
      </w:tr>
      <w:tr w14:paraId="2387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5883418F">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3.本期减少金额</w:t>
            </w:r>
          </w:p>
        </w:tc>
        <w:tc>
          <w:tcPr>
            <w:tcW w:w="615" w:type="pct"/>
            <w:vAlign w:val="center"/>
          </w:tcPr>
          <w:p w14:paraId="03700725">
            <w:pPr>
              <w:jc w:val="right"/>
              <w:textAlignment w:val="center"/>
              <w:rPr>
                <w:rFonts w:cs="Times New Roman"/>
              </w:rPr>
            </w:pPr>
            <w:r>
              <w:rPr>
                <w:rFonts w:cs="Times New Roman"/>
                <w:color w:val="000000"/>
              </w:rPr>
              <w:t>5,448,809.66</w:t>
            </w:r>
          </w:p>
        </w:tc>
        <w:tc>
          <w:tcPr>
            <w:tcW w:w="616" w:type="pct"/>
            <w:vAlign w:val="center"/>
          </w:tcPr>
          <w:p w14:paraId="684F9BD2">
            <w:pPr>
              <w:jc w:val="right"/>
              <w:rPr>
                <w:rFonts w:cs="Times New Roman"/>
              </w:rPr>
            </w:pPr>
          </w:p>
        </w:tc>
        <w:tc>
          <w:tcPr>
            <w:tcW w:w="595" w:type="pct"/>
            <w:vAlign w:val="center"/>
          </w:tcPr>
          <w:p w14:paraId="009F17AE">
            <w:pPr>
              <w:jc w:val="right"/>
              <w:rPr>
                <w:rFonts w:cs="Times New Roman"/>
              </w:rPr>
            </w:pPr>
          </w:p>
        </w:tc>
        <w:tc>
          <w:tcPr>
            <w:tcW w:w="505" w:type="pct"/>
            <w:vAlign w:val="center"/>
          </w:tcPr>
          <w:p w14:paraId="5CE8D7D4">
            <w:pPr>
              <w:jc w:val="right"/>
              <w:rPr>
                <w:rFonts w:cs="Times New Roman"/>
              </w:rPr>
            </w:pPr>
          </w:p>
        </w:tc>
        <w:tc>
          <w:tcPr>
            <w:tcW w:w="505" w:type="pct"/>
            <w:vAlign w:val="center"/>
          </w:tcPr>
          <w:p w14:paraId="3B3CD91C">
            <w:pPr>
              <w:jc w:val="right"/>
              <w:rPr>
                <w:rFonts w:cs="Times New Roman"/>
              </w:rPr>
            </w:pPr>
          </w:p>
        </w:tc>
        <w:tc>
          <w:tcPr>
            <w:tcW w:w="515" w:type="pct"/>
            <w:vAlign w:val="center"/>
          </w:tcPr>
          <w:p w14:paraId="162EC62C">
            <w:pPr>
              <w:jc w:val="right"/>
              <w:rPr>
                <w:rFonts w:cs="Times New Roman"/>
              </w:rPr>
            </w:pPr>
          </w:p>
        </w:tc>
        <w:tc>
          <w:tcPr>
            <w:tcW w:w="687" w:type="pct"/>
            <w:vAlign w:val="center"/>
          </w:tcPr>
          <w:p w14:paraId="12D1F1CD">
            <w:pPr>
              <w:jc w:val="right"/>
              <w:textAlignment w:val="center"/>
              <w:rPr>
                <w:rFonts w:cs="Times New Roman"/>
              </w:rPr>
            </w:pPr>
            <w:r>
              <w:rPr>
                <w:rFonts w:cs="Times New Roman"/>
                <w:color w:val="000000"/>
              </w:rPr>
              <w:t>5,448,809.66</w:t>
            </w:r>
          </w:p>
        </w:tc>
      </w:tr>
      <w:tr w14:paraId="5DF5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tcPr>
          <w:p w14:paraId="0FB3447D">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(3)其他</w:t>
            </w:r>
          </w:p>
        </w:tc>
        <w:tc>
          <w:tcPr>
            <w:tcW w:w="615" w:type="pct"/>
            <w:vAlign w:val="center"/>
          </w:tcPr>
          <w:p w14:paraId="16D350E9">
            <w:pPr>
              <w:jc w:val="right"/>
              <w:textAlignment w:val="center"/>
              <w:rPr>
                <w:rFonts w:cs="Times New Roman"/>
                <w:color w:val="000000" w:themeColor="text1"/>
                <w14:textFill>
                  <w14:solidFill>
                    <w14:schemeClr w14:val="tx1"/>
                  </w14:solidFill>
                </w14:textFill>
              </w:rPr>
            </w:pPr>
            <w:r>
              <w:rPr>
                <w:rFonts w:cs="Times New Roman"/>
                <w:color w:val="000000"/>
              </w:rPr>
              <w:t>5,448,809.66</w:t>
            </w:r>
          </w:p>
        </w:tc>
        <w:tc>
          <w:tcPr>
            <w:tcW w:w="616" w:type="pct"/>
            <w:vAlign w:val="center"/>
          </w:tcPr>
          <w:p w14:paraId="29765408">
            <w:pPr>
              <w:jc w:val="right"/>
              <w:rPr>
                <w:rFonts w:cs="Times New Roman"/>
                <w:color w:val="000000" w:themeColor="text1"/>
                <w14:textFill>
                  <w14:solidFill>
                    <w14:schemeClr w14:val="tx1"/>
                  </w14:solidFill>
                </w14:textFill>
              </w:rPr>
            </w:pPr>
          </w:p>
        </w:tc>
        <w:tc>
          <w:tcPr>
            <w:tcW w:w="595" w:type="pct"/>
            <w:vAlign w:val="center"/>
          </w:tcPr>
          <w:p w14:paraId="1B5B6EB0">
            <w:pPr>
              <w:jc w:val="right"/>
              <w:rPr>
                <w:rFonts w:cs="Times New Roman"/>
                <w:color w:val="000000" w:themeColor="text1"/>
                <w14:textFill>
                  <w14:solidFill>
                    <w14:schemeClr w14:val="tx1"/>
                  </w14:solidFill>
                </w14:textFill>
              </w:rPr>
            </w:pPr>
          </w:p>
        </w:tc>
        <w:tc>
          <w:tcPr>
            <w:tcW w:w="505" w:type="pct"/>
            <w:vAlign w:val="center"/>
          </w:tcPr>
          <w:p w14:paraId="41507EDE">
            <w:pPr>
              <w:jc w:val="right"/>
              <w:rPr>
                <w:rFonts w:cs="Times New Roman"/>
                <w:color w:val="000000" w:themeColor="text1"/>
                <w14:textFill>
                  <w14:solidFill>
                    <w14:schemeClr w14:val="tx1"/>
                  </w14:solidFill>
                </w14:textFill>
              </w:rPr>
            </w:pPr>
          </w:p>
        </w:tc>
        <w:tc>
          <w:tcPr>
            <w:tcW w:w="505" w:type="pct"/>
            <w:vAlign w:val="center"/>
          </w:tcPr>
          <w:p w14:paraId="2DBB0C6E">
            <w:pPr>
              <w:jc w:val="right"/>
              <w:rPr>
                <w:rFonts w:cs="Times New Roman"/>
                <w:color w:val="000000" w:themeColor="text1"/>
                <w14:textFill>
                  <w14:solidFill>
                    <w14:schemeClr w14:val="tx1"/>
                  </w14:solidFill>
                </w14:textFill>
              </w:rPr>
            </w:pPr>
          </w:p>
        </w:tc>
        <w:tc>
          <w:tcPr>
            <w:tcW w:w="515" w:type="pct"/>
            <w:vAlign w:val="center"/>
          </w:tcPr>
          <w:p w14:paraId="738E255C">
            <w:pPr>
              <w:jc w:val="right"/>
              <w:rPr>
                <w:rFonts w:cs="Times New Roman"/>
                <w:color w:val="000000" w:themeColor="text1"/>
                <w14:textFill>
                  <w14:solidFill>
                    <w14:schemeClr w14:val="tx1"/>
                  </w14:solidFill>
                </w14:textFill>
              </w:rPr>
            </w:pPr>
          </w:p>
        </w:tc>
        <w:tc>
          <w:tcPr>
            <w:tcW w:w="687" w:type="pct"/>
            <w:vAlign w:val="center"/>
          </w:tcPr>
          <w:p w14:paraId="649D4416">
            <w:pPr>
              <w:jc w:val="right"/>
              <w:textAlignment w:val="center"/>
              <w:rPr>
                <w:rFonts w:cs="Times New Roman"/>
                <w:color w:val="000000" w:themeColor="text1"/>
                <w14:textFill>
                  <w14:solidFill>
                    <w14:schemeClr w14:val="tx1"/>
                  </w14:solidFill>
                </w14:textFill>
              </w:rPr>
            </w:pPr>
            <w:r>
              <w:rPr>
                <w:rFonts w:cs="Times New Roman"/>
                <w:color w:val="000000"/>
              </w:rPr>
              <w:t>5,448,809.66</w:t>
            </w:r>
          </w:p>
        </w:tc>
      </w:tr>
      <w:tr w14:paraId="1FFF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3DC29684">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4.期末余额</w:t>
            </w:r>
          </w:p>
        </w:tc>
        <w:tc>
          <w:tcPr>
            <w:tcW w:w="615" w:type="pct"/>
            <w:vAlign w:val="center"/>
          </w:tcPr>
          <w:p w14:paraId="10EB6BED">
            <w:pPr>
              <w:jc w:val="right"/>
              <w:textAlignment w:val="center"/>
              <w:rPr>
                <w:rFonts w:cs="Times New Roman"/>
              </w:rPr>
            </w:pPr>
            <w:r>
              <w:rPr>
                <w:rFonts w:cs="Times New Roman"/>
                <w:color w:val="000000"/>
              </w:rPr>
              <w:t>2,475,471,127.33</w:t>
            </w:r>
          </w:p>
        </w:tc>
        <w:tc>
          <w:tcPr>
            <w:tcW w:w="616" w:type="pct"/>
            <w:vAlign w:val="center"/>
          </w:tcPr>
          <w:p w14:paraId="0D1F792C">
            <w:pPr>
              <w:jc w:val="right"/>
              <w:textAlignment w:val="center"/>
              <w:rPr>
                <w:rFonts w:cs="Times New Roman"/>
              </w:rPr>
            </w:pPr>
            <w:r>
              <w:rPr>
                <w:rFonts w:cs="Times New Roman"/>
                <w:color w:val="000000"/>
              </w:rPr>
              <w:t>17,529,493.58</w:t>
            </w:r>
          </w:p>
        </w:tc>
        <w:tc>
          <w:tcPr>
            <w:tcW w:w="595" w:type="pct"/>
            <w:vAlign w:val="center"/>
          </w:tcPr>
          <w:p w14:paraId="380EA0C7">
            <w:pPr>
              <w:jc w:val="right"/>
              <w:textAlignment w:val="center"/>
              <w:rPr>
                <w:rFonts w:cs="Times New Roman"/>
              </w:rPr>
            </w:pPr>
            <w:r>
              <w:rPr>
                <w:rFonts w:cs="Times New Roman"/>
                <w:color w:val="000000"/>
              </w:rPr>
              <w:t>998,201.15</w:t>
            </w:r>
          </w:p>
        </w:tc>
        <w:tc>
          <w:tcPr>
            <w:tcW w:w="505" w:type="pct"/>
            <w:vAlign w:val="center"/>
          </w:tcPr>
          <w:p w14:paraId="754AF4A1">
            <w:pPr>
              <w:jc w:val="right"/>
              <w:textAlignment w:val="center"/>
              <w:rPr>
                <w:rFonts w:cs="Times New Roman"/>
              </w:rPr>
            </w:pPr>
            <w:r>
              <w:rPr>
                <w:rFonts w:cs="Times New Roman"/>
                <w:color w:val="000000"/>
              </w:rPr>
              <w:t>26,644,105.67</w:t>
            </w:r>
          </w:p>
        </w:tc>
        <w:tc>
          <w:tcPr>
            <w:tcW w:w="505" w:type="pct"/>
            <w:vAlign w:val="center"/>
          </w:tcPr>
          <w:p w14:paraId="1F2CFEBB">
            <w:pPr>
              <w:jc w:val="right"/>
              <w:textAlignment w:val="center"/>
              <w:rPr>
                <w:rFonts w:cs="Times New Roman"/>
              </w:rPr>
            </w:pPr>
            <w:r>
              <w:rPr>
                <w:rFonts w:cs="Times New Roman"/>
                <w:color w:val="000000"/>
              </w:rPr>
              <w:t>15,239,537.05</w:t>
            </w:r>
          </w:p>
        </w:tc>
        <w:tc>
          <w:tcPr>
            <w:tcW w:w="515" w:type="pct"/>
            <w:vAlign w:val="center"/>
          </w:tcPr>
          <w:p w14:paraId="32F56F6D">
            <w:pPr>
              <w:jc w:val="right"/>
              <w:textAlignment w:val="center"/>
              <w:rPr>
                <w:rFonts w:cs="Times New Roman"/>
              </w:rPr>
            </w:pPr>
            <w:r>
              <w:rPr>
                <w:rFonts w:cs="Times New Roman"/>
                <w:color w:val="000000"/>
              </w:rPr>
              <w:t>1,060,377.33</w:t>
            </w:r>
          </w:p>
        </w:tc>
        <w:tc>
          <w:tcPr>
            <w:tcW w:w="687" w:type="pct"/>
            <w:vAlign w:val="center"/>
          </w:tcPr>
          <w:p w14:paraId="112D3DB0">
            <w:pPr>
              <w:jc w:val="right"/>
              <w:textAlignment w:val="center"/>
              <w:rPr>
                <w:rFonts w:cs="Times New Roman"/>
              </w:rPr>
            </w:pPr>
            <w:r>
              <w:rPr>
                <w:rFonts w:cs="Times New Roman"/>
                <w:color w:val="000000"/>
              </w:rPr>
              <w:t>2,536,942,842.11</w:t>
            </w:r>
          </w:p>
        </w:tc>
      </w:tr>
      <w:tr w14:paraId="3A67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3d92ef615d3b41e5abb58e018e2db72b"/>
            <w:id w:val="147462423"/>
          </w:sdtPr>
          <w:sdtEndPr>
            <w:rPr>
              <w:rFonts w:cs="Times New Roman"/>
            </w:rPr>
          </w:sdtEndPr>
          <w:sdtContent>
            <w:tc>
              <w:tcPr>
                <w:tcW w:w="5000" w:type="pct"/>
                <w:gridSpan w:val="8"/>
                <w:vAlign w:val="center"/>
              </w:tcPr>
              <w:p w14:paraId="2B3B158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二、累计摊销</w:t>
                </w:r>
              </w:p>
            </w:tc>
          </w:sdtContent>
        </w:sdt>
      </w:tr>
      <w:tr w14:paraId="16F0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236D021E">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1.期初余额</w:t>
            </w:r>
          </w:p>
        </w:tc>
        <w:tc>
          <w:tcPr>
            <w:tcW w:w="615" w:type="pct"/>
            <w:vAlign w:val="center"/>
          </w:tcPr>
          <w:p w14:paraId="4CB9C352">
            <w:pPr>
              <w:jc w:val="right"/>
              <w:textAlignment w:val="center"/>
              <w:rPr>
                <w:rFonts w:cs="Times New Roman"/>
              </w:rPr>
            </w:pPr>
            <w:r>
              <w:rPr>
                <w:rFonts w:eastAsia="Arial Narrow" w:cs="Times New Roman"/>
                <w:color w:val="000000"/>
                <w:lang w:bidi="ar"/>
              </w:rPr>
              <w:t>614,116,530.27</w:t>
            </w:r>
          </w:p>
        </w:tc>
        <w:tc>
          <w:tcPr>
            <w:tcW w:w="616" w:type="pct"/>
            <w:vAlign w:val="center"/>
          </w:tcPr>
          <w:p w14:paraId="5EDDB609">
            <w:pPr>
              <w:jc w:val="right"/>
              <w:textAlignment w:val="center"/>
              <w:rPr>
                <w:rFonts w:cs="Times New Roman"/>
              </w:rPr>
            </w:pPr>
            <w:r>
              <w:rPr>
                <w:rFonts w:eastAsia="Arial Narrow" w:cs="Times New Roman"/>
                <w:color w:val="000000"/>
                <w:lang w:bidi="ar"/>
              </w:rPr>
              <w:t>10,894,209.23</w:t>
            </w:r>
          </w:p>
        </w:tc>
        <w:tc>
          <w:tcPr>
            <w:tcW w:w="595" w:type="pct"/>
            <w:vAlign w:val="center"/>
          </w:tcPr>
          <w:p w14:paraId="22189F24">
            <w:pPr>
              <w:jc w:val="right"/>
              <w:textAlignment w:val="center"/>
              <w:rPr>
                <w:rFonts w:cs="Times New Roman"/>
              </w:rPr>
            </w:pPr>
            <w:r>
              <w:rPr>
                <w:rFonts w:eastAsia="Arial Narrow" w:cs="Times New Roman"/>
                <w:color w:val="000000"/>
                <w:lang w:bidi="ar"/>
              </w:rPr>
              <w:t>998,201.15</w:t>
            </w:r>
          </w:p>
        </w:tc>
        <w:tc>
          <w:tcPr>
            <w:tcW w:w="505" w:type="pct"/>
            <w:vAlign w:val="center"/>
          </w:tcPr>
          <w:p w14:paraId="3FA7A33C">
            <w:pPr>
              <w:jc w:val="right"/>
              <w:textAlignment w:val="center"/>
              <w:rPr>
                <w:rFonts w:cs="Times New Roman"/>
              </w:rPr>
            </w:pPr>
            <w:r>
              <w:rPr>
                <w:rFonts w:eastAsia="Arial Narrow" w:cs="Times New Roman"/>
                <w:color w:val="000000"/>
                <w:lang w:bidi="ar"/>
              </w:rPr>
              <w:t>16,835,896.01</w:t>
            </w:r>
          </w:p>
        </w:tc>
        <w:tc>
          <w:tcPr>
            <w:tcW w:w="505" w:type="pct"/>
            <w:vAlign w:val="center"/>
          </w:tcPr>
          <w:p w14:paraId="45A1BE9F">
            <w:pPr>
              <w:jc w:val="right"/>
              <w:textAlignment w:val="center"/>
              <w:rPr>
                <w:rFonts w:cs="Times New Roman"/>
              </w:rPr>
            </w:pPr>
            <w:r>
              <w:rPr>
                <w:rFonts w:eastAsia="Arial Narrow" w:cs="Times New Roman"/>
                <w:color w:val="000000"/>
                <w:lang w:bidi="ar"/>
              </w:rPr>
              <w:t>229,434.76</w:t>
            </w:r>
          </w:p>
        </w:tc>
        <w:tc>
          <w:tcPr>
            <w:tcW w:w="515" w:type="pct"/>
            <w:vAlign w:val="center"/>
          </w:tcPr>
          <w:p w14:paraId="3C80450C">
            <w:pPr>
              <w:jc w:val="right"/>
              <w:textAlignment w:val="center"/>
              <w:rPr>
                <w:rFonts w:cs="Times New Roman"/>
              </w:rPr>
            </w:pPr>
            <w:r>
              <w:rPr>
                <w:rFonts w:eastAsia="Arial Narrow" w:cs="Times New Roman"/>
                <w:color w:val="000000"/>
                <w:lang w:bidi="ar"/>
              </w:rPr>
              <w:t>637,426.52</w:t>
            </w:r>
          </w:p>
        </w:tc>
        <w:tc>
          <w:tcPr>
            <w:tcW w:w="687" w:type="pct"/>
            <w:vAlign w:val="center"/>
          </w:tcPr>
          <w:p w14:paraId="5450858D">
            <w:pPr>
              <w:jc w:val="right"/>
              <w:textAlignment w:val="center"/>
              <w:rPr>
                <w:rFonts w:cs="Times New Roman"/>
              </w:rPr>
            </w:pPr>
            <w:r>
              <w:rPr>
                <w:rFonts w:eastAsia="Arial Narrow" w:cs="Times New Roman"/>
                <w:color w:val="000000"/>
                <w:lang w:bidi="ar"/>
              </w:rPr>
              <w:t>643,711,697.94</w:t>
            </w:r>
          </w:p>
        </w:tc>
      </w:tr>
      <w:tr w14:paraId="457C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1842FD9E">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2.本期增加金额</w:t>
            </w:r>
          </w:p>
        </w:tc>
        <w:tc>
          <w:tcPr>
            <w:tcW w:w="615" w:type="pct"/>
            <w:vAlign w:val="center"/>
          </w:tcPr>
          <w:p w14:paraId="7E364CBA">
            <w:pPr>
              <w:jc w:val="right"/>
              <w:textAlignment w:val="center"/>
              <w:rPr>
                <w:rFonts w:cs="Times New Roman"/>
              </w:rPr>
            </w:pPr>
            <w:r>
              <w:rPr>
                <w:rFonts w:eastAsia="Arial Narrow" w:cs="Times New Roman"/>
                <w:color w:val="000000"/>
                <w:lang w:bidi="ar"/>
              </w:rPr>
              <w:t>19,352,053.04</w:t>
            </w:r>
          </w:p>
        </w:tc>
        <w:tc>
          <w:tcPr>
            <w:tcW w:w="616" w:type="pct"/>
            <w:vAlign w:val="center"/>
          </w:tcPr>
          <w:p w14:paraId="74A7C5CE">
            <w:pPr>
              <w:jc w:val="right"/>
              <w:textAlignment w:val="center"/>
              <w:rPr>
                <w:rFonts w:cs="Times New Roman"/>
              </w:rPr>
            </w:pPr>
            <w:r>
              <w:rPr>
                <w:rFonts w:eastAsia="Arial Narrow" w:cs="Times New Roman"/>
                <w:color w:val="000000"/>
                <w:lang w:bidi="ar"/>
              </w:rPr>
              <w:t>568,361.91</w:t>
            </w:r>
          </w:p>
        </w:tc>
        <w:tc>
          <w:tcPr>
            <w:tcW w:w="595" w:type="pct"/>
            <w:vAlign w:val="center"/>
          </w:tcPr>
          <w:p w14:paraId="5FA7F4A4">
            <w:pPr>
              <w:jc w:val="right"/>
              <w:rPr>
                <w:rFonts w:cs="Times New Roman"/>
              </w:rPr>
            </w:pPr>
          </w:p>
        </w:tc>
        <w:tc>
          <w:tcPr>
            <w:tcW w:w="505" w:type="pct"/>
            <w:vAlign w:val="center"/>
          </w:tcPr>
          <w:p w14:paraId="614E8D61">
            <w:pPr>
              <w:jc w:val="right"/>
              <w:textAlignment w:val="center"/>
              <w:rPr>
                <w:rFonts w:cs="Times New Roman"/>
              </w:rPr>
            </w:pPr>
            <w:r>
              <w:rPr>
                <w:rFonts w:eastAsia="Arial Narrow" w:cs="Times New Roman"/>
                <w:color w:val="000000"/>
                <w:lang w:bidi="ar"/>
              </w:rPr>
              <w:t>1,222,003.15</w:t>
            </w:r>
          </w:p>
        </w:tc>
        <w:tc>
          <w:tcPr>
            <w:tcW w:w="505" w:type="pct"/>
            <w:vAlign w:val="center"/>
          </w:tcPr>
          <w:p w14:paraId="2B056A8A">
            <w:pPr>
              <w:jc w:val="right"/>
              <w:textAlignment w:val="center"/>
              <w:rPr>
                <w:rFonts w:cs="Times New Roman"/>
              </w:rPr>
            </w:pPr>
            <w:r>
              <w:rPr>
                <w:rFonts w:eastAsia="Arial Narrow" w:cs="Times New Roman"/>
                <w:color w:val="000000"/>
                <w:lang w:bidi="ar"/>
              </w:rPr>
              <w:t>10,184.16</w:t>
            </w:r>
          </w:p>
        </w:tc>
        <w:tc>
          <w:tcPr>
            <w:tcW w:w="515" w:type="pct"/>
            <w:vAlign w:val="center"/>
          </w:tcPr>
          <w:p w14:paraId="04657BA8">
            <w:pPr>
              <w:jc w:val="right"/>
              <w:textAlignment w:val="center"/>
              <w:rPr>
                <w:rFonts w:cs="Times New Roman"/>
              </w:rPr>
            </w:pPr>
            <w:r>
              <w:rPr>
                <w:rFonts w:eastAsia="Arial Narrow" w:cs="Times New Roman"/>
                <w:color w:val="000000"/>
                <w:lang w:bidi="ar"/>
              </w:rPr>
              <w:t>106,637.76</w:t>
            </w:r>
          </w:p>
        </w:tc>
        <w:tc>
          <w:tcPr>
            <w:tcW w:w="687" w:type="pct"/>
            <w:vAlign w:val="center"/>
          </w:tcPr>
          <w:p w14:paraId="0FDD0E8E">
            <w:pPr>
              <w:jc w:val="right"/>
              <w:textAlignment w:val="center"/>
              <w:rPr>
                <w:rFonts w:cs="Times New Roman"/>
              </w:rPr>
            </w:pPr>
            <w:r>
              <w:rPr>
                <w:rFonts w:eastAsia="Arial Narrow" w:cs="Times New Roman"/>
                <w:color w:val="000000"/>
                <w:lang w:bidi="ar"/>
              </w:rPr>
              <w:t>21,259,240.02</w:t>
            </w:r>
          </w:p>
        </w:tc>
      </w:tr>
      <w:tr w14:paraId="6136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06ED5099">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（1）计提</w:t>
            </w:r>
          </w:p>
        </w:tc>
        <w:tc>
          <w:tcPr>
            <w:tcW w:w="615" w:type="pct"/>
            <w:vAlign w:val="center"/>
          </w:tcPr>
          <w:p w14:paraId="0FF4BF1F">
            <w:pPr>
              <w:jc w:val="right"/>
              <w:textAlignment w:val="center"/>
              <w:rPr>
                <w:rFonts w:cs="Times New Roman"/>
              </w:rPr>
            </w:pPr>
            <w:r>
              <w:rPr>
                <w:rFonts w:eastAsia="Arial Narrow" w:cs="Times New Roman"/>
                <w:color w:val="000000"/>
                <w:lang w:bidi="ar"/>
              </w:rPr>
              <w:t>19,352,053.04</w:t>
            </w:r>
          </w:p>
        </w:tc>
        <w:tc>
          <w:tcPr>
            <w:tcW w:w="616" w:type="pct"/>
            <w:vAlign w:val="center"/>
          </w:tcPr>
          <w:p w14:paraId="0DD4D5CB">
            <w:pPr>
              <w:jc w:val="right"/>
              <w:textAlignment w:val="center"/>
              <w:rPr>
                <w:rFonts w:cs="Times New Roman"/>
              </w:rPr>
            </w:pPr>
            <w:r>
              <w:rPr>
                <w:rFonts w:eastAsia="Arial Narrow" w:cs="Times New Roman"/>
                <w:color w:val="000000"/>
                <w:lang w:bidi="ar"/>
              </w:rPr>
              <w:t>568,361.91</w:t>
            </w:r>
          </w:p>
        </w:tc>
        <w:tc>
          <w:tcPr>
            <w:tcW w:w="595" w:type="pct"/>
            <w:vAlign w:val="center"/>
          </w:tcPr>
          <w:p w14:paraId="2F33EEC4">
            <w:pPr>
              <w:jc w:val="right"/>
              <w:rPr>
                <w:rFonts w:cs="Times New Roman"/>
              </w:rPr>
            </w:pPr>
          </w:p>
        </w:tc>
        <w:tc>
          <w:tcPr>
            <w:tcW w:w="505" w:type="pct"/>
            <w:vAlign w:val="center"/>
          </w:tcPr>
          <w:p w14:paraId="3C6B9B99">
            <w:pPr>
              <w:jc w:val="right"/>
              <w:textAlignment w:val="center"/>
              <w:rPr>
                <w:rFonts w:cs="Times New Roman"/>
              </w:rPr>
            </w:pPr>
            <w:r>
              <w:rPr>
                <w:rFonts w:eastAsia="Arial Narrow" w:cs="Times New Roman"/>
                <w:color w:val="000000"/>
                <w:lang w:bidi="ar"/>
              </w:rPr>
              <w:t>1,222,003.15</w:t>
            </w:r>
          </w:p>
        </w:tc>
        <w:tc>
          <w:tcPr>
            <w:tcW w:w="505" w:type="pct"/>
            <w:vAlign w:val="center"/>
          </w:tcPr>
          <w:p w14:paraId="3D261CC7">
            <w:pPr>
              <w:jc w:val="right"/>
              <w:textAlignment w:val="center"/>
              <w:rPr>
                <w:rFonts w:cs="Times New Roman"/>
              </w:rPr>
            </w:pPr>
            <w:r>
              <w:rPr>
                <w:rFonts w:eastAsia="Arial Narrow" w:cs="Times New Roman"/>
                <w:color w:val="000000"/>
                <w:lang w:bidi="ar"/>
              </w:rPr>
              <w:t>10,184.16</w:t>
            </w:r>
          </w:p>
        </w:tc>
        <w:tc>
          <w:tcPr>
            <w:tcW w:w="515" w:type="pct"/>
            <w:vAlign w:val="center"/>
          </w:tcPr>
          <w:p w14:paraId="570F6329">
            <w:pPr>
              <w:jc w:val="right"/>
              <w:textAlignment w:val="center"/>
              <w:rPr>
                <w:rFonts w:cs="Times New Roman"/>
              </w:rPr>
            </w:pPr>
            <w:r>
              <w:rPr>
                <w:rFonts w:eastAsia="Arial Narrow" w:cs="Times New Roman"/>
                <w:color w:val="000000"/>
                <w:lang w:bidi="ar"/>
              </w:rPr>
              <w:t>106,637.76</w:t>
            </w:r>
          </w:p>
        </w:tc>
        <w:tc>
          <w:tcPr>
            <w:tcW w:w="687" w:type="pct"/>
            <w:vAlign w:val="center"/>
          </w:tcPr>
          <w:p w14:paraId="1D9B4788">
            <w:pPr>
              <w:jc w:val="right"/>
              <w:textAlignment w:val="center"/>
              <w:rPr>
                <w:rFonts w:cs="Times New Roman"/>
              </w:rPr>
            </w:pPr>
            <w:r>
              <w:rPr>
                <w:rFonts w:eastAsia="Arial Narrow" w:cs="Times New Roman"/>
                <w:color w:val="000000"/>
                <w:lang w:bidi="ar"/>
              </w:rPr>
              <w:t>21,259,240.02</w:t>
            </w:r>
          </w:p>
        </w:tc>
      </w:tr>
      <w:tr w14:paraId="521B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089F1799">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3.本期减少金额</w:t>
            </w:r>
          </w:p>
        </w:tc>
        <w:tc>
          <w:tcPr>
            <w:tcW w:w="615" w:type="pct"/>
            <w:vAlign w:val="center"/>
          </w:tcPr>
          <w:p w14:paraId="4EF424CA">
            <w:pPr>
              <w:jc w:val="right"/>
              <w:textAlignment w:val="center"/>
              <w:rPr>
                <w:rFonts w:cs="Times New Roman"/>
              </w:rPr>
            </w:pPr>
            <w:r>
              <w:rPr>
                <w:rFonts w:eastAsia="Arial Narrow" w:cs="Times New Roman"/>
                <w:color w:val="000000"/>
                <w:lang w:bidi="ar"/>
              </w:rPr>
              <w:t>1,247,262.08</w:t>
            </w:r>
          </w:p>
        </w:tc>
        <w:tc>
          <w:tcPr>
            <w:tcW w:w="616" w:type="pct"/>
            <w:vAlign w:val="center"/>
          </w:tcPr>
          <w:p w14:paraId="5CA5CB64">
            <w:pPr>
              <w:jc w:val="right"/>
              <w:rPr>
                <w:rFonts w:cs="Times New Roman"/>
              </w:rPr>
            </w:pPr>
          </w:p>
        </w:tc>
        <w:tc>
          <w:tcPr>
            <w:tcW w:w="595" w:type="pct"/>
            <w:vAlign w:val="center"/>
          </w:tcPr>
          <w:p w14:paraId="316629FA">
            <w:pPr>
              <w:jc w:val="right"/>
              <w:rPr>
                <w:rFonts w:cs="Times New Roman"/>
              </w:rPr>
            </w:pPr>
          </w:p>
        </w:tc>
        <w:tc>
          <w:tcPr>
            <w:tcW w:w="505" w:type="pct"/>
            <w:vAlign w:val="center"/>
          </w:tcPr>
          <w:p w14:paraId="3F55BDF4">
            <w:pPr>
              <w:jc w:val="right"/>
              <w:rPr>
                <w:rFonts w:cs="Times New Roman"/>
              </w:rPr>
            </w:pPr>
          </w:p>
        </w:tc>
        <w:tc>
          <w:tcPr>
            <w:tcW w:w="505" w:type="pct"/>
            <w:vAlign w:val="center"/>
          </w:tcPr>
          <w:p w14:paraId="4BCA119B">
            <w:pPr>
              <w:jc w:val="right"/>
              <w:rPr>
                <w:rFonts w:cs="Times New Roman"/>
              </w:rPr>
            </w:pPr>
          </w:p>
        </w:tc>
        <w:tc>
          <w:tcPr>
            <w:tcW w:w="515" w:type="pct"/>
            <w:vAlign w:val="center"/>
          </w:tcPr>
          <w:p w14:paraId="22731D55">
            <w:pPr>
              <w:jc w:val="right"/>
              <w:rPr>
                <w:rFonts w:cs="Times New Roman"/>
              </w:rPr>
            </w:pPr>
          </w:p>
        </w:tc>
        <w:tc>
          <w:tcPr>
            <w:tcW w:w="687" w:type="pct"/>
            <w:vAlign w:val="center"/>
          </w:tcPr>
          <w:p w14:paraId="402BAB62">
            <w:pPr>
              <w:jc w:val="right"/>
              <w:textAlignment w:val="center"/>
              <w:rPr>
                <w:rFonts w:cs="Times New Roman"/>
              </w:rPr>
            </w:pPr>
            <w:r>
              <w:rPr>
                <w:rFonts w:eastAsia="Arial Narrow" w:cs="Times New Roman"/>
                <w:color w:val="000000"/>
                <w:lang w:bidi="ar"/>
              </w:rPr>
              <w:t>1,247,262.08</w:t>
            </w:r>
          </w:p>
        </w:tc>
      </w:tr>
      <w:tr w14:paraId="358D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tcPr>
          <w:p w14:paraId="2DE4D48D">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(3)其他</w:t>
            </w:r>
          </w:p>
        </w:tc>
        <w:tc>
          <w:tcPr>
            <w:tcW w:w="615" w:type="pct"/>
            <w:vAlign w:val="center"/>
          </w:tcPr>
          <w:p w14:paraId="1ADB4004">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1,247,262.08</w:t>
            </w:r>
          </w:p>
        </w:tc>
        <w:tc>
          <w:tcPr>
            <w:tcW w:w="616" w:type="pct"/>
            <w:vAlign w:val="center"/>
          </w:tcPr>
          <w:p w14:paraId="7B6FBE56">
            <w:pPr>
              <w:jc w:val="right"/>
              <w:rPr>
                <w:rFonts w:cs="Times New Roman"/>
                <w:color w:val="000000" w:themeColor="text1"/>
                <w14:textFill>
                  <w14:solidFill>
                    <w14:schemeClr w14:val="tx1"/>
                  </w14:solidFill>
                </w14:textFill>
              </w:rPr>
            </w:pPr>
          </w:p>
        </w:tc>
        <w:tc>
          <w:tcPr>
            <w:tcW w:w="595" w:type="pct"/>
            <w:vAlign w:val="center"/>
          </w:tcPr>
          <w:p w14:paraId="5C003B95">
            <w:pPr>
              <w:jc w:val="right"/>
              <w:rPr>
                <w:rFonts w:cs="Times New Roman"/>
                <w:color w:val="000000" w:themeColor="text1"/>
                <w14:textFill>
                  <w14:solidFill>
                    <w14:schemeClr w14:val="tx1"/>
                  </w14:solidFill>
                </w14:textFill>
              </w:rPr>
            </w:pPr>
          </w:p>
        </w:tc>
        <w:tc>
          <w:tcPr>
            <w:tcW w:w="505" w:type="pct"/>
            <w:vAlign w:val="center"/>
          </w:tcPr>
          <w:p w14:paraId="586DFE74">
            <w:pPr>
              <w:jc w:val="right"/>
              <w:rPr>
                <w:rFonts w:cs="Times New Roman"/>
                <w:color w:val="000000" w:themeColor="text1"/>
                <w14:textFill>
                  <w14:solidFill>
                    <w14:schemeClr w14:val="tx1"/>
                  </w14:solidFill>
                </w14:textFill>
              </w:rPr>
            </w:pPr>
          </w:p>
        </w:tc>
        <w:tc>
          <w:tcPr>
            <w:tcW w:w="505" w:type="pct"/>
            <w:vAlign w:val="center"/>
          </w:tcPr>
          <w:p w14:paraId="05932FAE">
            <w:pPr>
              <w:jc w:val="right"/>
              <w:rPr>
                <w:rFonts w:cs="Times New Roman"/>
                <w:color w:val="000000" w:themeColor="text1"/>
                <w14:textFill>
                  <w14:solidFill>
                    <w14:schemeClr w14:val="tx1"/>
                  </w14:solidFill>
                </w14:textFill>
              </w:rPr>
            </w:pPr>
          </w:p>
        </w:tc>
        <w:tc>
          <w:tcPr>
            <w:tcW w:w="515" w:type="pct"/>
            <w:vAlign w:val="center"/>
          </w:tcPr>
          <w:p w14:paraId="6C1AAAA6">
            <w:pPr>
              <w:jc w:val="right"/>
              <w:rPr>
                <w:rFonts w:cs="Times New Roman"/>
                <w:color w:val="000000" w:themeColor="text1"/>
                <w14:textFill>
                  <w14:solidFill>
                    <w14:schemeClr w14:val="tx1"/>
                  </w14:solidFill>
                </w14:textFill>
              </w:rPr>
            </w:pPr>
          </w:p>
        </w:tc>
        <w:tc>
          <w:tcPr>
            <w:tcW w:w="687" w:type="pct"/>
            <w:vAlign w:val="center"/>
          </w:tcPr>
          <w:p w14:paraId="772FE4B3">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1,247,262.08</w:t>
            </w:r>
          </w:p>
        </w:tc>
      </w:tr>
      <w:tr w14:paraId="64A0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525D6C65">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4.期末余额</w:t>
            </w:r>
          </w:p>
        </w:tc>
        <w:tc>
          <w:tcPr>
            <w:tcW w:w="615" w:type="pct"/>
            <w:vAlign w:val="center"/>
          </w:tcPr>
          <w:p w14:paraId="70E90829">
            <w:pPr>
              <w:jc w:val="right"/>
              <w:textAlignment w:val="center"/>
              <w:rPr>
                <w:rFonts w:cs="Times New Roman"/>
              </w:rPr>
            </w:pPr>
            <w:r>
              <w:rPr>
                <w:rFonts w:eastAsia="Arial Narrow" w:cs="Times New Roman"/>
                <w:color w:val="000000"/>
                <w:lang w:bidi="ar"/>
              </w:rPr>
              <w:t>632,221,321.23</w:t>
            </w:r>
          </w:p>
        </w:tc>
        <w:tc>
          <w:tcPr>
            <w:tcW w:w="616" w:type="pct"/>
            <w:vAlign w:val="center"/>
          </w:tcPr>
          <w:p w14:paraId="09C8CFB0">
            <w:pPr>
              <w:jc w:val="right"/>
              <w:textAlignment w:val="center"/>
              <w:rPr>
                <w:rFonts w:cs="Times New Roman"/>
              </w:rPr>
            </w:pPr>
            <w:r>
              <w:rPr>
                <w:rFonts w:eastAsia="Arial Narrow" w:cs="Times New Roman"/>
                <w:color w:val="000000"/>
                <w:lang w:bidi="ar"/>
              </w:rPr>
              <w:t>11,462,571.14</w:t>
            </w:r>
          </w:p>
        </w:tc>
        <w:tc>
          <w:tcPr>
            <w:tcW w:w="595" w:type="pct"/>
            <w:vAlign w:val="center"/>
          </w:tcPr>
          <w:p w14:paraId="4B598181">
            <w:pPr>
              <w:jc w:val="right"/>
              <w:textAlignment w:val="center"/>
              <w:rPr>
                <w:rFonts w:cs="Times New Roman"/>
              </w:rPr>
            </w:pPr>
            <w:r>
              <w:rPr>
                <w:rFonts w:eastAsia="Arial Narrow" w:cs="Times New Roman"/>
                <w:color w:val="000000"/>
                <w:lang w:bidi="ar"/>
              </w:rPr>
              <w:t>998,201.15</w:t>
            </w:r>
          </w:p>
        </w:tc>
        <w:tc>
          <w:tcPr>
            <w:tcW w:w="505" w:type="pct"/>
            <w:vAlign w:val="center"/>
          </w:tcPr>
          <w:p w14:paraId="4CCD1AB1">
            <w:pPr>
              <w:jc w:val="right"/>
              <w:textAlignment w:val="center"/>
              <w:rPr>
                <w:rFonts w:cs="Times New Roman"/>
              </w:rPr>
            </w:pPr>
            <w:r>
              <w:rPr>
                <w:rFonts w:eastAsia="Arial Narrow" w:cs="Times New Roman"/>
                <w:color w:val="000000"/>
                <w:lang w:bidi="ar"/>
              </w:rPr>
              <w:t>18,057,899.16</w:t>
            </w:r>
          </w:p>
        </w:tc>
        <w:tc>
          <w:tcPr>
            <w:tcW w:w="505" w:type="pct"/>
            <w:vAlign w:val="center"/>
          </w:tcPr>
          <w:p w14:paraId="1F1A8273">
            <w:pPr>
              <w:jc w:val="right"/>
              <w:textAlignment w:val="center"/>
              <w:rPr>
                <w:rFonts w:cs="Times New Roman"/>
              </w:rPr>
            </w:pPr>
            <w:r>
              <w:rPr>
                <w:rFonts w:eastAsia="Arial Narrow" w:cs="Times New Roman"/>
                <w:color w:val="000000"/>
                <w:lang w:bidi="ar"/>
              </w:rPr>
              <w:t>239,618.92</w:t>
            </w:r>
          </w:p>
        </w:tc>
        <w:tc>
          <w:tcPr>
            <w:tcW w:w="515" w:type="pct"/>
            <w:vAlign w:val="center"/>
          </w:tcPr>
          <w:p w14:paraId="207C2FAF">
            <w:pPr>
              <w:jc w:val="right"/>
              <w:textAlignment w:val="center"/>
              <w:rPr>
                <w:rFonts w:cs="Times New Roman"/>
              </w:rPr>
            </w:pPr>
            <w:r>
              <w:rPr>
                <w:rFonts w:eastAsia="Arial Narrow" w:cs="Times New Roman"/>
                <w:color w:val="000000"/>
                <w:lang w:bidi="ar"/>
              </w:rPr>
              <w:t>744,064.28</w:t>
            </w:r>
          </w:p>
        </w:tc>
        <w:tc>
          <w:tcPr>
            <w:tcW w:w="687" w:type="pct"/>
            <w:vAlign w:val="center"/>
          </w:tcPr>
          <w:p w14:paraId="239B9CEF">
            <w:pPr>
              <w:jc w:val="right"/>
              <w:textAlignment w:val="center"/>
              <w:rPr>
                <w:rFonts w:cs="Times New Roman"/>
              </w:rPr>
            </w:pPr>
            <w:r>
              <w:rPr>
                <w:rFonts w:eastAsia="Arial Narrow" w:cs="Times New Roman"/>
                <w:color w:val="000000"/>
                <w:lang w:bidi="ar"/>
              </w:rPr>
              <w:t>663,723,675.88</w:t>
            </w:r>
          </w:p>
        </w:tc>
      </w:tr>
      <w:tr w14:paraId="3F93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100d3bc56cc142c1b30c3998528f8af2"/>
            <w:id w:val="147479222"/>
          </w:sdtPr>
          <w:sdtEndPr>
            <w:rPr>
              <w:rFonts w:cs="Times New Roman"/>
            </w:rPr>
          </w:sdtEndPr>
          <w:sdtContent>
            <w:tc>
              <w:tcPr>
                <w:tcW w:w="5000" w:type="pct"/>
                <w:gridSpan w:val="8"/>
                <w:vAlign w:val="center"/>
              </w:tcPr>
              <w:p w14:paraId="0B906FA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三、减值准备</w:t>
                </w:r>
              </w:p>
            </w:tc>
          </w:sdtContent>
        </w:sdt>
      </w:tr>
      <w:tr w14:paraId="096B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4DE2C1BA">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1.期初余额</w:t>
            </w:r>
          </w:p>
        </w:tc>
        <w:tc>
          <w:tcPr>
            <w:tcW w:w="615" w:type="pct"/>
            <w:vAlign w:val="center"/>
          </w:tcPr>
          <w:p w14:paraId="63148C5B">
            <w:pPr>
              <w:jc w:val="right"/>
              <w:textAlignment w:val="center"/>
              <w:rPr>
                <w:rFonts w:cs="Times New Roman"/>
              </w:rPr>
            </w:pPr>
            <w:r>
              <w:rPr>
                <w:rFonts w:eastAsia="Arial Narrow" w:cs="Times New Roman"/>
                <w:color w:val="000000"/>
                <w:lang w:bidi="ar"/>
              </w:rPr>
              <w:t>444,760,886.78</w:t>
            </w:r>
          </w:p>
        </w:tc>
        <w:tc>
          <w:tcPr>
            <w:tcW w:w="616" w:type="pct"/>
            <w:vAlign w:val="center"/>
          </w:tcPr>
          <w:p w14:paraId="786980AD">
            <w:pPr>
              <w:jc w:val="right"/>
              <w:rPr>
                <w:rFonts w:cs="Times New Roman"/>
              </w:rPr>
            </w:pPr>
          </w:p>
        </w:tc>
        <w:tc>
          <w:tcPr>
            <w:tcW w:w="595" w:type="pct"/>
            <w:vAlign w:val="center"/>
          </w:tcPr>
          <w:p w14:paraId="6A7587D5">
            <w:pPr>
              <w:jc w:val="right"/>
              <w:rPr>
                <w:rFonts w:cs="Times New Roman"/>
              </w:rPr>
            </w:pPr>
          </w:p>
        </w:tc>
        <w:tc>
          <w:tcPr>
            <w:tcW w:w="505" w:type="pct"/>
            <w:vAlign w:val="center"/>
          </w:tcPr>
          <w:p w14:paraId="1A1C4ADC">
            <w:pPr>
              <w:jc w:val="right"/>
              <w:textAlignment w:val="center"/>
              <w:rPr>
                <w:rFonts w:cs="Times New Roman"/>
              </w:rPr>
            </w:pPr>
            <w:r>
              <w:rPr>
                <w:rFonts w:eastAsia="Arial Narrow" w:cs="Times New Roman"/>
                <w:color w:val="000000"/>
                <w:lang w:bidi="ar"/>
              </w:rPr>
              <w:t>14,400.41</w:t>
            </w:r>
          </w:p>
        </w:tc>
        <w:tc>
          <w:tcPr>
            <w:tcW w:w="505" w:type="pct"/>
            <w:vAlign w:val="center"/>
          </w:tcPr>
          <w:p w14:paraId="40AAAB31">
            <w:pPr>
              <w:jc w:val="right"/>
              <w:rPr>
                <w:rFonts w:cs="Times New Roman"/>
              </w:rPr>
            </w:pPr>
          </w:p>
        </w:tc>
        <w:tc>
          <w:tcPr>
            <w:tcW w:w="515" w:type="pct"/>
            <w:vAlign w:val="center"/>
          </w:tcPr>
          <w:p w14:paraId="64FCD445">
            <w:pPr>
              <w:jc w:val="right"/>
              <w:rPr>
                <w:rFonts w:cs="Times New Roman"/>
              </w:rPr>
            </w:pPr>
          </w:p>
        </w:tc>
        <w:tc>
          <w:tcPr>
            <w:tcW w:w="687" w:type="pct"/>
            <w:vAlign w:val="center"/>
          </w:tcPr>
          <w:p w14:paraId="7EC4B9AB">
            <w:pPr>
              <w:jc w:val="right"/>
              <w:textAlignment w:val="center"/>
              <w:rPr>
                <w:rFonts w:cs="Times New Roman"/>
              </w:rPr>
            </w:pPr>
            <w:r>
              <w:rPr>
                <w:rFonts w:eastAsia="Arial Narrow" w:cs="Times New Roman"/>
                <w:color w:val="000000"/>
                <w:lang w:bidi="ar"/>
              </w:rPr>
              <w:t>444,775,287.19</w:t>
            </w:r>
          </w:p>
        </w:tc>
      </w:tr>
      <w:tr w14:paraId="43CC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1960D7B2">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2.本期增加金额</w:t>
            </w:r>
          </w:p>
        </w:tc>
        <w:tc>
          <w:tcPr>
            <w:tcW w:w="615" w:type="pct"/>
          </w:tcPr>
          <w:p w14:paraId="6CF3C68B">
            <w:pPr>
              <w:jc w:val="right"/>
              <w:rPr>
                <w:rFonts w:cs="Times New Roman"/>
              </w:rPr>
            </w:pPr>
          </w:p>
        </w:tc>
        <w:tc>
          <w:tcPr>
            <w:tcW w:w="616" w:type="pct"/>
          </w:tcPr>
          <w:p w14:paraId="0CC89C41">
            <w:pPr>
              <w:jc w:val="right"/>
              <w:rPr>
                <w:rFonts w:cs="Times New Roman"/>
              </w:rPr>
            </w:pPr>
          </w:p>
        </w:tc>
        <w:tc>
          <w:tcPr>
            <w:tcW w:w="595" w:type="pct"/>
          </w:tcPr>
          <w:p w14:paraId="3E0B4B49">
            <w:pPr>
              <w:jc w:val="right"/>
              <w:rPr>
                <w:rFonts w:cs="Times New Roman"/>
              </w:rPr>
            </w:pPr>
          </w:p>
        </w:tc>
        <w:tc>
          <w:tcPr>
            <w:tcW w:w="505" w:type="pct"/>
          </w:tcPr>
          <w:p w14:paraId="2C0978D8">
            <w:pPr>
              <w:jc w:val="right"/>
              <w:rPr>
                <w:rFonts w:cs="Times New Roman"/>
              </w:rPr>
            </w:pPr>
          </w:p>
        </w:tc>
        <w:tc>
          <w:tcPr>
            <w:tcW w:w="505" w:type="pct"/>
          </w:tcPr>
          <w:p w14:paraId="31EE431D">
            <w:pPr>
              <w:jc w:val="right"/>
              <w:rPr>
                <w:rFonts w:cs="Times New Roman"/>
              </w:rPr>
            </w:pPr>
          </w:p>
        </w:tc>
        <w:tc>
          <w:tcPr>
            <w:tcW w:w="515" w:type="pct"/>
          </w:tcPr>
          <w:p w14:paraId="66ECF7A8">
            <w:pPr>
              <w:jc w:val="right"/>
              <w:rPr>
                <w:rFonts w:cs="Times New Roman"/>
              </w:rPr>
            </w:pPr>
          </w:p>
        </w:tc>
        <w:tc>
          <w:tcPr>
            <w:tcW w:w="687" w:type="pct"/>
          </w:tcPr>
          <w:p w14:paraId="188623CA">
            <w:pPr>
              <w:jc w:val="right"/>
              <w:rPr>
                <w:rFonts w:cs="Times New Roman"/>
              </w:rPr>
            </w:pPr>
          </w:p>
        </w:tc>
      </w:tr>
      <w:tr w14:paraId="03BB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74598887">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3.本期减少金额</w:t>
            </w:r>
          </w:p>
        </w:tc>
        <w:tc>
          <w:tcPr>
            <w:tcW w:w="615" w:type="pct"/>
          </w:tcPr>
          <w:p w14:paraId="0CAFF6CB">
            <w:pPr>
              <w:jc w:val="right"/>
              <w:rPr>
                <w:rFonts w:cs="Times New Roman"/>
              </w:rPr>
            </w:pPr>
          </w:p>
        </w:tc>
        <w:tc>
          <w:tcPr>
            <w:tcW w:w="616" w:type="pct"/>
          </w:tcPr>
          <w:p w14:paraId="5AD7F90C">
            <w:pPr>
              <w:jc w:val="right"/>
              <w:rPr>
                <w:rFonts w:cs="Times New Roman"/>
              </w:rPr>
            </w:pPr>
          </w:p>
        </w:tc>
        <w:tc>
          <w:tcPr>
            <w:tcW w:w="595" w:type="pct"/>
          </w:tcPr>
          <w:p w14:paraId="6866DF44">
            <w:pPr>
              <w:jc w:val="right"/>
              <w:rPr>
                <w:rFonts w:cs="Times New Roman"/>
              </w:rPr>
            </w:pPr>
          </w:p>
        </w:tc>
        <w:tc>
          <w:tcPr>
            <w:tcW w:w="505" w:type="pct"/>
          </w:tcPr>
          <w:p w14:paraId="442BEB68">
            <w:pPr>
              <w:jc w:val="right"/>
              <w:rPr>
                <w:rFonts w:cs="Times New Roman"/>
              </w:rPr>
            </w:pPr>
          </w:p>
        </w:tc>
        <w:tc>
          <w:tcPr>
            <w:tcW w:w="505" w:type="pct"/>
          </w:tcPr>
          <w:p w14:paraId="791D2A03">
            <w:pPr>
              <w:jc w:val="right"/>
              <w:rPr>
                <w:rFonts w:cs="Times New Roman"/>
              </w:rPr>
            </w:pPr>
          </w:p>
        </w:tc>
        <w:tc>
          <w:tcPr>
            <w:tcW w:w="515" w:type="pct"/>
          </w:tcPr>
          <w:p w14:paraId="5F3FB6CD">
            <w:pPr>
              <w:jc w:val="right"/>
              <w:rPr>
                <w:rFonts w:cs="Times New Roman"/>
              </w:rPr>
            </w:pPr>
          </w:p>
        </w:tc>
        <w:tc>
          <w:tcPr>
            <w:tcW w:w="687" w:type="pct"/>
          </w:tcPr>
          <w:p w14:paraId="384F703C">
            <w:pPr>
              <w:jc w:val="right"/>
              <w:rPr>
                <w:rFonts w:cs="Times New Roman"/>
              </w:rPr>
            </w:pPr>
          </w:p>
        </w:tc>
      </w:tr>
      <w:tr w14:paraId="3C1D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30D5646D">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4.期末余额</w:t>
            </w:r>
          </w:p>
        </w:tc>
        <w:tc>
          <w:tcPr>
            <w:tcW w:w="615" w:type="pct"/>
            <w:vAlign w:val="center"/>
          </w:tcPr>
          <w:p w14:paraId="5A0CF4EC">
            <w:pPr>
              <w:jc w:val="right"/>
              <w:textAlignment w:val="center"/>
              <w:rPr>
                <w:rFonts w:cs="Times New Roman"/>
              </w:rPr>
            </w:pPr>
            <w:r>
              <w:rPr>
                <w:rFonts w:eastAsia="Arial Narrow" w:cs="Times New Roman"/>
                <w:color w:val="000000"/>
                <w:lang w:bidi="ar"/>
              </w:rPr>
              <w:t>444,760,886.78</w:t>
            </w:r>
          </w:p>
        </w:tc>
        <w:tc>
          <w:tcPr>
            <w:tcW w:w="616" w:type="pct"/>
            <w:vAlign w:val="center"/>
          </w:tcPr>
          <w:p w14:paraId="2BE47A6E">
            <w:pPr>
              <w:jc w:val="right"/>
              <w:rPr>
                <w:rFonts w:cs="Times New Roman"/>
              </w:rPr>
            </w:pPr>
          </w:p>
        </w:tc>
        <w:tc>
          <w:tcPr>
            <w:tcW w:w="595" w:type="pct"/>
            <w:vAlign w:val="center"/>
          </w:tcPr>
          <w:p w14:paraId="75AE4262">
            <w:pPr>
              <w:jc w:val="right"/>
              <w:rPr>
                <w:rFonts w:cs="Times New Roman"/>
              </w:rPr>
            </w:pPr>
          </w:p>
        </w:tc>
        <w:tc>
          <w:tcPr>
            <w:tcW w:w="505" w:type="pct"/>
            <w:vAlign w:val="center"/>
          </w:tcPr>
          <w:p w14:paraId="7F707CE5">
            <w:pPr>
              <w:jc w:val="right"/>
              <w:textAlignment w:val="center"/>
              <w:rPr>
                <w:rFonts w:cs="Times New Roman"/>
              </w:rPr>
            </w:pPr>
            <w:r>
              <w:rPr>
                <w:rFonts w:eastAsia="Arial Narrow" w:cs="Times New Roman"/>
                <w:color w:val="000000"/>
                <w:lang w:bidi="ar"/>
              </w:rPr>
              <w:t>14,400.41</w:t>
            </w:r>
          </w:p>
        </w:tc>
        <w:tc>
          <w:tcPr>
            <w:tcW w:w="505" w:type="pct"/>
            <w:vAlign w:val="center"/>
          </w:tcPr>
          <w:p w14:paraId="62155FD8">
            <w:pPr>
              <w:jc w:val="right"/>
              <w:rPr>
                <w:rFonts w:cs="Times New Roman"/>
              </w:rPr>
            </w:pPr>
          </w:p>
        </w:tc>
        <w:tc>
          <w:tcPr>
            <w:tcW w:w="515" w:type="pct"/>
            <w:vAlign w:val="center"/>
          </w:tcPr>
          <w:p w14:paraId="1CE968D4">
            <w:pPr>
              <w:jc w:val="right"/>
              <w:rPr>
                <w:rFonts w:cs="Times New Roman"/>
              </w:rPr>
            </w:pPr>
          </w:p>
        </w:tc>
        <w:tc>
          <w:tcPr>
            <w:tcW w:w="687" w:type="pct"/>
            <w:vAlign w:val="center"/>
          </w:tcPr>
          <w:p w14:paraId="546A71A4">
            <w:pPr>
              <w:jc w:val="right"/>
              <w:textAlignment w:val="center"/>
              <w:rPr>
                <w:rFonts w:cs="Times New Roman"/>
              </w:rPr>
            </w:pPr>
            <w:r>
              <w:rPr>
                <w:rFonts w:eastAsia="Arial Narrow" w:cs="Times New Roman"/>
                <w:color w:val="000000"/>
                <w:lang w:bidi="ar"/>
              </w:rPr>
              <w:t>444,775,287.19</w:t>
            </w:r>
          </w:p>
        </w:tc>
      </w:tr>
      <w:tr w14:paraId="562C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cs="Times New Roman"/>
            </w:rPr>
            <w:tag w:val="_PLD_77aceef1b70d43c0846f7e8f529b7784"/>
            <w:id w:val="147463286"/>
          </w:sdtPr>
          <w:sdtEndPr>
            <w:rPr>
              <w:rFonts w:cs="Times New Roman"/>
            </w:rPr>
          </w:sdtEndPr>
          <w:sdtContent>
            <w:tc>
              <w:tcPr>
                <w:tcW w:w="5000" w:type="pct"/>
                <w:gridSpan w:val="8"/>
                <w:vAlign w:val="center"/>
              </w:tcPr>
              <w:p w14:paraId="4120658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四、账面价值</w:t>
                </w:r>
              </w:p>
            </w:tc>
          </w:sdtContent>
        </w:sdt>
      </w:tr>
      <w:tr w14:paraId="22EA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1262ABDE">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1.期末账面价值</w:t>
            </w:r>
          </w:p>
        </w:tc>
        <w:tc>
          <w:tcPr>
            <w:tcW w:w="615" w:type="pct"/>
            <w:vAlign w:val="center"/>
          </w:tcPr>
          <w:p w14:paraId="5AB3AED8">
            <w:pPr>
              <w:jc w:val="right"/>
              <w:textAlignment w:val="center"/>
              <w:rPr>
                <w:rFonts w:cs="Times New Roman"/>
              </w:rPr>
            </w:pPr>
            <w:r>
              <w:rPr>
                <w:rFonts w:cs="Times New Roman"/>
                <w:color w:val="000000"/>
              </w:rPr>
              <w:t>1,398,488,919.32</w:t>
            </w:r>
          </w:p>
        </w:tc>
        <w:tc>
          <w:tcPr>
            <w:tcW w:w="616" w:type="pct"/>
            <w:vAlign w:val="center"/>
          </w:tcPr>
          <w:p w14:paraId="08A5B129">
            <w:pPr>
              <w:jc w:val="right"/>
              <w:textAlignment w:val="center"/>
              <w:rPr>
                <w:rFonts w:cs="Times New Roman"/>
              </w:rPr>
            </w:pPr>
            <w:r>
              <w:rPr>
                <w:rFonts w:cs="Times New Roman"/>
                <w:color w:val="000000"/>
              </w:rPr>
              <w:t>6,066,922.44</w:t>
            </w:r>
          </w:p>
        </w:tc>
        <w:tc>
          <w:tcPr>
            <w:tcW w:w="595" w:type="pct"/>
            <w:vAlign w:val="center"/>
          </w:tcPr>
          <w:p w14:paraId="3A281D1C">
            <w:pPr>
              <w:jc w:val="right"/>
              <w:rPr>
                <w:rFonts w:cs="Times New Roman"/>
              </w:rPr>
            </w:pPr>
          </w:p>
        </w:tc>
        <w:tc>
          <w:tcPr>
            <w:tcW w:w="505" w:type="pct"/>
            <w:vAlign w:val="center"/>
          </w:tcPr>
          <w:p w14:paraId="133AB948">
            <w:pPr>
              <w:jc w:val="right"/>
              <w:textAlignment w:val="center"/>
              <w:rPr>
                <w:rFonts w:cs="Times New Roman"/>
              </w:rPr>
            </w:pPr>
            <w:r>
              <w:rPr>
                <w:rFonts w:cs="Times New Roman"/>
                <w:color w:val="000000"/>
              </w:rPr>
              <w:t>8,571,806.10</w:t>
            </w:r>
          </w:p>
        </w:tc>
        <w:tc>
          <w:tcPr>
            <w:tcW w:w="505" w:type="pct"/>
            <w:vAlign w:val="center"/>
          </w:tcPr>
          <w:p w14:paraId="2DBBAFFA">
            <w:pPr>
              <w:jc w:val="right"/>
              <w:textAlignment w:val="center"/>
              <w:rPr>
                <w:rFonts w:cs="Times New Roman"/>
              </w:rPr>
            </w:pPr>
            <w:r>
              <w:rPr>
                <w:rFonts w:cs="Times New Roman"/>
                <w:color w:val="000000"/>
              </w:rPr>
              <w:t>14,999,918.13</w:t>
            </w:r>
          </w:p>
        </w:tc>
        <w:tc>
          <w:tcPr>
            <w:tcW w:w="515" w:type="pct"/>
            <w:vAlign w:val="center"/>
          </w:tcPr>
          <w:p w14:paraId="2DECB89C">
            <w:pPr>
              <w:jc w:val="right"/>
              <w:textAlignment w:val="center"/>
              <w:rPr>
                <w:rFonts w:cs="Times New Roman"/>
              </w:rPr>
            </w:pPr>
            <w:r>
              <w:rPr>
                <w:rFonts w:cs="Times New Roman"/>
                <w:color w:val="000000"/>
              </w:rPr>
              <w:t>316,313.05</w:t>
            </w:r>
          </w:p>
        </w:tc>
        <w:tc>
          <w:tcPr>
            <w:tcW w:w="687" w:type="pct"/>
            <w:vAlign w:val="center"/>
          </w:tcPr>
          <w:p w14:paraId="765B7465">
            <w:pPr>
              <w:jc w:val="right"/>
              <w:textAlignment w:val="center"/>
              <w:rPr>
                <w:rFonts w:cs="Times New Roman"/>
              </w:rPr>
            </w:pPr>
            <w:r>
              <w:rPr>
                <w:rFonts w:cs="Times New Roman"/>
                <w:color w:val="000000"/>
              </w:rPr>
              <w:t>1,428,443,879.04</w:t>
            </w:r>
          </w:p>
        </w:tc>
      </w:tr>
      <w:tr w14:paraId="765C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58" w:type="pct"/>
            <w:vAlign w:val="center"/>
          </w:tcPr>
          <w:p w14:paraId="26C675F1">
            <w:pPr>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2.期初账面价值</w:t>
            </w:r>
          </w:p>
        </w:tc>
        <w:tc>
          <w:tcPr>
            <w:tcW w:w="615" w:type="pct"/>
            <w:vAlign w:val="center"/>
          </w:tcPr>
          <w:p w14:paraId="72E0C154">
            <w:pPr>
              <w:jc w:val="right"/>
              <w:textAlignment w:val="center"/>
              <w:rPr>
                <w:rFonts w:cs="Times New Roman"/>
              </w:rPr>
            </w:pPr>
            <w:r>
              <w:rPr>
                <w:rFonts w:cs="Times New Roman"/>
                <w:color w:val="000000"/>
              </w:rPr>
              <w:t>1,406,705,910.47</w:t>
            </w:r>
          </w:p>
        </w:tc>
        <w:tc>
          <w:tcPr>
            <w:tcW w:w="616" w:type="pct"/>
            <w:vAlign w:val="center"/>
          </w:tcPr>
          <w:p w14:paraId="4A8FA2B2">
            <w:pPr>
              <w:jc w:val="right"/>
              <w:textAlignment w:val="center"/>
              <w:rPr>
                <w:rFonts w:cs="Times New Roman"/>
              </w:rPr>
            </w:pPr>
            <w:r>
              <w:rPr>
                <w:rFonts w:cs="Times New Roman"/>
                <w:color w:val="000000"/>
              </w:rPr>
              <w:t>6,635,284.35</w:t>
            </w:r>
          </w:p>
        </w:tc>
        <w:tc>
          <w:tcPr>
            <w:tcW w:w="595" w:type="pct"/>
            <w:vAlign w:val="center"/>
          </w:tcPr>
          <w:p w14:paraId="534A915B">
            <w:pPr>
              <w:jc w:val="right"/>
              <w:rPr>
                <w:rFonts w:cs="Times New Roman"/>
              </w:rPr>
            </w:pPr>
          </w:p>
        </w:tc>
        <w:tc>
          <w:tcPr>
            <w:tcW w:w="505" w:type="pct"/>
            <w:vAlign w:val="center"/>
          </w:tcPr>
          <w:p w14:paraId="36AD462A">
            <w:pPr>
              <w:jc w:val="right"/>
              <w:textAlignment w:val="center"/>
              <w:rPr>
                <w:rFonts w:cs="Times New Roman"/>
              </w:rPr>
            </w:pPr>
            <w:r>
              <w:rPr>
                <w:rFonts w:cs="Times New Roman"/>
                <w:color w:val="000000"/>
              </w:rPr>
              <w:t>9,249,423.10</w:t>
            </w:r>
          </w:p>
        </w:tc>
        <w:tc>
          <w:tcPr>
            <w:tcW w:w="505" w:type="pct"/>
            <w:vAlign w:val="center"/>
          </w:tcPr>
          <w:p w14:paraId="652E7A39">
            <w:pPr>
              <w:jc w:val="right"/>
              <w:textAlignment w:val="center"/>
              <w:rPr>
                <w:rFonts w:cs="Times New Roman"/>
              </w:rPr>
            </w:pPr>
            <w:r>
              <w:rPr>
                <w:rFonts w:cs="Times New Roman"/>
                <w:color w:val="000000"/>
              </w:rPr>
              <w:t>15,010,102.29</w:t>
            </w:r>
          </w:p>
        </w:tc>
        <w:tc>
          <w:tcPr>
            <w:tcW w:w="515" w:type="pct"/>
            <w:vAlign w:val="center"/>
          </w:tcPr>
          <w:p w14:paraId="12F5D0CA">
            <w:pPr>
              <w:jc w:val="right"/>
              <w:textAlignment w:val="center"/>
              <w:rPr>
                <w:rFonts w:cs="Times New Roman"/>
              </w:rPr>
            </w:pPr>
            <w:r>
              <w:rPr>
                <w:rFonts w:cs="Times New Roman"/>
                <w:color w:val="000000"/>
              </w:rPr>
              <w:t>422,950.81</w:t>
            </w:r>
          </w:p>
        </w:tc>
        <w:tc>
          <w:tcPr>
            <w:tcW w:w="687" w:type="pct"/>
            <w:vAlign w:val="center"/>
          </w:tcPr>
          <w:p w14:paraId="54E8D237">
            <w:pPr>
              <w:jc w:val="right"/>
              <w:textAlignment w:val="center"/>
              <w:rPr>
                <w:rFonts w:cs="Times New Roman"/>
              </w:rPr>
            </w:pPr>
            <w:r>
              <w:rPr>
                <w:rFonts w:cs="Times New Roman"/>
                <w:color w:val="000000"/>
              </w:rPr>
              <w:t>1,438,023,671.02</w:t>
            </w:r>
          </w:p>
        </w:tc>
      </w:tr>
    </w:tbl>
    <w:p w14:paraId="521D3D8E">
      <w:pPr>
        <w:sectPr>
          <w:pgSz w:w="16838" w:h="11906" w:orient="landscape"/>
          <w:pgMar w:top="1797" w:right="1525" w:bottom="1276" w:left="1440" w:header="856" w:footer="992" w:gutter="0"/>
          <w:cols w:space="425" w:num="1"/>
          <w:docGrid w:linePitch="312" w:charSpace="0"/>
        </w:sectPr>
      </w:pPr>
    </w:p>
    <w:p w14:paraId="7CB72760"/>
    <w:p w14:paraId="472F0E42">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期末通过公司内部研发形成的无形资产占无形资产余额的比例</w:t>
      </w:r>
      <w:sdt>
        <w:sdtPr>
          <w:rPr>
            <w:color w:val="000000" w:themeColor="text1"/>
            <w14:textFill>
              <w14:solidFill>
                <w14:schemeClr w14:val="tx1"/>
              </w14:solidFill>
            </w14:textFill>
          </w:rPr>
          <w:alias w:val="通过公司内部研发形成的无形资产占无形资产账面价值的比例"/>
          <w:tag w:val="_GBC_4eb0f3140a674bd1899e2bd836d51bbb"/>
          <w:id w:val="147481256"/>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w:t>
      </w:r>
    </w:p>
    <w:p w14:paraId="58249143">
      <w:pPr>
        <w:snapToGrid w:val="0"/>
        <w:spacing w:line="240" w:lineRule="atLeast"/>
        <w:rPr>
          <w:color w:val="000000" w:themeColor="text1"/>
          <w14:textFill>
            <w14:solidFill>
              <w14:schemeClr w14:val="tx1"/>
            </w14:solidFill>
          </w14:textFill>
        </w:rPr>
      </w:pPr>
    </w:p>
    <w:p w14:paraId="64BC77E8">
      <w:pPr>
        <w:pStyle w:val="58"/>
        <w:numPr>
          <w:ilvl w:val="0"/>
          <w:numId w:val="75"/>
        </w:numPr>
        <w:tabs>
          <w:tab w:val="left" w:pos="602"/>
        </w:tabs>
        <w:rPr>
          <w:rFonts w:ascii="宋体" w:hAnsi="宋体"/>
          <w:color w:val="000000" w:themeColor="text1"/>
          <w:szCs w:val="21"/>
          <w14:textFill>
            <w14:solidFill>
              <w14:schemeClr w14:val="tx1"/>
            </w14:solidFill>
          </w14:textFill>
        </w:rPr>
      </w:pPr>
      <w:bookmarkStart w:id="331" w:name="_Hlk169705970"/>
      <w:r>
        <w:rPr>
          <w:rFonts w:hint="eastAsia" w:ascii="宋体" w:hAnsi="宋体"/>
          <w:color w:val="000000" w:themeColor="text1"/>
          <w:szCs w:val="21"/>
          <w14:textFill>
            <w14:solidFill>
              <w14:schemeClr w14:val="tx1"/>
            </w14:solidFill>
          </w14:textFill>
        </w:rPr>
        <w:t>确认为无形资产的数据资源</w:t>
      </w:r>
    </w:p>
    <w:sdt>
      <w:sdtPr>
        <w:rPr>
          <w:color w:val="000000" w:themeColor="text1"/>
          <w14:textFill>
            <w14:solidFill>
              <w14:schemeClr w14:val="tx1"/>
            </w14:solidFill>
          </w14:textFill>
        </w:rPr>
        <w:alias w:val="是否适用：确认为无形资产的数据资源[双击切换]"/>
        <w:tag w:val="_GBC_69d13d4234a148729542b163082d1cd0"/>
        <w:id w:val="147476432"/>
        <w:placeholder>
          <w:docPart w:val="GBC22222222222222222222222222222"/>
        </w:placeholder>
      </w:sdtPr>
      <w:sdtEndPr>
        <w:rPr>
          <w:color w:val="000000" w:themeColor="text1"/>
          <w14:textFill>
            <w14:solidFill>
              <w14:schemeClr w14:val="tx1"/>
            </w14:solidFill>
          </w14:textFill>
        </w:rPr>
      </w:sdtEndPr>
      <w:sdtContent>
        <w:p w14:paraId="4C327A0A">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8A86ADA">
      <w:pPr>
        <w:snapToGrid w:val="0"/>
        <w:spacing w:line="240" w:lineRule="atLeast"/>
        <w:rPr>
          <w:color w:val="000000" w:themeColor="text1"/>
          <w14:textFill>
            <w14:solidFill>
              <w14:schemeClr w14:val="tx1"/>
            </w14:solidFill>
          </w14:textFill>
        </w:rPr>
      </w:pPr>
    </w:p>
    <w:bookmarkEnd w:id="331"/>
    <w:p w14:paraId="601316B9">
      <w:pPr>
        <w:pStyle w:val="58"/>
        <w:numPr>
          <w:ilvl w:val="0"/>
          <w:numId w:val="75"/>
        </w:numPr>
        <w:tabs>
          <w:tab w:val="left" w:pos="602"/>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未办妥产权证书的土地使用权情况</w:t>
      </w:r>
    </w:p>
    <w:sdt>
      <w:sdtPr>
        <w:rPr>
          <w:color w:val="000000" w:themeColor="text1"/>
          <w14:textFill>
            <w14:solidFill>
              <w14:schemeClr w14:val="tx1"/>
            </w14:solidFill>
          </w14:textFill>
        </w:rPr>
        <w:alias w:val="是否适用：未办妥产权证书的土地使用权情况[双击切换]"/>
        <w:tag w:val="_GBC_e8ff0641401a44f19fe64ad31dc15c58"/>
        <w:id w:val="-146366473"/>
      </w:sdtPr>
      <w:sdtEndPr>
        <w:rPr>
          <w:color w:val="000000" w:themeColor="text1"/>
          <w14:textFill>
            <w14:solidFill>
              <w14:schemeClr w14:val="tx1"/>
            </w14:solidFill>
          </w14:textFill>
        </w:rPr>
      </w:sdtEndPr>
      <w:sdtContent>
        <w:p w14:paraId="114063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F18EA4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办妥产权证书的土地使用权情况"/>
          <w:tag w:val="_GBC_6d7518e23389454d8aa2c26272e90959"/>
          <w:id w:val="729735993"/>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办妥产权证书的土地使用权情况"/>
          <w:tag w:val="_GBC_27007ebda6594c4a9f41f6d4effd1d62"/>
          <w:id w:val="2040857421"/>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5"/>
        <w:gridCol w:w="3016"/>
        <w:gridCol w:w="3018"/>
      </w:tblGrid>
      <w:tr w14:paraId="231C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4efb019848394f1b84d6df16ceb61a30"/>
            <w:id w:val="-81766202"/>
          </w:sdtPr>
          <w:sdtEndPr>
            <w:rPr>
              <w:rFonts w:cs="Times New Roman"/>
            </w:rPr>
          </w:sdtEndPr>
          <w:sdtContent>
            <w:tc>
              <w:tcPr>
                <w:tcW w:w="1665" w:type="pct"/>
                <w:vAlign w:val="center"/>
              </w:tcPr>
              <w:p w14:paraId="09ADB47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d62230db4d04e378a4a470f0f0ef863"/>
            <w:id w:val="-338931223"/>
          </w:sdtPr>
          <w:sdtEndPr>
            <w:rPr>
              <w:rFonts w:cs="Times New Roman"/>
            </w:rPr>
          </w:sdtEndPr>
          <w:sdtContent>
            <w:tc>
              <w:tcPr>
                <w:tcW w:w="1666" w:type="pct"/>
                <w:vAlign w:val="center"/>
              </w:tcPr>
              <w:p w14:paraId="701655F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账面价值</w:t>
                </w:r>
              </w:p>
            </w:tc>
          </w:sdtContent>
        </w:sdt>
        <w:sdt>
          <w:sdtPr>
            <w:rPr>
              <w:rFonts w:cs="Times New Roman"/>
            </w:rPr>
            <w:tag w:val="_PLD_f1c8cdf0044a4f9199725c6ef167bb29"/>
            <w:id w:val="-1609272333"/>
          </w:sdtPr>
          <w:sdtEndPr>
            <w:rPr>
              <w:rFonts w:cs="Times New Roman"/>
            </w:rPr>
          </w:sdtEndPr>
          <w:sdtContent>
            <w:tc>
              <w:tcPr>
                <w:tcW w:w="1667" w:type="pct"/>
                <w:vAlign w:val="center"/>
              </w:tcPr>
              <w:p w14:paraId="72CDD23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未办妥产权证书的原因</w:t>
                </w:r>
              </w:p>
            </w:tc>
          </w:sdtContent>
        </w:sdt>
      </w:tr>
      <w:sdt>
        <w:sdtPr>
          <w:rPr>
            <w:rFonts w:cs="Times New Roman"/>
            <w:color w:val="000000" w:themeColor="text1"/>
            <w14:textFill>
              <w14:solidFill>
                <w14:schemeClr w14:val="tx1"/>
              </w14:solidFill>
            </w14:textFill>
          </w:rPr>
          <w:alias w:val="未办妥产权证书的土地使用权情况明细"/>
          <w:tag w:val="_GBC_109499b5d2b34860aa856972401fcb6e"/>
          <w:id w:val="-2075495153"/>
          <w:placeholder>
            <w:docPart w:val="{e57c6a27-ff94-440e-8baf-13a3927d767d}"/>
          </w:placeholder>
        </w:sdtPr>
        <w:sdtEndPr>
          <w:rPr>
            <w:rFonts w:cs="Times New Roman"/>
            <w:color w:val="000000" w:themeColor="text1"/>
            <w14:textFill>
              <w14:solidFill>
                <w14:schemeClr w14:val="tx1"/>
              </w14:solidFill>
            </w14:textFill>
          </w:rPr>
        </w:sdtEndPr>
        <w:sdtContent>
          <w:tr w14:paraId="19DE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vAlign w:val="center"/>
              </w:tcPr>
              <w:p w14:paraId="6095C2CD">
                <w:pPr>
                  <w:rPr>
                    <w:rFonts w:cs="Times New Roman"/>
                  </w:rPr>
                </w:pPr>
                <w:r>
                  <w:rPr>
                    <w:rFonts w:cs="Times New Roman"/>
                  </w:rPr>
                  <w:t>际华针织土地</w:t>
                </w:r>
              </w:p>
            </w:tc>
            <w:tc>
              <w:tcPr>
                <w:tcW w:w="1666" w:type="pct"/>
                <w:vAlign w:val="center"/>
              </w:tcPr>
              <w:p w14:paraId="219E6F7D">
                <w:pPr>
                  <w:jc w:val="right"/>
                  <w:rPr>
                    <w:rFonts w:cs="Times New Roman"/>
                  </w:rPr>
                </w:pPr>
                <w:r>
                  <w:rPr>
                    <w:rFonts w:cs="Times New Roman"/>
                  </w:rPr>
                  <w:t>2,430,550.46</w:t>
                </w:r>
              </w:p>
            </w:tc>
            <w:tc>
              <w:tcPr>
                <w:tcW w:w="1667" w:type="pct"/>
                <w:vAlign w:val="center"/>
              </w:tcPr>
              <w:p w14:paraId="1C7A4778">
                <w:pPr>
                  <w:jc w:val="center"/>
                  <w:rPr>
                    <w:rFonts w:cs="Times New Roman"/>
                  </w:rPr>
                </w:pPr>
                <w:r>
                  <w:rPr>
                    <w:rFonts w:cs="Times New Roman"/>
                  </w:rPr>
                  <w:t>正在办理</w:t>
                </w:r>
              </w:p>
            </w:tc>
          </w:tr>
        </w:sdtContent>
      </w:sdt>
    </w:tbl>
    <w:p w14:paraId="4847DA72">
      <w:pPr>
        <w:snapToGrid w:val="0"/>
        <w:spacing w:line="240" w:lineRule="atLeast"/>
        <w:rPr>
          <w:color w:val="000000" w:themeColor="text1"/>
          <w14:textFill>
            <w14:solidFill>
              <w14:schemeClr w14:val="tx1"/>
            </w14:solidFill>
          </w14:textFill>
        </w:rPr>
      </w:pPr>
    </w:p>
    <w:p w14:paraId="423B4B36">
      <w:pPr>
        <w:snapToGrid w:val="0"/>
        <w:spacing w:line="240" w:lineRule="atLeast"/>
        <w:rPr>
          <w:color w:val="000000" w:themeColor="text1"/>
          <w14:textFill>
            <w14:solidFill>
              <w14:schemeClr w14:val="tx1"/>
            </w14:solidFill>
          </w14:textFill>
        </w:rPr>
      </w:pPr>
    </w:p>
    <w:p w14:paraId="2AED6C7B">
      <w:pPr>
        <w:pStyle w:val="58"/>
        <w:numPr>
          <w:ilvl w:val="0"/>
          <w:numId w:val="75"/>
        </w:numPr>
        <w:tabs>
          <w:tab w:val="left" w:pos="602"/>
        </w:tabs>
        <w:rPr>
          <w:rFonts w:ascii="宋体" w:hAnsi="宋体"/>
          <w:color w:val="000000" w:themeColor="text1"/>
          <w:szCs w:val="21"/>
          <w14:textFill>
            <w14:solidFill>
              <w14:schemeClr w14:val="tx1"/>
            </w14:solidFill>
          </w14:textFill>
        </w:rPr>
      </w:pPr>
      <w:bookmarkStart w:id="332" w:name="_Hlk153461844"/>
      <w:bookmarkStart w:id="333" w:name="_Hlk167959697"/>
      <w:r>
        <w:rPr>
          <w:rFonts w:hint="eastAsia" w:ascii="宋体" w:hAnsi="宋体"/>
          <w:color w:val="000000" w:themeColor="text1"/>
          <w:szCs w:val="21"/>
          <w14:textFill>
            <w14:solidFill>
              <w14:schemeClr w14:val="tx1"/>
            </w14:solidFill>
          </w14:textFill>
        </w:rPr>
        <w:t>无形资产的减值测试情况</w:t>
      </w:r>
    </w:p>
    <w:sdt>
      <w:sdtPr>
        <w:rPr>
          <w:color w:val="000000" w:themeColor="text1"/>
          <w14:textFill>
            <w14:solidFill>
              <w14:schemeClr w14:val="tx1"/>
            </w14:solidFill>
          </w14:textFill>
        </w:rPr>
        <w:alias w:val="是否适用：减值测试情况[双击切换]"/>
        <w:tag w:val="_GBC_6523dfc219a7467fb60857d0ff4fbd37"/>
        <w:id w:val="147450916"/>
        <w:placeholder>
          <w:docPart w:val="GBC22222222222222222222222222222"/>
        </w:placeholder>
      </w:sdtPr>
      <w:sdtEndPr>
        <w:rPr>
          <w:color w:val="000000" w:themeColor="text1"/>
          <w14:textFill>
            <w14:solidFill>
              <w14:schemeClr w14:val="tx1"/>
            </w14:solidFill>
          </w14:textFill>
        </w:rPr>
      </w:sdtEndPr>
      <w:sdtContent>
        <w:p w14:paraId="462CF86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478678">
      <w:pPr>
        <w:snapToGrid w:val="0"/>
        <w:spacing w:line="240" w:lineRule="atLeast"/>
        <w:rPr>
          <w:color w:val="000000" w:themeColor="text1"/>
          <w14:textFill>
            <w14:solidFill>
              <w14:schemeClr w14:val="tx1"/>
            </w14:solidFill>
          </w14:textFill>
        </w:rPr>
      </w:pPr>
    </w:p>
    <w:bookmarkEnd w:id="332"/>
    <w:bookmarkEnd w:id="333"/>
    <w:p w14:paraId="7E51A9D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无形资产的说明[双击切换]"/>
        <w:tag w:val="_GBC_dc3c687f3c2c457e9024304c14129458"/>
        <w:id w:val="147467683"/>
        <w:placeholder>
          <w:docPart w:val="GBC22222222222222222222222222222"/>
        </w:placeholder>
      </w:sdtPr>
      <w:sdtEndPr>
        <w:rPr>
          <w:color w:val="000000" w:themeColor="text1"/>
          <w14:textFill>
            <w14:solidFill>
              <w14:schemeClr w14:val="tx1"/>
            </w14:solidFill>
          </w14:textFill>
        </w:rPr>
      </w:sdtEndPr>
      <w:sdtContent>
        <w:p w14:paraId="15B9D6E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E773D34">
      <w:pPr>
        <w:snapToGrid w:val="0"/>
        <w:spacing w:line="240" w:lineRule="atLeast"/>
        <w:rPr>
          <w:color w:val="000000" w:themeColor="text1"/>
          <w14:textFill>
            <w14:solidFill>
              <w14:schemeClr w14:val="tx1"/>
            </w14:solidFill>
          </w14:textFill>
        </w:rPr>
      </w:pPr>
    </w:p>
    <w:p w14:paraId="5EAC9440">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商誉</w:t>
      </w:r>
    </w:p>
    <w:p w14:paraId="0B06831F">
      <w:pPr>
        <w:pStyle w:val="58"/>
        <w:numPr>
          <w:ilvl w:val="0"/>
          <w:numId w:val="76"/>
        </w:numPr>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商誉账面原值</w:t>
      </w:r>
    </w:p>
    <w:sdt>
      <w:sdtPr>
        <w:rPr>
          <w:color w:val="000000" w:themeColor="text1"/>
          <w14:textFill>
            <w14:solidFill>
              <w14:schemeClr w14:val="tx1"/>
            </w14:solidFill>
          </w14:textFill>
        </w:rPr>
        <w:alias w:val="是否适用：商誉账面原值[双击切换]"/>
        <w:tag w:val="_GBC_e2a869d440cf4b7f9f592f3e22cea85d"/>
        <w:id w:val="672613316"/>
      </w:sdtPr>
      <w:sdtEndPr>
        <w:rPr>
          <w:color w:val="000000" w:themeColor="text1"/>
          <w14:textFill>
            <w14:solidFill>
              <w14:schemeClr w14:val="tx1"/>
            </w14:solidFill>
          </w14:textFill>
        </w:rPr>
      </w:sdtEndPr>
      <w:sdtContent>
        <w:p w14:paraId="79ED750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989042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商誉"/>
          <w:tag w:val="_GBC_4797b6084eb24fe79f24d181640f3283"/>
          <w:id w:val="-147440117"/>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商誉"/>
          <w:tag w:val="_GBC_7cd9149d9bea4da8974b80b14b1c0e44"/>
          <w:id w:val="186956457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7"/>
        <w:gridCol w:w="2041"/>
        <w:gridCol w:w="1775"/>
        <w:gridCol w:w="1661"/>
      </w:tblGrid>
      <w:tr w14:paraId="1EDB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sdt>
          <w:sdtPr>
            <w:tag w:val="_PLD_b248be5460bf4bb299c4579815256238"/>
            <w:id w:val="-1882310183"/>
          </w:sdtPr>
          <w:sdtContent>
            <w:tc>
              <w:tcPr>
                <w:tcW w:w="1972" w:type="pct"/>
                <w:vMerge w:val="restart"/>
                <w:vAlign w:val="center"/>
              </w:tcPr>
              <w:p w14:paraId="64E4F255">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被投资单位名称或形成商誉的事项</w:t>
                </w:r>
              </w:p>
            </w:tc>
          </w:sdtContent>
        </w:sdt>
        <w:sdt>
          <w:sdtPr>
            <w:tag w:val="_PLD_a25f69a57b624da887f74ab27a20ba0b"/>
            <w:id w:val="-1655837874"/>
          </w:sdtPr>
          <w:sdtContent>
            <w:tc>
              <w:tcPr>
                <w:tcW w:w="1128" w:type="pct"/>
                <w:vMerge w:val="restart"/>
                <w:vAlign w:val="center"/>
              </w:tcPr>
              <w:p w14:paraId="6E345A33">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5560c6ea7650430a8c304ee861d4bc25"/>
            <w:id w:val="1793092552"/>
          </w:sdtPr>
          <w:sdtContent>
            <w:tc>
              <w:tcPr>
                <w:tcW w:w="981" w:type="pct"/>
                <w:vAlign w:val="center"/>
              </w:tcPr>
              <w:p w14:paraId="6582E8E8">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075635973edd4d94a997d2ed78e56d8b"/>
            <w:id w:val="1031231081"/>
          </w:sdtPr>
          <w:sdtContent>
            <w:tc>
              <w:tcPr>
                <w:tcW w:w="918" w:type="pct"/>
                <w:vMerge w:val="restart"/>
                <w:vAlign w:val="center"/>
              </w:tcPr>
              <w:p w14:paraId="59AA9177">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37E8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972" w:type="pct"/>
            <w:vMerge w:val="continue"/>
          </w:tcPr>
          <w:p w14:paraId="2715C669">
            <w:pPr>
              <w:autoSpaceDE w:val="0"/>
              <w:autoSpaceDN w:val="0"/>
              <w:adjustRightInd w:val="0"/>
              <w:snapToGrid w:val="0"/>
              <w:jc w:val="center"/>
              <w:rPr>
                <w:color w:val="000000" w:themeColor="text1"/>
                <w14:textFill>
                  <w14:solidFill>
                    <w14:schemeClr w14:val="tx1"/>
                  </w14:solidFill>
                </w14:textFill>
              </w:rPr>
            </w:pPr>
          </w:p>
        </w:tc>
        <w:tc>
          <w:tcPr>
            <w:tcW w:w="1128" w:type="pct"/>
            <w:vMerge w:val="continue"/>
          </w:tcPr>
          <w:p w14:paraId="073C125C">
            <w:pPr>
              <w:autoSpaceDE w:val="0"/>
              <w:autoSpaceDN w:val="0"/>
              <w:adjustRightInd w:val="0"/>
              <w:snapToGrid w:val="0"/>
              <w:jc w:val="center"/>
              <w:rPr>
                <w:color w:val="000000" w:themeColor="text1"/>
                <w14:textFill>
                  <w14:solidFill>
                    <w14:schemeClr w14:val="tx1"/>
                  </w14:solidFill>
                </w14:textFill>
              </w:rPr>
            </w:pPr>
          </w:p>
        </w:tc>
        <w:sdt>
          <w:sdtPr>
            <w:tag w:val="_PLD_52f6eef41a0247f195c94af6823a4b67"/>
            <w:id w:val="1363948297"/>
          </w:sdtPr>
          <w:sdtContent>
            <w:tc>
              <w:tcPr>
                <w:tcW w:w="981" w:type="pct"/>
                <w:vAlign w:val="center"/>
              </w:tcPr>
              <w:p w14:paraId="172A6CC9">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处置</w:t>
                </w:r>
              </w:p>
            </w:tc>
          </w:sdtContent>
        </w:sdt>
        <w:tc>
          <w:tcPr>
            <w:tcW w:w="918" w:type="pct"/>
            <w:vMerge w:val="continue"/>
          </w:tcPr>
          <w:p w14:paraId="16AC983B">
            <w:pPr>
              <w:autoSpaceDE w:val="0"/>
              <w:autoSpaceDN w:val="0"/>
              <w:adjustRightInd w:val="0"/>
              <w:snapToGrid w:val="0"/>
              <w:jc w:val="center"/>
              <w:rPr>
                <w:color w:val="000000" w:themeColor="text1"/>
                <w14:textFill>
                  <w14:solidFill>
                    <w14:schemeClr w14:val="tx1"/>
                  </w14:solidFill>
                </w14:textFill>
              </w:rPr>
            </w:pPr>
          </w:p>
        </w:tc>
      </w:tr>
      <w:sdt>
        <w:sdtPr>
          <w:rPr>
            <w:color w:val="000000" w:themeColor="text1"/>
            <w14:textFill>
              <w14:solidFill>
                <w14:schemeClr w14:val="tx1"/>
              </w14:solidFill>
            </w14:textFill>
          </w:rPr>
          <w:alias w:val="商誉明细"/>
          <w:tag w:val="_GBC_916c5c3712e44d7db6b8c9e16bcf5865"/>
          <w:id w:val="912816594"/>
          <w:placeholder>
            <w:docPart w:val="{2a6d8d4c-17d4-454a-b273-36e7e69a7cb5}"/>
          </w:placeholder>
        </w:sdtPr>
        <w:sdtEndPr>
          <w:rPr>
            <w:color w:val="000000" w:themeColor="text1"/>
            <w14:textFill>
              <w14:solidFill>
                <w14:schemeClr w14:val="tx1"/>
              </w14:solidFill>
            </w14:textFill>
          </w:rPr>
        </w:sdtEndPr>
        <w:sdtContent>
          <w:tr w14:paraId="61A7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972" w:type="pct"/>
                <w:vAlign w:val="center"/>
              </w:tcPr>
              <w:p w14:paraId="2517B74F">
                <w:pPr>
                  <w:autoSpaceDE w:val="0"/>
                  <w:autoSpaceDN w:val="0"/>
                  <w:adjustRightInd w:val="0"/>
                  <w:snapToGrid w:val="0"/>
                  <w:jc w:val="both"/>
                </w:pPr>
                <w:r>
                  <w:rPr>
                    <w:rFonts w:hint="eastAsia"/>
                  </w:rPr>
                  <w:t>呼图壁县万源棉业有限公司</w:t>
                </w:r>
              </w:p>
            </w:tc>
            <w:tc>
              <w:tcPr>
                <w:tcW w:w="1128" w:type="pct"/>
                <w:vAlign w:val="center"/>
              </w:tcPr>
              <w:p w14:paraId="2800766F">
                <w:pPr>
                  <w:autoSpaceDE w:val="0"/>
                  <w:autoSpaceDN w:val="0"/>
                  <w:adjustRightInd w:val="0"/>
                  <w:snapToGrid w:val="0"/>
                  <w:jc w:val="right"/>
                </w:pPr>
                <w:r>
                  <w:rPr>
                    <w:rFonts w:hint="eastAsia"/>
                  </w:rPr>
                  <w:t>6,749,984.75</w:t>
                </w:r>
              </w:p>
            </w:tc>
            <w:tc>
              <w:tcPr>
                <w:tcW w:w="981" w:type="pct"/>
                <w:vAlign w:val="center"/>
              </w:tcPr>
              <w:p w14:paraId="4171A1DD">
                <w:pPr>
                  <w:autoSpaceDE w:val="0"/>
                  <w:autoSpaceDN w:val="0"/>
                  <w:adjustRightInd w:val="0"/>
                  <w:snapToGrid w:val="0"/>
                  <w:jc w:val="right"/>
                </w:pPr>
              </w:p>
            </w:tc>
            <w:tc>
              <w:tcPr>
                <w:tcW w:w="918" w:type="pct"/>
                <w:vAlign w:val="center"/>
              </w:tcPr>
              <w:p w14:paraId="00E3F5B3">
                <w:pPr>
                  <w:autoSpaceDE w:val="0"/>
                  <w:autoSpaceDN w:val="0"/>
                  <w:adjustRightInd w:val="0"/>
                  <w:snapToGrid w:val="0"/>
                  <w:jc w:val="right"/>
                </w:pPr>
                <w:r>
                  <w:rPr>
                    <w:rFonts w:hint="eastAsia"/>
                  </w:rPr>
                  <w:t>6,749,984.75</w:t>
                </w:r>
              </w:p>
            </w:tc>
          </w:tr>
        </w:sdtContent>
      </w:sdt>
      <w:sdt>
        <w:sdtPr>
          <w:rPr>
            <w:color w:val="000000" w:themeColor="text1"/>
            <w14:textFill>
              <w14:solidFill>
                <w14:schemeClr w14:val="tx1"/>
              </w14:solidFill>
            </w14:textFill>
          </w:rPr>
          <w:alias w:val="商誉明细"/>
          <w:tag w:val="_GBC_916c5c3712e44d7db6b8c9e16bcf5865"/>
          <w:id w:val="-671478548"/>
          <w:placeholder>
            <w:docPart w:val="{2a6d8d4c-17d4-454a-b273-36e7e69a7cb5}"/>
          </w:placeholder>
        </w:sdtPr>
        <w:sdtEndPr>
          <w:rPr>
            <w:color w:val="000000" w:themeColor="text1"/>
            <w14:textFill>
              <w14:solidFill>
                <w14:schemeClr w14:val="tx1"/>
              </w14:solidFill>
            </w14:textFill>
          </w:rPr>
        </w:sdtEndPr>
        <w:sdtContent>
          <w:tr w14:paraId="5449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972" w:type="pct"/>
                <w:vAlign w:val="center"/>
              </w:tcPr>
              <w:p w14:paraId="35CBAE02">
                <w:pPr>
                  <w:autoSpaceDE w:val="0"/>
                  <w:autoSpaceDN w:val="0"/>
                  <w:adjustRightInd w:val="0"/>
                  <w:snapToGrid w:val="0"/>
                  <w:jc w:val="both"/>
                </w:pPr>
                <w:r>
                  <w:rPr>
                    <w:rFonts w:hint="eastAsia"/>
                  </w:rPr>
                  <w:t>西双版纳宝莲华橡胶工业有限公司</w:t>
                </w:r>
              </w:p>
            </w:tc>
            <w:tc>
              <w:tcPr>
                <w:tcW w:w="1128" w:type="pct"/>
                <w:vAlign w:val="center"/>
              </w:tcPr>
              <w:p w14:paraId="3D4AACD2">
                <w:pPr>
                  <w:autoSpaceDE w:val="0"/>
                  <w:autoSpaceDN w:val="0"/>
                  <w:adjustRightInd w:val="0"/>
                  <w:snapToGrid w:val="0"/>
                  <w:jc w:val="right"/>
                </w:pPr>
                <w:r>
                  <w:rPr>
                    <w:rFonts w:hint="eastAsia"/>
                  </w:rPr>
                  <w:t>3,019,865.76</w:t>
                </w:r>
              </w:p>
            </w:tc>
            <w:tc>
              <w:tcPr>
                <w:tcW w:w="981" w:type="pct"/>
                <w:vAlign w:val="center"/>
              </w:tcPr>
              <w:p w14:paraId="4EC920D2">
                <w:pPr>
                  <w:autoSpaceDE w:val="0"/>
                  <w:autoSpaceDN w:val="0"/>
                  <w:adjustRightInd w:val="0"/>
                  <w:snapToGrid w:val="0"/>
                  <w:jc w:val="right"/>
                </w:pPr>
                <w:r>
                  <w:rPr>
                    <w:rFonts w:hint="eastAsia"/>
                  </w:rPr>
                  <w:t>3,019,865.76</w:t>
                </w:r>
              </w:p>
            </w:tc>
            <w:tc>
              <w:tcPr>
                <w:tcW w:w="918" w:type="pct"/>
                <w:vAlign w:val="center"/>
              </w:tcPr>
              <w:p w14:paraId="7A771BE9">
                <w:pPr>
                  <w:autoSpaceDE w:val="0"/>
                  <w:autoSpaceDN w:val="0"/>
                  <w:adjustRightInd w:val="0"/>
                  <w:snapToGrid w:val="0"/>
                  <w:jc w:val="right"/>
                </w:pPr>
              </w:p>
            </w:tc>
          </w:tr>
        </w:sdtContent>
      </w:sdt>
      <w:tr w14:paraId="32D0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sdt>
          <w:sdtPr>
            <w:tag w:val="_PLD_e45c45262afc495e90b6033bd7a17ec4"/>
            <w:id w:val="386771313"/>
          </w:sdtPr>
          <w:sdtContent>
            <w:tc>
              <w:tcPr>
                <w:tcW w:w="1972" w:type="pct"/>
                <w:vAlign w:val="center"/>
              </w:tcPr>
              <w:p w14:paraId="2BD9DE28">
                <w:pPr>
                  <w:autoSpaceDE w:val="0"/>
                  <w:autoSpaceDN w:val="0"/>
                  <w:adjustRightInd w:val="0"/>
                  <w:snapToGrid w:val="0"/>
                  <w:jc w:val="center"/>
                  <w:rPr>
                    <w:color w:val="000000" w:themeColor="text1"/>
                    <w:u w:val="double"/>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1128" w:type="pct"/>
            <w:vAlign w:val="center"/>
          </w:tcPr>
          <w:p w14:paraId="7892AD46">
            <w:pPr>
              <w:jc w:val="right"/>
            </w:pPr>
            <w:r>
              <w:rPr>
                <w:rFonts w:hint="eastAsia"/>
              </w:rPr>
              <w:t>9,769,850.51</w:t>
            </w:r>
          </w:p>
        </w:tc>
        <w:tc>
          <w:tcPr>
            <w:tcW w:w="981" w:type="pct"/>
            <w:vAlign w:val="center"/>
          </w:tcPr>
          <w:p w14:paraId="740A55A3">
            <w:pPr>
              <w:jc w:val="right"/>
            </w:pPr>
            <w:r>
              <w:rPr>
                <w:rFonts w:hint="eastAsia"/>
              </w:rPr>
              <w:t>3,019,865.76</w:t>
            </w:r>
          </w:p>
        </w:tc>
        <w:tc>
          <w:tcPr>
            <w:tcW w:w="918" w:type="pct"/>
            <w:vAlign w:val="center"/>
          </w:tcPr>
          <w:p w14:paraId="1E180BF3">
            <w:pPr>
              <w:jc w:val="right"/>
            </w:pPr>
            <w:r>
              <w:rPr>
                <w:rFonts w:hint="eastAsia"/>
              </w:rPr>
              <w:t>6,749,984.75</w:t>
            </w:r>
          </w:p>
        </w:tc>
      </w:tr>
    </w:tbl>
    <w:p w14:paraId="7BC5FEA6">
      <w:pPr>
        <w:rPr>
          <w:color w:val="000000" w:themeColor="text1"/>
          <w14:textFill>
            <w14:solidFill>
              <w14:schemeClr w14:val="tx1"/>
            </w14:solidFill>
          </w14:textFill>
        </w:rPr>
      </w:pPr>
    </w:p>
    <w:p w14:paraId="2EFD4998">
      <w:pPr>
        <w:rPr>
          <w:color w:val="000000" w:themeColor="text1"/>
          <w14:textFill>
            <w14:solidFill>
              <w14:schemeClr w14:val="tx1"/>
            </w14:solidFill>
          </w14:textFill>
        </w:rPr>
      </w:pPr>
    </w:p>
    <w:p w14:paraId="728B61AF">
      <w:pPr>
        <w:pStyle w:val="58"/>
        <w:numPr>
          <w:ilvl w:val="0"/>
          <w:numId w:val="76"/>
        </w:numPr>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商誉减值准备</w:t>
      </w:r>
    </w:p>
    <w:sdt>
      <w:sdtPr>
        <w:rPr>
          <w:color w:val="000000" w:themeColor="text1"/>
          <w14:textFill>
            <w14:solidFill>
              <w14:schemeClr w14:val="tx1"/>
            </w14:solidFill>
          </w14:textFill>
        </w:rPr>
        <w:alias w:val="是否适用：商誉减值准备[双击切换]"/>
        <w:tag w:val="_GBC_743c9a20b5c043668f28664eb36decf8"/>
        <w:id w:val="147456047"/>
        <w:placeholder>
          <w:docPart w:val="GBC22222222222222222222222222222"/>
        </w:placeholder>
      </w:sdtPr>
      <w:sdtEndPr>
        <w:rPr>
          <w:color w:val="000000" w:themeColor="text1"/>
          <w14:textFill>
            <w14:solidFill>
              <w14:schemeClr w14:val="tx1"/>
            </w14:solidFill>
          </w14:textFill>
        </w:rPr>
      </w:sdtEndPr>
      <w:sdtContent>
        <w:p w14:paraId="06D2C1D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B957AD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商誉减值准备"/>
          <w:tag w:val="_GBC_81f58baed09c46a3bf97830ea3adfd98"/>
          <w:id w:val="1474783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商誉减值准备"/>
          <w:tag w:val="_GBC_67c9edd209fb4492bdb662edf79314f5"/>
          <w:id w:val="1474632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5"/>
        <w:gridCol w:w="2536"/>
        <w:gridCol w:w="2536"/>
      </w:tblGrid>
      <w:tr w14:paraId="0772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sdt>
          <w:sdtPr>
            <w:tag w:val="_PLD_d1a517071536478f9f7187c625e93763"/>
            <w:id w:val="147465075"/>
          </w:sdtPr>
          <w:sdtContent>
            <w:tc>
              <w:tcPr>
                <w:tcW w:w="2197" w:type="pct"/>
                <w:vMerge w:val="restart"/>
                <w:vAlign w:val="center"/>
              </w:tcPr>
              <w:p w14:paraId="254142CC">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被投资单位名称或形成商誉的事项</w:t>
                </w:r>
              </w:p>
            </w:tc>
          </w:sdtContent>
        </w:sdt>
        <w:sdt>
          <w:sdtPr>
            <w:tag w:val="_PLD_a1ccc5eef6a041ffadb4dd09605c43f5"/>
            <w:id w:val="147467066"/>
          </w:sdtPr>
          <w:sdtContent>
            <w:tc>
              <w:tcPr>
                <w:tcW w:w="1401" w:type="pct"/>
                <w:vMerge w:val="restart"/>
                <w:vAlign w:val="center"/>
              </w:tcPr>
              <w:p w14:paraId="783D717F">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b4bf3be5aa6c45bea85b5ae1c027be47"/>
            <w:id w:val="147461890"/>
          </w:sdtPr>
          <w:sdtContent>
            <w:tc>
              <w:tcPr>
                <w:tcW w:w="1401" w:type="pct"/>
                <w:vMerge w:val="restart"/>
                <w:vAlign w:val="center"/>
              </w:tcPr>
              <w:p w14:paraId="3DEFFDFC">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10AB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97" w:type="pct"/>
            <w:vMerge w:val="continue"/>
          </w:tcPr>
          <w:p w14:paraId="5FFC887F">
            <w:pPr>
              <w:autoSpaceDE w:val="0"/>
              <w:autoSpaceDN w:val="0"/>
              <w:adjustRightInd w:val="0"/>
              <w:snapToGrid w:val="0"/>
              <w:rPr>
                <w:color w:val="000000" w:themeColor="text1"/>
                <w14:textFill>
                  <w14:solidFill>
                    <w14:schemeClr w14:val="tx1"/>
                  </w14:solidFill>
                </w14:textFill>
              </w:rPr>
            </w:pPr>
          </w:p>
        </w:tc>
        <w:tc>
          <w:tcPr>
            <w:tcW w:w="1401" w:type="pct"/>
            <w:vMerge w:val="continue"/>
            <w:vAlign w:val="center"/>
          </w:tcPr>
          <w:p w14:paraId="6DA25BB9">
            <w:pPr>
              <w:autoSpaceDE w:val="0"/>
              <w:autoSpaceDN w:val="0"/>
              <w:adjustRightInd w:val="0"/>
              <w:snapToGrid w:val="0"/>
              <w:jc w:val="right"/>
              <w:rPr>
                <w:color w:val="000000" w:themeColor="text1"/>
                <w14:textFill>
                  <w14:solidFill>
                    <w14:schemeClr w14:val="tx1"/>
                  </w14:solidFill>
                </w14:textFill>
              </w:rPr>
            </w:pPr>
          </w:p>
        </w:tc>
        <w:tc>
          <w:tcPr>
            <w:tcW w:w="1401" w:type="pct"/>
            <w:vMerge w:val="continue"/>
          </w:tcPr>
          <w:p w14:paraId="76FC202C">
            <w:pPr>
              <w:autoSpaceDE w:val="0"/>
              <w:autoSpaceDN w:val="0"/>
              <w:adjustRightInd w:val="0"/>
              <w:snapToGrid w:val="0"/>
              <w:jc w:val="center"/>
              <w:rPr>
                <w:color w:val="000000" w:themeColor="text1"/>
                <w14:textFill>
                  <w14:solidFill>
                    <w14:schemeClr w14:val="tx1"/>
                  </w14:solidFill>
                </w14:textFill>
              </w:rPr>
            </w:pPr>
          </w:p>
        </w:tc>
      </w:tr>
      <w:tr w14:paraId="0E3D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197" w:type="pct"/>
            <w:vAlign w:val="center"/>
          </w:tcPr>
          <w:p w14:paraId="386A4BE1">
            <w:pPr>
              <w:textAlignment w:val="center"/>
            </w:pPr>
            <w:r>
              <w:rPr>
                <w:rFonts w:hint="eastAsia" w:asciiTheme="minorEastAsia" w:hAnsiTheme="minorEastAsia" w:eastAsiaTheme="minorEastAsia" w:cstheme="minorEastAsia"/>
                <w:color w:val="000000"/>
                <w:lang w:bidi="ar"/>
              </w:rPr>
              <w:t>呼图壁县万源棉业有限公司</w:t>
            </w:r>
          </w:p>
        </w:tc>
        <w:tc>
          <w:tcPr>
            <w:tcW w:w="1401" w:type="pct"/>
            <w:vAlign w:val="center"/>
          </w:tcPr>
          <w:p w14:paraId="4E5627F0">
            <w:pPr>
              <w:jc w:val="right"/>
              <w:textAlignment w:val="center"/>
              <w:rPr>
                <w:rFonts w:cs="Times New Roman"/>
              </w:rPr>
            </w:pPr>
            <w:r>
              <w:rPr>
                <w:rFonts w:eastAsia="Arial Narrow" w:cs="Times New Roman"/>
                <w:color w:val="000000"/>
                <w:lang w:bidi="ar"/>
              </w:rPr>
              <w:t>6,749,984.75</w:t>
            </w:r>
          </w:p>
        </w:tc>
        <w:tc>
          <w:tcPr>
            <w:tcW w:w="1401" w:type="pct"/>
            <w:vAlign w:val="center"/>
          </w:tcPr>
          <w:p w14:paraId="5176AC64">
            <w:pPr>
              <w:jc w:val="right"/>
              <w:textAlignment w:val="center"/>
              <w:rPr>
                <w:rFonts w:cs="Times New Roman"/>
              </w:rPr>
            </w:pPr>
            <w:r>
              <w:rPr>
                <w:rFonts w:eastAsia="Arial Narrow" w:cs="Times New Roman"/>
                <w:color w:val="000000"/>
                <w:lang w:bidi="ar"/>
              </w:rPr>
              <w:t>6,749,984.75</w:t>
            </w:r>
          </w:p>
        </w:tc>
      </w:tr>
      <w:tr w14:paraId="50D1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197" w:type="pct"/>
            <w:vAlign w:val="center"/>
          </w:tcPr>
          <w:p w14:paraId="6EFA1C40">
            <w:pPr>
              <w:autoSpaceDE w:val="0"/>
              <w:autoSpaceDN w:val="0"/>
              <w:adjustRightInd w:val="0"/>
              <w:snapToGrid w:val="0"/>
              <w:jc w:val="center"/>
              <w:rPr>
                <w:color w:val="000000" w:themeColor="text1"/>
                <w:u w:val="double"/>
                <w14:textFill>
                  <w14:solidFill>
                    <w14:schemeClr w14:val="tx1"/>
                  </w14:solidFill>
                </w14:textFill>
              </w:rPr>
            </w:pPr>
            <w:r>
              <w:rPr>
                <w:rFonts w:hint="eastAsia"/>
                <w:color w:val="000000" w:themeColor="text1"/>
                <w14:textFill>
                  <w14:solidFill>
                    <w14:schemeClr w14:val="tx1"/>
                  </w14:solidFill>
                </w14:textFill>
              </w:rPr>
              <w:t>合计</w:t>
            </w:r>
          </w:p>
        </w:tc>
        <w:tc>
          <w:tcPr>
            <w:tcW w:w="1401" w:type="pct"/>
            <w:vAlign w:val="center"/>
          </w:tcPr>
          <w:p w14:paraId="75704F65">
            <w:pPr>
              <w:jc w:val="right"/>
              <w:textAlignment w:val="center"/>
              <w:rPr>
                <w:rFonts w:cs="Times New Roman"/>
              </w:rPr>
            </w:pPr>
            <w:r>
              <w:rPr>
                <w:rFonts w:eastAsia="Arial Narrow" w:cs="Times New Roman"/>
                <w:color w:val="000000"/>
                <w:lang w:bidi="ar"/>
              </w:rPr>
              <w:t>6,749,984.75</w:t>
            </w:r>
          </w:p>
        </w:tc>
        <w:tc>
          <w:tcPr>
            <w:tcW w:w="1401" w:type="pct"/>
            <w:vAlign w:val="center"/>
          </w:tcPr>
          <w:p w14:paraId="4B0AA53C">
            <w:pPr>
              <w:jc w:val="right"/>
              <w:textAlignment w:val="center"/>
              <w:rPr>
                <w:rFonts w:cs="Times New Roman"/>
              </w:rPr>
            </w:pPr>
            <w:r>
              <w:rPr>
                <w:rFonts w:eastAsia="Arial Narrow" w:cs="Times New Roman"/>
                <w:color w:val="000000"/>
                <w:lang w:bidi="ar"/>
              </w:rPr>
              <w:t>6,749,984.75</w:t>
            </w:r>
          </w:p>
        </w:tc>
      </w:tr>
    </w:tbl>
    <w:p w14:paraId="50AB335A">
      <w:pPr>
        <w:rPr>
          <w:color w:val="000000" w:themeColor="text1"/>
          <w14:textFill>
            <w14:solidFill>
              <w14:schemeClr w14:val="tx1"/>
            </w14:solidFill>
          </w14:textFill>
        </w:rPr>
      </w:pPr>
    </w:p>
    <w:p w14:paraId="7AB47525">
      <w:pPr>
        <w:pStyle w:val="58"/>
        <w:numPr>
          <w:ilvl w:val="0"/>
          <w:numId w:val="76"/>
        </w:numPr>
        <w:tabs>
          <w:tab w:val="left" w:pos="588"/>
        </w:tabs>
        <w:rPr>
          <w:rFonts w:ascii="宋体" w:hAnsi="宋体"/>
          <w:color w:val="000000" w:themeColor="text1"/>
          <w14:textFill>
            <w14:solidFill>
              <w14:schemeClr w14:val="tx1"/>
            </w14:solidFill>
          </w14:textFill>
        </w:rPr>
      </w:pPr>
      <w:bookmarkStart w:id="334" w:name="_Hlk167959929"/>
      <w:r>
        <w:rPr>
          <w:rFonts w:hint="eastAsia" w:ascii="宋体" w:hAnsi="宋体"/>
          <w:color w:val="000000" w:themeColor="text1"/>
          <w14:textFill>
            <w14:solidFill>
              <w14:schemeClr w14:val="tx1"/>
            </w14:solidFill>
          </w14:textFill>
        </w:rPr>
        <w:t>商誉所在资产组或资产组组合的相关信息</w:t>
      </w:r>
    </w:p>
    <w:sdt>
      <w:sdtPr>
        <w:rPr>
          <w:rFonts w:hint="eastAsia"/>
          <w:color w:val="000000" w:themeColor="text1"/>
          <w14:textFill>
            <w14:solidFill>
              <w14:schemeClr w14:val="tx1"/>
            </w14:solidFill>
          </w14:textFill>
        </w:rPr>
        <w:alias w:val="是否适用：商誉所在资产组或资产组组合的相关信息[双击切换]"/>
        <w:tag w:val="_GBC_3010fdfa06fe41c1b1d500ed6edace89"/>
        <w:id w:val="147460594"/>
        <w:placeholder>
          <w:docPart w:val="GBC22222222222222222222222222222"/>
        </w:placeholder>
      </w:sdtPr>
      <w:sdtEndPr>
        <w:rPr>
          <w:rFonts w:hint="eastAsia"/>
          <w:color w:val="000000" w:themeColor="text1"/>
          <w14:textFill>
            <w14:solidFill>
              <w14:schemeClr w14:val="tx1"/>
            </w14:solidFill>
          </w14:textFill>
        </w:rPr>
      </w:sdtEndPr>
      <w:sdtContent>
        <w:p w14:paraId="4CB8DD44">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9BF788">
      <w:pPr>
        <w:rPr>
          <w:color w:val="000000" w:themeColor="text1"/>
          <w14:textFill>
            <w14:solidFill>
              <w14:schemeClr w14:val="tx1"/>
            </w14:solidFill>
          </w14:textFill>
        </w:rPr>
      </w:pPr>
    </w:p>
    <w:p w14:paraId="0BB101BE">
      <w:pPr>
        <w:rPr>
          <w:color w:val="000000" w:themeColor="text1"/>
          <w14:textFill>
            <w14:solidFill>
              <w14:schemeClr w14:val="tx1"/>
            </w14:solidFill>
          </w14:textFill>
        </w:rPr>
      </w:pPr>
      <w:bookmarkStart w:id="335" w:name="_Hlk153462880"/>
      <w:r>
        <w:rPr>
          <w:rFonts w:hint="eastAsia"/>
          <w:color w:val="000000" w:themeColor="text1"/>
          <w14:textFill>
            <w14:solidFill>
              <w14:schemeClr w14:val="tx1"/>
            </w14:solidFill>
          </w14:textFill>
        </w:rPr>
        <w:t>资产组或资产组组合发生变化</w:t>
      </w:r>
    </w:p>
    <w:sdt>
      <w:sdtPr>
        <w:rPr>
          <w:color w:val="000000" w:themeColor="text1"/>
          <w14:textFill>
            <w14:solidFill>
              <w14:schemeClr w14:val="tx1"/>
            </w14:solidFill>
          </w14:textFill>
        </w:rPr>
        <w:alias w:val="是否适用：资产组或资产组组合发生变化[双击切换]"/>
        <w:tag w:val="_GBC_7123d6208cbb4b6a9f652548afdc778a"/>
        <w:id w:val="147462546"/>
        <w:placeholder>
          <w:docPart w:val="GBC22222222222222222222222222222"/>
        </w:placeholder>
      </w:sdtPr>
      <w:sdtEndPr>
        <w:rPr>
          <w:color w:val="000000" w:themeColor="text1"/>
          <w14:textFill>
            <w14:solidFill>
              <w14:schemeClr w14:val="tx1"/>
            </w14:solidFill>
          </w14:textFill>
        </w:rPr>
      </w:sdtEndPr>
      <w:sdtContent>
        <w:p w14:paraId="4DF8753F">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34305B">
      <w:pPr>
        <w:rPr>
          <w:color w:val="000000" w:themeColor="text1"/>
          <w14:textFill>
            <w14:solidFill>
              <w14:schemeClr w14:val="tx1"/>
            </w14:solidFill>
          </w14:textFill>
        </w:rPr>
      </w:pPr>
    </w:p>
    <w:bookmarkEnd w:id="335"/>
    <w:p w14:paraId="563EE60C">
      <w:pPr>
        <w:rPr>
          <w:color w:val="000000" w:themeColor="text1"/>
          <w14:textFill>
            <w14:solidFill>
              <w14:schemeClr w14:val="tx1"/>
            </w14:solidFill>
          </w14:textFill>
        </w:rPr>
      </w:pPr>
      <w:bookmarkStart w:id="336" w:name="_Hlk152948734"/>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商誉所在资产组或资产组组合的相关信息其他说明[双击切换]"/>
        <w:tag w:val="_GBC_ffeac5265704403bb47e0eefe5c2d04e"/>
        <w:id w:val="147477101"/>
        <w:placeholder>
          <w:docPart w:val="GBC22222222222222222222222222222"/>
        </w:placeholder>
      </w:sdtPr>
      <w:sdtEndPr>
        <w:rPr>
          <w:color w:val="000000" w:themeColor="text1"/>
          <w14:textFill>
            <w14:solidFill>
              <w14:schemeClr w14:val="tx1"/>
            </w14:solidFill>
          </w14:textFill>
        </w:rPr>
      </w:sdtEndPr>
      <w:sdtContent>
        <w:p w14:paraId="42569A2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36"/>
    <w:p w14:paraId="3D035254">
      <w:pPr>
        <w:pStyle w:val="58"/>
        <w:numPr>
          <w:ilvl w:val="0"/>
          <w:numId w:val="76"/>
        </w:numPr>
        <w:tabs>
          <w:tab w:val="left" w:pos="588"/>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可收回金额的具体确定方法</w:t>
      </w:r>
    </w:p>
    <w:p w14:paraId="0B177784">
      <w:pPr>
        <w:rPr>
          <w:color w:val="000000" w:themeColor="text1"/>
          <w14:textFill>
            <w14:solidFill>
              <w14:schemeClr w14:val="tx1"/>
            </w14:solidFill>
          </w14:textFill>
        </w:rPr>
      </w:pPr>
      <w:bookmarkStart w:id="337" w:name="_Hlk153463075"/>
      <w:r>
        <w:rPr>
          <w:rFonts w:hint="eastAsia"/>
          <w:color w:val="000000" w:themeColor="text1"/>
          <w14:textFill>
            <w14:solidFill>
              <w14:schemeClr w14:val="tx1"/>
            </w14:solidFill>
          </w14:textFill>
        </w:rPr>
        <w:t>可收回金额按公允价值减去处置费用后的净额确定</w:t>
      </w:r>
    </w:p>
    <w:sdt>
      <w:sdtPr>
        <w:rPr>
          <w:color w:val="000000" w:themeColor="text1"/>
          <w14:textFill>
            <w14:solidFill>
              <w14:schemeClr w14:val="tx1"/>
            </w14:solidFill>
          </w14:textFill>
        </w:rPr>
        <w:alias w:val="是否适用：可收回金额按公允价值减去处置费用后的净额确定[双击切换]"/>
        <w:tag w:val="_GBC_c14479181df74e309ba619055f328f4b"/>
        <w:id w:val="147479742"/>
        <w:placeholder>
          <w:docPart w:val="GBC22222222222222222222222222222"/>
        </w:placeholder>
      </w:sdtPr>
      <w:sdtEndPr>
        <w:rPr>
          <w:color w:val="000000" w:themeColor="text1"/>
          <w14:textFill>
            <w14:solidFill>
              <w14:schemeClr w14:val="tx1"/>
            </w14:solidFill>
          </w14:textFill>
        </w:rPr>
      </w:sdtEndPr>
      <w:sdtContent>
        <w:p w14:paraId="24BEB812">
          <w:pPr>
            <w:snapToGrid w:val="0"/>
            <w:spacing w:line="240" w:lineRule="atLeast"/>
            <w:rPr>
              <w:rFonts w:hint="eastAsia"/>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758D50">
      <w:pPr>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可收回金额按预计未来现金流量的现值确定</w:t>
      </w:r>
    </w:p>
    <w:sdt>
      <w:sdtPr>
        <w:rPr>
          <w:rFonts w:hint="eastAsia"/>
          <w:color w:val="000000" w:themeColor="text1"/>
          <w14:textFill>
            <w14:solidFill>
              <w14:schemeClr w14:val="tx1"/>
            </w14:solidFill>
          </w14:textFill>
        </w:rPr>
        <w:alias w:val="是否适用：可收回金额按预计未来现金流量的现值确定[双击切换]"/>
        <w:tag w:val="_GBC_775cb3824be54e48866a569883927f9d"/>
        <w:id w:val="147452659"/>
        <w:placeholder>
          <w:docPart w:val="GBC22222222222222222222222222222"/>
        </w:placeholder>
      </w:sdtPr>
      <w:sdtEndPr>
        <w:rPr>
          <w:rFonts w:hint="eastAsia"/>
          <w:color w:val="000000" w:themeColor="text1"/>
          <w14:textFill>
            <w14:solidFill>
              <w14:schemeClr w14:val="tx1"/>
            </w14:solidFill>
          </w14:textFill>
        </w:rPr>
      </w:sdtEndPr>
      <w:sdtContent>
        <w:p w14:paraId="0DFF6364">
          <w:pPr>
            <w:rPr>
              <w:rFonts w:hint="eastAsia"/>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0E01D2">
      <w:pPr>
        <w:rPr>
          <w:color w:val="000000" w:themeColor="text1"/>
          <w14:textFill>
            <w14:solidFill>
              <w14:schemeClr w14:val="tx1"/>
            </w14:solidFill>
          </w14:textFill>
        </w:rPr>
      </w:pPr>
      <w:r>
        <w:rPr>
          <w:rFonts w:hint="eastAsia"/>
          <w:color w:val="000000" w:themeColor="text1"/>
          <w14:textFill>
            <w14:solidFill>
              <w14:schemeClr w14:val="tx1"/>
            </w14:solidFill>
          </w14:textFill>
        </w:rPr>
        <w:t>前述信息与以前年度减值测试采用的信息或外部信息明显不一致的差异原因</w:t>
      </w:r>
    </w:p>
    <w:sdt>
      <w:sdtPr>
        <w:rPr>
          <w:color w:val="000000" w:themeColor="text1"/>
          <w14:textFill>
            <w14:solidFill>
              <w14:schemeClr w14:val="tx1"/>
            </w14:solidFill>
          </w14:textFill>
        </w:rPr>
        <w:alias w:val="是否适用：前述信息与以前年度减值测试采用的信息或外部信息明显不一致的差异原因[双击切换]"/>
        <w:tag w:val="_GBC_345565131261427b821f225ca476b7f0"/>
        <w:id w:val="147477867"/>
        <w:placeholder>
          <w:docPart w:val="GBC22222222222222222222222222222"/>
        </w:placeholder>
      </w:sdtPr>
      <w:sdtEndPr>
        <w:rPr>
          <w:color w:val="000000" w:themeColor="text1"/>
          <w14:textFill>
            <w14:solidFill>
              <w14:schemeClr w14:val="tx1"/>
            </w14:solidFill>
          </w14:textFill>
        </w:rPr>
      </w:sdtEndPr>
      <w:sdtContent>
        <w:p w14:paraId="2BAAE82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29BA364">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公司以前年度减值测试采用信息与当年实际情况明显不一致的差异原因</w:t>
      </w:r>
    </w:p>
    <w:sdt>
      <w:sdtPr>
        <w:rPr>
          <w:color w:val="000000" w:themeColor="text1"/>
          <w14:textFill>
            <w14:solidFill>
              <w14:schemeClr w14:val="tx1"/>
            </w14:solidFill>
          </w14:textFill>
        </w:rPr>
        <w:alias w:val="是否适用：公司以前年度减值测试采用信息与当年实际情况明显不一致的差异原因[双击切换]"/>
        <w:tag w:val="_GBC_380768c596a145f29f00b98c2c4edba5"/>
        <w:id w:val="147468555"/>
        <w:placeholder>
          <w:docPart w:val="GBC22222222222222222222222222222"/>
        </w:placeholder>
      </w:sdtPr>
      <w:sdtEndPr>
        <w:rPr>
          <w:color w:val="000000" w:themeColor="text1"/>
          <w14:textFill>
            <w14:solidFill>
              <w14:schemeClr w14:val="tx1"/>
            </w14:solidFill>
          </w14:textFill>
        </w:rPr>
      </w:sdtEndPr>
      <w:sdtContent>
        <w:p w14:paraId="7A60879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1C9684">
      <w:pPr>
        <w:snapToGrid w:val="0"/>
        <w:spacing w:line="240" w:lineRule="atLeast"/>
        <w:rPr>
          <w:color w:val="000000" w:themeColor="text1"/>
          <w14:textFill>
            <w14:solidFill>
              <w14:schemeClr w14:val="tx1"/>
            </w14:solidFill>
          </w14:textFill>
        </w:rPr>
      </w:pPr>
    </w:p>
    <w:bookmarkEnd w:id="337"/>
    <w:p w14:paraId="0286E2E9">
      <w:pPr>
        <w:pStyle w:val="58"/>
        <w:numPr>
          <w:ilvl w:val="0"/>
          <w:numId w:val="76"/>
        </w:numPr>
        <w:tabs>
          <w:tab w:val="left" w:pos="588"/>
        </w:tabs>
        <w:rPr>
          <w:rFonts w:ascii="宋体" w:hAnsi="宋体"/>
          <w:color w:val="000000" w:themeColor="text1"/>
          <w14:textFill>
            <w14:solidFill>
              <w14:schemeClr w14:val="tx1"/>
            </w14:solidFill>
          </w14:textFill>
        </w:rPr>
      </w:pPr>
      <w:bookmarkStart w:id="338" w:name="_Hlk153463443"/>
      <w:r>
        <w:rPr>
          <w:rFonts w:hint="eastAsia" w:ascii="宋体" w:hAnsi="宋体"/>
          <w:color w:val="000000" w:themeColor="text1"/>
          <w14:textFill>
            <w14:solidFill>
              <w14:schemeClr w14:val="tx1"/>
            </w14:solidFill>
          </w14:textFill>
        </w:rPr>
        <w:t>业绩承诺及对应商誉减值情况</w:t>
      </w:r>
    </w:p>
    <w:p w14:paraId="3854A2E6">
      <w:pPr>
        <w:rPr>
          <w:color w:val="000000" w:themeColor="text1"/>
          <w14:textFill>
            <w14:solidFill>
              <w14:schemeClr w14:val="tx1"/>
            </w14:solidFill>
          </w14:textFill>
        </w:rPr>
      </w:pPr>
      <w:r>
        <w:rPr>
          <w:rFonts w:hint="eastAsia"/>
          <w:color w:val="000000" w:themeColor="text1"/>
          <w14:textFill>
            <w14:solidFill>
              <w14:schemeClr w14:val="tx1"/>
            </w14:solidFill>
          </w14:textFill>
        </w:rPr>
        <w:t>形成商誉时存在业绩承诺且报告期或报告期上一期间处于业绩承诺期内</w:t>
      </w:r>
    </w:p>
    <w:sdt>
      <w:sdtPr>
        <w:rPr>
          <w:color w:val="000000" w:themeColor="text1"/>
          <w14:textFill>
            <w14:solidFill>
              <w14:schemeClr w14:val="tx1"/>
            </w14:solidFill>
          </w14:textFill>
        </w:rPr>
        <w:alias w:val="是否适用：业绩承诺完成及对应商誉减值情况[双击切换]"/>
        <w:tag w:val="_GBC_f96eba4c85694a0d9c8987317df03a97"/>
        <w:id w:val="147455524"/>
        <w:placeholder>
          <w:docPart w:val="GBC22222222222222222222222222222"/>
        </w:placeholder>
      </w:sdtPr>
      <w:sdtEndPr>
        <w:rPr>
          <w:color w:val="000000" w:themeColor="text1"/>
          <w14:textFill>
            <w14:solidFill>
              <w14:schemeClr w14:val="tx1"/>
            </w14:solidFill>
          </w14:textFill>
        </w:rPr>
      </w:sdtEndPr>
      <w:sdtContent>
        <w:p w14:paraId="1823DA6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2E814CD">
      <w:pPr>
        <w:rPr>
          <w:color w:val="000000" w:themeColor="text1"/>
          <w14:textFill>
            <w14:solidFill>
              <w14:schemeClr w14:val="tx1"/>
            </w14:solidFill>
          </w14:textFill>
        </w:rPr>
      </w:pPr>
    </w:p>
    <w:bookmarkEnd w:id="334"/>
    <w:bookmarkEnd w:id="338"/>
    <w:p w14:paraId="10F1D71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商誉其他需要说明的事项[双击切换]"/>
        <w:tag w:val="_GBC_6b2c2377a4a6486b9a4ba845bd2192f6"/>
        <w:id w:val="147454905"/>
        <w:placeholder>
          <w:docPart w:val="GBC22222222222222222222222222222"/>
        </w:placeholder>
      </w:sdtPr>
      <w:sdtEndPr>
        <w:rPr>
          <w:color w:val="000000" w:themeColor="text1"/>
          <w14:textFill>
            <w14:solidFill>
              <w14:schemeClr w14:val="tx1"/>
            </w14:solidFill>
          </w14:textFill>
        </w:rPr>
      </w:sdtEndPr>
      <w:sdtContent>
        <w:p w14:paraId="420B4860">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F0A666A">
      <w:pPr>
        <w:snapToGrid w:val="0"/>
        <w:spacing w:line="240" w:lineRule="atLeast"/>
        <w:rPr>
          <w:color w:val="000000" w:themeColor="text1"/>
          <w14:textFill>
            <w14:solidFill>
              <w14:schemeClr w14:val="tx1"/>
            </w14:solidFill>
          </w14:textFill>
        </w:rPr>
      </w:pPr>
    </w:p>
    <w:p w14:paraId="41D3C661">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长期待摊费用</w:t>
      </w:r>
    </w:p>
    <w:sdt>
      <w:sdtPr>
        <w:rPr>
          <w:color w:val="000000" w:themeColor="text1"/>
          <w14:textFill>
            <w14:solidFill>
              <w14:schemeClr w14:val="tx1"/>
            </w14:solidFill>
          </w14:textFill>
        </w:rPr>
        <w:alias w:val="是否适用：长期待摊费用[双击切换]"/>
        <w:tag w:val="_GBC_9bec8f9516c84b19bae2fb8a7292063f"/>
        <w:id w:val="147457517"/>
        <w:placeholder>
          <w:docPart w:val="GBC22222222222222222222222222222"/>
        </w:placeholder>
      </w:sdtPr>
      <w:sdtEndPr>
        <w:rPr>
          <w:color w:val="000000" w:themeColor="text1"/>
          <w14:textFill>
            <w14:solidFill>
              <w14:schemeClr w14:val="tx1"/>
            </w14:solidFill>
          </w14:textFill>
        </w:rPr>
      </w:sdtEndPr>
      <w:sdtContent>
        <w:p w14:paraId="6DB4250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2F5DC5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待摊费用"/>
          <w:tag w:val="_GBC_aa74f67aac374e54a7768a8434ab0c08"/>
          <w:id w:val="1474585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待摊费用"/>
          <w:tag w:val="_GBC_767b9b701cf8425c9d588b0398c42e90"/>
          <w:id w:val="1474777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2"/>
        <w:gridCol w:w="1424"/>
        <w:gridCol w:w="1478"/>
        <w:gridCol w:w="1478"/>
        <w:gridCol w:w="1499"/>
        <w:gridCol w:w="1568"/>
      </w:tblGrid>
      <w:tr w14:paraId="3FAD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0e665ce568e49a5aa1c687384d611b3"/>
            <w:id w:val="147453309"/>
          </w:sdtPr>
          <w:sdtContent>
            <w:tc>
              <w:tcPr>
                <w:tcW w:w="885" w:type="pct"/>
                <w:vAlign w:val="center"/>
              </w:tcPr>
              <w:p w14:paraId="0754969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3597a5d560b48d59d41cd3dc72b1a3a"/>
            <w:id w:val="147471516"/>
          </w:sdtPr>
          <w:sdtContent>
            <w:tc>
              <w:tcPr>
                <w:tcW w:w="786" w:type="pct"/>
                <w:vAlign w:val="center"/>
              </w:tcPr>
              <w:p w14:paraId="26A85F7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2edffaf8b24b489e97f2d4a6a5ec5711"/>
            <w:id w:val="147464332"/>
          </w:sdtPr>
          <w:sdtContent>
            <w:tc>
              <w:tcPr>
                <w:tcW w:w="816" w:type="pct"/>
                <w:vAlign w:val="center"/>
              </w:tcPr>
              <w:p w14:paraId="4134FD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本期增加金额</w:t>
                </w:r>
              </w:p>
            </w:tc>
          </w:sdtContent>
        </w:sdt>
        <w:sdt>
          <w:sdtPr>
            <w:tag w:val="_PLD_f6bc6a07519e4f6cab5889776aa0ecbd"/>
            <w:id w:val="147483620"/>
          </w:sdtPr>
          <w:sdtContent>
            <w:tc>
              <w:tcPr>
                <w:tcW w:w="816" w:type="pct"/>
                <w:vAlign w:val="center"/>
              </w:tcPr>
              <w:p w14:paraId="60E097B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本期摊销金额</w:t>
                </w:r>
              </w:p>
            </w:tc>
          </w:sdtContent>
        </w:sdt>
        <w:sdt>
          <w:sdtPr>
            <w:tag w:val="_PLD_f987bb682c974016898d37b474ce35c6"/>
            <w:id w:val="147454772"/>
          </w:sdtPr>
          <w:sdtContent>
            <w:tc>
              <w:tcPr>
                <w:tcW w:w="828" w:type="pct"/>
                <w:vAlign w:val="center"/>
              </w:tcPr>
              <w:p w14:paraId="221774A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其他减少金额</w:t>
                </w:r>
              </w:p>
            </w:tc>
          </w:sdtContent>
        </w:sdt>
        <w:sdt>
          <w:sdtPr>
            <w:tag w:val="_PLD_dab738986fbc4bd7b942faf77cb39605"/>
            <w:id w:val="147469512"/>
          </w:sdtPr>
          <w:sdtContent>
            <w:tc>
              <w:tcPr>
                <w:tcW w:w="866" w:type="pct"/>
                <w:vAlign w:val="center"/>
              </w:tcPr>
              <w:p w14:paraId="3321DB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14:paraId="6083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7F3FAC9E">
            <w:pPr>
              <w:textAlignment w:val="center"/>
            </w:pPr>
            <w:r>
              <w:rPr>
                <w:rFonts w:hint="eastAsia" w:ascii="宋体" w:hAnsi="宋体"/>
                <w:color w:val="000000"/>
                <w:lang w:bidi="ar"/>
              </w:rPr>
              <w:t>高压配电站等待摊费用</w:t>
            </w:r>
          </w:p>
        </w:tc>
        <w:tc>
          <w:tcPr>
            <w:tcW w:w="786" w:type="pct"/>
            <w:vAlign w:val="center"/>
          </w:tcPr>
          <w:p w14:paraId="3DB9A394">
            <w:pPr>
              <w:jc w:val="right"/>
              <w:textAlignment w:val="center"/>
              <w:rPr>
                <w:rFonts w:cs="Times New Roman"/>
              </w:rPr>
            </w:pPr>
            <w:r>
              <w:rPr>
                <w:rFonts w:cs="Times New Roman"/>
                <w:color w:val="000000"/>
              </w:rPr>
              <w:t>15,651,087.23</w:t>
            </w:r>
          </w:p>
        </w:tc>
        <w:tc>
          <w:tcPr>
            <w:tcW w:w="816" w:type="pct"/>
            <w:vAlign w:val="center"/>
          </w:tcPr>
          <w:p w14:paraId="21A7C01E">
            <w:pPr>
              <w:jc w:val="right"/>
              <w:rPr>
                <w:rFonts w:cs="Times New Roman"/>
              </w:rPr>
            </w:pPr>
          </w:p>
        </w:tc>
        <w:tc>
          <w:tcPr>
            <w:tcW w:w="816" w:type="pct"/>
            <w:vAlign w:val="center"/>
          </w:tcPr>
          <w:p w14:paraId="183272D2">
            <w:pPr>
              <w:jc w:val="right"/>
              <w:textAlignment w:val="center"/>
              <w:rPr>
                <w:rFonts w:cs="Times New Roman"/>
              </w:rPr>
            </w:pPr>
            <w:r>
              <w:rPr>
                <w:rFonts w:cs="Times New Roman"/>
                <w:color w:val="000000"/>
              </w:rPr>
              <w:t>624,897.24</w:t>
            </w:r>
          </w:p>
        </w:tc>
        <w:tc>
          <w:tcPr>
            <w:tcW w:w="828" w:type="pct"/>
            <w:vAlign w:val="center"/>
          </w:tcPr>
          <w:p w14:paraId="27904BEF">
            <w:pPr>
              <w:jc w:val="right"/>
              <w:rPr>
                <w:rFonts w:cs="Times New Roman"/>
              </w:rPr>
            </w:pPr>
          </w:p>
        </w:tc>
        <w:tc>
          <w:tcPr>
            <w:tcW w:w="866" w:type="pct"/>
            <w:vAlign w:val="center"/>
          </w:tcPr>
          <w:p w14:paraId="0F26AB61">
            <w:pPr>
              <w:jc w:val="right"/>
              <w:textAlignment w:val="center"/>
              <w:rPr>
                <w:rFonts w:cs="Times New Roman"/>
              </w:rPr>
            </w:pPr>
            <w:r>
              <w:rPr>
                <w:rFonts w:cs="Times New Roman"/>
                <w:color w:val="000000"/>
              </w:rPr>
              <w:t>15,026,189.99</w:t>
            </w:r>
          </w:p>
        </w:tc>
      </w:tr>
      <w:tr w14:paraId="670E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45345362">
            <w:pPr>
              <w:textAlignment w:val="center"/>
            </w:pPr>
            <w:r>
              <w:rPr>
                <w:rFonts w:hint="eastAsia" w:ascii="宋体" w:hAnsi="宋体"/>
                <w:color w:val="000000"/>
                <w:lang w:bidi="ar"/>
              </w:rPr>
              <w:t>装修费</w:t>
            </w:r>
          </w:p>
        </w:tc>
        <w:tc>
          <w:tcPr>
            <w:tcW w:w="786" w:type="pct"/>
            <w:vAlign w:val="center"/>
          </w:tcPr>
          <w:p w14:paraId="4D68E1CE">
            <w:pPr>
              <w:jc w:val="right"/>
              <w:textAlignment w:val="center"/>
              <w:rPr>
                <w:rFonts w:cs="Times New Roman"/>
              </w:rPr>
            </w:pPr>
            <w:r>
              <w:rPr>
                <w:rFonts w:cs="Times New Roman"/>
                <w:color w:val="000000"/>
              </w:rPr>
              <w:t>9,665,383.78</w:t>
            </w:r>
          </w:p>
        </w:tc>
        <w:tc>
          <w:tcPr>
            <w:tcW w:w="816" w:type="pct"/>
            <w:vAlign w:val="center"/>
          </w:tcPr>
          <w:p w14:paraId="1EEE4AAD">
            <w:pPr>
              <w:jc w:val="right"/>
              <w:textAlignment w:val="center"/>
              <w:rPr>
                <w:rFonts w:cs="Times New Roman"/>
              </w:rPr>
            </w:pPr>
            <w:r>
              <w:rPr>
                <w:rFonts w:cs="Times New Roman"/>
                <w:color w:val="000000"/>
              </w:rPr>
              <w:t>1,727,836.11</w:t>
            </w:r>
          </w:p>
        </w:tc>
        <w:tc>
          <w:tcPr>
            <w:tcW w:w="816" w:type="pct"/>
            <w:vAlign w:val="center"/>
          </w:tcPr>
          <w:p w14:paraId="6959A91A">
            <w:pPr>
              <w:jc w:val="right"/>
              <w:textAlignment w:val="center"/>
              <w:rPr>
                <w:rFonts w:cs="Times New Roman"/>
              </w:rPr>
            </w:pPr>
            <w:r>
              <w:rPr>
                <w:rFonts w:cs="Times New Roman"/>
                <w:color w:val="000000"/>
              </w:rPr>
              <w:t>2,284,283.35</w:t>
            </w:r>
          </w:p>
        </w:tc>
        <w:tc>
          <w:tcPr>
            <w:tcW w:w="828" w:type="pct"/>
            <w:vAlign w:val="center"/>
          </w:tcPr>
          <w:p w14:paraId="13203D8F">
            <w:pPr>
              <w:jc w:val="right"/>
              <w:rPr>
                <w:rFonts w:cs="Times New Roman"/>
              </w:rPr>
            </w:pPr>
          </w:p>
        </w:tc>
        <w:tc>
          <w:tcPr>
            <w:tcW w:w="866" w:type="pct"/>
            <w:vAlign w:val="center"/>
          </w:tcPr>
          <w:p w14:paraId="2819BC63">
            <w:pPr>
              <w:jc w:val="right"/>
              <w:textAlignment w:val="center"/>
              <w:rPr>
                <w:rFonts w:cs="Times New Roman"/>
              </w:rPr>
            </w:pPr>
            <w:r>
              <w:rPr>
                <w:rFonts w:cs="Times New Roman"/>
                <w:color w:val="000000"/>
              </w:rPr>
              <w:t>9,108,936.54</w:t>
            </w:r>
          </w:p>
        </w:tc>
      </w:tr>
      <w:tr w14:paraId="2F24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516ED780">
            <w:pPr>
              <w:textAlignment w:val="center"/>
            </w:pPr>
            <w:r>
              <w:rPr>
                <w:rFonts w:hint="eastAsia" w:ascii="宋体" w:hAnsi="宋体"/>
                <w:color w:val="000000"/>
                <w:lang w:bidi="ar"/>
              </w:rPr>
              <w:t>租入资产维修改造费</w:t>
            </w:r>
          </w:p>
        </w:tc>
        <w:tc>
          <w:tcPr>
            <w:tcW w:w="786" w:type="pct"/>
            <w:vAlign w:val="center"/>
          </w:tcPr>
          <w:p w14:paraId="7A6D84B1">
            <w:pPr>
              <w:jc w:val="right"/>
              <w:textAlignment w:val="center"/>
              <w:rPr>
                <w:rFonts w:cs="Times New Roman"/>
              </w:rPr>
            </w:pPr>
            <w:r>
              <w:rPr>
                <w:rFonts w:cs="Times New Roman"/>
                <w:color w:val="000000"/>
              </w:rPr>
              <w:t>5,579,313.15</w:t>
            </w:r>
          </w:p>
        </w:tc>
        <w:tc>
          <w:tcPr>
            <w:tcW w:w="816" w:type="pct"/>
            <w:vAlign w:val="center"/>
          </w:tcPr>
          <w:p w14:paraId="6CCEE751">
            <w:pPr>
              <w:jc w:val="right"/>
              <w:rPr>
                <w:rFonts w:cs="Times New Roman"/>
              </w:rPr>
            </w:pPr>
          </w:p>
        </w:tc>
        <w:tc>
          <w:tcPr>
            <w:tcW w:w="816" w:type="pct"/>
            <w:vAlign w:val="center"/>
          </w:tcPr>
          <w:p w14:paraId="64CC95E7">
            <w:pPr>
              <w:jc w:val="right"/>
              <w:textAlignment w:val="center"/>
              <w:rPr>
                <w:rFonts w:cs="Times New Roman"/>
              </w:rPr>
            </w:pPr>
            <w:r>
              <w:rPr>
                <w:rFonts w:cs="Times New Roman"/>
                <w:color w:val="000000"/>
              </w:rPr>
              <w:t>265,681.92</w:t>
            </w:r>
          </w:p>
        </w:tc>
        <w:tc>
          <w:tcPr>
            <w:tcW w:w="828" w:type="pct"/>
            <w:vAlign w:val="center"/>
          </w:tcPr>
          <w:p w14:paraId="1A8DEBB4">
            <w:pPr>
              <w:jc w:val="right"/>
              <w:rPr>
                <w:rFonts w:cs="Times New Roman"/>
              </w:rPr>
            </w:pPr>
          </w:p>
        </w:tc>
        <w:tc>
          <w:tcPr>
            <w:tcW w:w="866" w:type="pct"/>
            <w:vAlign w:val="center"/>
          </w:tcPr>
          <w:p w14:paraId="07CF6282">
            <w:pPr>
              <w:jc w:val="right"/>
              <w:textAlignment w:val="center"/>
              <w:rPr>
                <w:rFonts w:cs="Times New Roman"/>
              </w:rPr>
            </w:pPr>
            <w:r>
              <w:rPr>
                <w:rFonts w:cs="Times New Roman"/>
                <w:color w:val="000000"/>
              </w:rPr>
              <w:t>5,313,631.23</w:t>
            </w:r>
          </w:p>
        </w:tc>
      </w:tr>
      <w:tr w14:paraId="57CA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221B0118">
            <w:pPr>
              <w:textAlignment w:val="center"/>
            </w:pPr>
            <w:r>
              <w:rPr>
                <w:rFonts w:hint="eastAsia" w:ascii="宋体" w:hAnsi="宋体"/>
                <w:color w:val="000000"/>
                <w:lang w:bidi="ar"/>
              </w:rPr>
              <w:t>租用土地</w:t>
            </w:r>
          </w:p>
        </w:tc>
        <w:tc>
          <w:tcPr>
            <w:tcW w:w="786" w:type="pct"/>
            <w:vAlign w:val="center"/>
          </w:tcPr>
          <w:p w14:paraId="415CABCA">
            <w:pPr>
              <w:jc w:val="right"/>
              <w:textAlignment w:val="center"/>
              <w:rPr>
                <w:rFonts w:cs="Times New Roman"/>
              </w:rPr>
            </w:pPr>
            <w:r>
              <w:rPr>
                <w:rFonts w:cs="Times New Roman"/>
                <w:color w:val="000000"/>
              </w:rPr>
              <w:t>1,411,605.58</w:t>
            </w:r>
          </w:p>
        </w:tc>
        <w:tc>
          <w:tcPr>
            <w:tcW w:w="816" w:type="pct"/>
            <w:vAlign w:val="center"/>
          </w:tcPr>
          <w:p w14:paraId="147AAD8C">
            <w:pPr>
              <w:jc w:val="right"/>
              <w:rPr>
                <w:rFonts w:cs="Times New Roman"/>
              </w:rPr>
            </w:pPr>
          </w:p>
        </w:tc>
        <w:tc>
          <w:tcPr>
            <w:tcW w:w="816" w:type="pct"/>
            <w:vAlign w:val="center"/>
          </w:tcPr>
          <w:p w14:paraId="1E760F82">
            <w:pPr>
              <w:jc w:val="right"/>
              <w:rPr>
                <w:rFonts w:cs="Times New Roman"/>
              </w:rPr>
            </w:pPr>
            <w:r>
              <w:rPr>
                <w:rFonts w:cs="Times New Roman"/>
                <w:color w:val="000000"/>
              </w:rPr>
              <w:t>31,008.98</w:t>
            </w:r>
          </w:p>
        </w:tc>
        <w:tc>
          <w:tcPr>
            <w:tcW w:w="828" w:type="pct"/>
            <w:vAlign w:val="center"/>
          </w:tcPr>
          <w:p w14:paraId="29232C2D">
            <w:pPr>
              <w:jc w:val="right"/>
              <w:textAlignment w:val="center"/>
              <w:rPr>
                <w:rFonts w:cs="Times New Roman"/>
              </w:rPr>
            </w:pPr>
            <w:r>
              <w:rPr>
                <w:rFonts w:cs="Times New Roman"/>
                <w:color w:val="000000"/>
              </w:rPr>
              <w:t>502,008.91</w:t>
            </w:r>
          </w:p>
        </w:tc>
        <w:tc>
          <w:tcPr>
            <w:tcW w:w="866" w:type="pct"/>
            <w:vAlign w:val="center"/>
          </w:tcPr>
          <w:p w14:paraId="77610A5F">
            <w:pPr>
              <w:jc w:val="right"/>
              <w:textAlignment w:val="center"/>
              <w:rPr>
                <w:rFonts w:cs="Times New Roman"/>
              </w:rPr>
            </w:pPr>
            <w:r>
              <w:rPr>
                <w:rFonts w:cs="Times New Roman"/>
                <w:color w:val="000000"/>
              </w:rPr>
              <w:t>878,587.69</w:t>
            </w:r>
          </w:p>
        </w:tc>
      </w:tr>
      <w:tr w14:paraId="7E73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595E98EA">
            <w:pPr>
              <w:textAlignment w:val="center"/>
            </w:pPr>
            <w:r>
              <w:rPr>
                <w:rFonts w:hint="eastAsia" w:ascii="宋体" w:hAnsi="宋体"/>
                <w:color w:val="000000"/>
                <w:lang w:bidi="ar"/>
              </w:rPr>
              <w:t>际华文创园园区待摊费用</w:t>
            </w:r>
          </w:p>
        </w:tc>
        <w:tc>
          <w:tcPr>
            <w:tcW w:w="786" w:type="pct"/>
            <w:vAlign w:val="center"/>
          </w:tcPr>
          <w:p w14:paraId="39715C40">
            <w:pPr>
              <w:jc w:val="right"/>
              <w:textAlignment w:val="center"/>
              <w:rPr>
                <w:rFonts w:cs="Times New Roman"/>
              </w:rPr>
            </w:pPr>
            <w:r>
              <w:rPr>
                <w:rFonts w:cs="Times New Roman"/>
                <w:color w:val="000000"/>
              </w:rPr>
              <w:t>834,926.29</w:t>
            </w:r>
          </w:p>
        </w:tc>
        <w:tc>
          <w:tcPr>
            <w:tcW w:w="816" w:type="pct"/>
            <w:vAlign w:val="center"/>
          </w:tcPr>
          <w:p w14:paraId="0107A0B0">
            <w:pPr>
              <w:jc w:val="right"/>
              <w:rPr>
                <w:rFonts w:cs="Times New Roman"/>
              </w:rPr>
            </w:pPr>
          </w:p>
        </w:tc>
        <w:tc>
          <w:tcPr>
            <w:tcW w:w="816" w:type="pct"/>
            <w:vAlign w:val="center"/>
          </w:tcPr>
          <w:p w14:paraId="2864CA41">
            <w:pPr>
              <w:jc w:val="right"/>
              <w:textAlignment w:val="center"/>
              <w:rPr>
                <w:rFonts w:cs="Times New Roman"/>
              </w:rPr>
            </w:pPr>
            <w:r>
              <w:rPr>
                <w:rFonts w:cs="Times New Roman"/>
                <w:color w:val="000000"/>
              </w:rPr>
              <w:t>29,818.74</w:t>
            </w:r>
          </w:p>
        </w:tc>
        <w:tc>
          <w:tcPr>
            <w:tcW w:w="828" w:type="pct"/>
            <w:vAlign w:val="center"/>
          </w:tcPr>
          <w:p w14:paraId="21AB7188">
            <w:pPr>
              <w:jc w:val="right"/>
              <w:rPr>
                <w:rFonts w:cs="Times New Roman"/>
              </w:rPr>
            </w:pPr>
          </w:p>
        </w:tc>
        <w:tc>
          <w:tcPr>
            <w:tcW w:w="866" w:type="pct"/>
            <w:vAlign w:val="center"/>
          </w:tcPr>
          <w:p w14:paraId="05DB51A6">
            <w:pPr>
              <w:jc w:val="right"/>
              <w:textAlignment w:val="center"/>
              <w:rPr>
                <w:rFonts w:cs="Times New Roman"/>
              </w:rPr>
            </w:pPr>
            <w:r>
              <w:rPr>
                <w:rFonts w:cs="Times New Roman"/>
                <w:color w:val="000000"/>
              </w:rPr>
              <w:t>805,107.55</w:t>
            </w:r>
          </w:p>
        </w:tc>
      </w:tr>
      <w:tr w14:paraId="0AC6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43F11589">
            <w:pPr>
              <w:textAlignment w:val="center"/>
            </w:pPr>
            <w:r>
              <w:rPr>
                <w:rFonts w:hint="eastAsia" w:ascii="宋体" w:hAnsi="宋体"/>
                <w:color w:val="000000"/>
                <w:lang w:bidi="ar"/>
              </w:rPr>
              <w:t>其他</w:t>
            </w:r>
          </w:p>
        </w:tc>
        <w:tc>
          <w:tcPr>
            <w:tcW w:w="786" w:type="pct"/>
            <w:vAlign w:val="center"/>
          </w:tcPr>
          <w:p w14:paraId="3F75AD38">
            <w:pPr>
              <w:jc w:val="right"/>
              <w:textAlignment w:val="center"/>
              <w:rPr>
                <w:rFonts w:cs="Times New Roman"/>
              </w:rPr>
            </w:pPr>
            <w:r>
              <w:rPr>
                <w:rFonts w:cs="Times New Roman"/>
                <w:color w:val="000000"/>
              </w:rPr>
              <w:t>2,114,458.80</w:t>
            </w:r>
          </w:p>
        </w:tc>
        <w:tc>
          <w:tcPr>
            <w:tcW w:w="816" w:type="pct"/>
            <w:vAlign w:val="center"/>
          </w:tcPr>
          <w:p w14:paraId="62F7C906">
            <w:pPr>
              <w:jc w:val="right"/>
              <w:textAlignment w:val="center"/>
              <w:rPr>
                <w:rFonts w:cs="Times New Roman"/>
              </w:rPr>
            </w:pPr>
            <w:r>
              <w:rPr>
                <w:rFonts w:cs="Times New Roman"/>
                <w:color w:val="000000"/>
              </w:rPr>
              <w:t>905,322.18</w:t>
            </w:r>
          </w:p>
        </w:tc>
        <w:tc>
          <w:tcPr>
            <w:tcW w:w="816" w:type="pct"/>
            <w:vAlign w:val="center"/>
          </w:tcPr>
          <w:p w14:paraId="6D3ECDEA">
            <w:pPr>
              <w:jc w:val="right"/>
              <w:textAlignment w:val="center"/>
              <w:rPr>
                <w:rFonts w:cs="Times New Roman"/>
              </w:rPr>
            </w:pPr>
            <w:r>
              <w:rPr>
                <w:rFonts w:cs="Times New Roman"/>
                <w:color w:val="000000"/>
              </w:rPr>
              <w:t>2,112,902.02</w:t>
            </w:r>
          </w:p>
        </w:tc>
        <w:tc>
          <w:tcPr>
            <w:tcW w:w="828" w:type="pct"/>
            <w:vAlign w:val="center"/>
          </w:tcPr>
          <w:p w14:paraId="7FD23492">
            <w:pPr>
              <w:jc w:val="right"/>
              <w:rPr>
                <w:rFonts w:cs="Times New Roman"/>
              </w:rPr>
            </w:pPr>
          </w:p>
        </w:tc>
        <w:tc>
          <w:tcPr>
            <w:tcW w:w="866" w:type="pct"/>
            <w:vAlign w:val="center"/>
          </w:tcPr>
          <w:p w14:paraId="43F872B8">
            <w:pPr>
              <w:jc w:val="right"/>
              <w:textAlignment w:val="center"/>
              <w:rPr>
                <w:rFonts w:cs="Times New Roman"/>
              </w:rPr>
            </w:pPr>
            <w:r>
              <w:rPr>
                <w:rFonts w:cs="Times New Roman"/>
                <w:color w:val="000000"/>
              </w:rPr>
              <w:t>906,878.96</w:t>
            </w:r>
          </w:p>
        </w:tc>
      </w:tr>
      <w:tr w14:paraId="5F61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pct"/>
            <w:vAlign w:val="center"/>
          </w:tcPr>
          <w:p w14:paraId="2193F46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86" w:type="pct"/>
            <w:vAlign w:val="center"/>
          </w:tcPr>
          <w:p w14:paraId="19F68EC2">
            <w:pPr>
              <w:jc w:val="right"/>
              <w:textAlignment w:val="center"/>
              <w:rPr>
                <w:rFonts w:cs="Times New Roman"/>
              </w:rPr>
            </w:pPr>
            <w:r>
              <w:rPr>
                <w:rFonts w:cs="Times New Roman"/>
                <w:color w:val="000000"/>
              </w:rPr>
              <w:t>35,256,774.83</w:t>
            </w:r>
          </w:p>
        </w:tc>
        <w:tc>
          <w:tcPr>
            <w:tcW w:w="816" w:type="pct"/>
            <w:vAlign w:val="center"/>
          </w:tcPr>
          <w:p w14:paraId="62C8CE18">
            <w:pPr>
              <w:jc w:val="right"/>
              <w:textAlignment w:val="center"/>
              <w:rPr>
                <w:rFonts w:cs="Times New Roman"/>
              </w:rPr>
            </w:pPr>
            <w:r>
              <w:rPr>
                <w:rFonts w:cs="Times New Roman"/>
                <w:color w:val="000000"/>
              </w:rPr>
              <w:t>2,633,158.29</w:t>
            </w:r>
          </w:p>
        </w:tc>
        <w:tc>
          <w:tcPr>
            <w:tcW w:w="816" w:type="pct"/>
            <w:vAlign w:val="center"/>
          </w:tcPr>
          <w:p w14:paraId="1CC8F453">
            <w:pPr>
              <w:jc w:val="right"/>
              <w:textAlignment w:val="center"/>
              <w:rPr>
                <w:rFonts w:cs="Times New Roman"/>
              </w:rPr>
            </w:pPr>
            <w:r>
              <w:rPr>
                <w:rFonts w:cs="Times New Roman"/>
                <w:color w:val="000000"/>
              </w:rPr>
              <w:t>5,348,592.25</w:t>
            </w:r>
          </w:p>
        </w:tc>
        <w:tc>
          <w:tcPr>
            <w:tcW w:w="828" w:type="pct"/>
            <w:vAlign w:val="center"/>
          </w:tcPr>
          <w:p w14:paraId="3D77CDB2">
            <w:pPr>
              <w:jc w:val="right"/>
              <w:textAlignment w:val="center"/>
              <w:rPr>
                <w:rFonts w:cs="Times New Roman"/>
              </w:rPr>
            </w:pPr>
            <w:r>
              <w:rPr>
                <w:rFonts w:cs="Times New Roman"/>
                <w:color w:val="000000"/>
              </w:rPr>
              <w:t>502,008.91</w:t>
            </w:r>
          </w:p>
        </w:tc>
        <w:tc>
          <w:tcPr>
            <w:tcW w:w="866" w:type="pct"/>
            <w:vAlign w:val="center"/>
          </w:tcPr>
          <w:p w14:paraId="72E0AB2C">
            <w:pPr>
              <w:jc w:val="right"/>
              <w:textAlignment w:val="center"/>
              <w:rPr>
                <w:rFonts w:cs="Times New Roman"/>
              </w:rPr>
            </w:pPr>
            <w:r>
              <w:rPr>
                <w:rFonts w:cs="Times New Roman"/>
                <w:color w:val="000000"/>
              </w:rPr>
              <w:t>32,039,331.96</w:t>
            </w:r>
          </w:p>
        </w:tc>
      </w:tr>
    </w:tbl>
    <w:p w14:paraId="5066286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长期待摊费用的说明"/>
        <w:tag w:val="_GBC_5b31c466b60f433faaa37d443fae74be"/>
        <w:id w:val="147480275"/>
        <w:placeholder>
          <w:docPart w:val="GBC22222222222222222222222222222"/>
        </w:placeholder>
      </w:sdtPr>
      <w:sdtEndPr>
        <w:rPr>
          <w:color w:val="000000" w:themeColor="text1"/>
          <w14:textFill>
            <w14:solidFill>
              <w14:schemeClr w14:val="tx1"/>
            </w14:solidFill>
          </w14:textFill>
        </w:rPr>
      </w:sdtEndPr>
      <w:sdtContent>
        <w:p w14:paraId="5816FC8B">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5E606152">
      <w:pPr>
        <w:rPr>
          <w:color w:val="000000" w:themeColor="text1"/>
          <w14:textFill>
            <w14:solidFill>
              <w14:schemeClr w14:val="tx1"/>
            </w14:solidFill>
          </w14:textFill>
        </w:rPr>
      </w:pPr>
    </w:p>
    <w:p w14:paraId="4CDE4648">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递延所得税资产/ 递延所得税负债</w:t>
      </w:r>
    </w:p>
    <w:p w14:paraId="5067F569">
      <w:pPr>
        <w:pStyle w:val="58"/>
        <w:numPr>
          <w:ilvl w:val="0"/>
          <w:numId w:val="77"/>
        </w:numPr>
        <w:tabs>
          <w:tab w:val="left" w:pos="588"/>
          <w:tab w:val="left" w:pos="616"/>
        </w:tabs>
        <w:rPr>
          <w:rFonts w:ascii="宋体" w:hAnsi="宋体"/>
          <w:color w:val="000000" w:themeColor="text1"/>
          <w14:textFill>
            <w14:solidFill>
              <w14:schemeClr w14:val="tx1"/>
            </w14:solidFill>
          </w14:textFill>
        </w:rPr>
      </w:pPr>
      <w:bookmarkStart w:id="339" w:name="_Toc215903151"/>
      <w:r>
        <w:rPr>
          <w:rFonts w:hint="eastAsia" w:ascii="宋体" w:hAnsi="宋体"/>
          <w:color w:val="000000" w:themeColor="text1"/>
          <w14:textFill>
            <w14:solidFill>
              <w14:schemeClr w14:val="tx1"/>
            </w14:solidFill>
          </w14:textFill>
        </w:rPr>
        <w:t>未经抵销的递延所得税资产</w:t>
      </w:r>
    </w:p>
    <w:sdt>
      <w:sdtPr>
        <w:rPr>
          <w:color w:val="000000" w:themeColor="text1"/>
          <w14:textFill>
            <w14:solidFill>
              <w14:schemeClr w14:val="tx1"/>
            </w14:solidFill>
          </w14:textFill>
        </w:rPr>
        <w:alias w:val="是否适用：未经抵销的递延所得税资产[双击切换]"/>
        <w:tag w:val="_GBC_fc6e77974a404dc3bef5fc386ae4e1e7"/>
        <w:id w:val="147480517"/>
        <w:placeholder>
          <w:docPart w:val="GBC22222222222222222222222222222"/>
        </w:placeholder>
      </w:sdtPr>
      <w:sdtEndPr>
        <w:rPr>
          <w:color w:val="000000" w:themeColor="text1"/>
          <w14:textFill>
            <w14:solidFill>
              <w14:schemeClr w14:val="tx1"/>
            </w14:solidFill>
          </w14:textFill>
        </w:rPr>
      </w:sdtEndPr>
      <w:sdtContent>
        <w:p w14:paraId="097666C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27FD8D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已确认的递延所得税资产和递延所得税负债"/>
          <w:tag w:val="_GBC_7be724d3c6f14974914db7d02bb734f9"/>
          <w:id w:val="1474756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bookmarkEnd w:id="339"/>
      <w:sdt>
        <w:sdtPr>
          <w:rPr>
            <w:rFonts w:hint="eastAsia"/>
            <w:color w:val="000000" w:themeColor="text1"/>
            <w14:textFill>
              <w14:solidFill>
                <w14:schemeClr w14:val="tx1"/>
              </w14:solidFill>
            </w14:textFill>
          </w:rPr>
          <w:alias w:val="币种：财务附注：已确认的递延所得税资产和递延所得税负债"/>
          <w:tag w:val="_GBC_a48237f045494aa9a0ea8c2cb35b1c0f"/>
          <w:id w:val="1474515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5"/>
        <w:gridCol w:w="1686"/>
        <w:gridCol w:w="1628"/>
        <w:gridCol w:w="1686"/>
        <w:gridCol w:w="1626"/>
      </w:tblGrid>
      <w:tr w14:paraId="06C0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sdt>
          <w:sdtPr>
            <w:rPr>
              <w:rFonts w:cs="Times New Roman"/>
            </w:rPr>
            <w:tag w:val="_PLD_e45101b3a01946f19f22657bb959574e"/>
            <w:id w:val="147455992"/>
          </w:sdtPr>
          <w:sdtEndPr>
            <w:rPr>
              <w:rFonts w:cs="Times New Roman"/>
            </w:rPr>
          </w:sdtEndPr>
          <w:sdtContent>
            <w:tc>
              <w:tcPr>
                <w:tcW w:w="1339" w:type="pct"/>
                <w:vMerge w:val="restart"/>
                <w:vAlign w:val="center"/>
              </w:tcPr>
              <w:p w14:paraId="7CBA0DD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d892ffecd234c819059bf10f71b1910"/>
            <w:id w:val="147462571"/>
          </w:sdtPr>
          <w:sdtEndPr>
            <w:rPr>
              <w:rFonts w:cs="Times New Roman"/>
            </w:rPr>
          </w:sdtEndPr>
          <w:sdtContent>
            <w:tc>
              <w:tcPr>
                <w:tcW w:w="1830" w:type="pct"/>
                <w:gridSpan w:val="2"/>
                <w:vAlign w:val="center"/>
              </w:tcPr>
              <w:p w14:paraId="4A56620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be855fcb002344d6ae2c74083e90b1c1"/>
            <w:id w:val="147459072"/>
          </w:sdtPr>
          <w:sdtEndPr>
            <w:rPr>
              <w:rFonts w:cs="Times New Roman"/>
            </w:rPr>
          </w:sdtEndPr>
          <w:sdtContent>
            <w:tc>
              <w:tcPr>
                <w:tcW w:w="1829" w:type="pct"/>
                <w:gridSpan w:val="2"/>
                <w:vAlign w:val="center"/>
              </w:tcPr>
              <w:p w14:paraId="615FA2C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77FE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1339" w:type="pct"/>
            <w:vMerge w:val="continue"/>
            <w:vAlign w:val="center"/>
          </w:tcPr>
          <w:p w14:paraId="08135842">
            <w:pPr>
              <w:jc w:val="center"/>
              <w:rPr>
                <w:rFonts w:cs="Times New Roman"/>
                <w:b/>
                <w:color w:val="000000" w:themeColor="text1"/>
                <w14:textFill>
                  <w14:solidFill>
                    <w14:schemeClr w14:val="tx1"/>
                  </w14:solidFill>
                </w14:textFill>
              </w:rPr>
            </w:pPr>
          </w:p>
        </w:tc>
        <w:sdt>
          <w:sdtPr>
            <w:rPr>
              <w:rFonts w:cs="Times New Roman"/>
            </w:rPr>
            <w:tag w:val="_PLD_c82eb64547054aa39a1b7bfe7c532e2e"/>
            <w:id w:val="147470660"/>
          </w:sdtPr>
          <w:sdtEndPr>
            <w:rPr>
              <w:rFonts w:cs="Times New Roman"/>
            </w:rPr>
          </w:sdtEndPr>
          <w:sdtContent>
            <w:tc>
              <w:tcPr>
                <w:tcW w:w="931" w:type="pct"/>
                <w:vAlign w:val="center"/>
              </w:tcPr>
              <w:p w14:paraId="11B1ED5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可抵扣暂时性</w:t>
                </w:r>
              </w:p>
              <w:p w14:paraId="11C61ED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差异</w:t>
                </w:r>
              </w:p>
            </w:tc>
          </w:sdtContent>
        </w:sdt>
        <w:sdt>
          <w:sdtPr>
            <w:rPr>
              <w:rFonts w:cs="Times New Roman"/>
            </w:rPr>
            <w:tag w:val="_PLD_ad2e47975c52486d8bfc7fec079252de"/>
            <w:id w:val="147457596"/>
          </w:sdtPr>
          <w:sdtEndPr>
            <w:rPr>
              <w:rFonts w:cs="Times New Roman"/>
            </w:rPr>
          </w:sdtEndPr>
          <w:sdtContent>
            <w:tc>
              <w:tcPr>
                <w:tcW w:w="899" w:type="pct"/>
                <w:vAlign w:val="center"/>
              </w:tcPr>
              <w:p w14:paraId="25C64F5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w:t>
                </w:r>
              </w:p>
              <w:p w14:paraId="251C784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w:t>
                </w:r>
              </w:p>
            </w:tc>
          </w:sdtContent>
        </w:sdt>
        <w:sdt>
          <w:sdtPr>
            <w:rPr>
              <w:rFonts w:cs="Times New Roman"/>
            </w:rPr>
            <w:tag w:val="_PLD_0e0e7aabb5f8432ea9da8b4066b2e897"/>
            <w:id w:val="147474441"/>
          </w:sdtPr>
          <w:sdtEndPr>
            <w:rPr>
              <w:rFonts w:cs="Times New Roman"/>
            </w:rPr>
          </w:sdtEndPr>
          <w:sdtContent>
            <w:tc>
              <w:tcPr>
                <w:tcW w:w="931" w:type="pct"/>
                <w:vAlign w:val="center"/>
              </w:tcPr>
              <w:p w14:paraId="401310E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可抵扣暂时性</w:t>
                </w:r>
              </w:p>
              <w:p w14:paraId="2277211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差异</w:t>
                </w:r>
              </w:p>
            </w:tc>
          </w:sdtContent>
        </w:sdt>
        <w:sdt>
          <w:sdtPr>
            <w:rPr>
              <w:rFonts w:cs="Times New Roman"/>
            </w:rPr>
            <w:tag w:val="_PLD_34147e3346eb4b24b314e0dadaab6983"/>
            <w:id w:val="147462583"/>
          </w:sdtPr>
          <w:sdtEndPr>
            <w:rPr>
              <w:rFonts w:cs="Times New Roman"/>
            </w:rPr>
          </w:sdtEndPr>
          <w:sdtContent>
            <w:tc>
              <w:tcPr>
                <w:tcW w:w="898" w:type="pct"/>
                <w:vAlign w:val="center"/>
              </w:tcPr>
              <w:p w14:paraId="4987AA4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w:t>
                </w:r>
              </w:p>
              <w:p w14:paraId="085D8F2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w:t>
                </w:r>
              </w:p>
            </w:tc>
          </w:sdtContent>
        </w:sdt>
      </w:tr>
      <w:tr w14:paraId="3BFA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5185872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资产减值准备</w:t>
            </w:r>
          </w:p>
        </w:tc>
        <w:tc>
          <w:tcPr>
            <w:tcW w:w="931" w:type="pct"/>
            <w:vAlign w:val="center"/>
          </w:tcPr>
          <w:p w14:paraId="724A7755">
            <w:pPr>
              <w:jc w:val="right"/>
              <w:textAlignment w:val="center"/>
              <w:rPr>
                <w:rFonts w:cs="Times New Roman"/>
              </w:rPr>
            </w:pPr>
            <w:r>
              <w:rPr>
                <w:rFonts w:cs="Times New Roman"/>
                <w:color w:val="000000"/>
              </w:rPr>
              <w:t>1,225,172,570.12</w:t>
            </w:r>
          </w:p>
        </w:tc>
        <w:tc>
          <w:tcPr>
            <w:tcW w:w="899" w:type="pct"/>
            <w:vAlign w:val="center"/>
          </w:tcPr>
          <w:p w14:paraId="2E34B48A">
            <w:pPr>
              <w:jc w:val="right"/>
              <w:textAlignment w:val="center"/>
              <w:rPr>
                <w:rFonts w:cs="Times New Roman"/>
              </w:rPr>
            </w:pPr>
            <w:r>
              <w:rPr>
                <w:rFonts w:cs="Times New Roman"/>
                <w:color w:val="000000"/>
              </w:rPr>
              <w:t>200,105,271.56</w:t>
            </w:r>
          </w:p>
        </w:tc>
        <w:tc>
          <w:tcPr>
            <w:tcW w:w="931" w:type="pct"/>
            <w:vAlign w:val="center"/>
          </w:tcPr>
          <w:p w14:paraId="3BBD8346">
            <w:pPr>
              <w:jc w:val="right"/>
              <w:textAlignment w:val="center"/>
              <w:rPr>
                <w:rFonts w:cs="Times New Roman"/>
              </w:rPr>
            </w:pPr>
            <w:r>
              <w:rPr>
                <w:rFonts w:cs="Times New Roman"/>
                <w:color w:val="000000"/>
              </w:rPr>
              <w:t>1,234,416,449.66</w:t>
            </w:r>
          </w:p>
        </w:tc>
        <w:tc>
          <w:tcPr>
            <w:tcW w:w="898" w:type="pct"/>
            <w:vAlign w:val="center"/>
          </w:tcPr>
          <w:p w14:paraId="7502808F">
            <w:pPr>
              <w:jc w:val="right"/>
              <w:textAlignment w:val="center"/>
              <w:rPr>
                <w:rFonts w:cs="Times New Roman"/>
              </w:rPr>
            </w:pPr>
            <w:r>
              <w:rPr>
                <w:rFonts w:cs="Times New Roman"/>
                <w:color w:val="000000"/>
              </w:rPr>
              <w:t>201,491,978.49</w:t>
            </w:r>
          </w:p>
        </w:tc>
      </w:tr>
      <w:tr w14:paraId="5F55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72C709A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内部交易未实现利润</w:t>
            </w:r>
          </w:p>
        </w:tc>
        <w:tc>
          <w:tcPr>
            <w:tcW w:w="931" w:type="pct"/>
            <w:vAlign w:val="center"/>
          </w:tcPr>
          <w:p w14:paraId="6DE07F63">
            <w:pPr>
              <w:jc w:val="right"/>
              <w:textAlignment w:val="center"/>
              <w:rPr>
                <w:rFonts w:cs="Times New Roman"/>
              </w:rPr>
            </w:pPr>
            <w:r>
              <w:rPr>
                <w:rFonts w:cs="Times New Roman"/>
                <w:color w:val="000000"/>
              </w:rPr>
              <w:t>248,531.15</w:t>
            </w:r>
          </w:p>
        </w:tc>
        <w:tc>
          <w:tcPr>
            <w:tcW w:w="899" w:type="pct"/>
            <w:vAlign w:val="center"/>
          </w:tcPr>
          <w:p w14:paraId="6AE3DD2C">
            <w:pPr>
              <w:jc w:val="right"/>
              <w:textAlignment w:val="center"/>
              <w:rPr>
                <w:rFonts w:cs="Times New Roman"/>
              </w:rPr>
            </w:pPr>
            <w:r>
              <w:rPr>
                <w:rFonts w:cs="Times New Roman"/>
                <w:color w:val="000000"/>
              </w:rPr>
              <w:t>62,132.79</w:t>
            </w:r>
          </w:p>
        </w:tc>
        <w:tc>
          <w:tcPr>
            <w:tcW w:w="931" w:type="pct"/>
            <w:vAlign w:val="center"/>
          </w:tcPr>
          <w:p w14:paraId="2C291C48">
            <w:pPr>
              <w:jc w:val="right"/>
              <w:textAlignment w:val="center"/>
              <w:rPr>
                <w:rFonts w:cs="Times New Roman"/>
              </w:rPr>
            </w:pPr>
            <w:r>
              <w:rPr>
                <w:rFonts w:cs="Times New Roman"/>
                <w:color w:val="000000"/>
              </w:rPr>
              <w:t>45,342.84</w:t>
            </w:r>
          </w:p>
        </w:tc>
        <w:tc>
          <w:tcPr>
            <w:tcW w:w="898" w:type="pct"/>
            <w:vAlign w:val="center"/>
          </w:tcPr>
          <w:p w14:paraId="67DCEAC3">
            <w:pPr>
              <w:jc w:val="right"/>
              <w:textAlignment w:val="center"/>
              <w:rPr>
                <w:rFonts w:cs="Times New Roman"/>
              </w:rPr>
            </w:pPr>
            <w:r>
              <w:rPr>
                <w:rFonts w:cs="Times New Roman"/>
                <w:color w:val="000000"/>
              </w:rPr>
              <w:t>11,335.71</w:t>
            </w:r>
          </w:p>
        </w:tc>
      </w:tr>
      <w:tr w14:paraId="3A74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tcBorders>
              <w:bottom w:val="single" w:color="auto" w:sz="4" w:space="0"/>
            </w:tcBorders>
            <w:vAlign w:val="center"/>
          </w:tcPr>
          <w:p w14:paraId="0C2A8F2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可抵扣亏损</w:t>
            </w:r>
          </w:p>
        </w:tc>
        <w:tc>
          <w:tcPr>
            <w:tcW w:w="931" w:type="pct"/>
            <w:vAlign w:val="center"/>
          </w:tcPr>
          <w:p w14:paraId="49825422">
            <w:pPr>
              <w:jc w:val="right"/>
              <w:textAlignment w:val="center"/>
              <w:rPr>
                <w:rFonts w:cs="Times New Roman"/>
              </w:rPr>
            </w:pPr>
            <w:r>
              <w:rPr>
                <w:rFonts w:cs="Times New Roman"/>
                <w:color w:val="000000"/>
              </w:rPr>
              <w:t>196,633,429.48</w:t>
            </w:r>
          </w:p>
        </w:tc>
        <w:tc>
          <w:tcPr>
            <w:tcW w:w="899" w:type="pct"/>
            <w:vAlign w:val="center"/>
          </w:tcPr>
          <w:p w14:paraId="7EA5B7C2">
            <w:pPr>
              <w:jc w:val="right"/>
              <w:textAlignment w:val="center"/>
              <w:rPr>
                <w:rFonts w:cs="Times New Roman"/>
              </w:rPr>
            </w:pPr>
            <w:r>
              <w:rPr>
                <w:rFonts w:cs="Times New Roman"/>
                <w:color w:val="000000"/>
              </w:rPr>
              <w:t>29,495,014.42</w:t>
            </w:r>
          </w:p>
        </w:tc>
        <w:tc>
          <w:tcPr>
            <w:tcW w:w="931" w:type="pct"/>
            <w:vAlign w:val="center"/>
          </w:tcPr>
          <w:p w14:paraId="5A6227D1">
            <w:pPr>
              <w:jc w:val="right"/>
              <w:textAlignment w:val="center"/>
              <w:rPr>
                <w:rFonts w:cs="Times New Roman"/>
              </w:rPr>
            </w:pPr>
            <w:r>
              <w:rPr>
                <w:rFonts w:cs="Times New Roman"/>
                <w:color w:val="000000"/>
              </w:rPr>
              <w:t>201,533,786.04</w:t>
            </w:r>
          </w:p>
        </w:tc>
        <w:tc>
          <w:tcPr>
            <w:tcW w:w="898" w:type="pct"/>
            <w:vAlign w:val="center"/>
          </w:tcPr>
          <w:p w14:paraId="09B4FD90">
            <w:pPr>
              <w:jc w:val="right"/>
              <w:textAlignment w:val="center"/>
              <w:rPr>
                <w:rFonts w:cs="Times New Roman"/>
              </w:rPr>
            </w:pPr>
            <w:r>
              <w:rPr>
                <w:rFonts w:cs="Times New Roman"/>
                <w:color w:val="000000"/>
              </w:rPr>
              <w:t>30,230,067.91</w:t>
            </w:r>
          </w:p>
        </w:tc>
      </w:tr>
      <w:tr w14:paraId="09E6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142BD487">
            <w:pPr>
              <w:textAlignment w:val="center"/>
              <w:rPr>
                <w:rFonts w:cs="Times New Roman"/>
              </w:rPr>
            </w:pPr>
            <w:r>
              <w:rPr>
                <w:rFonts w:cs="Times New Roman"/>
                <w:color w:val="000000"/>
                <w:lang w:bidi="ar"/>
              </w:rPr>
              <w:t>应付职工薪酬-三类人员费用</w:t>
            </w:r>
          </w:p>
        </w:tc>
        <w:tc>
          <w:tcPr>
            <w:tcW w:w="931" w:type="pct"/>
            <w:vAlign w:val="center"/>
          </w:tcPr>
          <w:p w14:paraId="4D26D9D0">
            <w:pPr>
              <w:jc w:val="right"/>
              <w:textAlignment w:val="center"/>
              <w:rPr>
                <w:rFonts w:cs="Times New Roman"/>
              </w:rPr>
            </w:pPr>
            <w:r>
              <w:rPr>
                <w:rFonts w:cs="Times New Roman"/>
                <w:color w:val="000000"/>
              </w:rPr>
              <w:t>13,973,099.16</w:t>
            </w:r>
          </w:p>
        </w:tc>
        <w:tc>
          <w:tcPr>
            <w:tcW w:w="899" w:type="pct"/>
            <w:vAlign w:val="center"/>
          </w:tcPr>
          <w:p w14:paraId="10872945">
            <w:pPr>
              <w:jc w:val="right"/>
              <w:textAlignment w:val="center"/>
              <w:rPr>
                <w:rFonts w:cs="Times New Roman"/>
              </w:rPr>
            </w:pPr>
            <w:r>
              <w:rPr>
                <w:rFonts w:cs="Times New Roman"/>
                <w:color w:val="000000"/>
              </w:rPr>
              <w:t>2,269,233.27</w:t>
            </w:r>
          </w:p>
        </w:tc>
        <w:tc>
          <w:tcPr>
            <w:tcW w:w="931" w:type="pct"/>
            <w:vAlign w:val="center"/>
          </w:tcPr>
          <w:p w14:paraId="55DD4515">
            <w:pPr>
              <w:jc w:val="right"/>
              <w:textAlignment w:val="center"/>
              <w:rPr>
                <w:rFonts w:cs="Times New Roman"/>
              </w:rPr>
            </w:pPr>
            <w:r>
              <w:rPr>
                <w:rFonts w:cs="Times New Roman"/>
                <w:color w:val="000000"/>
              </w:rPr>
              <w:t>31,369,567.00</w:t>
            </w:r>
          </w:p>
        </w:tc>
        <w:tc>
          <w:tcPr>
            <w:tcW w:w="898" w:type="pct"/>
            <w:vAlign w:val="center"/>
          </w:tcPr>
          <w:p w14:paraId="34843587">
            <w:pPr>
              <w:jc w:val="right"/>
              <w:textAlignment w:val="center"/>
              <w:rPr>
                <w:rFonts w:cs="Times New Roman"/>
              </w:rPr>
            </w:pPr>
            <w:r>
              <w:rPr>
                <w:rFonts w:cs="Times New Roman"/>
                <w:color w:val="000000"/>
              </w:rPr>
              <w:t>5,139,567.75</w:t>
            </w:r>
          </w:p>
        </w:tc>
      </w:tr>
      <w:tr w14:paraId="20E2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010B2819">
            <w:pPr>
              <w:textAlignment w:val="center"/>
              <w:rPr>
                <w:rFonts w:cs="Times New Roman"/>
              </w:rPr>
            </w:pPr>
            <w:r>
              <w:rPr>
                <w:rFonts w:cs="Times New Roman"/>
                <w:color w:val="000000"/>
                <w:lang w:bidi="ar"/>
              </w:rPr>
              <w:t>长期应付职工薪酬-三类人员费用</w:t>
            </w:r>
          </w:p>
        </w:tc>
        <w:tc>
          <w:tcPr>
            <w:tcW w:w="931" w:type="pct"/>
            <w:vAlign w:val="center"/>
          </w:tcPr>
          <w:p w14:paraId="2CB8900F">
            <w:pPr>
              <w:jc w:val="right"/>
              <w:textAlignment w:val="center"/>
              <w:rPr>
                <w:rFonts w:cs="Times New Roman"/>
              </w:rPr>
            </w:pPr>
            <w:r>
              <w:rPr>
                <w:rFonts w:cs="Times New Roman"/>
                <w:color w:val="000000"/>
              </w:rPr>
              <w:t>322,611,892.74</w:t>
            </w:r>
          </w:p>
        </w:tc>
        <w:tc>
          <w:tcPr>
            <w:tcW w:w="899" w:type="pct"/>
            <w:vAlign w:val="center"/>
          </w:tcPr>
          <w:p w14:paraId="0E33ECC8">
            <w:pPr>
              <w:jc w:val="right"/>
              <w:textAlignment w:val="center"/>
              <w:rPr>
                <w:rFonts w:cs="Times New Roman"/>
              </w:rPr>
            </w:pPr>
            <w:r>
              <w:rPr>
                <w:rFonts w:cs="Times New Roman"/>
                <w:color w:val="000000"/>
              </w:rPr>
              <w:t>50,361,633.92</w:t>
            </w:r>
          </w:p>
        </w:tc>
        <w:tc>
          <w:tcPr>
            <w:tcW w:w="931" w:type="pct"/>
            <w:vAlign w:val="center"/>
          </w:tcPr>
          <w:p w14:paraId="65051963">
            <w:pPr>
              <w:jc w:val="right"/>
              <w:textAlignment w:val="center"/>
              <w:rPr>
                <w:rFonts w:cs="Times New Roman"/>
              </w:rPr>
            </w:pPr>
            <w:r>
              <w:rPr>
                <w:rFonts w:cs="Times New Roman"/>
                <w:color w:val="000000"/>
              </w:rPr>
              <w:t>320,048,047.00</w:t>
            </w:r>
          </w:p>
        </w:tc>
        <w:tc>
          <w:tcPr>
            <w:tcW w:w="898" w:type="pct"/>
            <w:vAlign w:val="center"/>
          </w:tcPr>
          <w:p w14:paraId="14D1A4E4">
            <w:pPr>
              <w:jc w:val="right"/>
              <w:textAlignment w:val="center"/>
              <w:rPr>
                <w:rFonts w:cs="Times New Roman"/>
              </w:rPr>
            </w:pPr>
            <w:r>
              <w:rPr>
                <w:rFonts w:cs="Times New Roman"/>
                <w:color w:val="000000"/>
              </w:rPr>
              <w:t>51,827,241.55</w:t>
            </w:r>
          </w:p>
        </w:tc>
      </w:tr>
      <w:tr w14:paraId="141E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754EB0A2">
            <w:pPr>
              <w:textAlignment w:val="center"/>
              <w:rPr>
                <w:rFonts w:cs="Times New Roman"/>
              </w:rPr>
            </w:pPr>
            <w:r>
              <w:rPr>
                <w:rFonts w:cs="Times New Roman"/>
                <w:color w:val="000000"/>
                <w:lang w:bidi="ar"/>
              </w:rPr>
              <w:t>递延收益</w:t>
            </w:r>
          </w:p>
        </w:tc>
        <w:tc>
          <w:tcPr>
            <w:tcW w:w="931" w:type="pct"/>
            <w:vAlign w:val="center"/>
          </w:tcPr>
          <w:p w14:paraId="7BC34E67">
            <w:pPr>
              <w:jc w:val="right"/>
              <w:textAlignment w:val="center"/>
              <w:rPr>
                <w:rFonts w:cs="Times New Roman"/>
              </w:rPr>
            </w:pPr>
            <w:r>
              <w:rPr>
                <w:rFonts w:cs="Times New Roman"/>
                <w:color w:val="000000"/>
              </w:rPr>
              <w:t>39,797,916.11</w:t>
            </w:r>
          </w:p>
        </w:tc>
        <w:tc>
          <w:tcPr>
            <w:tcW w:w="899" w:type="pct"/>
            <w:vAlign w:val="center"/>
          </w:tcPr>
          <w:p w14:paraId="001CB7E3">
            <w:pPr>
              <w:jc w:val="right"/>
              <w:textAlignment w:val="center"/>
              <w:rPr>
                <w:rFonts w:cs="Times New Roman"/>
              </w:rPr>
            </w:pPr>
            <w:r>
              <w:rPr>
                <w:rFonts w:cs="Times New Roman"/>
                <w:color w:val="000000"/>
              </w:rPr>
              <w:t>7,486,667.06</w:t>
            </w:r>
          </w:p>
        </w:tc>
        <w:tc>
          <w:tcPr>
            <w:tcW w:w="931" w:type="pct"/>
            <w:vAlign w:val="center"/>
          </w:tcPr>
          <w:p w14:paraId="762D3BAE">
            <w:pPr>
              <w:jc w:val="right"/>
              <w:textAlignment w:val="center"/>
              <w:rPr>
                <w:rFonts w:cs="Times New Roman"/>
              </w:rPr>
            </w:pPr>
            <w:r>
              <w:rPr>
                <w:rFonts w:cs="Times New Roman"/>
                <w:color w:val="000000"/>
              </w:rPr>
              <w:t>40,624,214.95</w:t>
            </w:r>
          </w:p>
        </w:tc>
        <w:tc>
          <w:tcPr>
            <w:tcW w:w="898" w:type="pct"/>
            <w:vAlign w:val="center"/>
          </w:tcPr>
          <w:p w14:paraId="44307444">
            <w:pPr>
              <w:jc w:val="right"/>
              <w:textAlignment w:val="center"/>
              <w:rPr>
                <w:rFonts w:cs="Times New Roman"/>
              </w:rPr>
            </w:pPr>
            <w:r>
              <w:rPr>
                <w:rFonts w:cs="Times New Roman"/>
                <w:color w:val="000000"/>
              </w:rPr>
              <w:t>7,421,139.86</w:t>
            </w:r>
          </w:p>
        </w:tc>
      </w:tr>
      <w:tr w14:paraId="00D3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0C881393">
            <w:pPr>
              <w:textAlignment w:val="center"/>
              <w:rPr>
                <w:rFonts w:cs="Times New Roman"/>
              </w:rPr>
            </w:pPr>
            <w:r>
              <w:rPr>
                <w:rFonts w:cs="Times New Roman"/>
                <w:color w:val="000000"/>
                <w:lang w:bidi="ar"/>
              </w:rPr>
              <w:t>长期股权投资账面价值与计税基础差异</w:t>
            </w:r>
          </w:p>
        </w:tc>
        <w:tc>
          <w:tcPr>
            <w:tcW w:w="931" w:type="pct"/>
            <w:vAlign w:val="center"/>
          </w:tcPr>
          <w:p w14:paraId="53191476">
            <w:pPr>
              <w:jc w:val="right"/>
              <w:textAlignment w:val="center"/>
              <w:rPr>
                <w:rFonts w:cs="Times New Roman"/>
              </w:rPr>
            </w:pPr>
            <w:r>
              <w:rPr>
                <w:rFonts w:cs="Times New Roman"/>
                <w:color w:val="000000"/>
              </w:rPr>
              <w:t>24,500,000.00</w:t>
            </w:r>
          </w:p>
        </w:tc>
        <w:tc>
          <w:tcPr>
            <w:tcW w:w="899" w:type="pct"/>
            <w:vAlign w:val="center"/>
          </w:tcPr>
          <w:p w14:paraId="35943D0F">
            <w:pPr>
              <w:jc w:val="right"/>
              <w:textAlignment w:val="center"/>
              <w:rPr>
                <w:rFonts w:cs="Times New Roman"/>
              </w:rPr>
            </w:pPr>
            <w:r>
              <w:rPr>
                <w:rFonts w:cs="Times New Roman"/>
                <w:color w:val="000000"/>
              </w:rPr>
              <w:t>3,675,000.00</w:t>
            </w:r>
          </w:p>
        </w:tc>
        <w:tc>
          <w:tcPr>
            <w:tcW w:w="931" w:type="pct"/>
            <w:vAlign w:val="center"/>
          </w:tcPr>
          <w:p w14:paraId="20A7056D">
            <w:pPr>
              <w:jc w:val="right"/>
              <w:textAlignment w:val="center"/>
              <w:rPr>
                <w:rFonts w:cs="Times New Roman"/>
              </w:rPr>
            </w:pPr>
            <w:r>
              <w:rPr>
                <w:rFonts w:cs="Times New Roman"/>
                <w:color w:val="000000"/>
              </w:rPr>
              <w:t>24,500,000.00</w:t>
            </w:r>
          </w:p>
        </w:tc>
        <w:tc>
          <w:tcPr>
            <w:tcW w:w="898" w:type="pct"/>
            <w:vAlign w:val="center"/>
          </w:tcPr>
          <w:p w14:paraId="0911C8B3">
            <w:pPr>
              <w:jc w:val="right"/>
              <w:textAlignment w:val="center"/>
              <w:rPr>
                <w:rFonts w:cs="Times New Roman"/>
              </w:rPr>
            </w:pPr>
            <w:r>
              <w:rPr>
                <w:rFonts w:cs="Times New Roman"/>
                <w:color w:val="000000"/>
              </w:rPr>
              <w:t>3,675,000.00</w:t>
            </w:r>
          </w:p>
        </w:tc>
      </w:tr>
      <w:tr w14:paraId="5215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3FA7E372">
            <w:pPr>
              <w:textAlignment w:val="center"/>
              <w:rPr>
                <w:rFonts w:cs="Times New Roman"/>
              </w:rPr>
            </w:pPr>
            <w:r>
              <w:rPr>
                <w:rFonts w:cs="Times New Roman"/>
                <w:color w:val="000000"/>
                <w:lang w:bidi="ar"/>
              </w:rPr>
              <w:t>租赁负债</w:t>
            </w:r>
          </w:p>
        </w:tc>
        <w:tc>
          <w:tcPr>
            <w:tcW w:w="931" w:type="pct"/>
            <w:vAlign w:val="center"/>
          </w:tcPr>
          <w:p w14:paraId="621D559A">
            <w:pPr>
              <w:jc w:val="right"/>
              <w:textAlignment w:val="center"/>
              <w:rPr>
                <w:rFonts w:cs="Times New Roman"/>
              </w:rPr>
            </w:pPr>
            <w:r>
              <w:rPr>
                <w:rFonts w:cs="Times New Roman"/>
                <w:color w:val="000000"/>
              </w:rPr>
              <w:t>10,130,263.32</w:t>
            </w:r>
          </w:p>
        </w:tc>
        <w:tc>
          <w:tcPr>
            <w:tcW w:w="899" w:type="pct"/>
            <w:vAlign w:val="center"/>
          </w:tcPr>
          <w:p w14:paraId="45CF6E7C">
            <w:pPr>
              <w:jc w:val="right"/>
              <w:textAlignment w:val="center"/>
              <w:rPr>
                <w:rFonts w:cs="Times New Roman"/>
              </w:rPr>
            </w:pPr>
            <w:r>
              <w:rPr>
                <w:rFonts w:cs="Times New Roman"/>
                <w:color w:val="000000"/>
              </w:rPr>
              <w:t>1,519,539.50</w:t>
            </w:r>
          </w:p>
        </w:tc>
        <w:tc>
          <w:tcPr>
            <w:tcW w:w="931" w:type="pct"/>
            <w:vAlign w:val="center"/>
          </w:tcPr>
          <w:p w14:paraId="06CBBB63">
            <w:pPr>
              <w:jc w:val="right"/>
              <w:textAlignment w:val="center"/>
              <w:rPr>
                <w:rFonts w:cs="Times New Roman"/>
              </w:rPr>
            </w:pPr>
            <w:r>
              <w:rPr>
                <w:rFonts w:cs="Times New Roman"/>
                <w:color w:val="000000"/>
              </w:rPr>
              <w:t>11,142,974.73</w:t>
            </w:r>
          </w:p>
        </w:tc>
        <w:tc>
          <w:tcPr>
            <w:tcW w:w="898" w:type="pct"/>
            <w:vAlign w:val="center"/>
          </w:tcPr>
          <w:p w14:paraId="1615B762">
            <w:pPr>
              <w:jc w:val="right"/>
              <w:textAlignment w:val="center"/>
              <w:rPr>
                <w:rFonts w:cs="Times New Roman"/>
              </w:rPr>
            </w:pPr>
            <w:r>
              <w:rPr>
                <w:rFonts w:cs="Times New Roman"/>
                <w:color w:val="000000"/>
              </w:rPr>
              <w:t>1,671,446.22</w:t>
            </w:r>
          </w:p>
        </w:tc>
      </w:tr>
      <w:tr w14:paraId="7EA5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39" w:type="pct"/>
            <w:vAlign w:val="center"/>
          </w:tcPr>
          <w:p w14:paraId="5301D62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931" w:type="pct"/>
            <w:vAlign w:val="center"/>
          </w:tcPr>
          <w:p w14:paraId="145E5CEB">
            <w:pPr>
              <w:jc w:val="right"/>
              <w:textAlignment w:val="center"/>
              <w:rPr>
                <w:rFonts w:cs="Times New Roman"/>
              </w:rPr>
            </w:pPr>
            <w:r>
              <w:rPr>
                <w:rFonts w:cs="Times New Roman"/>
                <w:color w:val="000000"/>
              </w:rPr>
              <w:t>1,833,067,702.08</w:t>
            </w:r>
          </w:p>
        </w:tc>
        <w:tc>
          <w:tcPr>
            <w:tcW w:w="899" w:type="pct"/>
            <w:vAlign w:val="center"/>
          </w:tcPr>
          <w:p w14:paraId="35E16E02">
            <w:pPr>
              <w:jc w:val="right"/>
              <w:textAlignment w:val="center"/>
              <w:rPr>
                <w:rFonts w:cs="Times New Roman"/>
              </w:rPr>
            </w:pPr>
            <w:r>
              <w:rPr>
                <w:rFonts w:cs="Times New Roman"/>
                <w:color w:val="000000"/>
              </w:rPr>
              <w:t>294,974,492.52</w:t>
            </w:r>
          </w:p>
        </w:tc>
        <w:tc>
          <w:tcPr>
            <w:tcW w:w="931" w:type="pct"/>
            <w:vAlign w:val="center"/>
          </w:tcPr>
          <w:p w14:paraId="41D48B0A">
            <w:pPr>
              <w:jc w:val="right"/>
              <w:textAlignment w:val="center"/>
              <w:rPr>
                <w:rFonts w:cs="Times New Roman"/>
              </w:rPr>
            </w:pPr>
            <w:r>
              <w:rPr>
                <w:rFonts w:cs="Times New Roman"/>
                <w:color w:val="000000"/>
              </w:rPr>
              <w:t>1,863,680,382.22</w:t>
            </w:r>
          </w:p>
        </w:tc>
        <w:tc>
          <w:tcPr>
            <w:tcW w:w="898" w:type="pct"/>
            <w:vAlign w:val="center"/>
          </w:tcPr>
          <w:p w14:paraId="32A6F95C">
            <w:pPr>
              <w:jc w:val="right"/>
              <w:textAlignment w:val="center"/>
              <w:rPr>
                <w:rFonts w:cs="Times New Roman"/>
              </w:rPr>
            </w:pPr>
            <w:r>
              <w:rPr>
                <w:rFonts w:cs="Times New Roman"/>
                <w:color w:val="000000"/>
              </w:rPr>
              <w:t>301,467,777.49</w:t>
            </w:r>
          </w:p>
        </w:tc>
      </w:tr>
    </w:tbl>
    <w:p w14:paraId="4FB9CD19">
      <w:pPr>
        <w:rPr>
          <w:color w:val="000000" w:themeColor="text1"/>
          <w14:textFill>
            <w14:solidFill>
              <w14:schemeClr w14:val="tx1"/>
            </w14:solidFill>
          </w14:textFill>
        </w:rPr>
      </w:pPr>
    </w:p>
    <w:p w14:paraId="22D1EAA0">
      <w:pPr>
        <w:pStyle w:val="58"/>
        <w:numPr>
          <w:ilvl w:val="0"/>
          <w:numId w:val="77"/>
        </w:numPr>
        <w:tabs>
          <w:tab w:val="left" w:pos="588"/>
          <w:tab w:val="left" w:pos="616"/>
        </w:tabs>
        <w:rPr>
          <w:rFonts w:ascii="宋体" w:hAnsi="宋体"/>
          <w:color w:val="000000" w:themeColor="text1"/>
          <w14:textFill>
            <w14:solidFill>
              <w14:schemeClr w14:val="tx1"/>
            </w14:solidFill>
          </w14:textFill>
        </w:rPr>
      </w:pPr>
      <w:bookmarkStart w:id="340" w:name="_Hlk11160621"/>
      <w:r>
        <w:rPr>
          <w:rFonts w:hint="eastAsia" w:ascii="宋体" w:hAnsi="宋体"/>
          <w:color w:val="000000" w:themeColor="text1"/>
          <w14:textFill>
            <w14:solidFill>
              <w14:schemeClr w14:val="tx1"/>
            </w14:solidFill>
          </w14:textFill>
        </w:rPr>
        <w:t>未经抵销的递延所得税负债</w:t>
      </w:r>
    </w:p>
    <w:sdt>
      <w:sdtPr>
        <w:rPr>
          <w:color w:val="000000" w:themeColor="text1"/>
          <w14:textFill>
            <w14:solidFill>
              <w14:schemeClr w14:val="tx1"/>
            </w14:solidFill>
          </w14:textFill>
        </w:rPr>
        <w:alias w:val="是否适用：未经抵销的递延所得税负债[双击切换]"/>
        <w:tag w:val="_GBC_e9cf2825b61d4a9ca57e90c2ed017173"/>
        <w:id w:val="147452095"/>
        <w:placeholder>
          <w:docPart w:val="GBC22222222222222222222222222222"/>
        </w:placeholder>
      </w:sdtPr>
      <w:sdtEndPr>
        <w:rPr>
          <w:color w:val="000000" w:themeColor="text1"/>
          <w14:textFill>
            <w14:solidFill>
              <w14:schemeClr w14:val="tx1"/>
            </w14:solidFill>
          </w14:textFill>
        </w:rPr>
      </w:sdtEndPr>
      <w:sdtContent>
        <w:p w14:paraId="45BD275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F6E3DE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经抵销的递延所得税负债"/>
          <w:tag w:val="_GBC_7fa4a7048e284eb79ceb0dee5165516f"/>
          <w:id w:val="14746098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经抵销的递延所得税负债"/>
          <w:tag w:val="_GBC_85beae3a7d624858bfe37a33da15472b"/>
          <w:id w:val="1474763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8"/>
        <w:gridCol w:w="1441"/>
        <w:gridCol w:w="1606"/>
        <w:gridCol w:w="1658"/>
        <w:gridCol w:w="1676"/>
      </w:tblGrid>
      <w:tr w14:paraId="65F9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66ef6111bb2d4b3792b581d6ff38c8d2"/>
            <w:id w:val="147462891"/>
          </w:sdtPr>
          <w:sdtContent>
            <w:tc>
              <w:tcPr>
                <w:tcW w:w="1474" w:type="pct"/>
                <w:vMerge w:val="restart"/>
                <w:vAlign w:val="center"/>
              </w:tcPr>
              <w:p w14:paraId="5E86AD00">
                <w:pPr>
                  <w:jc w:val="center"/>
                  <w:rPr>
                    <w:color w:val="000000" w:themeColor="text1"/>
                    <w14:textFill>
                      <w14:solidFill>
                        <w14:schemeClr w14:val="tx1"/>
                      </w14:solidFill>
                    </w14:textFill>
                  </w:rPr>
                </w:pPr>
                <w:bookmarkStart w:id="341" w:name="_Hlk11857349"/>
                <w:r>
                  <w:rPr>
                    <w:rFonts w:hint="eastAsia"/>
                    <w:color w:val="000000" w:themeColor="text1"/>
                    <w14:textFill>
                      <w14:solidFill>
                        <w14:schemeClr w14:val="tx1"/>
                      </w14:solidFill>
                    </w14:textFill>
                  </w:rPr>
                  <w:t>项目</w:t>
                </w:r>
              </w:p>
            </w:tc>
          </w:sdtContent>
        </w:sdt>
        <w:sdt>
          <w:sdtPr>
            <w:tag w:val="_PLD_b850d4f63866495f80e69799c9ea1b37"/>
            <w:id w:val="147474049"/>
          </w:sdtPr>
          <w:sdtContent>
            <w:tc>
              <w:tcPr>
                <w:tcW w:w="1683" w:type="pct"/>
                <w:gridSpan w:val="2"/>
                <w:vAlign w:val="center"/>
              </w:tcPr>
              <w:p w14:paraId="5536831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51c3eee882c4aaa862f620814f6ce4e"/>
            <w:id w:val="147472729"/>
          </w:sdtPr>
          <w:sdtContent>
            <w:tc>
              <w:tcPr>
                <w:tcW w:w="1842" w:type="pct"/>
                <w:gridSpan w:val="2"/>
                <w:vAlign w:val="center"/>
              </w:tcPr>
              <w:p w14:paraId="479E3D6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493F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74" w:type="pct"/>
            <w:vMerge w:val="continue"/>
            <w:vAlign w:val="center"/>
          </w:tcPr>
          <w:p w14:paraId="01964F69">
            <w:pPr>
              <w:jc w:val="center"/>
              <w:rPr>
                <w:b/>
                <w:color w:val="000000" w:themeColor="text1"/>
                <w14:textFill>
                  <w14:solidFill>
                    <w14:schemeClr w14:val="tx1"/>
                  </w14:solidFill>
                </w14:textFill>
              </w:rPr>
            </w:pPr>
          </w:p>
        </w:tc>
        <w:sdt>
          <w:sdtPr>
            <w:tag w:val="_PLD_f33e3c528ff14a2bac81ec99970641f6"/>
            <w:id w:val="147461864"/>
          </w:sdtPr>
          <w:sdtContent>
            <w:tc>
              <w:tcPr>
                <w:tcW w:w="796" w:type="pct"/>
                <w:vAlign w:val="center"/>
              </w:tcPr>
              <w:p w14:paraId="1CFECB3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应纳税暂时性差异</w:t>
                </w:r>
              </w:p>
            </w:tc>
          </w:sdtContent>
        </w:sdt>
        <w:sdt>
          <w:sdtPr>
            <w:tag w:val="_PLD_0cb734f9904e4a57a5107d601b9b38d1"/>
            <w:id w:val="147453773"/>
          </w:sdtPr>
          <w:sdtContent>
            <w:tc>
              <w:tcPr>
                <w:tcW w:w="886" w:type="pct"/>
                <w:vAlign w:val="center"/>
              </w:tcPr>
              <w:p w14:paraId="5971B83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14:paraId="0F5E333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负债</w:t>
                </w:r>
              </w:p>
            </w:tc>
          </w:sdtContent>
        </w:sdt>
        <w:sdt>
          <w:sdtPr>
            <w:tag w:val="_PLD_ddf3980c66a840e782386c14bb078052"/>
            <w:id w:val="147478774"/>
          </w:sdtPr>
          <w:sdtContent>
            <w:tc>
              <w:tcPr>
                <w:tcW w:w="916" w:type="pct"/>
                <w:vAlign w:val="center"/>
              </w:tcPr>
              <w:p w14:paraId="793EF3F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应纳税暂时性差异</w:t>
                </w:r>
              </w:p>
            </w:tc>
          </w:sdtContent>
        </w:sdt>
        <w:sdt>
          <w:sdtPr>
            <w:tag w:val="_PLD_590dc17e8304449fbff47c3b3cd45eb5"/>
            <w:id w:val="147454271"/>
          </w:sdtPr>
          <w:sdtContent>
            <w:tc>
              <w:tcPr>
                <w:tcW w:w="926" w:type="pct"/>
                <w:vAlign w:val="center"/>
              </w:tcPr>
              <w:p w14:paraId="47047B5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14:paraId="2E75FFC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负债</w:t>
                </w:r>
              </w:p>
            </w:tc>
          </w:sdtContent>
        </w:sdt>
      </w:tr>
      <w:tr w14:paraId="7793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74" w:type="pct"/>
          </w:tcPr>
          <w:p w14:paraId="79960A5A">
            <w:pPr>
              <w:textAlignment w:val="top"/>
            </w:pPr>
            <w:r>
              <w:rPr>
                <w:rFonts w:hint="eastAsia" w:ascii="宋体" w:hAnsi="宋体"/>
                <w:color w:val="000000"/>
                <w:lang w:bidi="ar"/>
              </w:rPr>
              <w:t>延期计税的国家财政拨款、债务重组收益及其他</w:t>
            </w:r>
          </w:p>
        </w:tc>
        <w:tc>
          <w:tcPr>
            <w:tcW w:w="796" w:type="pct"/>
            <w:vAlign w:val="center"/>
          </w:tcPr>
          <w:p w14:paraId="18836DF6">
            <w:pPr>
              <w:jc w:val="right"/>
              <w:textAlignment w:val="center"/>
              <w:rPr>
                <w:rFonts w:cs="Times New Roman"/>
              </w:rPr>
            </w:pPr>
            <w:r>
              <w:rPr>
                <w:rFonts w:cs="Times New Roman"/>
                <w:color w:val="000000"/>
              </w:rPr>
              <w:t>52,187,320.97</w:t>
            </w:r>
          </w:p>
        </w:tc>
        <w:tc>
          <w:tcPr>
            <w:tcW w:w="886" w:type="pct"/>
            <w:vAlign w:val="center"/>
          </w:tcPr>
          <w:p w14:paraId="43BEE125">
            <w:pPr>
              <w:jc w:val="right"/>
              <w:textAlignment w:val="center"/>
              <w:rPr>
                <w:rFonts w:cs="Times New Roman"/>
              </w:rPr>
            </w:pPr>
            <w:r>
              <w:rPr>
                <w:rFonts w:cs="Times New Roman"/>
                <w:color w:val="000000"/>
              </w:rPr>
              <w:t>7,828,098.15</w:t>
            </w:r>
          </w:p>
        </w:tc>
        <w:tc>
          <w:tcPr>
            <w:tcW w:w="916" w:type="pct"/>
            <w:vAlign w:val="center"/>
          </w:tcPr>
          <w:p w14:paraId="54BF8932">
            <w:pPr>
              <w:jc w:val="right"/>
              <w:textAlignment w:val="center"/>
              <w:rPr>
                <w:rFonts w:cs="Times New Roman"/>
              </w:rPr>
            </w:pPr>
            <w:r>
              <w:rPr>
                <w:rFonts w:cs="Times New Roman"/>
                <w:color w:val="000000"/>
              </w:rPr>
              <w:t>52,187,320.97</w:t>
            </w:r>
          </w:p>
        </w:tc>
        <w:tc>
          <w:tcPr>
            <w:tcW w:w="926" w:type="pct"/>
            <w:vAlign w:val="center"/>
          </w:tcPr>
          <w:p w14:paraId="7B899B8F">
            <w:pPr>
              <w:jc w:val="right"/>
              <w:textAlignment w:val="center"/>
              <w:rPr>
                <w:rFonts w:cs="Times New Roman"/>
              </w:rPr>
            </w:pPr>
            <w:r>
              <w:rPr>
                <w:rFonts w:cs="Times New Roman"/>
                <w:color w:val="000000"/>
              </w:rPr>
              <w:t>7,828,098.15</w:t>
            </w:r>
          </w:p>
        </w:tc>
      </w:tr>
      <w:tr w14:paraId="2DAA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74" w:type="pct"/>
          </w:tcPr>
          <w:p w14:paraId="5D9818D5">
            <w:pPr>
              <w:textAlignment w:val="top"/>
            </w:pPr>
            <w:r>
              <w:rPr>
                <w:rFonts w:hint="eastAsia" w:ascii="宋体" w:hAnsi="宋体"/>
                <w:color w:val="000000"/>
                <w:lang w:bidi="ar"/>
              </w:rPr>
              <w:t>使用权资产</w:t>
            </w:r>
          </w:p>
        </w:tc>
        <w:tc>
          <w:tcPr>
            <w:tcW w:w="796" w:type="pct"/>
            <w:vAlign w:val="center"/>
          </w:tcPr>
          <w:p w14:paraId="3002227E">
            <w:pPr>
              <w:jc w:val="right"/>
              <w:textAlignment w:val="center"/>
              <w:rPr>
                <w:rFonts w:cs="Times New Roman"/>
              </w:rPr>
            </w:pPr>
            <w:r>
              <w:rPr>
                <w:rFonts w:cs="Times New Roman"/>
                <w:color w:val="000000"/>
              </w:rPr>
              <w:t>9,960,965.74</w:t>
            </w:r>
          </w:p>
        </w:tc>
        <w:tc>
          <w:tcPr>
            <w:tcW w:w="886" w:type="pct"/>
            <w:vAlign w:val="center"/>
          </w:tcPr>
          <w:p w14:paraId="490B2B18">
            <w:pPr>
              <w:jc w:val="right"/>
              <w:textAlignment w:val="center"/>
              <w:rPr>
                <w:rFonts w:cs="Times New Roman"/>
              </w:rPr>
            </w:pPr>
            <w:r>
              <w:rPr>
                <w:rFonts w:cs="Times New Roman"/>
                <w:color w:val="000000"/>
              </w:rPr>
              <w:t>1,494,144.86</w:t>
            </w:r>
          </w:p>
        </w:tc>
        <w:tc>
          <w:tcPr>
            <w:tcW w:w="916" w:type="pct"/>
            <w:vAlign w:val="center"/>
          </w:tcPr>
          <w:p w14:paraId="788599BE">
            <w:pPr>
              <w:jc w:val="right"/>
              <w:textAlignment w:val="center"/>
              <w:rPr>
                <w:rFonts w:cs="Times New Roman"/>
              </w:rPr>
            </w:pPr>
            <w:r>
              <w:rPr>
                <w:rFonts w:cs="Times New Roman"/>
                <w:color w:val="000000"/>
              </w:rPr>
              <w:t>10,670,711.29</w:t>
            </w:r>
          </w:p>
        </w:tc>
        <w:tc>
          <w:tcPr>
            <w:tcW w:w="926" w:type="pct"/>
            <w:vAlign w:val="center"/>
          </w:tcPr>
          <w:p w14:paraId="61FFA870">
            <w:pPr>
              <w:jc w:val="right"/>
              <w:textAlignment w:val="center"/>
              <w:rPr>
                <w:rFonts w:cs="Times New Roman"/>
              </w:rPr>
            </w:pPr>
            <w:r>
              <w:rPr>
                <w:rFonts w:cs="Times New Roman"/>
                <w:color w:val="000000"/>
              </w:rPr>
              <w:t>1,600,606.71</w:t>
            </w:r>
          </w:p>
        </w:tc>
      </w:tr>
      <w:tr w14:paraId="4988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74" w:type="pct"/>
            <w:vAlign w:val="center"/>
          </w:tcPr>
          <w:p w14:paraId="312DFEB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96" w:type="pct"/>
            <w:vAlign w:val="center"/>
          </w:tcPr>
          <w:p w14:paraId="5F58C444">
            <w:pPr>
              <w:jc w:val="right"/>
              <w:textAlignment w:val="center"/>
              <w:rPr>
                <w:rFonts w:cs="Times New Roman"/>
              </w:rPr>
            </w:pPr>
            <w:r>
              <w:rPr>
                <w:rFonts w:cs="Times New Roman"/>
                <w:color w:val="000000"/>
              </w:rPr>
              <w:t>62,148,286.71</w:t>
            </w:r>
          </w:p>
        </w:tc>
        <w:tc>
          <w:tcPr>
            <w:tcW w:w="886" w:type="pct"/>
            <w:vAlign w:val="center"/>
          </w:tcPr>
          <w:p w14:paraId="4367F7F4">
            <w:pPr>
              <w:jc w:val="right"/>
              <w:textAlignment w:val="center"/>
              <w:rPr>
                <w:rFonts w:cs="Times New Roman"/>
              </w:rPr>
            </w:pPr>
            <w:r>
              <w:rPr>
                <w:rFonts w:cs="Times New Roman"/>
                <w:color w:val="000000"/>
              </w:rPr>
              <w:t>9,322,243.01</w:t>
            </w:r>
          </w:p>
        </w:tc>
        <w:tc>
          <w:tcPr>
            <w:tcW w:w="916" w:type="pct"/>
            <w:vAlign w:val="center"/>
          </w:tcPr>
          <w:p w14:paraId="6EE111C1">
            <w:pPr>
              <w:jc w:val="right"/>
              <w:textAlignment w:val="center"/>
              <w:rPr>
                <w:rFonts w:cs="Times New Roman"/>
              </w:rPr>
            </w:pPr>
            <w:r>
              <w:rPr>
                <w:rFonts w:cs="Times New Roman"/>
                <w:color w:val="000000"/>
              </w:rPr>
              <w:t>62,858,032.26</w:t>
            </w:r>
          </w:p>
        </w:tc>
        <w:tc>
          <w:tcPr>
            <w:tcW w:w="926" w:type="pct"/>
            <w:vAlign w:val="center"/>
          </w:tcPr>
          <w:p w14:paraId="2FAB1AC7">
            <w:pPr>
              <w:jc w:val="right"/>
              <w:textAlignment w:val="center"/>
              <w:rPr>
                <w:rFonts w:cs="Times New Roman"/>
              </w:rPr>
            </w:pPr>
            <w:r>
              <w:rPr>
                <w:rFonts w:cs="Times New Roman"/>
                <w:color w:val="000000"/>
              </w:rPr>
              <w:t>9,428,704.86</w:t>
            </w:r>
          </w:p>
        </w:tc>
      </w:tr>
    </w:tbl>
    <w:p w14:paraId="2A904D8D">
      <w:pPr>
        <w:rPr>
          <w:color w:val="000000" w:themeColor="text1"/>
          <w14:textFill>
            <w14:solidFill>
              <w14:schemeClr w14:val="tx1"/>
            </w14:solidFill>
          </w14:textFill>
        </w:rPr>
      </w:pPr>
    </w:p>
    <w:bookmarkEnd w:id="340"/>
    <w:bookmarkEnd w:id="341"/>
    <w:p w14:paraId="60726D9A">
      <w:pPr>
        <w:pStyle w:val="58"/>
        <w:numPr>
          <w:ilvl w:val="0"/>
          <w:numId w:val="77"/>
        </w:numPr>
        <w:tabs>
          <w:tab w:val="left" w:pos="588"/>
          <w:tab w:val="left" w:pos="616"/>
        </w:tabs>
        <w:rPr>
          <w:rFonts w:ascii="宋体" w:hAnsi="宋体"/>
          <w:color w:val="000000" w:themeColor="text1"/>
          <w14:textFill>
            <w14:solidFill>
              <w14:schemeClr w14:val="tx1"/>
            </w14:solidFill>
          </w14:textFill>
        </w:rPr>
      </w:pPr>
      <w:bookmarkStart w:id="342" w:name="_Hlk11160645"/>
      <w:r>
        <w:rPr>
          <w:rFonts w:hint="eastAsia" w:ascii="宋体" w:hAnsi="宋体"/>
          <w:color w:val="000000" w:themeColor="text1"/>
          <w14:textFill>
            <w14:solidFill>
              <w14:schemeClr w14:val="tx1"/>
            </w14:solidFill>
          </w14:textFill>
        </w:rPr>
        <w:t>以抵销后净额列示的递延所得税资产或负债</w:t>
      </w:r>
    </w:p>
    <w:sdt>
      <w:sdtPr>
        <w:rPr>
          <w:color w:val="000000" w:themeColor="text1"/>
          <w14:textFill>
            <w14:solidFill>
              <w14:schemeClr w14:val="tx1"/>
            </w14:solidFill>
          </w14:textFill>
        </w:rPr>
        <w:alias w:val="是否适用：以抵销后净额列示的递延所得税资产或负债[双击切换]"/>
        <w:tag w:val="_GBC_d6419a9d2dc94127a5f6aea72cb2a94d"/>
        <w:id w:val="147463975"/>
        <w:placeholder>
          <w:docPart w:val="GBC22222222222222222222222222222"/>
        </w:placeholder>
      </w:sdtPr>
      <w:sdtEndPr>
        <w:rPr>
          <w:color w:val="000000" w:themeColor="text1"/>
          <w14:textFill>
            <w14:solidFill>
              <w14:schemeClr w14:val="tx1"/>
            </w14:solidFill>
          </w14:textFill>
        </w:rPr>
      </w:sdtEndPr>
      <w:sdtContent>
        <w:p w14:paraId="7D39F33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42"/>
    <w:p w14:paraId="1E86B9CF">
      <w:pPr>
        <w:pStyle w:val="58"/>
        <w:numPr>
          <w:ilvl w:val="0"/>
          <w:numId w:val="77"/>
        </w:numPr>
        <w:tabs>
          <w:tab w:val="left" w:pos="588"/>
          <w:tab w:val="left" w:pos="616"/>
        </w:tabs>
        <w:rPr>
          <w:rFonts w:ascii="宋体" w:hAnsi="宋体"/>
          <w:color w:val="000000" w:themeColor="text1"/>
          <w14:textFill>
            <w14:solidFill>
              <w14:schemeClr w14:val="tx1"/>
            </w14:solidFill>
          </w14:textFill>
        </w:rPr>
      </w:pPr>
      <w:bookmarkStart w:id="343" w:name="_Hlk11160660"/>
      <w:r>
        <w:rPr>
          <w:rFonts w:hint="eastAsia" w:ascii="宋体" w:hAnsi="宋体"/>
          <w:color w:val="000000" w:themeColor="text1"/>
          <w14:textFill>
            <w14:solidFill>
              <w14:schemeClr w14:val="tx1"/>
            </w14:solidFill>
          </w14:textFill>
        </w:rPr>
        <w:t>未确认递延所得税资产明细</w:t>
      </w:r>
    </w:p>
    <w:sdt>
      <w:sdtPr>
        <w:rPr>
          <w:color w:val="000000" w:themeColor="text1"/>
          <w14:textFill>
            <w14:solidFill>
              <w14:schemeClr w14:val="tx1"/>
            </w14:solidFill>
          </w14:textFill>
        </w:rPr>
        <w:alias w:val="是否适用：未确认递延所得税资产明细[双击切换]"/>
        <w:tag w:val="_GBC_f210878b05204277b5f70ed9ae786ea7"/>
        <w:id w:val="-1484003285"/>
      </w:sdtPr>
      <w:sdtEndPr>
        <w:rPr>
          <w:color w:val="000000" w:themeColor="text1"/>
          <w14:textFill>
            <w14:solidFill>
              <w14:schemeClr w14:val="tx1"/>
            </w14:solidFill>
          </w14:textFill>
        </w:rPr>
      </w:sdtEndPr>
      <w:sdtContent>
        <w:p w14:paraId="1C6C14C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3FE27B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确认递延所得税资产明细"/>
          <w:tag w:val="_GBC_ce13c0c07be34b60aa76bbbf1260928d"/>
          <w:id w:val="731969361"/>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确认递延所得税资产明细"/>
          <w:tag w:val="_GBC_8f1c08c0092d44718e258d0b64b7bf6f"/>
          <w:id w:val="149275329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7"/>
        <w:gridCol w:w="3082"/>
        <w:gridCol w:w="3080"/>
      </w:tblGrid>
      <w:tr w14:paraId="0B4D0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bfd226eac09b4e2fb1cc66684c879c9b"/>
            <w:id w:val="-2079044523"/>
          </w:sdtPr>
          <w:sdtContent>
            <w:tc>
              <w:tcPr>
                <w:tcW w:w="1595" w:type="pct"/>
                <w:tcBorders>
                  <w:top w:val="single" w:color="auto" w:sz="4" w:space="0"/>
                  <w:left w:val="single" w:color="auto" w:sz="4" w:space="0"/>
                  <w:bottom w:val="single" w:color="auto" w:sz="4" w:space="0"/>
                  <w:right w:val="single" w:color="auto" w:sz="4" w:space="0"/>
                </w:tcBorders>
                <w:vAlign w:val="center"/>
              </w:tcPr>
              <w:p w14:paraId="6765BD5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ba7988c74a34dcf950349beb6df1c0b"/>
            <w:id w:val="-1333372233"/>
          </w:sdtPr>
          <w:sdtContent>
            <w:tc>
              <w:tcPr>
                <w:tcW w:w="1702" w:type="pct"/>
                <w:tcBorders>
                  <w:top w:val="single" w:color="auto" w:sz="4" w:space="0"/>
                  <w:left w:val="single" w:color="auto" w:sz="4" w:space="0"/>
                  <w:bottom w:val="single" w:color="auto" w:sz="4" w:space="0"/>
                  <w:right w:val="single" w:color="auto" w:sz="4" w:space="0"/>
                </w:tcBorders>
                <w:vAlign w:val="center"/>
              </w:tcPr>
              <w:p w14:paraId="2D83A86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6004da9855d4469bf16ab328077f444"/>
            <w:id w:val="1687558027"/>
          </w:sdtPr>
          <w:sdtContent>
            <w:tc>
              <w:tcPr>
                <w:tcW w:w="1701" w:type="pct"/>
                <w:tcBorders>
                  <w:top w:val="single" w:color="auto" w:sz="4" w:space="0"/>
                  <w:left w:val="single" w:color="auto" w:sz="4" w:space="0"/>
                  <w:bottom w:val="single" w:color="auto" w:sz="4" w:space="0"/>
                  <w:right w:val="single" w:color="auto" w:sz="4" w:space="0"/>
                </w:tcBorders>
                <w:vAlign w:val="center"/>
              </w:tcPr>
              <w:p w14:paraId="3D94B00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7E2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381c26214cb146ecba0c66da7cccbb9b"/>
            <w:id w:val="1846358942"/>
          </w:sdtPr>
          <w:sdtContent>
            <w:tc>
              <w:tcPr>
                <w:tcW w:w="1595" w:type="pct"/>
                <w:tcBorders>
                  <w:top w:val="single" w:color="auto" w:sz="4" w:space="0"/>
                  <w:left w:val="single" w:color="auto" w:sz="4" w:space="0"/>
                  <w:bottom w:val="single" w:color="auto" w:sz="4" w:space="0"/>
                  <w:right w:val="single" w:color="auto" w:sz="4" w:space="0"/>
                </w:tcBorders>
                <w:vAlign w:val="center"/>
              </w:tcPr>
              <w:p w14:paraId="1D6D4B37">
                <w:pPr>
                  <w:rPr>
                    <w:color w:val="000000" w:themeColor="text1"/>
                    <w14:textFill>
                      <w14:solidFill>
                        <w14:schemeClr w14:val="tx1"/>
                      </w14:solidFill>
                    </w14:textFill>
                  </w:rPr>
                </w:pPr>
                <w:r>
                  <w:rPr>
                    <w:rFonts w:hint="eastAsia"/>
                    <w:color w:val="000000" w:themeColor="text1"/>
                    <w14:textFill>
                      <w14:solidFill>
                        <w14:schemeClr w14:val="tx1"/>
                      </w14:solidFill>
                    </w14:textFill>
                  </w:rPr>
                  <w:t>可抵扣暂时性差异</w:t>
                </w:r>
              </w:p>
            </w:tc>
          </w:sdtContent>
        </w:sdt>
        <w:tc>
          <w:tcPr>
            <w:tcW w:w="1702" w:type="pct"/>
            <w:tcBorders>
              <w:top w:val="single" w:color="auto" w:sz="4" w:space="0"/>
              <w:left w:val="single" w:color="auto" w:sz="4" w:space="0"/>
              <w:bottom w:val="single" w:color="auto" w:sz="4" w:space="0"/>
              <w:right w:val="single" w:color="auto" w:sz="4" w:space="0"/>
            </w:tcBorders>
            <w:vAlign w:val="center"/>
          </w:tcPr>
          <w:p w14:paraId="00269469">
            <w:pPr>
              <w:jc w:val="right"/>
              <w:rPr>
                <w:rFonts w:cs="Times New Roman"/>
              </w:rPr>
            </w:pPr>
            <w:r>
              <w:rPr>
                <w:rFonts w:cs="Times New Roman"/>
              </w:rPr>
              <w:t>3,163,100,821.43</w:t>
            </w:r>
          </w:p>
        </w:tc>
        <w:tc>
          <w:tcPr>
            <w:tcW w:w="1701" w:type="pct"/>
            <w:tcBorders>
              <w:top w:val="single" w:color="auto" w:sz="4" w:space="0"/>
              <w:left w:val="single" w:color="auto" w:sz="4" w:space="0"/>
              <w:bottom w:val="single" w:color="auto" w:sz="4" w:space="0"/>
              <w:right w:val="single" w:color="auto" w:sz="4" w:space="0"/>
            </w:tcBorders>
            <w:vAlign w:val="center"/>
          </w:tcPr>
          <w:p w14:paraId="5C4FC4CF">
            <w:pPr>
              <w:jc w:val="right"/>
              <w:rPr>
                <w:rFonts w:cs="Times New Roman"/>
              </w:rPr>
            </w:pPr>
            <w:r>
              <w:rPr>
                <w:rFonts w:cs="Times New Roman"/>
              </w:rPr>
              <w:t>3,369,943,963.46</w:t>
            </w:r>
          </w:p>
        </w:tc>
      </w:tr>
      <w:tr w14:paraId="4D23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7d61d57f3afe461287d338be31b7f128"/>
            <w:id w:val="-1873450170"/>
          </w:sdtPr>
          <w:sdtContent>
            <w:tc>
              <w:tcPr>
                <w:tcW w:w="1595" w:type="pct"/>
                <w:tcBorders>
                  <w:top w:val="single" w:color="auto" w:sz="4" w:space="0"/>
                  <w:left w:val="single" w:color="auto" w:sz="4" w:space="0"/>
                  <w:bottom w:val="single" w:color="auto" w:sz="4" w:space="0"/>
                  <w:right w:val="single" w:color="auto" w:sz="4" w:space="0"/>
                </w:tcBorders>
                <w:vAlign w:val="center"/>
              </w:tcPr>
              <w:p w14:paraId="1096A8CE">
                <w:pPr>
                  <w:rPr>
                    <w:color w:val="000000" w:themeColor="text1"/>
                    <w14:textFill>
                      <w14:solidFill>
                        <w14:schemeClr w14:val="tx1"/>
                      </w14:solidFill>
                    </w14:textFill>
                  </w:rPr>
                </w:pPr>
                <w:r>
                  <w:rPr>
                    <w:rFonts w:hint="eastAsia"/>
                    <w:color w:val="000000" w:themeColor="text1"/>
                    <w14:textFill>
                      <w14:solidFill>
                        <w14:schemeClr w14:val="tx1"/>
                      </w14:solidFill>
                    </w14:textFill>
                  </w:rPr>
                  <w:t>可抵扣亏损</w:t>
                </w:r>
              </w:p>
            </w:tc>
          </w:sdtContent>
        </w:sdt>
        <w:tc>
          <w:tcPr>
            <w:tcW w:w="1702" w:type="pct"/>
            <w:tcBorders>
              <w:top w:val="single" w:color="auto" w:sz="4" w:space="0"/>
              <w:left w:val="single" w:color="auto" w:sz="4" w:space="0"/>
              <w:bottom w:val="single" w:color="auto" w:sz="4" w:space="0"/>
              <w:right w:val="single" w:color="auto" w:sz="4" w:space="0"/>
            </w:tcBorders>
            <w:vAlign w:val="center"/>
          </w:tcPr>
          <w:p w14:paraId="1206D53A">
            <w:pPr>
              <w:jc w:val="right"/>
              <w:rPr>
                <w:rFonts w:cs="Times New Roman"/>
              </w:rPr>
            </w:pPr>
            <w:r>
              <w:rPr>
                <w:rFonts w:cs="Times New Roman"/>
              </w:rPr>
              <w:t>2,506,688,830.87</w:t>
            </w:r>
          </w:p>
        </w:tc>
        <w:tc>
          <w:tcPr>
            <w:tcW w:w="1701" w:type="pct"/>
            <w:tcBorders>
              <w:top w:val="single" w:color="auto" w:sz="4" w:space="0"/>
              <w:left w:val="single" w:color="auto" w:sz="4" w:space="0"/>
              <w:bottom w:val="single" w:color="auto" w:sz="4" w:space="0"/>
              <w:right w:val="single" w:color="auto" w:sz="4" w:space="0"/>
            </w:tcBorders>
            <w:vAlign w:val="center"/>
          </w:tcPr>
          <w:p w14:paraId="4FFFC8EB">
            <w:pPr>
              <w:jc w:val="right"/>
              <w:rPr>
                <w:rFonts w:cs="Times New Roman"/>
              </w:rPr>
            </w:pPr>
            <w:r>
              <w:rPr>
                <w:rFonts w:cs="Times New Roman"/>
              </w:rPr>
              <w:t>2,469,944,889.62</w:t>
            </w:r>
          </w:p>
        </w:tc>
      </w:tr>
      <w:sdt>
        <w:sdtPr>
          <w:rPr>
            <w:rFonts w:hint="eastAsia"/>
            <w:color w:val="000000" w:themeColor="text1"/>
            <w14:textFill>
              <w14:solidFill>
                <w14:schemeClr w14:val="tx1"/>
              </w14:solidFill>
            </w14:textFill>
          </w:rPr>
          <w:alias w:val="未确认递延所得税资产明细"/>
          <w:tag w:val="_GBC_dececa13e6ec42e9a7b6dc670fa5ccbb"/>
          <w:id w:val="-936819943"/>
          <w:placeholder>
            <w:docPart w:val="{6f30955f-b77f-4afe-8b09-25f848106008}"/>
          </w:placeholder>
        </w:sdtPr>
        <w:sdtEndPr>
          <w:rPr>
            <w:rFonts w:hint="default" w:cs="Times New Roman"/>
            <w:color w:val="000000" w:themeColor="text1"/>
            <w14:textFill>
              <w14:solidFill>
                <w14:schemeClr w14:val="tx1"/>
              </w14:solidFill>
            </w14:textFill>
          </w:rPr>
        </w:sdtEndPr>
        <w:sdtContent>
          <w:tr w14:paraId="5A3F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5" w:type="pct"/>
                <w:tcBorders>
                  <w:top w:val="single" w:color="auto" w:sz="4" w:space="0"/>
                  <w:left w:val="single" w:color="auto" w:sz="4" w:space="0"/>
                  <w:bottom w:val="single" w:color="auto" w:sz="4" w:space="0"/>
                  <w:right w:val="single" w:color="auto" w:sz="4" w:space="0"/>
                </w:tcBorders>
              </w:tcPr>
              <w:p w14:paraId="0C75754B">
                <w:r>
                  <w:rPr>
                    <w:rFonts w:hint="eastAsia"/>
                  </w:rPr>
                  <w:t>预计负债</w:t>
                </w:r>
              </w:p>
            </w:tc>
            <w:tc>
              <w:tcPr>
                <w:tcW w:w="1702" w:type="pct"/>
                <w:tcBorders>
                  <w:top w:val="single" w:color="auto" w:sz="4" w:space="0"/>
                  <w:left w:val="single" w:color="auto" w:sz="4" w:space="0"/>
                  <w:bottom w:val="single" w:color="auto" w:sz="4" w:space="0"/>
                  <w:right w:val="single" w:color="auto" w:sz="4" w:space="0"/>
                </w:tcBorders>
                <w:vAlign w:val="center"/>
              </w:tcPr>
              <w:p w14:paraId="505B1929">
                <w:pPr>
                  <w:jc w:val="right"/>
                  <w:rPr>
                    <w:rFonts w:cs="Times New Roman"/>
                  </w:rPr>
                </w:pPr>
                <w:r>
                  <w:rPr>
                    <w:rFonts w:cs="Times New Roman"/>
                  </w:rPr>
                  <w:t>200,000,000.00</w:t>
                </w:r>
              </w:p>
            </w:tc>
            <w:tc>
              <w:tcPr>
                <w:tcW w:w="1701" w:type="pct"/>
                <w:tcBorders>
                  <w:top w:val="single" w:color="auto" w:sz="4" w:space="0"/>
                  <w:left w:val="single" w:color="auto" w:sz="4" w:space="0"/>
                  <w:bottom w:val="single" w:color="auto" w:sz="4" w:space="0"/>
                  <w:right w:val="single" w:color="auto" w:sz="4" w:space="0"/>
                </w:tcBorders>
                <w:vAlign w:val="center"/>
              </w:tcPr>
              <w:p w14:paraId="0C1646C7">
                <w:pPr>
                  <w:jc w:val="right"/>
                  <w:rPr>
                    <w:rFonts w:cs="Times New Roman"/>
                  </w:rPr>
                </w:pPr>
                <w:r>
                  <w:rPr>
                    <w:rFonts w:cs="Times New Roman"/>
                  </w:rPr>
                  <w:t>200,000,000.00</w:t>
                </w:r>
              </w:p>
            </w:tc>
          </w:tr>
        </w:sdtContent>
      </w:sdt>
      <w:sdt>
        <w:sdtPr>
          <w:alias w:val="未确认递延所得税资产明细"/>
          <w:tag w:val="_GBC_dececa13e6ec42e9a7b6dc670fa5ccbb"/>
          <w:id w:val="-2142562692"/>
          <w:placeholder>
            <w:docPart w:val="{6f30955f-b77f-4afe-8b09-25f848106008}"/>
          </w:placeholder>
        </w:sdtPr>
        <w:sdtEndPr>
          <w:rPr>
            <w:rFonts w:cs="Times New Roman"/>
          </w:rPr>
        </w:sdtEndPr>
        <w:sdtContent>
          <w:tr w14:paraId="3874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a867b83c897e41619f1515baeb2b55ff"/>
                <w:id w:val="1858621034"/>
              </w:sdtPr>
              <w:sdtContent>
                <w:tc>
                  <w:tcPr>
                    <w:tcW w:w="1595" w:type="pct"/>
                    <w:tcBorders>
                      <w:top w:val="single" w:color="auto" w:sz="4" w:space="0"/>
                      <w:left w:val="single" w:color="auto" w:sz="4" w:space="0"/>
                      <w:bottom w:val="single" w:color="auto" w:sz="4" w:space="0"/>
                      <w:right w:val="single" w:color="auto" w:sz="4" w:space="0"/>
                    </w:tcBorders>
                    <w:vAlign w:val="center"/>
                  </w:tcPr>
                  <w:p w14:paraId="4779DE6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1702" w:type="pct"/>
                <w:tcBorders>
                  <w:top w:val="single" w:color="auto" w:sz="4" w:space="0"/>
                  <w:left w:val="single" w:color="auto" w:sz="4" w:space="0"/>
                  <w:bottom w:val="single" w:color="auto" w:sz="4" w:space="0"/>
                  <w:right w:val="single" w:color="auto" w:sz="4" w:space="0"/>
                </w:tcBorders>
                <w:vAlign w:val="center"/>
              </w:tcPr>
              <w:p w14:paraId="1EE956A2">
                <w:pPr>
                  <w:jc w:val="right"/>
                  <w:rPr>
                    <w:rFonts w:cs="Times New Roman"/>
                  </w:rPr>
                </w:pPr>
                <w:r>
                  <w:rPr>
                    <w:rFonts w:cs="Times New Roman"/>
                  </w:rPr>
                  <w:t>5,869,789,652.30</w:t>
                </w:r>
              </w:p>
            </w:tc>
            <w:tc>
              <w:tcPr>
                <w:tcW w:w="1701" w:type="pct"/>
                <w:tcBorders>
                  <w:top w:val="single" w:color="auto" w:sz="4" w:space="0"/>
                  <w:left w:val="single" w:color="auto" w:sz="4" w:space="0"/>
                  <w:bottom w:val="single" w:color="auto" w:sz="4" w:space="0"/>
                  <w:right w:val="single" w:color="auto" w:sz="4" w:space="0"/>
                </w:tcBorders>
                <w:vAlign w:val="center"/>
              </w:tcPr>
              <w:p w14:paraId="0C34A131">
                <w:pPr>
                  <w:jc w:val="right"/>
                  <w:rPr>
                    <w:rFonts w:cs="Times New Roman"/>
                  </w:rPr>
                </w:pPr>
                <w:r>
                  <w:rPr>
                    <w:rFonts w:cs="Times New Roman"/>
                  </w:rPr>
                  <w:t>6,039,888,853.08</w:t>
                </w:r>
              </w:p>
            </w:tc>
          </w:tr>
        </w:sdtContent>
      </w:sdt>
    </w:tbl>
    <w:p w14:paraId="7CF4D8B2">
      <w:pPr>
        <w:rPr>
          <w:color w:val="000000" w:themeColor="text1"/>
          <w14:textFill>
            <w14:solidFill>
              <w14:schemeClr w14:val="tx1"/>
            </w14:solidFill>
          </w14:textFill>
        </w:rPr>
      </w:pPr>
    </w:p>
    <w:bookmarkEnd w:id="343"/>
    <w:p w14:paraId="4D4C2C3C">
      <w:pPr>
        <w:pStyle w:val="58"/>
        <w:numPr>
          <w:ilvl w:val="0"/>
          <w:numId w:val="77"/>
        </w:numPr>
        <w:tabs>
          <w:tab w:val="left" w:pos="588"/>
          <w:tab w:val="left" w:pos="616"/>
        </w:tabs>
        <w:rPr>
          <w:rFonts w:ascii="宋体" w:hAnsi="宋体"/>
          <w:color w:val="000000" w:themeColor="text1"/>
          <w14:textFill>
            <w14:solidFill>
              <w14:schemeClr w14:val="tx1"/>
            </w14:solidFill>
          </w14:textFill>
        </w:rPr>
      </w:pPr>
      <w:bookmarkStart w:id="344" w:name="_Hlk11160672"/>
      <w:r>
        <w:rPr>
          <w:rFonts w:hint="eastAsia" w:ascii="宋体" w:hAnsi="宋体"/>
          <w:color w:val="000000" w:themeColor="text1"/>
          <w14:textFill>
            <w14:solidFill>
              <w14:schemeClr w14:val="tx1"/>
            </w14:solidFill>
          </w14:textFill>
        </w:rPr>
        <w:t>未确认递延所得税资产的可抵扣亏损将于以下年度到期</w:t>
      </w:r>
    </w:p>
    <w:sdt>
      <w:sdtPr>
        <w:rPr>
          <w:color w:val="000000" w:themeColor="text1"/>
          <w14:textFill>
            <w14:solidFill>
              <w14:schemeClr w14:val="tx1"/>
            </w14:solidFill>
          </w14:textFill>
        </w:rPr>
        <w:alias w:val="是否适用：未确认递延所得税资产的可抵扣亏损将于以下年度到期[双击切换]"/>
        <w:tag w:val="_GBC_10d31911cedc4147b90ab71d35742bf4"/>
        <w:id w:val="-396364830"/>
      </w:sdtPr>
      <w:sdtEndPr>
        <w:rPr>
          <w:color w:val="000000" w:themeColor="text1"/>
          <w14:textFill>
            <w14:solidFill>
              <w14:schemeClr w14:val="tx1"/>
            </w14:solidFill>
          </w14:textFill>
        </w:rPr>
      </w:sdtEndPr>
      <w:sdtContent>
        <w:p w14:paraId="7EEEA80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AD1F1AB">
      <w:pPr>
        <w:ind w:right="57"/>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确认递延所得税资产的可抵扣亏损将于以下年度到期"/>
          <w:tag w:val="_GBC_e5ae9be2f02b49aa93ff11e0e7a11cca"/>
          <w:id w:val="-2109344940"/>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确认递延所得税资产的可抵扣亏损将于以下年度到期"/>
          <w:tag w:val="_GBC_83b0fc2196304484aa53ef2b9e2e191a"/>
          <w:id w:val="101149411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6"/>
        <w:gridCol w:w="3089"/>
        <w:gridCol w:w="3142"/>
      </w:tblGrid>
      <w:tr w14:paraId="4C45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sdt>
          <w:sdtPr>
            <w:tag w:val="_PLD_710a470de2b84ef593de891faad46b6b"/>
            <w:id w:val="926532966"/>
          </w:sdtPr>
          <w:sdtContent>
            <w:tc>
              <w:tcPr>
                <w:tcW w:w="1556" w:type="pct"/>
                <w:tcBorders>
                  <w:top w:val="single" w:color="auto" w:sz="4" w:space="0"/>
                  <w:left w:val="single" w:color="auto" w:sz="4" w:space="0"/>
                  <w:bottom w:val="single" w:color="auto" w:sz="4" w:space="0"/>
                  <w:right w:val="single" w:color="auto" w:sz="4" w:space="0"/>
                </w:tcBorders>
                <w:vAlign w:val="center"/>
              </w:tcPr>
              <w:p w14:paraId="12AF17F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年份</w:t>
                </w:r>
              </w:p>
            </w:tc>
          </w:sdtContent>
        </w:sdt>
        <w:sdt>
          <w:sdtPr>
            <w:tag w:val="_PLD_a6335ab4fba14ab8946b823c64f03503"/>
            <w:id w:val="964230075"/>
          </w:sdtPr>
          <w:sdtContent>
            <w:tc>
              <w:tcPr>
                <w:tcW w:w="1707" w:type="pct"/>
                <w:tcBorders>
                  <w:top w:val="single" w:color="auto" w:sz="4" w:space="0"/>
                  <w:left w:val="single" w:color="auto" w:sz="4" w:space="0"/>
                  <w:bottom w:val="single" w:color="auto" w:sz="4" w:space="0"/>
                  <w:right w:val="single" w:color="auto" w:sz="4" w:space="0"/>
                </w:tcBorders>
                <w:vAlign w:val="center"/>
              </w:tcPr>
              <w:p w14:paraId="52786BE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期末金额</w:t>
                </w:r>
              </w:p>
            </w:tc>
          </w:sdtContent>
        </w:sdt>
        <w:sdt>
          <w:sdtPr>
            <w:tag w:val="_PLD_7582e6645cec4513a5606c104f2d83f1"/>
            <w:id w:val="-1274703408"/>
          </w:sdtPr>
          <w:sdtContent>
            <w:tc>
              <w:tcPr>
                <w:tcW w:w="1736" w:type="pct"/>
                <w:tcBorders>
                  <w:top w:val="single" w:color="auto" w:sz="4" w:space="0"/>
                  <w:left w:val="single" w:color="auto" w:sz="4" w:space="0"/>
                  <w:bottom w:val="single" w:color="auto" w:sz="4" w:space="0"/>
                  <w:right w:val="single" w:color="auto" w:sz="4" w:space="0"/>
                </w:tcBorders>
                <w:vAlign w:val="center"/>
              </w:tcPr>
              <w:p w14:paraId="3FFA4D3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期初金额</w:t>
                </w:r>
              </w:p>
            </w:tc>
          </w:sdtContent>
        </w:sdt>
      </w:tr>
      <w:sdt>
        <w:sdtPr>
          <w:rPr>
            <w:rFonts w:hint="eastAsia"/>
            <w:color w:val="000000" w:themeColor="text1"/>
            <w14:textFill>
              <w14:solidFill>
                <w14:schemeClr w14:val="tx1"/>
              </w14:solidFill>
            </w14:textFill>
          </w:rPr>
          <w:alias w:val="未确认递延所得税资产的可抵扣亏损到期明细"/>
          <w:tag w:val="_GBC_a44a3a947eba4ff199b2b5473e07ff8b"/>
          <w:id w:val="1189253804"/>
          <w:placeholder>
            <w:docPart w:val="{c0812664-2cda-4da8-b779-e64626bb2ba7}"/>
          </w:placeholder>
        </w:sdtPr>
        <w:sdtEndPr>
          <w:rPr>
            <w:rFonts w:hint="eastAsia"/>
            <w:color w:val="000000" w:themeColor="text1"/>
            <w14:textFill>
              <w14:solidFill>
                <w14:schemeClr w14:val="tx1"/>
              </w14:solidFill>
            </w14:textFill>
          </w:rPr>
        </w:sdtEndPr>
        <w:sdtContent>
          <w:tr w14:paraId="22BF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6" w:type="pct"/>
                <w:tcBorders>
                  <w:top w:val="single" w:color="auto" w:sz="4" w:space="0"/>
                  <w:left w:val="single" w:color="auto" w:sz="4" w:space="0"/>
                  <w:bottom w:val="single" w:color="auto" w:sz="4" w:space="0"/>
                  <w:right w:val="single" w:color="auto" w:sz="4" w:space="0"/>
                </w:tcBorders>
              </w:tcPr>
              <w:p w14:paraId="64E9A4DF">
                <w:r>
                  <w:rPr>
                    <w:rFonts w:hint="eastAsia"/>
                  </w:rPr>
                  <w:t>2025</w:t>
                </w:r>
              </w:p>
            </w:tc>
            <w:tc>
              <w:tcPr>
                <w:tcW w:w="1707" w:type="pct"/>
                <w:tcBorders>
                  <w:top w:val="single" w:color="auto" w:sz="4" w:space="0"/>
                  <w:left w:val="single" w:color="auto" w:sz="4" w:space="0"/>
                  <w:bottom w:val="single" w:color="auto" w:sz="4" w:space="0"/>
                  <w:right w:val="single" w:color="auto" w:sz="4" w:space="0"/>
                </w:tcBorders>
                <w:vAlign w:val="center"/>
              </w:tcPr>
              <w:p w14:paraId="0BE92726">
                <w:pPr>
                  <w:jc w:val="right"/>
                </w:pPr>
                <w:r>
                  <w:rPr>
                    <w:rFonts w:hint="eastAsia"/>
                  </w:rPr>
                  <w:t>250,294,051.96</w:t>
                </w:r>
              </w:p>
            </w:tc>
            <w:tc>
              <w:tcPr>
                <w:tcW w:w="1736" w:type="pct"/>
                <w:tcBorders>
                  <w:top w:val="single" w:color="auto" w:sz="4" w:space="0"/>
                  <w:left w:val="single" w:color="auto" w:sz="4" w:space="0"/>
                  <w:bottom w:val="single" w:color="auto" w:sz="4" w:space="0"/>
                  <w:right w:val="single" w:color="auto" w:sz="4" w:space="0"/>
                </w:tcBorders>
                <w:vAlign w:val="center"/>
              </w:tcPr>
              <w:p w14:paraId="7E9CF466">
                <w:pPr>
                  <w:jc w:val="right"/>
                </w:pPr>
                <w:r>
                  <w:rPr>
                    <w:rFonts w:hint="eastAsia"/>
                  </w:rPr>
                  <w:t>250,294,051.96</w:t>
                </w:r>
              </w:p>
            </w:tc>
          </w:tr>
        </w:sdtContent>
      </w:sdt>
      <w:sdt>
        <w:sdtPr>
          <w:rPr>
            <w:rFonts w:hint="eastAsia"/>
            <w:color w:val="000000" w:themeColor="text1"/>
            <w14:textFill>
              <w14:solidFill>
                <w14:schemeClr w14:val="tx1"/>
              </w14:solidFill>
            </w14:textFill>
          </w:rPr>
          <w:alias w:val="未确认递延所得税资产的可抵扣亏损到期明细"/>
          <w:tag w:val="_GBC_a44a3a947eba4ff199b2b5473e07ff8b"/>
          <w:id w:val="889306553"/>
          <w:placeholder>
            <w:docPart w:val="{c0812664-2cda-4da8-b779-e64626bb2ba7}"/>
          </w:placeholder>
        </w:sdtPr>
        <w:sdtEndPr>
          <w:rPr>
            <w:rFonts w:hint="eastAsia"/>
            <w:color w:val="000000" w:themeColor="text1"/>
            <w14:textFill>
              <w14:solidFill>
                <w14:schemeClr w14:val="tx1"/>
              </w14:solidFill>
            </w14:textFill>
          </w:rPr>
        </w:sdtEndPr>
        <w:sdtContent>
          <w:tr w14:paraId="7D3E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6" w:type="pct"/>
                <w:tcBorders>
                  <w:top w:val="single" w:color="auto" w:sz="4" w:space="0"/>
                  <w:left w:val="single" w:color="auto" w:sz="4" w:space="0"/>
                  <w:bottom w:val="single" w:color="auto" w:sz="4" w:space="0"/>
                  <w:right w:val="single" w:color="auto" w:sz="4" w:space="0"/>
                </w:tcBorders>
              </w:tcPr>
              <w:p w14:paraId="117F0587">
                <w:r>
                  <w:rPr>
                    <w:rFonts w:hint="eastAsia"/>
                  </w:rPr>
                  <w:t>2026</w:t>
                </w:r>
              </w:p>
            </w:tc>
            <w:tc>
              <w:tcPr>
                <w:tcW w:w="1707" w:type="pct"/>
                <w:tcBorders>
                  <w:top w:val="single" w:color="auto" w:sz="4" w:space="0"/>
                  <w:left w:val="single" w:color="auto" w:sz="4" w:space="0"/>
                  <w:bottom w:val="single" w:color="auto" w:sz="4" w:space="0"/>
                  <w:right w:val="single" w:color="auto" w:sz="4" w:space="0"/>
                </w:tcBorders>
                <w:vAlign w:val="center"/>
              </w:tcPr>
              <w:p w14:paraId="709D6C34">
                <w:pPr>
                  <w:jc w:val="right"/>
                </w:pPr>
                <w:r>
                  <w:rPr>
                    <w:rFonts w:hint="eastAsia"/>
                  </w:rPr>
                  <w:t>275,683,580.72</w:t>
                </w:r>
              </w:p>
            </w:tc>
            <w:tc>
              <w:tcPr>
                <w:tcW w:w="1736" w:type="pct"/>
                <w:tcBorders>
                  <w:top w:val="single" w:color="auto" w:sz="4" w:space="0"/>
                  <w:left w:val="single" w:color="auto" w:sz="4" w:space="0"/>
                  <w:bottom w:val="single" w:color="auto" w:sz="4" w:space="0"/>
                  <w:right w:val="single" w:color="auto" w:sz="4" w:space="0"/>
                </w:tcBorders>
                <w:vAlign w:val="center"/>
              </w:tcPr>
              <w:p w14:paraId="4A9C1EF0">
                <w:pPr>
                  <w:jc w:val="right"/>
                </w:pPr>
                <w:r>
                  <w:rPr>
                    <w:rFonts w:hint="eastAsia"/>
                  </w:rPr>
                  <w:t>275,683,580.72</w:t>
                </w:r>
              </w:p>
            </w:tc>
          </w:tr>
        </w:sdtContent>
      </w:sdt>
      <w:sdt>
        <w:sdtPr>
          <w:rPr>
            <w:rFonts w:hint="eastAsia"/>
            <w:color w:val="000000" w:themeColor="text1"/>
            <w14:textFill>
              <w14:solidFill>
                <w14:schemeClr w14:val="tx1"/>
              </w14:solidFill>
            </w14:textFill>
          </w:rPr>
          <w:alias w:val="未确认递延所得税资产的可抵扣亏损到期明细"/>
          <w:tag w:val="_GBC_a44a3a947eba4ff199b2b5473e07ff8b"/>
          <w:id w:val="-760212723"/>
          <w:placeholder>
            <w:docPart w:val="{c0812664-2cda-4da8-b779-e64626bb2ba7}"/>
          </w:placeholder>
        </w:sdtPr>
        <w:sdtEndPr>
          <w:rPr>
            <w:rFonts w:hint="eastAsia"/>
            <w:color w:val="000000" w:themeColor="text1"/>
            <w14:textFill>
              <w14:solidFill>
                <w14:schemeClr w14:val="tx1"/>
              </w14:solidFill>
            </w14:textFill>
          </w:rPr>
        </w:sdtEndPr>
        <w:sdtContent>
          <w:tr w14:paraId="24D2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6" w:type="pct"/>
                <w:tcBorders>
                  <w:top w:val="single" w:color="auto" w:sz="4" w:space="0"/>
                  <w:left w:val="single" w:color="auto" w:sz="4" w:space="0"/>
                  <w:bottom w:val="single" w:color="auto" w:sz="4" w:space="0"/>
                  <w:right w:val="single" w:color="auto" w:sz="4" w:space="0"/>
                </w:tcBorders>
              </w:tcPr>
              <w:p w14:paraId="3276314C">
                <w:r>
                  <w:rPr>
                    <w:rFonts w:hint="eastAsia"/>
                  </w:rPr>
                  <w:t>2027</w:t>
                </w:r>
              </w:p>
            </w:tc>
            <w:tc>
              <w:tcPr>
                <w:tcW w:w="1707" w:type="pct"/>
                <w:tcBorders>
                  <w:top w:val="single" w:color="auto" w:sz="4" w:space="0"/>
                  <w:left w:val="single" w:color="auto" w:sz="4" w:space="0"/>
                  <w:bottom w:val="single" w:color="auto" w:sz="4" w:space="0"/>
                  <w:right w:val="single" w:color="auto" w:sz="4" w:space="0"/>
                </w:tcBorders>
                <w:vAlign w:val="center"/>
              </w:tcPr>
              <w:p w14:paraId="6DEFEFF8">
                <w:pPr>
                  <w:jc w:val="right"/>
                </w:pPr>
                <w:r>
                  <w:rPr>
                    <w:rFonts w:hint="eastAsia"/>
                  </w:rPr>
                  <w:t>291,535,334.15</w:t>
                </w:r>
              </w:p>
            </w:tc>
            <w:tc>
              <w:tcPr>
                <w:tcW w:w="1736" w:type="pct"/>
                <w:tcBorders>
                  <w:top w:val="single" w:color="auto" w:sz="4" w:space="0"/>
                  <w:left w:val="single" w:color="auto" w:sz="4" w:space="0"/>
                  <w:bottom w:val="single" w:color="auto" w:sz="4" w:space="0"/>
                  <w:right w:val="single" w:color="auto" w:sz="4" w:space="0"/>
                </w:tcBorders>
                <w:vAlign w:val="center"/>
              </w:tcPr>
              <w:p w14:paraId="21318AA0">
                <w:pPr>
                  <w:jc w:val="right"/>
                </w:pPr>
                <w:r>
                  <w:rPr>
                    <w:rFonts w:hint="eastAsia"/>
                  </w:rPr>
                  <w:t>296,952,995.83</w:t>
                </w:r>
              </w:p>
            </w:tc>
          </w:tr>
        </w:sdtContent>
      </w:sdt>
      <w:sdt>
        <w:sdtPr>
          <w:rPr>
            <w:rFonts w:hint="eastAsia"/>
            <w:color w:val="000000" w:themeColor="text1"/>
            <w14:textFill>
              <w14:solidFill>
                <w14:schemeClr w14:val="tx1"/>
              </w14:solidFill>
            </w14:textFill>
          </w:rPr>
          <w:alias w:val="未确认递延所得税资产的可抵扣亏损到期明细"/>
          <w:tag w:val="_GBC_a44a3a947eba4ff199b2b5473e07ff8b"/>
          <w:id w:val="381761742"/>
          <w:placeholder>
            <w:docPart w:val="{c0812664-2cda-4da8-b779-e64626bb2ba7}"/>
          </w:placeholder>
        </w:sdtPr>
        <w:sdtEndPr>
          <w:rPr>
            <w:rFonts w:hint="eastAsia"/>
            <w:color w:val="000000" w:themeColor="text1"/>
            <w14:textFill>
              <w14:solidFill>
                <w14:schemeClr w14:val="tx1"/>
              </w14:solidFill>
            </w14:textFill>
          </w:rPr>
        </w:sdtEndPr>
        <w:sdtContent>
          <w:tr w14:paraId="3B56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6" w:type="pct"/>
                <w:tcBorders>
                  <w:top w:val="single" w:color="auto" w:sz="4" w:space="0"/>
                  <w:left w:val="single" w:color="auto" w:sz="4" w:space="0"/>
                  <w:bottom w:val="single" w:color="auto" w:sz="4" w:space="0"/>
                  <w:right w:val="single" w:color="auto" w:sz="4" w:space="0"/>
                </w:tcBorders>
              </w:tcPr>
              <w:p w14:paraId="29310FBB">
                <w:r>
                  <w:rPr>
                    <w:rFonts w:hint="eastAsia"/>
                  </w:rPr>
                  <w:t>2028</w:t>
                </w:r>
              </w:p>
            </w:tc>
            <w:tc>
              <w:tcPr>
                <w:tcW w:w="1707" w:type="pct"/>
                <w:tcBorders>
                  <w:top w:val="single" w:color="auto" w:sz="4" w:space="0"/>
                  <w:left w:val="single" w:color="auto" w:sz="4" w:space="0"/>
                  <w:bottom w:val="single" w:color="auto" w:sz="4" w:space="0"/>
                  <w:right w:val="single" w:color="auto" w:sz="4" w:space="0"/>
                </w:tcBorders>
                <w:vAlign w:val="center"/>
              </w:tcPr>
              <w:p w14:paraId="034BDD87">
                <w:pPr>
                  <w:jc w:val="right"/>
                </w:pPr>
                <w:r>
                  <w:rPr>
                    <w:rFonts w:hint="eastAsia"/>
                  </w:rPr>
                  <w:t>284,542,521.22</w:t>
                </w:r>
              </w:p>
            </w:tc>
            <w:tc>
              <w:tcPr>
                <w:tcW w:w="1736" w:type="pct"/>
                <w:tcBorders>
                  <w:top w:val="single" w:color="auto" w:sz="4" w:space="0"/>
                  <w:left w:val="single" w:color="auto" w:sz="4" w:space="0"/>
                  <w:bottom w:val="single" w:color="auto" w:sz="4" w:space="0"/>
                  <w:right w:val="single" w:color="auto" w:sz="4" w:space="0"/>
                </w:tcBorders>
                <w:vAlign w:val="center"/>
              </w:tcPr>
              <w:p w14:paraId="22FA271A">
                <w:pPr>
                  <w:jc w:val="right"/>
                </w:pPr>
                <w:r>
                  <w:rPr>
                    <w:rFonts w:hint="eastAsia"/>
                  </w:rPr>
                  <w:t>284,542,521.22</w:t>
                </w:r>
              </w:p>
            </w:tc>
          </w:tr>
        </w:sdtContent>
      </w:sdt>
      <w:sdt>
        <w:sdtPr>
          <w:rPr>
            <w:rFonts w:hint="eastAsia"/>
            <w:color w:val="000000" w:themeColor="text1"/>
            <w14:textFill>
              <w14:solidFill>
                <w14:schemeClr w14:val="tx1"/>
              </w14:solidFill>
            </w14:textFill>
          </w:rPr>
          <w:alias w:val="未确认递延所得税资产的可抵扣亏损到期明细"/>
          <w:tag w:val="_GBC_a44a3a947eba4ff199b2b5473e07ff8b"/>
          <w:id w:val="-1853562300"/>
          <w:placeholder>
            <w:docPart w:val="{c0812664-2cda-4da8-b779-e64626bb2ba7}"/>
          </w:placeholder>
        </w:sdtPr>
        <w:sdtEndPr>
          <w:rPr>
            <w:rFonts w:hint="eastAsia"/>
            <w:color w:val="000000" w:themeColor="text1"/>
            <w14:textFill>
              <w14:solidFill>
                <w14:schemeClr w14:val="tx1"/>
              </w14:solidFill>
            </w14:textFill>
          </w:rPr>
        </w:sdtEndPr>
        <w:sdtContent>
          <w:tr w14:paraId="6EC1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6" w:type="pct"/>
                <w:tcBorders>
                  <w:top w:val="single" w:color="auto" w:sz="4" w:space="0"/>
                  <w:left w:val="single" w:color="auto" w:sz="4" w:space="0"/>
                  <w:bottom w:val="single" w:color="auto" w:sz="4" w:space="0"/>
                  <w:right w:val="single" w:color="auto" w:sz="4" w:space="0"/>
                </w:tcBorders>
              </w:tcPr>
              <w:p w14:paraId="6D13FD9A">
                <w:r>
                  <w:rPr>
                    <w:rFonts w:hint="eastAsia"/>
                  </w:rPr>
                  <w:t>2029</w:t>
                </w:r>
              </w:p>
            </w:tc>
            <w:tc>
              <w:tcPr>
                <w:tcW w:w="1707" w:type="pct"/>
                <w:tcBorders>
                  <w:top w:val="single" w:color="auto" w:sz="4" w:space="0"/>
                  <w:left w:val="single" w:color="auto" w:sz="4" w:space="0"/>
                  <w:bottom w:val="single" w:color="auto" w:sz="4" w:space="0"/>
                  <w:right w:val="single" w:color="auto" w:sz="4" w:space="0"/>
                </w:tcBorders>
                <w:vAlign w:val="center"/>
              </w:tcPr>
              <w:p w14:paraId="444EB3D7">
                <w:pPr>
                  <w:jc w:val="right"/>
                </w:pPr>
                <w:r>
                  <w:rPr>
                    <w:rFonts w:hint="eastAsia"/>
                  </w:rPr>
                  <w:t>1,290,090,869.63</w:t>
                </w:r>
              </w:p>
            </w:tc>
            <w:tc>
              <w:tcPr>
                <w:tcW w:w="1736" w:type="pct"/>
                <w:tcBorders>
                  <w:top w:val="single" w:color="auto" w:sz="4" w:space="0"/>
                  <w:left w:val="single" w:color="auto" w:sz="4" w:space="0"/>
                  <w:bottom w:val="single" w:color="auto" w:sz="4" w:space="0"/>
                  <w:right w:val="single" w:color="auto" w:sz="4" w:space="0"/>
                </w:tcBorders>
                <w:vAlign w:val="center"/>
              </w:tcPr>
              <w:p w14:paraId="074EFA80">
                <w:pPr>
                  <w:jc w:val="right"/>
                </w:pPr>
                <w:r>
                  <w:rPr>
                    <w:rFonts w:hint="eastAsia"/>
                  </w:rPr>
                  <w:t>1,362,471,739.89</w:t>
                </w:r>
              </w:p>
            </w:tc>
          </w:tr>
        </w:sdtContent>
      </w:sdt>
      <w:sdt>
        <w:sdtPr>
          <w:rPr>
            <w:rFonts w:hint="eastAsia"/>
            <w:color w:val="000000" w:themeColor="text1"/>
            <w14:textFill>
              <w14:solidFill>
                <w14:schemeClr w14:val="tx1"/>
              </w14:solidFill>
            </w14:textFill>
          </w:rPr>
          <w:alias w:val="未确认递延所得税资产的可抵扣亏损到期明细"/>
          <w:tag w:val="_GBC_a44a3a947eba4ff199b2b5473e07ff8b"/>
          <w:id w:val="-993948195"/>
          <w:placeholder>
            <w:docPart w:val="{c0812664-2cda-4da8-b779-e64626bb2ba7}"/>
          </w:placeholder>
        </w:sdtPr>
        <w:sdtEndPr>
          <w:rPr>
            <w:rFonts w:hint="eastAsia"/>
            <w:color w:val="000000" w:themeColor="text1"/>
            <w14:textFill>
              <w14:solidFill>
                <w14:schemeClr w14:val="tx1"/>
              </w14:solidFill>
            </w14:textFill>
          </w:rPr>
        </w:sdtEndPr>
        <w:sdtContent>
          <w:tr w14:paraId="193D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56" w:type="pct"/>
                <w:tcBorders>
                  <w:top w:val="single" w:color="auto" w:sz="4" w:space="0"/>
                  <w:left w:val="single" w:color="auto" w:sz="4" w:space="0"/>
                  <w:bottom w:val="single" w:color="auto" w:sz="4" w:space="0"/>
                  <w:right w:val="single" w:color="auto" w:sz="4" w:space="0"/>
                </w:tcBorders>
              </w:tcPr>
              <w:p w14:paraId="3856870B">
                <w:r>
                  <w:rPr>
                    <w:rFonts w:hint="eastAsia"/>
                  </w:rPr>
                  <w:t>2030</w:t>
                </w:r>
              </w:p>
            </w:tc>
            <w:tc>
              <w:tcPr>
                <w:tcW w:w="1707" w:type="pct"/>
                <w:tcBorders>
                  <w:top w:val="single" w:color="auto" w:sz="4" w:space="0"/>
                  <w:left w:val="single" w:color="auto" w:sz="4" w:space="0"/>
                  <w:bottom w:val="single" w:color="auto" w:sz="4" w:space="0"/>
                  <w:right w:val="single" w:color="auto" w:sz="4" w:space="0"/>
                </w:tcBorders>
                <w:vAlign w:val="center"/>
              </w:tcPr>
              <w:p w14:paraId="098FF940">
                <w:pPr>
                  <w:jc w:val="right"/>
                </w:pPr>
                <w:r>
                  <w:rPr>
                    <w:rFonts w:hint="eastAsia"/>
                  </w:rPr>
                  <w:t>114,542,473.19</w:t>
                </w:r>
              </w:p>
            </w:tc>
            <w:tc>
              <w:tcPr>
                <w:tcW w:w="1736" w:type="pct"/>
                <w:tcBorders>
                  <w:top w:val="single" w:color="auto" w:sz="4" w:space="0"/>
                  <w:left w:val="single" w:color="auto" w:sz="4" w:space="0"/>
                  <w:bottom w:val="single" w:color="auto" w:sz="4" w:space="0"/>
                  <w:right w:val="single" w:color="auto" w:sz="4" w:space="0"/>
                </w:tcBorders>
                <w:vAlign w:val="center"/>
              </w:tcPr>
              <w:p w14:paraId="42E9895A">
                <w:pPr>
                  <w:jc w:val="right"/>
                </w:pPr>
              </w:p>
            </w:tc>
          </w:tr>
        </w:sdtContent>
      </w:sdt>
      <w:tr w14:paraId="29F1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46168047d07447b6bd845849845604bb"/>
            <w:id w:val="-1418702501"/>
          </w:sdtPr>
          <w:sdtContent>
            <w:tc>
              <w:tcPr>
                <w:tcW w:w="1556" w:type="pct"/>
                <w:tcBorders>
                  <w:top w:val="single" w:color="auto" w:sz="4" w:space="0"/>
                  <w:left w:val="single" w:color="auto" w:sz="4" w:space="0"/>
                  <w:bottom w:val="single" w:color="auto" w:sz="4" w:space="0"/>
                  <w:right w:val="single" w:color="auto" w:sz="4" w:space="0"/>
                </w:tcBorders>
                <w:vAlign w:val="bottom"/>
              </w:tcPr>
              <w:p w14:paraId="2179D1F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1707" w:type="pct"/>
            <w:tcBorders>
              <w:top w:val="single" w:color="auto" w:sz="4" w:space="0"/>
              <w:left w:val="single" w:color="auto" w:sz="4" w:space="0"/>
              <w:bottom w:val="single" w:color="auto" w:sz="4" w:space="0"/>
              <w:right w:val="single" w:color="auto" w:sz="4" w:space="0"/>
            </w:tcBorders>
            <w:vAlign w:val="center"/>
          </w:tcPr>
          <w:p w14:paraId="6DA11371">
            <w:pPr>
              <w:jc w:val="right"/>
            </w:pPr>
            <w:r>
              <w:rPr>
                <w:rFonts w:hint="eastAsia"/>
              </w:rPr>
              <w:t>2,506,688,830.87</w:t>
            </w:r>
          </w:p>
        </w:tc>
        <w:tc>
          <w:tcPr>
            <w:tcW w:w="1736" w:type="pct"/>
            <w:tcBorders>
              <w:top w:val="single" w:color="auto" w:sz="4" w:space="0"/>
              <w:left w:val="single" w:color="auto" w:sz="4" w:space="0"/>
              <w:bottom w:val="single" w:color="auto" w:sz="4" w:space="0"/>
              <w:right w:val="single" w:color="auto" w:sz="4" w:space="0"/>
            </w:tcBorders>
            <w:vAlign w:val="center"/>
          </w:tcPr>
          <w:p w14:paraId="1964E027">
            <w:pPr>
              <w:jc w:val="right"/>
            </w:pPr>
            <w:r>
              <w:rPr>
                <w:rFonts w:hint="eastAsia"/>
              </w:rPr>
              <w:t>2,469,944,889.62</w:t>
            </w:r>
          </w:p>
        </w:tc>
      </w:tr>
    </w:tbl>
    <w:p w14:paraId="13BBA949">
      <w:pPr>
        <w:rPr>
          <w:color w:val="000000" w:themeColor="text1"/>
          <w14:textFill>
            <w14:solidFill>
              <w14:schemeClr w14:val="tx1"/>
            </w14:solidFill>
          </w14:textFill>
        </w:rPr>
      </w:pPr>
    </w:p>
    <w:bookmarkEnd w:id="344"/>
    <w:p w14:paraId="1A225B88">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递延所得税资产和递延所得税负债的说明[双击切换]"/>
        <w:tag w:val="_GBC_06478ceb6b7447a791a4a5cbf8cc7e95"/>
        <w:id w:val="147469926"/>
        <w:placeholder>
          <w:docPart w:val="GBC22222222222222222222222222222"/>
        </w:placeholder>
      </w:sdtPr>
      <w:sdtEndPr>
        <w:rPr>
          <w:color w:val="000000" w:themeColor="text1"/>
          <w14:textFill>
            <w14:solidFill>
              <w14:schemeClr w14:val="tx1"/>
            </w14:solidFill>
          </w14:textFill>
        </w:rPr>
      </w:sdtEndPr>
      <w:sdtContent>
        <w:p w14:paraId="113023C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D2EFCD1">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6EDC902F">
      <w:pPr>
        <w:pStyle w:val="57"/>
        <w:numPr>
          <w:ilvl w:val="0"/>
          <w:numId w:val="54"/>
        </w:numPr>
        <w:rPr>
          <w:color w:val="000000" w:themeColor="text1"/>
          <w:szCs w:val="21"/>
          <w14:textFill>
            <w14:solidFill>
              <w14:schemeClr w14:val="tx1"/>
            </w14:solidFill>
          </w14:textFill>
        </w:rPr>
      </w:pPr>
      <w:bookmarkStart w:id="345" w:name="_Hlk10535308"/>
      <w:r>
        <w:rPr>
          <w:color w:val="000000" w:themeColor="text1"/>
          <w:szCs w:val="21"/>
          <w14:textFill>
            <w14:solidFill>
              <w14:schemeClr w14:val="tx1"/>
            </w14:solidFill>
          </w14:textFill>
        </w:rPr>
        <w:t>其他非流动资产</w:t>
      </w:r>
    </w:p>
    <w:sdt>
      <w:sdtPr>
        <w:rPr>
          <w:color w:val="000000" w:themeColor="text1"/>
          <w14:textFill>
            <w14:solidFill>
              <w14:schemeClr w14:val="tx1"/>
            </w14:solidFill>
          </w14:textFill>
        </w:rPr>
        <w:alias w:val="是否适用：其他非流动资产[双击切换]"/>
        <w:tag w:val="_GBC_227882aeaa9b4aa98d6af8bcac2af7a5"/>
        <w:id w:val="147451586"/>
        <w:placeholder>
          <w:docPart w:val="GBC22222222222222222222222222222"/>
        </w:placeholder>
      </w:sdtPr>
      <w:sdtEndPr>
        <w:rPr>
          <w:color w:val="000000" w:themeColor="text1"/>
          <w14:textFill>
            <w14:solidFill>
              <w14:schemeClr w14:val="tx1"/>
            </w14:solidFill>
          </w14:textFill>
        </w:rPr>
      </w:sdtEndPr>
      <w:sdtContent>
        <w:p w14:paraId="4680046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A89EC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其他非流动资产"/>
          <w:tag w:val="_GBC_5fd172528c7e4c4c8619b250ae90cdb4"/>
          <w:id w:val="1474571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非流动资产"/>
          <w:tag w:val="_GBC_4cd5c26035ba4f7384dee597c98f0cb6"/>
          <w:id w:val="1474739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2169"/>
        <w:gridCol w:w="1983"/>
        <w:gridCol w:w="1983"/>
        <w:gridCol w:w="1988"/>
        <w:gridCol w:w="1983"/>
        <w:gridCol w:w="1983"/>
        <w:gridCol w:w="1991"/>
      </w:tblGrid>
      <w:tr w14:paraId="7277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a0072e7adb6c49bb95cec91e0b7ec491"/>
            <w:id w:val="147454869"/>
          </w:sdtPr>
          <w:sdtContent>
            <w:tc>
              <w:tcPr>
                <w:tcW w:w="770" w:type="pct"/>
                <w:vMerge w:val="restart"/>
                <w:vAlign w:val="center"/>
              </w:tcPr>
              <w:p w14:paraId="09A67B6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557fd4b49c84b3db8c9ae69c7346562"/>
            <w:id w:val="147465021"/>
          </w:sdtPr>
          <w:sdtContent>
            <w:tc>
              <w:tcPr>
                <w:tcW w:w="2114" w:type="pct"/>
                <w:gridSpan w:val="3"/>
                <w:vAlign w:val="center"/>
              </w:tcPr>
              <w:p w14:paraId="15301ED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ad73a13c6c344aaa0bec642175f96c3"/>
            <w:id w:val="147451314"/>
          </w:sdtPr>
          <w:sdtContent>
            <w:tc>
              <w:tcPr>
                <w:tcW w:w="2115" w:type="pct"/>
                <w:gridSpan w:val="3"/>
                <w:vAlign w:val="center"/>
              </w:tcPr>
              <w:p w14:paraId="1450B48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677B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0" w:type="pct"/>
            <w:vMerge w:val="continue"/>
            <w:vAlign w:val="center"/>
          </w:tcPr>
          <w:p w14:paraId="49CA2FBA">
            <w:pPr>
              <w:jc w:val="center"/>
              <w:rPr>
                <w:color w:val="000000" w:themeColor="text1"/>
                <w14:textFill>
                  <w14:solidFill>
                    <w14:schemeClr w14:val="tx1"/>
                  </w14:solidFill>
                </w14:textFill>
              </w:rPr>
            </w:pPr>
          </w:p>
        </w:tc>
        <w:tc>
          <w:tcPr>
            <w:tcW w:w="704" w:type="pct"/>
            <w:vAlign w:val="center"/>
          </w:tcPr>
          <w:sdt>
            <w:sdtPr>
              <w:tag w:val="_PLD_93d316b5ed8d45ea95cfce051b0f999d"/>
              <w:id w:val="147471898"/>
            </w:sdtPr>
            <w:sdtContent>
              <w:p w14:paraId="328905C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sdtContent>
          </w:sdt>
        </w:tc>
        <w:tc>
          <w:tcPr>
            <w:tcW w:w="704" w:type="pct"/>
            <w:vAlign w:val="center"/>
          </w:tcPr>
          <w:sdt>
            <w:sdtPr>
              <w:tag w:val="_PLD_ce9573e9b47f4859912e77c530974f87"/>
              <w:id w:val="147464541"/>
            </w:sdtPr>
            <w:sdtContent>
              <w:p w14:paraId="36646546">
                <w:pPr>
                  <w:jc w:val="center"/>
                  <w:rPr>
                    <w:color w:val="000000" w:themeColor="text1"/>
                    <w14:textFill>
                      <w14:solidFill>
                        <w14:schemeClr w14:val="tx1"/>
                      </w14:solidFill>
                    </w14:textFill>
                  </w:rPr>
                </w:pPr>
                <w:r>
                  <w:rPr>
                    <w:color w:val="000000" w:themeColor="text1"/>
                    <w14:textFill>
                      <w14:solidFill>
                        <w14:schemeClr w14:val="tx1"/>
                      </w14:solidFill>
                    </w14:textFill>
                  </w:rPr>
                  <w:t>减值准备</w:t>
                </w:r>
              </w:p>
            </w:sdtContent>
          </w:sdt>
        </w:tc>
        <w:tc>
          <w:tcPr>
            <w:tcW w:w="705" w:type="pct"/>
            <w:vAlign w:val="center"/>
          </w:tcPr>
          <w:sdt>
            <w:sdtPr>
              <w:tag w:val="_PLD_4b72c2cb7df84a3a9384f2eaa1acaf3a"/>
              <w:id w:val="147459762"/>
            </w:sdtPr>
            <w:sdtContent>
              <w:p w14:paraId="484A7AC7">
                <w:pPr>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sdtContent>
          </w:sdt>
        </w:tc>
        <w:tc>
          <w:tcPr>
            <w:tcW w:w="704" w:type="pct"/>
            <w:vAlign w:val="center"/>
          </w:tcPr>
          <w:sdt>
            <w:sdtPr>
              <w:tag w:val="_PLD_31abd03025c54702bba8f28fbcd435be"/>
              <w:id w:val="147456941"/>
            </w:sdtPr>
            <w:sdtContent>
              <w:p w14:paraId="1637E0E7">
                <w:pPr>
                  <w:jc w:val="center"/>
                  <w:rPr>
                    <w:color w:val="000000" w:themeColor="text1"/>
                    <w14:textFill>
                      <w14:solidFill>
                        <w14:schemeClr w14:val="tx1"/>
                      </w14:solidFill>
                    </w14:textFill>
                  </w:rPr>
                </w:pPr>
                <w:r>
                  <w:rPr>
                    <w:color w:val="000000" w:themeColor="text1"/>
                    <w14:textFill>
                      <w14:solidFill>
                        <w14:schemeClr w14:val="tx1"/>
                      </w14:solidFill>
                    </w14:textFill>
                  </w:rPr>
                  <w:t>账面余额</w:t>
                </w:r>
              </w:p>
            </w:sdtContent>
          </w:sdt>
        </w:tc>
        <w:tc>
          <w:tcPr>
            <w:tcW w:w="704" w:type="pct"/>
            <w:vAlign w:val="center"/>
          </w:tcPr>
          <w:sdt>
            <w:sdtPr>
              <w:tag w:val="_PLD_5650816a035d4b9d999e9f87d1506d3b"/>
              <w:id w:val="147465947"/>
            </w:sdtPr>
            <w:sdtContent>
              <w:p w14:paraId="7679D545">
                <w:pPr>
                  <w:jc w:val="center"/>
                  <w:rPr>
                    <w:color w:val="000000" w:themeColor="text1"/>
                    <w14:textFill>
                      <w14:solidFill>
                        <w14:schemeClr w14:val="tx1"/>
                      </w14:solidFill>
                    </w14:textFill>
                  </w:rPr>
                </w:pPr>
                <w:r>
                  <w:rPr>
                    <w:color w:val="000000" w:themeColor="text1"/>
                    <w14:textFill>
                      <w14:solidFill>
                        <w14:schemeClr w14:val="tx1"/>
                      </w14:solidFill>
                    </w14:textFill>
                  </w:rPr>
                  <w:t>减值准备</w:t>
                </w:r>
              </w:p>
            </w:sdtContent>
          </w:sdt>
        </w:tc>
        <w:tc>
          <w:tcPr>
            <w:tcW w:w="706" w:type="pct"/>
            <w:vAlign w:val="center"/>
          </w:tcPr>
          <w:sdt>
            <w:sdtPr>
              <w:tag w:val="_PLD_76b67d2d1c1543c0b22ec33e5ae8e28a"/>
              <w:id w:val="147475396"/>
            </w:sdtPr>
            <w:sdtContent>
              <w:p w14:paraId="0ED745C6">
                <w:pPr>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sdtContent>
          </w:sdt>
        </w:tc>
      </w:tr>
      <w:tr w14:paraId="2A29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0" w:type="pct"/>
            <w:vAlign w:val="center"/>
          </w:tcPr>
          <w:p w14:paraId="1AE1F0C1">
            <w:pPr>
              <w:jc w:val="both"/>
              <w:textAlignment w:val="center"/>
              <w:rPr>
                <w:rFonts w:cs="Times New Roman"/>
                <w:color w:val="000000" w:themeColor="text1"/>
                <w14:textFill>
                  <w14:solidFill>
                    <w14:schemeClr w14:val="tx1"/>
                  </w14:solidFill>
                </w14:textFill>
              </w:rPr>
            </w:pPr>
            <w:r>
              <w:rPr>
                <w:rFonts w:cs="Times New Roman"/>
                <w:color w:val="000000"/>
                <w:lang w:bidi="ar"/>
              </w:rPr>
              <w:t>预付土地出让金</w:t>
            </w:r>
          </w:p>
        </w:tc>
        <w:tc>
          <w:tcPr>
            <w:tcW w:w="704" w:type="pct"/>
            <w:vAlign w:val="center"/>
          </w:tcPr>
          <w:p w14:paraId="4CA5B506">
            <w:pPr>
              <w:jc w:val="right"/>
              <w:textAlignment w:val="center"/>
              <w:rPr>
                <w:rFonts w:cs="Times New Roman"/>
              </w:rPr>
            </w:pPr>
            <w:r>
              <w:rPr>
                <w:rFonts w:cs="Times New Roman"/>
                <w:color w:val="000000"/>
              </w:rPr>
              <w:t>4,226,176.00</w:t>
            </w:r>
          </w:p>
        </w:tc>
        <w:tc>
          <w:tcPr>
            <w:tcW w:w="704" w:type="pct"/>
            <w:vAlign w:val="center"/>
          </w:tcPr>
          <w:p w14:paraId="0572BA02">
            <w:pPr>
              <w:jc w:val="right"/>
              <w:rPr>
                <w:rFonts w:cs="Times New Roman"/>
              </w:rPr>
            </w:pPr>
          </w:p>
        </w:tc>
        <w:tc>
          <w:tcPr>
            <w:tcW w:w="705" w:type="pct"/>
            <w:vAlign w:val="center"/>
          </w:tcPr>
          <w:p w14:paraId="04818102">
            <w:pPr>
              <w:jc w:val="right"/>
              <w:textAlignment w:val="center"/>
              <w:rPr>
                <w:rFonts w:cs="Times New Roman"/>
              </w:rPr>
            </w:pPr>
            <w:r>
              <w:rPr>
                <w:rFonts w:cs="Times New Roman"/>
                <w:color w:val="000000"/>
              </w:rPr>
              <w:t>4,226,176.00</w:t>
            </w:r>
          </w:p>
        </w:tc>
        <w:tc>
          <w:tcPr>
            <w:tcW w:w="704" w:type="pct"/>
            <w:vAlign w:val="center"/>
          </w:tcPr>
          <w:p w14:paraId="785FF418">
            <w:pPr>
              <w:jc w:val="right"/>
              <w:textAlignment w:val="center"/>
              <w:rPr>
                <w:rFonts w:cs="Times New Roman"/>
              </w:rPr>
            </w:pPr>
            <w:r>
              <w:rPr>
                <w:rFonts w:cs="Times New Roman"/>
                <w:color w:val="000000"/>
              </w:rPr>
              <w:t>4,226,176.00</w:t>
            </w:r>
          </w:p>
        </w:tc>
        <w:tc>
          <w:tcPr>
            <w:tcW w:w="704" w:type="pct"/>
            <w:vAlign w:val="center"/>
          </w:tcPr>
          <w:p w14:paraId="5F3A6636">
            <w:pPr>
              <w:jc w:val="right"/>
              <w:rPr>
                <w:rFonts w:cs="Times New Roman"/>
              </w:rPr>
            </w:pPr>
          </w:p>
        </w:tc>
        <w:tc>
          <w:tcPr>
            <w:tcW w:w="706" w:type="pct"/>
            <w:vAlign w:val="center"/>
          </w:tcPr>
          <w:p w14:paraId="032E7F36">
            <w:pPr>
              <w:jc w:val="right"/>
              <w:textAlignment w:val="center"/>
              <w:rPr>
                <w:rFonts w:cs="Times New Roman"/>
              </w:rPr>
            </w:pPr>
            <w:r>
              <w:rPr>
                <w:rFonts w:cs="Times New Roman"/>
                <w:color w:val="000000"/>
              </w:rPr>
              <w:t>4,226,176.00</w:t>
            </w:r>
          </w:p>
        </w:tc>
      </w:tr>
      <w:tr w14:paraId="314E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0" w:type="pct"/>
            <w:vAlign w:val="center"/>
          </w:tcPr>
          <w:p w14:paraId="68BED029">
            <w:pPr>
              <w:jc w:val="both"/>
              <w:textAlignment w:val="center"/>
              <w:rPr>
                <w:rFonts w:cs="Times New Roman"/>
                <w:color w:val="000000" w:themeColor="text1"/>
                <w14:textFill>
                  <w14:solidFill>
                    <w14:schemeClr w14:val="tx1"/>
                  </w14:solidFill>
                </w14:textFill>
              </w:rPr>
            </w:pPr>
            <w:r>
              <w:rPr>
                <w:rFonts w:cs="Times New Roman"/>
                <w:color w:val="000000"/>
                <w:lang w:bidi="ar"/>
              </w:rPr>
              <w:t>预付工程、设备款</w:t>
            </w:r>
          </w:p>
        </w:tc>
        <w:tc>
          <w:tcPr>
            <w:tcW w:w="704" w:type="pct"/>
            <w:vAlign w:val="center"/>
          </w:tcPr>
          <w:p w14:paraId="49288A81">
            <w:pPr>
              <w:jc w:val="right"/>
              <w:textAlignment w:val="center"/>
              <w:rPr>
                <w:rFonts w:cs="Times New Roman"/>
              </w:rPr>
            </w:pPr>
            <w:r>
              <w:rPr>
                <w:rFonts w:cs="Times New Roman"/>
                <w:color w:val="000000"/>
              </w:rPr>
              <w:t>118,444,315.42</w:t>
            </w:r>
          </w:p>
        </w:tc>
        <w:tc>
          <w:tcPr>
            <w:tcW w:w="704" w:type="pct"/>
            <w:vAlign w:val="center"/>
          </w:tcPr>
          <w:p w14:paraId="3C322BC6">
            <w:pPr>
              <w:jc w:val="right"/>
              <w:rPr>
                <w:rFonts w:cs="Times New Roman"/>
              </w:rPr>
            </w:pPr>
          </w:p>
        </w:tc>
        <w:tc>
          <w:tcPr>
            <w:tcW w:w="705" w:type="pct"/>
            <w:vAlign w:val="center"/>
          </w:tcPr>
          <w:p w14:paraId="64075AA8">
            <w:pPr>
              <w:jc w:val="right"/>
              <w:textAlignment w:val="center"/>
              <w:rPr>
                <w:rFonts w:cs="Times New Roman"/>
              </w:rPr>
            </w:pPr>
            <w:r>
              <w:rPr>
                <w:rFonts w:cs="Times New Roman"/>
                <w:color w:val="000000"/>
              </w:rPr>
              <w:t>118,444,315.42</w:t>
            </w:r>
          </w:p>
        </w:tc>
        <w:tc>
          <w:tcPr>
            <w:tcW w:w="704" w:type="pct"/>
            <w:vAlign w:val="center"/>
          </w:tcPr>
          <w:p w14:paraId="4200EB8E">
            <w:pPr>
              <w:jc w:val="right"/>
              <w:textAlignment w:val="center"/>
              <w:rPr>
                <w:rFonts w:cs="Times New Roman"/>
              </w:rPr>
            </w:pPr>
            <w:r>
              <w:rPr>
                <w:rFonts w:cs="Times New Roman"/>
                <w:color w:val="000000"/>
              </w:rPr>
              <w:t>71,265,929.05</w:t>
            </w:r>
          </w:p>
        </w:tc>
        <w:tc>
          <w:tcPr>
            <w:tcW w:w="704" w:type="pct"/>
            <w:vAlign w:val="center"/>
          </w:tcPr>
          <w:p w14:paraId="2C43D825">
            <w:pPr>
              <w:jc w:val="right"/>
              <w:rPr>
                <w:rFonts w:cs="Times New Roman"/>
              </w:rPr>
            </w:pPr>
          </w:p>
        </w:tc>
        <w:tc>
          <w:tcPr>
            <w:tcW w:w="706" w:type="pct"/>
            <w:vAlign w:val="center"/>
          </w:tcPr>
          <w:p w14:paraId="70340C00">
            <w:pPr>
              <w:jc w:val="right"/>
              <w:textAlignment w:val="center"/>
              <w:rPr>
                <w:rFonts w:cs="Times New Roman"/>
              </w:rPr>
            </w:pPr>
            <w:r>
              <w:rPr>
                <w:rFonts w:cs="Times New Roman"/>
                <w:color w:val="000000"/>
              </w:rPr>
              <w:t>71,265,929.05</w:t>
            </w:r>
          </w:p>
        </w:tc>
      </w:tr>
      <w:tr w14:paraId="69D0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0" w:type="pct"/>
            <w:vAlign w:val="center"/>
          </w:tcPr>
          <w:p w14:paraId="3FD870ED">
            <w:pPr>
              <w:jc w:val="both"/>
              <w:textAlignment w:val="center"/>
              <w:rPr>
                <w:rFonts w:cs="Times New Roman"/>
                <w:color w:val="000000" w:themeColor="text1"/>
                <w14:textFill>
                  <w14:solidFill>
                    <w14:schemeClr w14:val="tx1"/>
                  </w14:solidFill>
                </w14:textFill>
              </w:rPr>
            </w:pPr>
            <w:r>
              <w:rPr>
                <w:rFonts w:cs="Times New Roman"/>
                <w:color w:val="000000"/>
                <w:lang w:bidi="ar"/>
              </w:rPr>
              <w:t>兰州土地事项</w:t>
            </w:r>
          </w:p>
        </w:tc>
        <w:tc>
          <w:tcPr>
            <w:tcW w:w="704" w:type="pct"/>
            <w:vAlign w:val="center"/>
          </w:tcPr>
          <w:p w14:paraId="7A2030A2">
            <w:pPr>
              <w:jc w:val="right"/>
              <w:textAlignment w:val="center"/>
              <w:rPr>
                <w:rFonts w:cs="Times New Roman"/>
              </w:rPr>
            </w:pPr>
            <w:r>
              <w:rPr>
                <w:rFonts w:cs="Times New Roman"/>
                <w:color w:val="000000"/>
              </w:rPr>
              <w:t>865,000,000.00</w:t>
            </w:r>
          </w:p>
        </w:tc>
        <w:tc>
          <w:tcPr>
            <w:tcW w:w="704" w:type="pct"/>
            <w:vAlign w:val="center"/>
          </w:tcPr>
          <w:p w14:paraId="799D4D17">
            <w:pPr>
              <w:jc w:val="right"/>
              <w:textAlignment w:val="center"/>
              <w:rPr>
                <w:rFonts w:cs="Times New Roman"/>
              </w:rPr>
            </w:pPr>
            <w:r>
              <w:rPr>
                <w:rFonts w:cs="Times New Roman"/>
                <w:color w:val="000000"/>
              </w:rPr>
              <w:t>142,541,927.91</w:t>
            </w:r>
          </w:p>
        </w:tc>
        <w:tc>
          <w:tcPr>
            <w:tcW w:w="705" w:type="pct"/>
            <w:vAlign w:val="center"/>
          </w:tcPr>
          <w:p w14:paraId="278AB576">
            <w:pPr>
              <w:jc w:val="right"/>
              <w:textAlignment w:val="center"/>
              <w:rPr>
                <w:rFonts w:cs="Times New Roman"/>
              </w:rPr>
            </w:pPr>
            <w:r>
              <w:rPr>
                <w:rFonts w:cs="Times New Roman"/>
                <w:color w:val="000000"/>
              </w:rPr>
              <w:t>722,458,072.09</w:t>
            </w:r>
          </w:p>
        </w:tc>
        <w:tc>
          <w:tcPr>
            <w:tcW w:w="704" w:type="pct"/>
            <w:vAlign w:val="center"/>
          </w:tcPr>
          <w:p w14:paraId="792AA251">
            <w:pPr>
              <w:jc w:val="right"/>
              <w:textAlignment w:val="center"/>
              <w:rPr>
                <w:rFonts w:cs="Times New Roman"/>
              </w:rPr>
            </w:pPr>
            <w:r>
              <w:rPr>
                <w:rFonts w:cs="Times New Roman"/>
                <w:color w:val="000000"/>
              </w:rPr>
              <w:t>865,000,000.00</w:t>
            </w:r>
          </w:p>
        </w:tc>
        <w:tc>
          <w:tcPr>
            <w:tcW w:w="704" w:type="pct"/>
            <w:vAlign w:val="center"/>
          </w:tcPr>
          <w:p w14:paraId="0F00132E">
            <w:pPr>
              <w:jc w:val="right"/>
              <w:textAlignment w:val="center"/>
              <w:rPr>
                <w:rFonts w:cs="Times New Roman"/>
              </w:rPr>
            </w:pPr>
            <w:r>
              <w:rPr>
                <w:rFonts w:cs="Times New Roman"/>
                <w:color w:val="000000"/>
              </w:rPr>
              <w:t>142,541,927.91</w:t>
            </w:r>
          </w:p>
        </w:tc>
        <w:tc>
          <w:tcPr>
            <w:tcW w:w="706" w:type="pct"/>
            <w:vAlign w:val="center"/>
          </w:tcPr>
          <w:p w14:paraId="4B97FEC5">
            <w:pPr>
              <w:jc w:val="right"/>
              <w:textAlignment w:val="center"/>
              <w:rPr>
                <w:rFonts w:cs="Times New Roman"/>
              </w:rPr>
            </w:pPr>
            <w:r>
              <w:rPr>
                <w:rFonts w:cs="Times New Roman"/>
                <w:color w:val="000000"/>
              </w:rPr>
              <w:t>722,458,072.09</w:t>
            </w:r>
          </w:p>
        </w:tc>
      </w:tr>
      <w:tr w14:paraId="4B7E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70" w:type="pct"/>
            <w:vAlign w:val="center"/>
          </w:tcPr>
          <w:p w14:paraId="4AC05F0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704" w:type="pct"/>
            <w:vAlign w:val="center"/>
          </w:tcPr>
          <w:p w14:paraId="50A12091">
            <w:pPr>
              <w:jc w:val="right"/>
              <w:textAlignment w:val="center"/>
              <w:rPr>
                <w:rFonts w:cs="Times New Roman"/>
              </w:rPr>
            </w:pPr>
            <w:r>
              <w:rPr>
                <w:rFonts w:cs="Times New Roman"/>
                <w:color w:val="000000"/>
              </w:rPr>
              <w:t>987,670,491.42</w:t>
            </w:r>
          </w:p>
        </w:tc>
        <w:tc>
          <w:tcPr>
            <w:tcW w:w="704" w:type="pct"/>
            <w:vAlign w:val="center"/>
          </w:tcPr>
          <w:p w14:paraId="6B7DE115">
            <w:pPr>
              <w:jc w:val="right"/>
              <w:textAlignment w:val="center"/>
              <w:rPr>
                <w:rFonts w:cs="Times New Roman"/>
              </w:rPr>
            </w:pPr>
            <w:r>
              <w:rPr>
                <w:rFonts w:cs="Times New Roman"/>
                <w:color w:val="000000"/>
              </w:rPr>
              <w:t>142,541,927.91</w:t>
            </w:r>
          </w:p>
        </w:tc>
        <w:tc>
          <w:tcPr>
            <w:tcW w:w="705" w:type="pct"/>
            <w:vAlign w:val="center"/>
          </w:tcPr>
          <w:p w14:paraId="40895DE9">
            <w:pPr>
              <w:jc w:val="right"/>
              <w:textAlignment w:val="center"/>
              <w:rPr>
                <w:rFonts w:cs="Times New Roman"/>
              </w:rPr>
            </w:pPr>
            <w:r>
              <w:rPr>
                <w:rFonts w:cs="Times New Roman"/>
                <w:color w:val="000000"/>
              </w:rPr>
              <w:t>845,128,563.51</w:t>
            </w:r>
          </w:p>
        </w:tc>
        <w:tc>
          <w:tcPr>
            <w:tcW w:w="704" w:type="pct"/>
            <w:vAlign w:val="center"/>
          </w:tcPr>
          <w:p w14:paraId="780803FF">
            <w:pPr>
              <w:jc w:val="right"/>
              <w:textAlignment w:val="center"/>
              <w:rPr>
                <w:rFonts w:cs="Times New Roman"/>
              </w:rPr>
            </w:pPr>
            <w:r>
              <w:rPr>
                <w:rFonts w:cs="Times New Roman"/>
                <w:color w:val="000000"/>
              </w:rPr>
              <w:t>940,492,105.05</w:t>
            </w:r>
          </w:p>
        </w:tc>
        <w:tc>
          <w:tcPr>
            <w:tcW w:w="704" w:type="pct"/>
            <w:vAlign w:val="center"/>
          </w:tcPr>
          <w:p w14:paraId="6502EBBF">
            <w:pPr>
              <w:jc w:val="right"/>
              <w:textAlignment w:val="center"/>
              <w:rPr>
                <w:rFonts w:cs="Times New Roman"/>
              </w:rPr>
            </w:pPr>
            <w:r>
              <w:rPr>
                <w:rFonts w:cs="Times New Roman"/>
                <w:color w:val="000000"/>
              </w:rPr>
              <w:t>142,541,927.91</w:t>
            </w:r>
          </w:p>
        </w:tc>
        <w:tc>
          <w:tcPr>
            <w:tcW w:w="706" w:type="pct"/>
            <w:vAlign w:val="center"/>
          </w:tcPr>
          <w:p w14:paraId="67A9C280">
            <w:pPr>
              <w:jc w:val="right"/>
              <w:textAlignment w:val="center"/>
              <w:rPr>
                <w:rFonts w:cs="Times New Roman"/>
              </w:rPr>
            </w:pPr>
            <w:r>
              <w:rPr>
                <w:rFonts w:cs="Times New Roman"/>
                <w:color w:val="000000"/>
              </w:rPr>
              <w:t>797,950,177.14</w:t>
            </w:r>
          </w:p>
        </w:tc>
      </w:tr>
    </w:tbl>
    <w:p w14:paraId="6513E843">
      <w:pPr>
        <w:rPr>
          <w:color w:val="000000" w:themeColor="text1"/>
          <w14:textFill>
            <w14:solidFill>
              <w14:schemeClr w14:val="tx1"/>
            </w14:solidFill>
          </w14:textFill>
        </w:rPr>
      </w:pPr>
      <w:r>
        <w:rPr>
          <w:rFonts w:cs="Times New Roman"/>
          <w:color w:val="000000" w:themeColor="text1"/>
          <w14:textFill>
            <w14:solidFill>
              <w14:schemeClr w14:val="tx1"/>
            </w14:solidFill>
          </w14:textFill>
        </w:rPr>
        <w:t>其他说明：</w:t>
      </w:r>
    </w:p>
    <w:p w14:paraId="268D7AC7">
      <w:pPr>
        <w:rPr>
          <w:color w:val="000000" w:themeColor="text1"/>
          <w14:textFill>
            <w14:solidFill>
              <w14:schemeClr w14:val="tx1"/>
            </w14:solidFill>
          </w14:textFill>
        </w:rPr>
      </w:pPr>
      <w:sdt>
        <w:sdtPr>
          <w:rPr>
            <w:color w:val="000000" w:themeColor="text1"/>
            <w14:textFill>
              <w14:solidFill>
                <w14:schemeClr w14:val="tx1"/>
              </w14:solidFill>
            </w14:textFill>
          </w:rPr>
          <w:alias w:val="其他长期资产的说明"/>
          <w:tag w:val="_GBC_c90d49970b64411f909938927f41ebe5"/>
          <w:id w:val="147469120"/>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45"/>
    <w:p w14:paraId="10CE3FC1">
      <w:pPr>
        <w:pStyle w:val="57"/>
        <w:numPr>
          <w:ilvl w:val="0"/>
          <w:numId w:val="54"/>
        </w:num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所有权或使用权受限资产</w:t>
      </w:r>
    </w:p>
    <w:sdt>
      <w:sdtPr>
        <w:rPr>
          <w:color w:val="000000" w:themeColor="text1"/>
          <w14:textFill>
            <w14:solidFill>
              <w14:schemeClr w14:val="tx1"/>
            </w14:solidFill>
          </w14:textFill>
        </w:rPr>
        <w:alias w:val="是否适用：所有权或使用权受到限制的资产[双击切换]"/>
        <w:tag w:val="_GBC_006357d26b6d46ec8496596e5de014f0"/>
        <w:id w:val="1868095426"/>
      </w:sdtPr>
      <w:sdtEndPr>
        <w:rPr>
          <w:color w:val="000000" w:themeColor="text1"/>
          <w14:textFill>
            <w14:solidFill>
              <w14:schemeClr w14:val="tx1"/>
            </w14:solidFill>
          </w14:textFill>
        </w:rPr>
      </w:sdtEndPr>
      <w:sdtContent>
        <w:p w14:paraId="1C9CAF9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116BF3D">
      <w:pPr>
        <w:pStyle w:val="50"/>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所有权或使用权受到限制的资产"/>
          <w:tag w:val="_GBC_a7102ff3db4e4d8a94bd9f34e41fd91f"/>
          <w:id w:val="1954290279"/>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所有权或使用权受到限制的资产"/>
          <w:tag w:val="_GBC_95c4fec9be7647a5baa402b14dcb9f69"/>
          <w:id w:val="97888343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604"/>
        <w:gridCol w:w="1636"/>
        <w:gridCol w:w="1113"/>
        <w:gridCol w:w="1723"/>
        <w:gridCol w:w="1593"/>
        <w:gridCol w:w="1669"/>
        <w:gridCol w:w="1287"/>
        <w:gridCol w:w="1757"/>
      </w:tblGrid>
      <w:tr w14:paraId="6EE4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1faeb04f4bf14b349ad8c59d6667b0fb"/>
            <w:id w:val="2139212605"/>
          </w:sdtPr>
          <w:sdtEndPr>
            <w:rPr>
              <w:rFonts w:cs="Times New Roman"/>
            </w:rPr>
          </w:sdtEndPr>
          <w:sdtContent>
            <w:tc>
              <w:tcPr>
                <w:tcW w:w="1701" w:type="dxa"/>
                <w:vMerge w:val="restart"/>
                <w:vAlign w:val="center"/>
              </w:tcPr>
              <w:p w14:paraId="40C8FD8E">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c2f91c04994b44019d90769d6b563b17"/>
            <w:id w:val="1235047186"/>
          </w:sdtPr>
          <w:sdtEndPr>
            <w:rPr>
              <w:rFonts w:cs="Times New Roman"/>
            </w:rPr>
          </w:sdtEndPr>
          <w:sdtContent>
            <w:tc>
              <w:tcPr>
                <w:tcW w:w="6076" w:type="dxa"/>
                <w:gridSpan w:val="4"/>
                <w:vAlign w:val="center"/>
              </w:tcPr>
              <w:p w14:paraId="49445FF8">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w:t>
                </w:r>
              </w:p>
            </w:tc>
          </w:sdtContent>
        </w:sdt>
        <w:sdt>
          <w:sdtPr>
            <w:rPr>
              <w:rFonts w:cs="Times New Roman"/>
            </w:rPr>
            <w:tag w:val="_PLD_a4db33e8a01e48af856e896d9a21aa2b"/>
            <w:id w:val="483674951"/>
          </w:sdtPr>
          <w:sdtEndPr>
            <w:rPr>
              <w:rFonts w:cs="Times New Roman"/>
            </w:rPr>
          </w:sdtEndPr>
          <w:sdtContent>
            <w:tc>
              <w:tcPr>
                <w:tcW w:w="6306" w:type="dxa"/>
                <w:gridSpan w:val="4"/>
                <w:vAlign w:val="center"/>
              </w:tcPr>
              <w:p w14:paraId="57F559AD">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w:t>
                </w:r>
              </w:p>
            </w:tc>
          </w:sdtContent>
        </w:sdt>
      </w:tr>
      <w:tr w14:paraId="0E7B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701" w:type="dxa"/>
            <w:vMerge w:val="continue"/>
            <w:vAlign w:val="center"/>
          </w:tcPr>
          <w:p w14:paraId="60489F55">
            <w:pPr>
              <w:widowControl w:val="0"/>
              <w:jc w:val="center"/>
              <w:rPr>
                <w:rFonts w:cs="Times New Roman"/>
                <w:color w:val="000000" w:themeColor="text1"/>
                <w14:textFill>
                  <w14:solidFill>
                    <w14:schemeClr w14:val="tx1"/>
                  </w14:solidFill>
                </w14:textFill>
              </w:rPr>
            </w:pPr>
          </w:p>
        </w:tc>
        <w:sdt>
          <w:sdtPr>
            <w:rPr>
              <w:rFonts w:cs="Times New Roman"/>
            </w:rPr>
            <w:tag w:val="_PLD_4ba4c960e2ab4b31a1704a41594547f5"/>
            <w:id w:val="667762832"/>
          </w:sdtPr>
          <w:sdtEndPr>
            <w:rPr>
              <w:rFonts w:cs="Times New Roman"/>
            </w:rPr>
          </w:sdtEndPr>
          <w:sdtContent>
            <w:tc>
              <w:tcPr>
                <w:tcW w:w="1604" w:type="dxa"/>
                <w:vAlign w:val="center"/>
              </w:tcPr>
              <w:p w14:paraId="4225863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73e1cd74d6d14f48b88c0ac46580634a"/>
            <w:id w:val="382915344"/>
          </w:sdtPr>
          <w:sdtEndPr>
            <w:rPr>
              <w:rFonts w:cs="Times New Roman"/>
            </w:rPr>
          </w:sdtEndPr>
          <w:sdtContent>
            <w:tc>
              <w:tcPr>
                <w:tcW w:w="1636" w:type="dxa"/>
                <w:vAlign w:val="center"/>
              </w:tcPr>
              <w:p w14:paraId="2F01EA68">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账面价值</w:t>
                </w:r>
              </w:p>
            </w:tc>
          </w:sdtContent>
        </w:sdt>
        <w:sdt>
          <w:sdtPr>
            <w:rPr>
              <w:rFonts w:cs="Times New Roman"/>
            </w:rPr>
            <w:tag w:val="_PLD_7e2b8d1452f04530979fb1795878387b"/>
            <w:id w:val="2071617621"/>
          </w:sdtPr>
          <w:sdtEndPr>
            <w:rPr>
              <w:rFonts w:cs="Times New Roman"/>
            </w:rPr>
          </w:sdtEndPr>
          <w:sdtContent>
            <w:tc>
              <w:tcPr>
                <w:tcW w:w="1113" w:type="dxa"/>
                <w:vAlign w:val="center"/>
              </w:tcPr>
              <w:p w14:paraId="5BF6BB10">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受限类型</w:t>
                </w:r>
              </w:p>
            </w:tc>
          </w:sdtContent>
        </w:sdt>
        <w:sdt>
          <w:sdtPr>
            <w:rPr>
              <w:rFonts w:cs="Times New Roman"/>
            </w:rPr>
            <w:tag w:val="_PLD_85649273a58f4daebca471b337c689b7"/>
            <w:id w:val="-257835027"/>
          </w:sdtPr>
          <w:sdtEndPr>
            <w:rPr>
              <w:rFonts w:cs="Times New Roman"/>
            </w:rPr>
          </w:sdtEndPr>
          <w:sdtContent>
            <w:tc>
              <w:tcPr>
                <w:tcW w:w="1723" w:type="dxa"/>
                <w:vAlign w:val="center"/>
              </w:tcPr>
              <w:p w14:paraId="25FEFA3E">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受限情况</w:t>
                </w:r>
              </w:p>
            </w:tc>
          </w:sdtContent>
        </w:sdt>
        <w:sdt>
          <w:sdtPr>
            <w:rPr>
              <w:rFonts w:cs="Times New Roman"/>
            </w:rPr>
            <w:tag w:val="_PLD_185f68e2333346e5b0c53a9ec276e404"/>
            <w:id w:val="1192419590"/>
          </w:sdtPr>
          <w:sdtEndPr>
            <w:rPr>
              <w:rFonts w:cs="Times New Roman"/>
            </w:rPr>
          </w:sdtEndPr>
          <w:sdtContent>
            <w:tc>
              <w:tcPr>
                <w:tcW w:w="1593" w:type="dxa"/>
                <w:vAlign w:val="center"/>
              </w:tcPr>
              <w:p w14:paraId="53D0A7D0">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c92ffe9b652b42a095b39310603e580a"/>
            <w:id w:val="148487841"/>
          </w:sdtPr>
          <w:sdtEndPr>
            <w:rPr>
              <w:rFonts w:cs="Times New Roman"/>
            </w:rPr>
          </w:sdtEndPr>
          <w:sdtContent>
            <w:tc>
              <w:tcPr>
                <w:tcW w:w="1669" w:type="dxa"/>
                <w:vAlign w:val="center"/>
              </w:tcPr>
              <w:p w14:paraId="5D468452">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账面价值</w:t>
                </w:r>
              </w:p>
            </w:tc>
          </w:sdtContent>
        </w:sdt>
        <w:sdt>
          <w:sdtPr>
            <w:rPr>
              <w:rFonts w:cs="Times New Roman"/>
            </w:rPr>
            <w:tag w:val="_PLD_8acb0a1b50e14924933495ec38dd30e1"/>
            <w:id w:val="-2075276205"/>
          </w:sdtPr>
          <w:sdtEndPr>
            <w:rPr>
              <w:rFonts w:cs="Times New Roman"/>
            </w:rPr>
          </w:sdtEndPr>
          <w:sdtContent>
            <w:tc>
              <w:tcPr>
                <w:tcW w:w="1287" w:type="dxa"/>
                <w:vAlign w:val="center"/>
              </w:tcPr>
              <w:p w14:paraId="12B18B4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受限类型</w:t>
                </w:r>
              </w:p>
            </w:tc>
          </w:sdtContent>
        </w:sdt>
        <w:sdt>
          <w:sdtPr>
            <w:rPr>
              <w:rFonts w:cs="Times New Roman"/>
            </w:rPr>
            <w:tag w:val="_PLD_6297a0a81c884eab9519ec385b0b6dbe"/>
            <w:id w:val="-124544344"/>
          </w:sdtPr>
          <w:sdtEndPr>
            <w:rPr>
              <w:rFonts w:cs="Times New Roman"/>
            </w:rPr>
          </w:sdtEndPr>
          <w:sdtContent>
            <w:tc>
              <w:tcPr>
                <w:tcW w:w="1757" w:type="dxa"/>
                <w:vAlign w:val="center"/>
              </w:tcPr>
              <w:p w14:paraId="6CA0DB57">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受限情况</w:t>
                </w:r>
              </w:p>
            </w:tc>
          </w:sdtContent>
        </w:sdt>
      </w:tr>
      <w:tr w14:paraId="6E90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a00013ba95449388856c598fec1142e"/>
            <w:id w:val="1861781213"/>
          </w:sdtPr>
          <w:sdtEndPr>
            <w:rPr>
              <w:rFonts w:cs="Times New Roman"/>
            </w:rPr>
          </w:sdtEndPr>
          <w:sdtContent>
            <w:tc>
              <w:tcPr>
                <w:tcW w:w="1701" w:type="dxa"/>
                <w:vAlign w:val="center"/>
              </w:tcPr>
              <w:p w14:paraId="613EF19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货币资金</w:t>
                </w:r>
              </w:p>
            </w:tc>
          </w:sdtContent>
        </w:sdt>
        <w:tc>
          <w:tcPr>
            <w:tcW w:w="1604" w:type="dxa"/>
            <w:vAlign w:val="center"/>
          </w:tcPr>
          <w:p w14:paraId="12C1B87E">
            <w:pPr>
              <w:widowControl w:val="0"/>
              <w:jc w:val="right"/>
              <w:rPr>
                <w:rFonts w:cs="Times New Roman"/>
              </w:rPr>
            </w:pPr>
            <w:r>
              <w:rPr>
                <w:rFonts w:cs="Times New Roman"/>
              </w:rPr>
              <w:t>183,950,074.32</w:t>
            </w:r>
          </w:p>
        </w:tc>
        <w:tc>
          <w:tcPr>
            <w:tcW w:w="1636" w:type="dxa"/>
            <w:vAlign w:val="center"/>
          </w:tcPr>
          <w:p w14:paraId="1B140D93">
            <w:pPr>
              <w:widowControl w:val="0"/>
              <w:jc w:val="right"/>
              <w:rPr>
                <w:rFonts w:cs="Times New Roman"/>
              </w:rPr>
            </w:pPr>
            <w:r>
              <w:rPr>
                <w:rFonts w:cs="Times New Roman"/>
              </w:rPr>
              <w:t>183,950,074.32</w:t>
            </w:r>
          </w:p>
        </w:tc>
        <w:sdt>
          <w:sdtPr>
            <w:rPr>
              <w:rFonts w:cs="Times New Roman"/>
              <w:color w:val="000000" w:themeColor="text1"/>
              <w14:textFill>
                <w14:solidFill>
                  <w14:schemeClr w14:val="tx1"/>
                </w14:solidFill>
              </w14:textFill>
            </w:rPr>
            <w:alias w:val="所有权或使用权受到限制的资产中货币资金受限类型"/>
            <w:tag w:val="_GBC_8cc22d65983f45c5b27d977237a92b9b"/>
            <w:id w:val="556899017"/>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113" w:type="dxa"/>
                <w:vAlign w:val="center"/>
              </w:tcPr>
              <w:p w14:paraId="6564AB45">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w:t>
                </w:r>
              </w:p>
            </w:tc>
          </w:sdtContent>
        </w:sdt>
        <w:tc>
          <w:tcPr>
            <w:tcW w:w="1723" w:type="dxa"/>
            <w:vAlign w:val="center"/>
          </w:tcPr>
          <w:p w14:paraId="3585DBDF">
            <w:pPr>
              <w:widowControl w:val="0"/>
              <w:jc w:val="center"/>
              <w:rPr>
                <w:rFonts w:cs="Times New Roman"/>
              </w:rPr>
            </w:pPr>
            <w:r>
              <w:rPr>
                <w:rFonts w:cs="Times New Roman"/>
              </w:rPr>
              <w:t>详见“附注七注释1”</w:t>
            </w:r>
          </w:p>
        </w:tc>
        <w:tc>
          <w:tcPr>
            <w:tcW w:w="1593" w:type="dxa"/>
            <w:vAlign w:val="center"/>
          </w:tcPr>
          <w:p w14:paraId="574DCFCC">
            <w:pPr>
              <w:widowControl w:val="0"/>
              <w:jc w:val="right"/>
              <w:rPr>
                <w:rFonts w:cs="Times New Roman"/>
              </w:rPr>
            </w:pPr>
            <w:r>
              <w:rPr>
                <w:rFonts w:cs="Times New Roman"/>
              </w:rPr>
              <w:t>240,657,438.64</w:t>
            </w:r>
          </w:p>
        </w:tc>
        <w:tc>
          <w:tcPr>
            <w:tcW w:w="1669" w:type="dxa"/>
            <w:vAlign w:val="center"/>
          </w:tcPr>
          <w:p w14:paraId="7357B27D">
            <w:pPr>
              <w:widowControl w:val="0"/>
              <w:jc w:val="right"/>
              <w:rPr>
                <w:rFonts w:cs="Times New Roman"/>
              </w:rPr>
            </w:pPr>
            <w:r>
              <w:rPr>
                <w:rFonts w:cs="Times New Roman"/>
              </w:rPr>
              <w:t>240,657,438.64</w:t>
            </w:r>
          </w:p>
        </w:tc>
        <w:sdt>
          <w:sdtPr>
            <w:rPr>
              <w:rFonts w:cs="Times New Roman"/>
              <w:color w:val="000000" w:themeColor="text1"/>
              <w14:textFill>
                <w14:solidFill>
                  <w14:schemeClr w14:val="tx1"/>
                </w14:solidFill>
              </w14:textFill>
            </w:rPr>
            <w:alias w:val="所有权或使用权受到限制的资产中货币资金受限类型"/>
            <w:tag w:val="_GBC_688a2cf08119461992fafe5efc0252ae"/>
            <w:id w:val="2037543665"/>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287" w:type="dxa"/>
                <w:vAlign w:val="center"/>
              </w:tcPr>
              <w:p w14:paraId="16EE8AB4">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w:t>
                </w:r>
              </w:p>
            </w:tc>
          </w:sdtContent>
        </w:sdt>
        <w:tc>
          <w:tcPr>
            <w:tcW w:w="1757" w:type="dxa"/>
            <w:vAlign w:val="center"/>
          </w:tcPr>
          <w:p w14:paraId="4F5ACC41">
            <w:pPr>
              <w:widowControl w:val="0"/>
              <w:jc w:val="center"/>
              <w:rPr>
                <w:rFonts w:cs="Times New Roman"/>
              </w:rPr>
            </w:pPr>
            <w:r>
              <w:rPr>
                <w:rFonts w:cs="Times New Roman"/>
              </w:rPr>
              <w:t>详见“附注七注释1”</w:t>
            </w:r>
          </w:p>
        </w:tc>
      </w:tr>
      <w:tr w14:paraId="6099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4ba10dd2e3a8491fbc6003ce8ca32fe7"/>
            <w:id w:val="-817499547"/>
          </w:sdtPr>
          <w:sdtEndPr>
            <w:rPr>
              <w:rFonts w:cs="Times New Roman"/>
            </w:rPr>
          </w:sdtEndPr>
          <w:sdtContent>
            <w:tc>
              <w:tcPr>
                <w:tcW w:w="1701" w:type="dxa"/>
                <w:vAlign w:val="center"/>
              </w:tcPr>
              <w:p w14:paraId="50DD2E6D">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固定资产</w:t>
                </w:r>
              </w:p>
            </w:tc>
          </w:sdtContent>
        </w:sdt>
        <w:tc>
          <w:tcPr>
            <w:tcW w:w="1604" w:type="dxa"/>
            <w:vAlign w:val="center"/>
          </w:tcPr>
          <w:p w14:paraId="2F0820F5">
            <w:pPr>
              <w:widowControl w:val="0"/>
              <w:jc w:val="right"/>
              <w:rPr>
                <w:rFonts w:cs="Times New Roman"/>
              </w:rPr>
            </w:pPr>
            <w:r>
              <w:rPr>
                <w:rFonts w:cs="Times New Roman"/>
              </w:rPr>
              <w:t>146,709,327.00</w:t>
            </w:r>
          </w:p>
        </w:tc>
        <w:tc>
          <w:tcPr>
            <w:tcW w:w="1636" w:type="dxa"/>
            <w:vAlign w:val="center"/>
          </w:tcPr>
          <w:p w14:paraId="73D41A27">
            <w:pPr>
              <w:widowControl w:val="0"/>
              <w:jc w:val="right"/>
              <w:rPr>
                <w:rFonts w:cs="Times New Roman"/>
              </w:rPr>
            </w:pPr>
            <w:r>
              <w:rPr>
                <w:rFonts w:cs="Times New Roman"/>
              </w:rPr>
              <w:t>55,705,732.10</w:t>
            </w:r>
          </w:p>
        </w:tc>
        <w:sdt>
          <w:sdtPr>
            <w:rPr>
              <w:rFonts w:cs="Times New Roman"/>
              <w:color w:val="000000" w:themeColor="text1"/>
              <w14:textFill>
                <w14:solidFill>
                  <w14:schemeClr w14:val="tx1"/>
                </w14:solidFill>
              </w14:textFill>
            </w:rPr>
            <w:alias w:val="所有权或使用权受到限制的资产中固定资产受限类型"/>
            <w:tag w:val="_GBC_8e338588728e480389b3dfb7c90fdb40"/>
            <w:id w:val="-2062934126"/>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113" w:type="dxa"/>
                <w:vAlign w:val="center"/>
              </w:tcPr>
              <w:p w14:paraId="6888A27E">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w:t>
                </w:r>
              </w:p>
            </w:tc>
          </w:sdtContent>
        </w:sdt>
        <w:tc>
          <w:tcPr>
            <w:tcW w:w="1723" w:type="dxa"/>
            <w:vAlign w:val="center"/>
          </w:tcPr>
          <w:p w14:paraId="11FD280B">
            <w:pPr>
              <w:widowControl w:val="0"/>
              <w:jc w:val="center"/>
              <w:rPr>
                <w:rFonts w:cs="Times New Roman"/>
              </w:rPr>
            </w:pPr>
            <w:r>
              <w:rPr>
                <w:rFonts w:cs="Times New Roman"/>
              </w:rPr>
              <w:t>抵押借款、抵押用于开具银行承兑汇票</w:t>
            </w:r>
          </w:p>
        </w:tc>
        <w:tc>
          <w:tcPr>
            <w:tcW w:w="1593" w:type="dxa"/>
            <w:vAlign w:val="center"/>
          </w:tcPr>
          <w:p w14:paraId="5B646930">
            <w:pPr>
              <w:widowControl w:val="0"/>
              <w:jc w:val="right"/>
              <w:rPr>
                <w:rFonts w:cs="Times New Roman"/>
              </w:rPr>
            </w:pPr>
            <w:r>
              <w:rPr>
                <w:rFonts w:cs="Times New Roman"/>
              </w:rPr>
              <w:t>49,126,609.74</w:t>
            </w:r>
          </w:p>
        </w:tc>
        <w:tc>
          <w:tcPr>
            <w:tcW w:w="1669" w:type="dxa"/>
            <w:vAlign w:val="center"/>
          </w:tcPr>
          <w:p w14:paraId="432D610B">
            <w:pPr>
              <w:widowControl w:val="0"/>
              <w:jc w:val="right"/>
              <w:rPr>
                <w:rFonts w:cs="Times New Roman"/>
              </w:rPr>
            </w:pPr>
            <w:r>
              <w:rPr>
                <w:rFonts w:cs="Times New Roman"/>
              </w:rPr>
              <w:t>45,125,579.75</w:t>
            </w:r>
          </w:p>
        </w:tc>
        <w:sdt>
          <w:sdtPr>
            <w:rPr>
              <w:rFonts w:cs="Times New Roman"/>
              <w:color w:val="000000" w:themeColor="text1"/>
              <w14:textFill>
                <w14:solidFill>
                  <w14:schemeClr w14:val="tx1"/>
                </w14:solidFill>
              </w14:textFill>
            </w:rPr>
            <w:alias w:val="所有权或使用权受到限制的资产中固定资产受限类型"/>
            <w:tag w:val="_GBC_952dd7a24a1c472587dc908d56703287"/>
            <w:id w:val="1804728465"/>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287" w:type="dxa"/>
                <w:vAlign w:val="center"/>
              </w:tcPr>
              <w:p w14:paraId="12BF5B07">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w:t>
                </w:r>
              </w:p>
            </w:tc>
          </w:sdtContent>
        </w:sdt>
        <w:tc>
          <w:tcPr>
            <w:tcW w:w="1757" w:type="dxa"/>
            <w:vAlign w:val="center"/>
          </w:tcPr>
          <w:p w14:paraId="24B8760F">
            <w:pPr>
              <w:widowControl w:val="0"/>
              <w:jc w:val="center"/>
              <w:rPr>
                <w:rFonts w:cs="Times New Roman"/>
              </w:rPr>
            </w:pPr>
            <w:r>
              <w:rPr>
                <w:rFonts w:cs="Times New Roman"/>
              </w:rPr>
              <w:t>抵押借款</w:t>
            </w:r>
          </w:p>
        </w:tc>
      </w:tr>
      <w:tr w14:paraId="6FCF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89bbd95ddc8948acb9dfe88c8164ef2c"/>
            <w:id w:val="1096757170"/>
          </w:sdtPr>
          <w:sdtEndPr>
            <w:rPr>
              <w:rFonts w:cs="Times New Roman"/>
            </w:rPr>
          </w:sdtEndPr>
          <w:sdtContent>
            <w:tc>
              <w:tcPr>
                <w:tcW w:w="1701" w:type="dxa"/>
                <w:tcBorders>
                  <w:bottom w:val="single" w:color="auto" w:sz="4" w:space="0"/>
                </w:tcBorders>
                <w:vAlign w:val="center"/>
              </w:tcPr>
              <w:p w14:paraId="2EF3159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无形资产</w:t>
                </w:r>
              </w:p>
            </w:tc>
          </w:sdtContent>
        </w:sdt>
        <w:tc>
          <w:tcPr>
            <w:tcW w:w="1604" w:type="dxa"/>
            <w:vAlign w:val="center"/>
          </w:tcPr>
          <w:p w14:paraId="597653AA">
            <w:pPr>
              <w:widowControl w:val="0"/>
              <w:jc w:val="right"/>
              <w:rPr>
                <w:rFonts w:cs="Times New Roman"/>
              </w:rPr>
            </w:pPr>
            <w:r>
              <w:rPr>
                <w:rFonts w:cs="Times New Roman"/>
              </w:rPr>
              <w:t>61,563,159.00</w:t>
            </w:r>
          </w:p>
        </w:tc>
        <w:tc>
          <w:tcPr>
            <w:tcW w:w="1636" w:type="dxa"/>
            <w:vAlign w:val="center"/>
          </w:tcPr>
          <w:p w14:paraId="5F337451">
            <w:pPr>
              <w:widowControl w:val="0"/>
              <w:jc w:val="right"/>
              <w:rPr>
                <w:rFonts w:cs="Times New Roman"/>
              </w:rPr>
            </w:pPr>
            <w:r>
              <w:rPr>
                <w:rFonts w:cs="Times New Roman"/>
              </w:rPr>
              <w:t>42,165,044.32</w:t>
            </w:r>
          </w:p>
        </w:tc>
        <w:sdt>
          <w:sdtPr>
            <w:rPr>
              <w:rFonts w:cs="Times New Roman"/>
              <w:color w:val="000000" w:themeColor="text1"/>
              <w14:textFill>
                <w14:solidFill>
                  <w14:schemeClr w14:val="tx1"/>
                </w14:solidFill>
              </w14:textFill>
            </w:rPr>
            <w:alias w:val="所有权或使用权受到限制的资产中无形资产受限类型"/>
            <w:tag w:val="_GBC_1f42ad2f973343a9b6f8a7cd60a3de2a"/>
            <w:id w:val="351766110"/>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113" w:type="dxa"/>
                <w:vAlign w:val="center"/>
              </w:tcPr>
              <w:p w14:paraId="59529943">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w:t>
                </w:r>
              </w:p>
            </w:tc>
          </w:sdtContent>
        </w:sdt>
        <w:tc>
          <w:tcPr>
            <w:tcW w:w="1723" w:type="dxa"/>
            <w:vAlign w:val="center"/>
          </w:tcPr>
          <w:p w14:paraId="5259404F">
            <w:pPr>
              <w:widowControl w:val="0"/>
              <w:jc w:val="center"/>
              <w:rPr>
                <w:rFonts w:cs="Times New Roman"/>
              </w:rPr>
            </w:pPr>
            <w:r>
              <w:rPr>
                <w:rFonts w:cs="Times New Roman"/>
              </w:rPr>
              <w:t>抵押用于开具银行承兑汇票</w:t>
            </w:r>
          </w:p>
        </w:tc>
        <w:tc>
          <w:tcPr>
            <w:tcW w:w="1593" w:type="dxa"/>
            <w:vAlign w:val="center"/>
          </w:tcPr>
          <w:p w14:paraId="33A9E6A4">
            <w:pPr>
              <w:widowControl w:val="0"/>
              <w:jc w:val="right"/>
              <w:rPr>
                <w:rFonts w:cs="Times New Roman"/>
              </w:rPr>
            </w:pPr>
            <w:r>
              <w:rPr>
                <w:rFonts w:cs="Times New Roman"/>
              </w:rPr>
              <w:t>5,952,265.97</w:t>
            </w:r>
          </w:p>
        </w:tc>
        <w:tc>
          <w:tcPr>
            <w:tcW w:w="1669" w:type="dxa"/>
            <w:vAlign w:val="center"/>
          </w:tcPr>
          <w:p w14:paraId="4D311D85">
            <w:pPr>
              <w:widowControl w:val="0"/>
              <w:jc w:val="right"/>
              <w:rPr>
                <w:rFonts w:cs="Times New Roman"/>
              </w:rPr>
            </w:pPr>
            <w:r>
              <w:rPr>
                <w:rFonts w:cs="Times New Roman"/>
              </w:rPr>
              <w:t>5,361,437.36</w:t>
            </w:r>
          </w:p>
        </w:tc>
        <w:sdt>
          <w:sdtPr>
            <w:rPr>
              <w:rFonts w:cs="Times New Roman"/>
              <w:color w:val="000000" w:themeColor="text1"/>
              <w14:textFill>
                <w14:solidFill>
                  <w14:schemeClr w14:val="tx1"/>
                </w14:solidFill>
              </w14:textFill>
            </w:rPr>
            <w:alias w:val="所有权或使用权受到限制的资产中无形资产受限类型"/>
            <w:tag w:val="_GBC_d5c87ecebd2149918317cf7f94dda1db"/>
            <w:id w:val="268516766"/>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287" w:type="dxa"/>
                <w:vAlign w:val="center"/>
              </w:tcPr>
              <w:p w14:paraId="19931407">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w:t>
                </w:r>
              </w:p>
            </w:tc>
          </w:sdtContent>
        </w:sdt>
        <w:tc>
          <w:tcPr>
            <w:tcW w:w="1757" w:type="dxa"/>
            <w:vAlign w:val="center"/>
          </w:tcPr>
          <w:p w14:paraId="56A8027D">
            <w:pPr>
              <w:widowControl w:val="0"/>
              <w:jc w:val="center"/>
              <w:rPr>
                <w:rFonts w:cs="Times New Roman"/>
              </w:rPr>
            </w:pPr>
            <w:r>
              <w:rPr>
                <w:rFonts w:cs="Times New Roman"/>
              </w:rPr>
              <w:t>抵押借款</w:t>
            </w:r>
          </w:p>
        </w:tc>
      </w:tr>
      <w:sdt>
        <w:sdtPr>
          <w:rPr>
            <w:rFonts w:cs="Times New Roman"/>
            <w:color w:val="000000" w:themeColor="text1"/>
            <w14:textFill>
              <w14:solidFill>
                <w14:schemeClr w14:val="tx1"/>
              </w14:solidFill>
            </w14:textFill>
          </w:rPr>
          <w:alias w:val="所有权或使用权受到限制的资产明细"/>
          <w:tag w:val="_TUP_92bb46574a684a5b91786e73cda9619c"/>
          <w:id w:val="468099392"/>
          <w:placeholder>
            <w:docPart w:val="{dd9af3e3-6bdb-41c8-af00-dfb93af6e7d3}"/>
          </w:placeholder>
        </w:sdtPr>
        <w:sdtEndPr>
          <w:rPr>
            <w:rFonts w:cs="Times New Roman"/>
            <w:color w:val="000000" w:themeColor="text1"/>
            <w14:textFill>
              <w14:solidFill>
                <w14:schemeClr w14:val="tx1"/>
              </w14:solidFill>
            </w14:textFill>
          </w:rPr>
        </w:sdtEndPr>
        <w:sdtContent>
          <w:tr w14:paraId="4F91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14:paraId="137E4790">
                <w:pPr>
                  <w:widowControl w:val="0"/>
                  <w:jc w:val="center"/>
                  <w:rPr>
                    <w:rFonts w:cs="Times New Roman"/>
                  </w:rPr>
                </w:pPr>
                <w:r>
                  <w:rPr>
                    <w:rFonts w:cs="Times New Roman"/>
                  </w:rPr>
                  <w:t>投资性房地产</w:t>
                </w:r>
              </w:p>
            </w:tc>
            <w:tc>
              <w:tcPr>
                <w:tcW w:w="1604" w:type="dxa"/>
                <w:vAlign w:val="center"/>
              </w:tcPr>
              <w:p w14:paraId="2292326D">
                <w:pPr>
                  <w:widowControl w:val="0"/>
                  <w:jc w:val="right"/>
                  <w:rPr>
                    <w:rFonts w:cs="Times New Roman"/>
                  </w:rPr>
                </w:pPr>
                <w:r>
                  <w:rPr>
                    <w:rFonts w:cs="Times New Roman"/>
                  </w:rPr>
                  <w:t>60,000,000.00</w:t>
                </w:r>
              </w:p>
            </w:tc>
            <w:tc>
              <w:tcPr>
                <w:tcW w:w="1636" w:type="dxa"/>
                <w:vAlign w:val="center"/>
              </w:tcPr>
              <w:p w14:paraId="2CCADC9D">
                <w:pPr>
                  <w:widowControl w:val="0"/>
                  <w:jc w:val="right"/>
                  <w:rPr>
                    <w:rFonts w:cs="Times New Roman"/>
                  </w:rPr>
                </w:pPr>
                <w:r>
                  <w:rPr>
                    <w:rFonts w:cs="Times New Roman"/>
                  </w:rPr>
                  <w:t>51,806,250.00</w:t>
                </w:r>
              </w:p>
            </w:tc>
            <w:sdt>
              <w:sdtPr>
                <w:rPr>
                  <w:rFonts w:cs="Times New Roman"/>
                  <w:color w:val="000000" w:themeColor="text1"/>
                  <w14:textFill>
                    <w14:solidFill>
                      <w14:schemeClr w14:val="tx1"/>
                    </w14:solidFill>
                  </w14:textFill>
                </w:rPr>
                <w:alias w:val="所有权或使用权受到限制的资产明细-受限类型"/>
                <w:tag w:val="_GBC_c7ea23ecfb27482288d3919202d12248"/>
                <w:id w:val="940875126"/>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113" w:type="dxa"/>
                    <w:vAlign w:val="center"/>
                  </w:tcPr>
                  <w:p w14:paraId="4018ABF2">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w:t>
                    </w:r>
                  </w:p>
                </w:tc>
              </w:sdtContent>
            </w:sdt>
            <w:tc>
              <w:tcPr>
                <w:tcW w:w="1723" w:type="dxa"/>
                <w:vAlign w:val="center"/>
              </w:tcPr>
              <w:p w14:paraId="5778376E">
                <w:pPr>
                  <w:widowControl w:val="0"/>
                  <w:jc w:val="center"/>
                  <w:rPr>
                    <w:rFonts w:cs="Times New Roman"/>
                  </w:rPr>
                </w:pPr>
                <w:r>
                  <w:rPr>
                    <w:rFonts w:cs="Times New Roman"/>
                  </w:rPr>
                  <w:t>抵押用于开具银行承兑汇票</w:t>
                </w:r>
              </w:p>
            </w:tc>
            <w:tc>
              <w:tcPr>
                <w:tcW w:w="1593" w:type="dxa"/>
                <w:vAlign w:val="center"/>
              </w:tcPr>
              <w:p w14:paraId="10A7B750">
                <w:pPr>
                  <w:widowControl w:val="0"/>
                  <w:jc w:val="right"/>
                  <w:rPr>
                    <w:rFonts w:cs="Times New Roman"/>
                  </w:rPr>
                </w:pPr>
              </w:p>
            </w:tc>
            <w:tc>
              <w:tcPr>
                <w:tcW w:w="1669" w:type="dxa"/>
                <w:vAlign w:val="center"/>
              </w:tcPr>
              <w:p w14:paraId="0C28C920">
                <w:pPr>
                  <w:widowControl w:val="0"/>
                  <w:jc w:val="right"/>
                  <w:rPr>
                    <w:rFonts w:cs="Times New Roman"/>
                  </w:rPr>
                </w:pPr>
              </w:p>
            </w:tc>
            <w:sdt>
              <w:sdtPr>
                <w:rPr>
                  <w:rFonts w:cs="Times New Roman"/>
                  <w:color w:val="000000" w:themeColor="text1"/>
                  <w14:textFill>
                    <w14:solidFill>
                      <w14:schemeClr w14:val="tx1"/>
                    </w14:solidFill>
                  </w14:textFill>
                </w:rPr>
                <w:alias w:val="所有权或使用权受到限制的资产明细-受限类型"/>
                <w:tag w:val="_GBC_e9bde470b4204f318420b24dbd1607ac"/>
                <w:id w:val="693586251"/>
                <w:showingPlcHdr/>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rPr>
                  <w:rFonts w:cs="Times New Roman"/>
                  <w:color w:val="000000" w:themeColor="text1"/>
                  <w14:textFill>
                    <w14:solidFill>
                      <w14:schemeClr w14:val="tx1"/>
                    </w14:solidFill>
                  </w14:textFill>
                </w:rPr>
              </w:sdtEndPr>
              <w:sdtContent>
                <w:tc>
                  <w:tcPr>
                    <w:tcW w:w="1287" w:type="dxa"/>
                    <w:vAlign w:val="center"/>
                  </w:tcPr>
                  <w:p w14:paraId="36A12B34">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sdtContent>
            </w:sdt>
            <w:tc>
              <w:tcPr>
                <w:tcW w:w="1757" w:type="dxa"/>
                <w:vAlign w:val="center"/>
              </w:tcPr>
              <w:p w14:paraId="116D962F">
                <w:pPr>
                  <w:widowControl w:val="0"/>
                  <w:jc w:val="center"/>
                  <w:rPr>
                    <w:rFonts w:cs="Times New Roman"/>
                  </w:rPr>
                </w:pPr>
              </w:p>
            </w:tc>
          </w:tr>
        </w:sdtContent>
      </w:sdt>
      <w:sdt>
        <w:sdtPr>
          <w:rPr>
            <w:rFonts w:cs="Times New Roman"/>
          </w:rPr>
          <w:alias w:val="所有权或使用权受到限制的资产明细"/>
          <w:tag w:val="_TUP_92bb46574a684a5b91786e73cda9619c"/>
          <w:id w:val="-753212533"/>
          <w:placeholder>
            <w:docPart w:val="{dd9af3e3-6bdb-41c8-af00-dfb93af6e7d3}"/>
          </w:placeholder>
        </w:sdtPr>
        <w:sdtEndPr>
          <w:rPr>
            <w:rFonts w:cs="Times New Roman"/>
          </w:rPr>
        </w:sdtEndPr>
        <w:sdtContent>
          <w:tr w14:paraId="35D2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sdt>
              <w:sdtPr>
                <w:rPr>
                  <w:rFonts w:cs="Times New Roman"/>
                </w:rPr>
                <w:tag w:val="_PLD_8e96e852697e4c4fa4b9910713bcdd1b"/>
                <w:id w:val="-2052682951"/>
              </w:sdtPr>
              <w:sdtEndPr>
                <w:rPr>
                  <w:rFonts w:cs="Times New Roman"/>
                </w:rPr>
              </w:sdtEndPr>
              <w:sdtContent>
                <w:tc>
                  <w:tcPr>
                    <w:tcW w:w="1701" w:type="dxa"/>
                    <w:vAlign w:val="center"/>
                  </w:tcPr>
                  <w:p w14:paraId="586131DD">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04" w:type="dxa"/>
                <w:vAlign w:val="center"/>
              </w:tcPr>
              <w:p w14:paraId="4A58A1BE">
                <w:pPr>
                  <w:widowControl w:val="0"/>
                  <w:jc w:val="right"/>
                  <w:rPr>
                    <w:rFonts w:cs="Times New Roman"/>
                  </w:rPr>
                </w:pPr>
                <w:r>
                  <w:rPr>
                    <w:rFonts w:cs="Times New Roman"/>
                  </w:rPr>
                  <w:t>452,222,560.32</w:t>
                </w:r>
              </w:p>
            </w:tc>
            <w:tc>
              <w:tcPr>
                <w:tcW w:w="1636" w:type="dxa"/>
                <w:vAlign w:val="center"/>
              </w:tcPr>
              <w:p w14:paraId="04A47A06">
                <w:pPr>
                  <w:widowControl w:val="0"/>
                  <w:jc w:val="right"/>
                  <w:rPr>
                    <w:rFonts w:cs="Times New Roman"/>
                  </w:rPr>
                </w:pPr>
                <w:r>
                  <w:rPr>
                    <w:rFonts w:cs="Times New Roman"/>
                  </w:rPr>
                  <w:t>333,627,100.74</w:t>
                </w:r>
              </w:p>
            </w:tc>
            <w:tc>
              <w:tcPr>
                <w:tcW w:w="1113" w:type="dxa"/>
                <w:vAlign w:val="center"/>
              </w:tcPr>
              <w:p w14:paraId="4A93014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1723" w:type="dxa"/>
                <w:vAlign w:val="center"/>
              </w:tcPr>
              <w:p w14:paraId="6C34207B">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1593" w:type="dxa"/>
                <w:vAlign w:val="center"/>
              </w:tcPr>
              <w:p w14:paraId="35039440">
                <w:pPr>
                  <w:widowControl w:val="0"/>
                  <w:jc w:val="right"/>
                  <w:rPr>
                    <w:rFonts w:cs="Times New Roman"/>
                  </w:rPr>
                </w:pPr>
                <w:r>
                  <w:rPr>
                    <w:rFonts w:cs="Times New Roman"/>
                  </w:rPr>
                  <w:t>295,736,314.35</w:t>
                </w:r>
              </w:p>
            </w:tc>
            <w:tc>
              <w:tcPr>
                <w:tcW w:w="1669" w:type="dxa"/>
                <w:vAlign w:val="center"/>
              </w:tcPr>
              <w:p w14:paraId="77284498">
                <w:pPr>
                  <w:widowControl w:val="0"/>
                  <w:jc w:val="right"/>
                  <w:rPr>
                    <w:rFonts w:cs="Times New Roman"/>
                  </w:rPr>
                </w:pPr>
                <w:r>
                  <w:rPr>
                    <w:rFonts w:cs="Times New Roman"/>
                  </w:rPr>
                  <w:t>291,144,455.75</w:t>
                </w:r>
              </w:p>
            </w:tc>
            <w:tc>
              <w:tcPr>
                <w:tcW w:w="1287" w:type="dxa"/>
                <w:vAlign w:val="center"/>
              </w:tcPr>
              <w:p w14:paraId="1E8EB011">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1757" w:type="dxa"/>
                <w:vAlign w:val="center"/>
              </w:tcPr>
              <w:sdt>
                <w:sdtPr>
                  <w:rPr>
                    <w:rFonts w:cs="Times New Roman"/>
                  </w:rPr>
                  <w:tag w:val="_PLD_b9cb1112dd404e308fc59336a030a2c9"/>
                  <w:id w:val="1556663171"/>
                </w:sdtPr>
                <w:sdtEndPr>
                  <w:rPr>
                    <w:rFonts w:cs="Times New Roman"/>
                  </w:rPr>
                </w:sdtEndPr>
                <w:sdtContent>
                  <w:p w14:paraId="27588E1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sdtContent>
              </w:sdt>
            </w:tc>
          </w:tr>
        </w:sdtContent>
      </w:sdt>
    </w:tbl>
    <w:p w14:paraId="3B96B11F">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所有权或使用权受到限制的资产的其他说明"/>
        <w:tag w:val="_GBC_571ebdda2c564d648db287965351cd50"/>
        <w:id w:val="-1494103442"/>
      </w:sdtPr>
      <w:sdtEndPr>
        <w:rPr>
          <w:color w:val="000000" w:themeColor="text1"/>
          <w14:textFill>
            <w14:solidFill>
              <w14:schemeClr w14:val="tx1"/>
            </w14:solidFill>
          </w14:textFill>
        </w:rPr>
      </w:sdtEndPr>
      <w:sdtContent>
        <w:p w14:paraId="3B6AA74E">
          <w:pPr>
            <w:rPr>
              <w:color w:val="000000" w:themeColor="text1"/>
              <w14:textFill>
                <w14:solidFill>
                  <w14:schemeClr w14:val="tx1"/>
                </w14:solidFill>
              </w14:textFill>
            </w:rPr>
          </w:pPr>
          <w:r>
            <w:rPr>
              <w:color w:val="000000" w:themeColor="text1"/>
              <w14:textFill>
                <w14:solidFill>
                  <w14:schemeClr w14:val="tx1"/>
                </w14:solidFill>
              </w14:textFill>
            </w:rPr>
            <w:t>无</w:t>
          </w:r>
        </w:p>
      </w:sdtContent>
    </w:sdt>
    <w:p w14:paraId="31563AB6">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6D39508D">
      <w:pPr>
        <w:rPr>
          <w:color w:val="000000" w:themeColor="text1"/>
          <w14:textFill>
            <w14:solidFill>
              <w14:schemeClr w14:val="tx1"/>
            </w14:solidFill>
          </w14:textFill>
        </w:rPr>
      </w:pPr>
    </w:p>
    <w:p w14:paraId="11E4C0A3">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短期借款</w:t>
      </w:r>
    </w:p>
    <w:p w14:paraId="286FF99C">
      <w:pPr>
        <w:pStyle w:val="58"/>
        <w:numPr>
          <w:ilvl w:val="0"/>
          <w:numId w:val="78"/>
        </w:numPr>
        <w:tabs>
          <w:tab w:val="left" w:pos="630"/>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短期借款分类</w:t>
      </w:r>
    </w:p>
    <w:sdt>
      <w:sdtPr>
        <w:rPr>
          <w:color w:val="000000" w:themeColor="text1"/>
          <w14:textFill>
            <w14:solidFill>
              <w14:schemeClr w14:val="tx1"/>
            </w14:solidFill>
          </w14:textFill>
        </w:rPr>
        <w:alias w:val="是否适用：短期借款分类[双击切换]"/>
        <w:tag w:val="_GBC_1074387a68b64f6b9270b522de53ad85"/>
        <w:id w:val="147454935"/>
        <w:placeholder>
          <w:docPart w:val="GBC22222222222222222222222222222"/>
        </w:placeholder>
      </w:sdtPr>
      <w:sdtEndPr>
        <w:rPr>
          <w:color w:val="000000" w:themeColor="text1"/>
          <w14:textFill>
            <w14:solidFill>
              <w14:schemeClr w14:val="tx1"/>
            </w14:solidFill>
          </w14:textFill>
        </w:rPr>
      </w:sdtEndPr>
      <w:sdtContent>
        <w:p w14:paraId="0916D32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72DF9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短期借款分类"/>
          <w:tag w:val="_GBC_f3353209b65c4921b63143340e11aac9"/>
          <w:id w:val="1474828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短期借款分类"/>
          <w:tag w:val="_GBC_b3a1802faad14eae96cfab316b25f639"/>
          <w:id w:val="1474797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869"/>
        <w:gridCol w:w="3004"/>
        <w:gridCol w:w="3020"/>
      </w:tblGrid>
      <w:tr w14:paraId="5A20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3476605067da474199aa03dc83e3d88c"/>
            <w:id w:val="147453749"/>
          </w:sdtPr>
          <w:sdtContent>
            <w:tc>
              <w:tcPr>
                <w:tcW w:w="1613" w:type="pct"/>
                <w:vAlign w:val="center"/>
              </w:tcPr>
              <w:p w14:paraId="30083BBF">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cd6dc2751cc421e8a2f26f78a44b4c5"/>
            <w:id w:val="147460206"/>
          </w:sdtPr>
          <w:sdtContent>
            <w:tc>
              <w:tcPr>
                <w:tcW w:w="1688" w:type="pct"/>
                <w:vAlign w:val="center"/>
              </w:tcPr>
              <w:p w14:paraId="4ACCD66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16f582c583d4324abc605c4bc563081"/>
            <w:id w:val="147483290"/>
          </w:sdtPr>
          <w:sdtContent>
            <w:tc>
              <w:tcPr>
                <w:tcW w:w="1697" w:type="pct"/>
                <w:vAlign w:val="center"/>
              </w:tcPr>
              <w:p w14:paraId="68C3606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5FF8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14:paraId="294DACB4">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抵押借款</w:t>
            </w:r>
          </w:p>
        </w:tc>
        <w:tc>
          <w:tcPr>
            <w:tcW w:w="1688" w:type="pct"/>
            <w:vAlign w:val="center"/>
          </w:tcPr>
          <w:p w14:paraId="02940867">
            <w:pPr>
              <w:jc w:val="right"/>
              <w:textAlignment w:val="center"/>
              <w:rPr>
                <w:rFonts w:cs="Times New Roman"/>
              </w:rPr>
            </w:pPr>
            <w:r>
              <w:rPr>
                <w:rFonts w:cs="Times New Roman"/>
                <w:color w:val="000000"/>
              </w:rPr>
              <w:t>10,008,000.00</w:t>
            </w:r>
          </w:p>
        </w:tc>
        <w:tc>
          <w:tcPr>
            <w:tcW w:w="1697" w:type="pct"/>
            <w:vAlign w:val="center"/>
          </w:tcPr>
          <w:p w14:paraId="02633E4E">
            <w:pPr>
              <w:jc w:val="right"/>
              <w:textAlignment w:val="center"/>
              <w:rPr>
                <w:rFonts w:cs="Times New Roman"/>
              </w:rPr>
            </w:pPr>
            <w:r>
              <w:rPr>
                <w:rFonts w:cs="Times New Roman"/>
                <w:color w:val="000000"/>
              </w:rPr>
              <w:t>10,009,583.33</w:t>
            </w:r>
          </w:p>
        </w:tc>
      </w:tr>
      <w:tr w14:paraId="5027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37" w:hRule="atLeast"/>
        </w:trPr>
        <w:tc>
          <w:tcPr>
            <w:tcW w:w="1613" w:type="pct"/>
          </w:tcPr>
          <w:p w14:paraId="340369D0">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信用借款</w:t>
            </w:r>
          </w:p>
        </w:tc>
        <w:tc>
          <w:tcPr>
            <w:tcW w:w="1688" w:type="pct"/>
            <w:vAlign w:val="center"/>
          </w:tcPr>
          <w:p w14:paraId="50655547">
            <w:pPr>
              <w:jc w:val="right"/>
              <w:textAlignment w:val="center"/>
              <w:rPr>
                <w:rFonts w:cs="Times New Roman"/>
              </w:rPr>
            </w:pPr>
            <w:r>
              <w:rPr>
                <w:rFonts w:cs="Times New Roman"/>
                <w:color w:val="000000"/>
              </w:rPr>
              <w:t>279,512,293.40</w:t>
            </w:r>
          </w:p>
        </w:tc>
        <w:tc>
          <w:tcPr>
            <w:tcW w:w="1697" w:type="pct"/>
            <w:vAlign w:val="center"/>
          </w:tcPr>
          <w:p w14:paraId="13CD12B6">
            <w:pPr>
              <w:jc w:val="right"/>
              <w:textAlignment w:val="center"/>
              <w:rPr>
                <w:rFonts w:cs="Times New Roman"/>
              </w:rPr>
            </w:pPr>
            <w:r>
              <w:rPr>
                <w:rFonts w:cs="Times New Roman"/>
                <w:color w:val="000000"/>
              </w:rPr>
              <w:t>430,176,747.17</w:t>
            </w:r>
          </w:p>
        </w:tc>
      </w:tr>
      <w:tr w14:paraId="417B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vAlign w:val="center"/>
          </w:tcPr>
          <w:p w14:paraId="2241773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8" w:type="pct"/>
            <w:vAlign w:val="center"/>
          </w:tcPr>
          <w:p w14:paraId="6EBC28AB">
            <w:pPr>
              <w:jc w:val="right"/>
              <w:textAlignment w:val="center"/>
              <w:rPr>
                <w:rFonts w:cs="Times New Roman"/>
              </w:rPr>
            </w:pPr>
            <w:r>
              <w:rPr>
                <w:rFonts w:cs="Times New Roman"/>
                <w:color w:val="000000"/>
              </w:rPr>
              <w:t>289,520,293.40</w:t>
            </w:r>
          </w:p>
        </w:tc>
        <w:tc>
          <w:tcPr>
            <w:tcW w:w="1697" w:type="pct"/>
            <w:vAlign w:val="center"/>
          </w:tcPr>
          <w:p w14:paraId="657C109C">
            <w:pPr>
              <w:jc w:val="right"/>
              <w:textAlignment w:val="center"/>
              <w:rPr>
                <w:rFonts w:cs="Times New Roman"/>
              </w:rPr>
            </w:pPr>
            <w:r>
              <w:rPr>
                <w:rFonts w:cs="Times New Roman"/>
                <w:color w:val="000000"/>
              </w:rPr>
              <w:t>440,186,330.50</w:t>
            </w:r>
          </w:p>
        </w:tc>
      </w:tr>
    </w:tbl>
    <w:p w14:paraId="38AC806C">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短期借款分类的说明：</w:t>
      </w:r>
    </w:p>
    <w:sdt>
      <w:sdtPr>
        <w:rPr>
          <w:rFonts w:cs="Times New Roman"/>
          <w:color w:val="000000" w:themeColor="text1"/>
          <w14:textFill>
            <w14:solidFill>
              <w14:schemeClr w14:val="tx1"/>
            </w14:solidFill>
          </w14:textFill>
        </w:rPr>
        <w:alias w:val="短期借款分类的说明"/>
        <w:tag w:val="_GBC_fc19e133dd4f4dbdb9d583e76175b714"/>
        <w:id w:val="147459037"/>
        <w:placeholder>
          <w:docPart w:val="GBC22222222222222222222222222222"/>
        </w:placeholder>
      </w:sdtPr>
      <w:sdtEndPr>
        <w:rPr>
          <w:rFonts w:cs="Times New Roman"/>
          <w:color w:val="000000" w:themeColor="text1"/>
          <w14:textFill>
            <w14:solidFill>
              <w14:schemeClr w14:val="tx1"/>
            </w14:solidFill>
          </w14:textFill>
        </w:rPr>
      </w:sdtEndPr>
      <w:sdtContent>
        <w:p w14:paraId="409866EC">
          <w:pPr>
            <w:snapToGrid w:val="0"/>
            <w:spacing w:line="240" w:lineRule="atLeast"/>
            <w:ind w:firstLine="42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抵押借款为本公司之子公司际华三五二二装具饰品有限公司以房地产作为抵押从中国邮政储蓄银行股份有限公司天津西青区支行取得借款1,000.00万元。</w:t>
          </w:r>
        </w:p>
      </w:sdtContent>
    </w:sdt>
    <w:p w14:paraId="691BCA19">
      <w:pPr>
        <w:snapToGrid w:val="0"/>
        <w:spacing w:line="240" w:lineRule="atLeast"/>
        <w:ind w:right="-153" w:rightChars="-73"/>
        <w:rPr>
          <w:b/>
          <w:color w:val="000000" w:themeColor="text1"/>
          <w14:textFill>
            <w14:solidFill>
              <w14:schemeClr w14:val="tx1"/>
            </w14:solidFill>
          </w14:textFill>
        </w:rPr>
      </w:pPr>
    </w:p>
    <w:p w14:paraId="6DAF752E">
      <w:pPr>
        <w:pStyle w:val="58"/>
        <w:numPr>
          <w:ilvl w:val="0"/>
          <w:numId w:val="78"/>
        </w:numPr>
        <w:tabs>
          <w:tab w:val="left" w:pos="630"/>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已逾期未偿还的短期借款情况</w:t>
      </w:r>
    </w:p>
    <w:sdt>
      <w:sdtPr>
        <w:rPr>
          <w:color w:val="000000" w:themeColor="text1"/>
          <w14:textFill>
            <w14:solidFill>
              <w14:schemeClr w14:val="tx1"/>
            </w14:solidFill>
          </w14:textFill>
        </w:rPr>
        <w:alias w:val="是否适用：已逾期未偿还的短期借款情况[双击切换]"/>
        <w:tag w:val="_GBC_57f74ff95a304f19a7c06d7996fc30c7"/>
        <w:id w:val="147453132"/>
        <w:placeholder>
          <w:docPart w:val="GBC22222222222222222222222222222"/>
        </w:placeholder>
      </w:sdtPr>
      <w:sdtEndPr>
        <w:rPr>
          <w:color w:val="000000" w:themeColor="text1"/>
          <w14:textFill>
            <w14:solidFill>
              <w14:schemeClr w14:val="tx1"/>
            </w14:solidFill>
          </w14:textFill>
        </w:rPr>
      </w:sdtEndPr>
      <w:sdtContent>
        <w:p w14:paraId="582A96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9D51CB">
      <w:pPr>
        <w:rPr>
          <w:color w:val="000000" w:themeColor="text1"/>
          <w14:textFill>
            <w14:solidFill>
              <w14:schemeClr w14:val="tx1"/>
            </w14:solidFill>
          </w14:textFill>
        </w:rPr>
      </w:pPr>
    </w:p>
    <w:p w14:paraId="1230B0E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短期借款的说明[双击切换]"/>
        <w:tag w:val="_GBC_663e3ee6df014147bb9c7daa18ccb062"/>
        <w:id w:val="147455910"/>
        <w:placeholder>
          <w:docPart w:val="GBC22222222222222222222222222222"/>
        </w:placeholder>
      </w:sdtPr>
      <w:sdtEndPr>
        <w:rPr>
          <w:color w:val="000000" w:themeColor="text1"/>
          <w14:textFill>
            <w14:solidFill>
              <w14:schemeClr w14:val="tx1"/>
            </w14:solidFill>
          </w14:textFill>
        </w:rPr>
      </w:sdtEndPr>
      <w:sdtContent>
        <w:p w14:paraId="439600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2EFCEA">
      <w:pPr>
        <w:rPr>
          <w:color w:val="000000" w:themeColor="text1"/>
          <w14:textFill>
            <w14:solidFill>
              <w14:schemeClr w14:val="tx1"/>
            </w14:solidFill>
          </w14:textFill>
        </w:rPr>
      </w:pPr>
    </w:p>
    <w:p w14:paraId="639789A8">
      <w:pPr>
        <w:pStyle w:val="57"/>
        <w:numPr>
          <w:ilvl w:val="0"/>
          <w:numId w:val="54"/>
        </w:numPr>
        <w:rPr>
          <w:color w:val="000000" w:themeColor="text1"/>
          <w:szCs w:val="21"/>
          <w14:textFill>
            <w14:solidFill>
              <w14:schemeClr w14:val="tx1"/>
            </w14:solidFill>
          </w14:textFill>
        </w:rPr>
      </w:pPr>
      <w:bookmarkStart w:id="346" w:name="_Hlk167960253"/>
      <w:bookmarkStart w:id="347" w:name="_Hlk533670147"/>
      <w:bookmarkStart w:id="348" w:name="_Hlk533422954"/>
      <w:r>
        <w:rPr>
          <w:color w:val="000000" w:themeColor="text1"/>
          <w:szCs w:val="21"/>
          <w14:textFill>
            <w14:solidFill>
              <w14:schemeClr w14:val="tx1"/>
            </w14:solidFill>
          </w14:textFill>
        </w:rPr>
        <w:t>交易性金融负债</w:t>
      </w:r>
    </w:p>
    <w:sdt>
      <w:sdtPr>
        <w:rPr>
          <w:color w:val="000000" w:themeColor="text1"/>
          <w14:textFill>
            <w14:solidFill>
              <w14:schemeClr w14:val="tx1"/>
            </w14:solidFill>
          </w14:textFill>
        </w:rPr>
        <w:alias w:val="是否适用：交易性金融负债[双击切换]"/>
        <w:tag w:val="_GBC_c80a748cb25743768dff0a872a281bca"/>
        <w:id w:val="147475128"/>
        <w:placeholder>
          <w:docPart w:val="GBC22222222222222222222222222222"/>
        </w:placeholder>
      </w:sdtPr>
      <w:sdtEndPr>
        <w:rPr>
          <w:color w:val="000000" w:themeColor="text1"/>
          <w14:textFill>
            <w14:solidFill>
              <w14:schemeClr w14:val="tx1"/>
            </w14:solidFill>
          </w14:textFill>
        </w:rPr>
      </w:sdtEndPr>
      <w:sdtContent>
        <w:p w14:paraId="60BF44F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106F9F5">
      <w:pPr>
        <w:rPr>
          <w:color w:val="000000" w:themeColor="text1"/>
          <w14:textFill>
            <w14:solidFill>
              <w14:schemeClr w14:val="tx1"/>
            </w14:solidFill>
          </w14:textFill>
        </w:rPr>
      </w:pPr>
    </w:p>
    <w:p w14:paraId="5B17D140">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交易性金融负债的说明[双击切换]"/>
        <w:tag w:val="_GBC_692d0bb6340447f685684271256fa188"/>
        <w:id w:val="147468535"/>
        <w:placeholder>
          <w:docPart w:val="GBC22222222222222222222222222222"/>
        </w:placeholder>
      </w:sdtPr>
      <w:sdtEndPr>
        <w:rPr>
          <w:color w:val="000000" w:themeColor="text1"/>
          <w14:textFill>
            <w14:solidFill>
              <w14:schemeClr w14:val="tx1"/>
            </w14:solidFill>
          </w14:textFill>
        </w:rPr>
      </w:sdtEndPr>
      <w:sdtContent>
        <w:p w14:paraId="1C9B8DA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8CF02E5">
      <w:pPr>
        <w:rPr>
          <w:color w:val="000000" w:themeColor="text1"/>
          <w14:textFill>
            <w14:solidFill>
              <w14:schemeClr w14:val="tx1"/>
            </w14:solidFill>
          </w14:textFill>
        </w:rPr>
      </w:pPr>
    </w:p>
    <w:bookmarkEnd w:id="346"/>
    <w:bookmarkEnd w:id="347"/>
    <w:bookmarkEnd w:id="348"/>
    <w:p w14:paraId="676C01F9">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衍生金融负债</w:t>
      </w:r>
    </w:p>
    <w:sdt>
      <w:sdtPr>
        <w:rPr>
          <w:color w:val="000000" w:themeColor="text1"/>
          <w14:textFill>
            <w14:solidFill>
              <w14:schemeClr w14:val="tx1"/>
            </w14:solidFill>
          </w14:textFill>
        </w:rPr>
        <w:alias w:val="是否适用：衍生金融负债[双击切换]"/>
        <w:tag w:val="_GBC_3a60c0d3d0534eba80b93475b0a6411f"/>
        <w:id w:val="147474665"/>
        <w:placeholder>
          <w:docPart w:val="GBC22222222222222222222222222222"/>
        </w:placeholder>
      </w:sdtPr>
      <w:sdtEndPr>
        <w:rPr>
          <w:color w:val="000000" w:themeColor="text1"/>
          <w14:textFill>
            <w14:solidFill>
              <w14:schemeClr w14:val="tx1"/>
            </w14:solidFill>
          </w14:textFill>
        </w:rPr>
      </w:sdtEndPr>
      <w:sdtContent>
        <w:p w14:paraId="037FD3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7889E1">
      <w:pPr>
        <w:rPr>
          <w:color w:val="000000" w:themeColor="text1"/>
          <w14:textFill>
            <w14:solidFill>
              <w14:schemeClr w14:val="tx1"/>
            </w14:solidFill>
          </w14:textFill>
        </w:rPr>
      </w:pPr>
    </w:p>
    <w:p w14:paraId="0ED7D664">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应付票据</w:t>
      </w:r>
    </w:p>
    <w:sdt>
      <w:sdtPr>
        <w:rPr>
          <w:color w:val="000000" w:themeColor="text1"/>
          <w14:textFill>
            <w14:solidFill>
              <w14:schemeClr w14:val="tx1"/>
            </w14:solidFill>
          </w14:textFill>
        </w:rPr>
        <w:alias w:val="是否适用：应付票据[双击切换]"/>
        <w:tag w:val="_GBC_57c67181b34944e782b23a48b1843e8f"/>
        <w:id w:val="147455442"/>
        <w:lock w:val="contentLocked"/>
        <w:placeholder>
          <w:docPart w:val="GBC22222222222222222222222222222"/>
        </w:placeholder>
      </w:sdtPr>
      <w:sdtEndPr>
        <w:rPr>
          <w:color w:val="000000" w:themeColor="text1"/>
          <w14:textFill>
            <w14:solidFill>
              <w14:schemeClr w14:val="tx1"/>
            </w14:solidFill>
          </w14:textFill>
        </w:rPr>
      </w:sdtEndPr>
      <w:sdtContent>
        <w:p w14:paraId="6531966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F45AE1">
      <w:pPr>
        <w:jc w:val="right"/>
        <w:rPr>
          <w:color w:val="000000" w:themeColor="text1"/>
          <w14:textFill>
            <w14:solidFill>
              <w14:schemeClr w14:val="tx1"/>
            </w14:solidFill>
          </w14:textFill>
        </w:rPr>
      </w:pPr>
      <w:bookmarkStart w:id="349" w:name="_Hlk167960344"/>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票据"/>
          <w:tag w:val="_GBC_db69c246a0d14735805df636930e34ba"/>
          <w:id w:val="1474607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票据"/>
          <w:tag w:val="_GBC_f734b21fc72c43feb20eaf84762dfd7f"/>
          <w:id w:val="1474554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310"/>
        <w:gridCol w:w="3338"/>
        <w:gridCol w:w="3245"/>
      </w:tblGrid>
      <w:tr w14:paraId="676C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faa4f5cfe5ae4b0a9c786ca922191e7e"/>
            <w:id w:val="147469763"/>
          </w:sdtPr>
          <w:sdtContent>
            <w:tc>
              <w:tcPr>
                <w:tcW w:w="1299" w:type="pct"/>
                <w:vAlign w:val="center"/>
              </w:tcPr>
              <w:p w14:paraId="42BC20DB">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p>
            </w:tc>
          </w:sdtContent>
        </w:sdt>
        <w:sdt>
          <w:sdtPr>
            <w:tag w:val="_PLD_b51f0f25994640289becfaca28eb1d5c"/>
            <w:id w:val="147455287"/>
          </w:sdtPr>
          <w:sdtContent>
            <w:tc>
              <w:tcPr>
                <w:tcW w:w="1877" w:type="pct"/>
                <w:vAlign w:val="center"/>
              </w:tcPr>
              <w:p w14:paraId="71FC0FE2">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96d96c1a15e479289fa9e0699e2822e"/>
            <w:id w:val="147456034"/>
          </w:sdtPr>
          <w:sdtContent>
            <w:tc>
              <w:tcPr>
                <w:tcW w:w="1824" w:type="pct"/>
                <w:vAlign w:val="center"/>
              </w:tcPr>
              <w:p w14:paraId="03CB0ED8">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1AE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14:paraId="7F5971D3">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商业承兑汇票</w:t>
            </w:r>
          </w:p>
        </w:tc>
        <w:tc>
          <w:tcPr>
            <w:tcW w:w="1877" w:type="pct"/>
            <w:vAlign w:val="center"/>
          </w:tcPr>
          <w:p w14:paraId="248BFF18">
            <w:pPr>
              <w:jc w:val="right"/>
              <w:textAlignment w:val="center"/>
              <w:rPr>
                <w:rFonts w:cs="Times New Roman"/>
              </w:rPr>
            </w:pPr>
            <w:r>
              <w:rPr>
                <w:rFonts w:cs="Times New Roman"/>
                <w:color w:val="000000"/>
              </w:rPr>
              <w:t>7,500,000.00</w:t>
            </w:r>
          </w:p>
        </w:tc>
        <w:tc>
          <w:tcPr>
            <w:tcW w:w="1824" w:type="pct"/>
            <w:vAlign w:val="center"/>
          </w:tcPr>
          <w:p w14:paraId="3B33E74A">
            <w:pPr>
              <w:jc w:val="right"/>
              <w:textAlignment w:val="center"/>
              <w:rPr>
                <w:rFonts w:cs="Times New Roman"/>
              </w:rPr>
            </w:pPr>
            <w:r>
              <w:rPr>
                <w:rFonts w:cs="Times New Roman"/>
                <w:color w:val="000000"/>
              </w:rPr>
              <w:t>17,470,000.00</w:t>
            </w:r>
          </w:p>
        </w:tc>
      </w:tr>
      <w:tr w14:paraId="4BB0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14:paraId="521C5FE1">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银行承兑汇票</w:t>
            </w:r>
          </w:p>
        </w:tc>
        <w:tc>
          <w:tcPr>
            <w:tcW w:w="1877" w:type="pct"/>
            <w:vAlign w:val="center"/>
          </w:tcPr>
          <w:p w14:paraId="66A16F1D">
            <w:pPr>
              <w:jc w:val="right"/>
              <w:textAlignment w:val="center"/>
              <w:rPr>
                <w:rFonts w:cs="Times New Roman"/>
              </w:rPr>
            </w:pPr>
            <w:r>
              <w:rPr>
                <w:rFonts w:cs="Times New Roman"/>
                <w:color w:val="000000"/>
              </w:rPr>
              <w:t>357,718,903.78</w:t>
            </w:r>
          </w:p>
        </w:tc>
        <w:tc>
          <w:tcPr>
            <w:tcW w:w="1824" w:type="pct"/>
            <w:vAlign w:val="center"/>
          </w:tcPr>
          <w:p w14:paraId="0D35FAA2">
            <w:pPr>
              <w:jc w:val="right"/>
              <w:textAlignment w:val="center"/>
              <w:rPr>
                <w:rFonts w:cs="Times New Roman"/>
              </w:rPr>
            </w:pPr>
            <w:r>
              <w:rPr>
                <w:rFonts w:cs="Times New Roman"/>
                <w:color w:val="000000"/>
              </w:rPr>
              <w:t>489,812,516.18</w:t>
            </w:r>
          </w:p>
        </w:tc>
      </w:tr>
      <w:tr w14:paraId="06DE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14:paraId="489ED769">
            <w:pPr>
              <w:autoSpaceDE w:val="0"/>
              <w:autoSpaceDN w:val="0"/>
              <w:adjustRightInd w:val="0"/>
              <w:snapToGrid w:val="0"/>
              <w:spacing w:line="240" w:lineRule="atLeast"/>
            </w:pPr>
            <w:r>
              <w:rPr>
                <w:rFonts w:hint="eastAsia"/>
              </w:rPr>
              <w:t>财务公司承兑汇票</w:t>
            </w:r>
          </w:p>
        </w:tc>
        <w:tc>
          <w:tcPr>
            <w:tcW w:w="1877" w:type="pct"/>
            <w:vAlign w:val="center"/>
          </w:tcPr>
          <w:p w14:paraId="762EEA8B">
            <w:pPr>
              <w:jc w:val="right"/>
              <w:textAlignment w:val="center"/>
              <w:rPr>
                <w:rFonts w:cs="Times New Roman"/>
              </w:rPr>
            </w:pPr>
            <w:r>
              <w:rPr>
                <w:rFonts w:cs="Times New Roman"/>
                <w:color w:val="000000"/>
              </w:rPr>
              <w:t>700,000.00</w:t>
            </w:r>
          </w:p>
        </w:tc>
        <w:tc>
          <w:tcPr>
            <w:tcW w:w="1824" w:type="pct"/>
            <w:vAlign w:val="center"/>
          </w:tcPr>
          <w:p w14:paraId="27ABA7AC">
            <w:pPr>
              <w:jc w:val="right"/>
              <w:textAlignment w:val="center"/>
              <w:rPr>
                <w:rFonts w:cs="Times New Roman"/>
              </w:rPr>
            </w:pPr>
            <w:r>
              <w:rPr>
                <w:rFonts w:cs="Times New Roman"/>
                <w:color w:val="000000"/>
              </w:rPr>
              <w:t>50,009,000.00</w:t>
            </w:r>
          </w:p>
        </w:tc>
      </w:tr>
      <w:tr w14:paraId="21CB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vAlign w:val="center"/>
          </w:tcPr>
          <w:p w14:paraId="5C196BBD">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77" w:type="pct"/>
            <w:vAlign w:val="center"/>
          </w:tcPr>
          <w:p w14:paraId="104AA20B">
            <w:pPr>
              <w:jc w:val="right"/>
              <w:textAlignment w:val="center"/>
              <w:rPr>
                <w:rFonts w:cs="Times New Roman"/>
              </w:rPr>
            </w:pPr>
            <w:r>
              <w:rPr>
                <w:rFonts w:cs="Times New Roman"/>
                <w:color w:val="000000"/>
              </w:rPr>
              <w:t>365,918,903.78</w:t>
            </w:r>
          </w:p>
        </w:tc>
        <w:tc>
          <w:tcPr>
            <w:tcW w:w="1824" w:type="pct"/>
            <w:vAlign w:val="center"/>
          </w:tcPr>
          <w:p w14:paraId="7C1E018A">
            <w:pPr>
              <w:jc w:val="right"/>
              <w:textAlignment w:val="center"/>
              <w:rPr>
                <w:rFonts w:cs="Times New Roman"/>
              </w:rPr>
            </w:pPr>
            <w:r>
              <w:rPr>
                <w:rFonts w:cs="Times New Roman"/>
                <w:color w:val="000000"/>
              </w:rPr>
              <w:t>557,291,516.18</w:t>
            </w:r>
          </w:p>
        </w:tc>
      </w:tr>
    </w:tbl>
    <w:p w14:paraId="78221B88">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本期末已到期未支付的应付票据总额为</w:t>
      </w:r>
      <w:sdt>
        <w:sdtPr>
          <w:rPr>
            <w:rFonts w:hint="eastAsia"/>
            <w:color w:val="000000" w:themeColor="text1"/>
            <w14:textFill>
              <w14:solidFill>
                <w14:schemeClr w14:val="tx1"/>
              </w14:solidFill>
            </w14:textFill>
          </w:rPr>
          <w:alias w:val="已到期未支付的应付票据总额"/>
          <w:tag w:val="_GBC_c9651441e218453780f22db83f133e6a"/>
          <w:id w:val="147470300"/>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元。到期未付的原因是</w:t>
      </w:r>
      <w:sdt>
        <w:sdtPr>
          <w:rPr>
            <w:rFonts w:hint="eastAsia"/>
            <w:color w:val="000000" w:themeColor="text1"/>
            <w14:textFill>
              <w14:solidFill>
                <w14:schemeClr w14:val="tx1"/>
              </w14:solidFill>
            </w14:textFill>
          </w:rPr>
          <w:alias w:val="应付票据到期未付的原因"/>
          <w:tag w:val="_GBC_73acd2fa7a344753a71cf43e98373b73"/>
          <w:id w:val="147466828"/>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79E65311">
      <w:pPr>
        <w:snapToGrid w:val="0"/>
        <w:spacing w:line="240" w:lineRule="atLeast"/>
        <w:rPr>
          <w:color w:val="000000" w:themeColor="text1"/>
          <w14:textFill>
            <w14:solidFill>
              <w14:schemeClr w14:val="tx1"/>
            </w14:solidFill>
          </w14:textFill>
        </w:rPr>
      </w:pPr>
    </w:p>
    <w:bookmarkEnd w:id="349"/>
    <w:p w14:paraId="4DFEFBF7">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应付账款</w:t>
      </w:r>
    </w:p>
    <w:p w14:paraId="19B2906E">
      <w:pPr>
        <w:pStyle w:val="5"/>
        <w:numPr>
          <w:ilvl w:val="0"/>
          <w:numId w:val="79"/>
        </w:numPr>
        <w:tabs>
          <w:tab w:val="left" w:pos="588"/>
        </w:tabs>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应付账款列示</w:t>
      </w:r>
    </w:p>
    <w:sdt>
      <w:sdtPr>
        <w:rPr>
          <w:color w:val="000000" w:themeColor="text1"/>
          <w14:textFill>
            <w14:solidFill>
              <w14:schemeClr w14:val="tx1"/>
            </w14:solidFill>
          </w14:textFill>
        </w:rPr>
        <w:alias w:val="是否适用：应付账款列示[双击切换]"/>
        <w:tag w:val="_GBC_8531771c226a4fb0b98e3cdaf7271c71"/>
        <w:id w:val="1061907958"/>
      </w:sdtPr>
      <w:sdtEndPr>
        <w:rPr>
          <w:color w:val="000000" w:themeColor="text1"/>
          <w14:textFill>
            <w14:solidFill>
              <w14:schemeClr w14:val="tx1"/>
            </w14:solidFill>
          </w14:textFill>
        </w:rPr>
      </w:sdtEndPr>
      <w:sdtContent>
        <w:p w14:paraId="07DBED8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90789A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账款情况"/>
          <w:tag w:val="_GBC_53c05e3ea1bb4f08bbe5cf204a0947b9"/>
          <w:id w:val="-871755380"/>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账款情况"/>
          <w:tag w:val="_GBC_e10cb0a664ca4400817c8a2bcf9247fc"/>
          <w:id w:val="196932062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67"/>
        <w:gridCol w:w="3341"/>
      </w:tblGrid>
      <w:tr w14:paraId="48F1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cs="Times New Roman"/>
            </w:rPr>
            <w:tag w:val="_PLD_7dae27caeee34d74add24cd985083c75"/>
            <w:id w:val="559675302"/>
          </w:sdtPr>
          <w:sdtEndPr>
            <w:rPr>
              <w:rFonts w:cs="Times New Roman"/>
            </w:rPr>
          </w:sdtEndPr>
          <w:sdtContent>
            <w:tc>
              <w:tcPr>
                <w:tcW w:w="1570" w:type="pct"/>
              </w:tcPr>
              <w:p w14:paraId="42D8AC0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136ba417561e421ea02da8004fdf8b33"/>
            <w:id w:val="154654238"/>
          </w:sdtPr>
          <w:sdtEndPr>
            <w:rPr>
              <w:rFonts w:cs="Times New Roman"/>
            </w:rPr>
          </w:sdtEndPr>
          <w:sdtContent>
            <w:tc>
              <w:tcPr>
                <w:tcW w:w="1584" w:type="pct"/>
              </w:tcPr>
              <w:p w14:paraId="4A6F823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bc4b311c1ee54bd48b7b2ba2ab79c364"/>
            <w:id w:val="-1802216127"/>
          </w:sdtPr>
          <w:sdtEndPr>
            <w:rPr>
              <w:rFonts w:cs="Times New Roman"/>
            </w:rPr>
          </w:sdtEndPr>
          <w:sdtContent>
            <w:tc>
              <w:tcPr>
                <w:tcW w:w="1846" w:type="pct"/>
              </w:tcPr>
              <w:p w14:paraId="66C50B1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sdt>
        <w:sdtPr>
          <w:rPr>
            <w:rFonts w:cs="Times New Roman"/>
            <w:color w:val="000000" w:themeColor="text1"/>
            <w14:textFill>
              <w14:solidFill>
                <w14:schemeClr w14:val="tx1"/>
              </w14:solidFill>
            </w14:textFill>
          </w:rPr>
          <w:alias w:val="应付账款情况明细"/>
          <w:tag w:val="_GBC_6a9eb940fbe64774bcca168078c6adaa"/>
          <w:id w:val="-859049819"/>
          <w:placeholder>
            <w:docPart w:val="{675b4e51-4ded-4f81-868b-1cf1e144ab31}"/>
          </w:placeholder>
        </w:sdtPr>
        <w:sdtEndPr>
          <w:rPr>
            <w:rFonts w:cs="Times New Roman"/>
            <w:color w:val="000000" w:themeColor="text1"/>
            <w14:textFill>
              <w14:solidFill>
                <w14:schemeClr w14:val="tx1"/>
              </w14:solidFill>
            </w14:textFill>
          </w:rPr>
        </w:sdtEndPr>
        <w:sdtContent>
          <w:tr w14:paraId="1FCA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2AD2748E">
                <w:pPr>
                  <w:rPr>
                    <w:rFonts w:cs="Times New Roman"/>
                  </w:rPr>
                </w:pPr>
                <w:r>
                  <w:rPr>
                    <w:rFonts w:cs="Times New Roman"/>
                  </w:rPr>
                  <w:t>应付材料款</w:t>
                </w:r>
              </w:p>
            </w:tc>
            <w:tc>
              <w:tcPr>
                <w:tcW w:w="1584" w:type="pct"/>
                <w:vAlign w:val="center"/>
              </w:tcPr>
              <w:p w14:paraId="17DEB37C">
                <w:pPr>
                  <w:jc w:val="right"/>
                  <w:rPr>
                    <w:rFonts w:cs="Times New Roman"/>
                  </w:rPr>
                </w:pPr>
                <w:r>
                  <w:rPr>
                    <w:rFonts w:cs="Times New Roman"/>
                  </w:rPr>
                  <w:t>1,128,698,291.99</w:t>
                </w:r>
              </w:p>
            </w:tc>
            <w:tc>
              <w:tcPr>
                <w:tcW w:w="1846" w:type="pct"/>
                <w:vAlign w:val="center"/>
              </w:tcPr>
              <w:p w14:paraId="5AFAD1FF">
                <w:pPr>
                  <w:jc w:val="right"/>
                  <w:rPr>
                    <w:rFonts w:cs="Times New Roman"/>
                  </w:rPr>
                </w:pPr>
                <w:r>
                  <w:rPr>
                    <w:rFonts w:cs="Times New Roman"/>
                  </w:rPr>
                  <w:t>1,648,231,398.68</w:t>
                </w:r>
              </w:p>
            </w:tc>
          </w:tr>
        </w:sdtContent>
      </w:sdt>
      <w:sdt>
        <w:sdtPr>
          <w:rPr>
            <w:rFonts w:cs="Times New Roman"/>
            <w:color w:val="000000" w:themeColor="text1"/>
            <w14:textFill>
              <w14:solidFill>
                <w14:schemeClr w14:val="tx1"/>
              </w14:solidFill>
            </w14:textFill>
          </w:rPr>
          <w:alias w:val="应付账款情况明细"/>
          <w:tag w:val="_GBC_6a9eb940fbe64774bcca168078c6adaa"/>
          <w:id w:val="1177004306"/>
          <w:placeholder>
            <w:docPart w:val="{675b4e51-4ded-4f81-868b-1cf1e144ab31}"/>
          </w:placeholder>
        </w:sdtPr>
        <w:sdtEndPr>
          <w:rPr>
            <w:rFonts w:cs="Times New Roman"/>
            <w:color w:val="000000" w:themeColor="text1"/>
            <w14:textFill>
              <w14:solidFill>
                <w14:schemeClr w14:val="tx1"/>
              </w14:solidFill>
            </w14:textFill>
          </w:rPr>
        </w:sdtEndPr>
        <w:sdtContent>
          <w:tr w14:paraId="79FB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28D0D890">
                <w:pPr>
                  <w:rPr>
                    <w:rFonts w:cs="Times New Roman"/>
                  </w:rPr>
                </w:pPr>
                <w:r>
                  <w:rPr>
                    <w:rFonts w:cs="Times New Roman"/>
                  </w:rPr>
                  <w:t>应付劳务费</w:t>
                </w:r>
              </w:p>
            </w:tc>
            <w:tc>
              <w:tcPr>
                <w:tcW w:w="1584" w:type="pct"/>
                <w:vAlign w:val="center"/>
              </w:tcPr>
              <w:p w14:paraId="67CFE84A">
                <w:pPr>
                  <w:jc w:val="right"/>
                  <w:rPr>
                    <w:rFonts w:cs="Times New Roman"/>
                  </w:rPr>
                </w:pPr>
                <w:r>
                  <w:rPr>
                    <w:rFonts w:cs="Times New Roman"/>
                  </w:rPr>
                  <w:t>261,641,796.17</w:t>
                </w:r>
              </w:p>
            </w:tc>
            <w:tc>
              <w:tcPr>
                <w:tcW w:w="1846" w:type="pct"/>
                <w:vAlign w:val="center"/>
              </w:tcPr>
              <w:p w14:paraId="4F2F4595">
                <w:pPr>
                  <w:jc w:val="right"/>
                  <w:rPr>
                    <w:rFonts w:cs="Times New Roman"/>
                  </w:rPr>
                </w:pPr>
                <w:r>
                  <w:rPr>
                    <w:rFonts w:cs="Times New Roman"/>
                  </w:rPr>
                  <w:t>456,347,943.93</w:t>
                </w:r>
              </w:p>
            </w:tc>
          </w:tr>
        </w:sdtContent>
      </w:sdt>
      <w:sdt>
        <w:sdtPr>
          <w:rPr>
            <w:rFonts w:cs="Times New Roman"/>
            <w:color w:val="000000" w:themeColor="text1"/>
            <w14:textFill>
              <w14:solidFill>
                <w14:schemeClr w14:val="tx1"/>
              </w14:solidFill>
            </w14:textFill>
          </w:rPr>
          <w:alias w:val="应付账款情况明细"/>
          <w:tag w:val="_GBC_6a9eb940fbe64774bcca168078c6adaa"/>
          <w:id w:val="2042544859"/>
          <w:placeholder>
            <w:docPart w:val="{675b4e51-4ded-4f81-868b-1cf1e144ab31}"/>
          </w:placeholder>
        </w:sdtPr>
        <w:sdtEndPr>
          <w:rPr>
            <w:rFonts w:cs="Times New Roman"/>
            <w:color w:val="000000" w:themeColor="text1"/>
            <w14:textFill>
              <w14:solidFill>
                <w14:schemeClr w14:val="tx1"/>
              </w14:solidFill>
            </w14:textFill>
          </w:rPr>
        </w:sdtEndPr>
        <w:sdtContent>
          <w:tr w14:paraId="5958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7AB0B730">
                <w:pPr>
                  <w:rPr>
                    <w:rFonts w:cs="Times New Roman"/>
                  </w:rPr>
                </w:pPr>
                <w:r>
                  <w:rPr>
                    <w:rFonts w:cs="Times New Roman"/>
                  </w:rPr>
                  <w:t>应付货款</w:t>
                </w:r>
              </w:p>
            </w:tc>
            <w:tc>
              <w:tcPr>
                <w:tcW w:w="1584" w:type="pct"/>
                <w:vAlign w:val="center"/>
              </w:tcPr>
              <w:p w14:paraId="5CAC3D94">
                <w:pPr>
                  <w:jc w:val="right"/>
                  <w:rPr>
                    <w:rFonts w:cs="Times New Roman"/>
                  </w:rPr>
                </w:pPr>
                <w:r>
                  <w:rPr>
                    <w:rFonts w:cs="Times New Roman"/>
                  </w:rPr>
                  <w:t>631,871,885.73</w:t>
                </w:r>
              </w:p>
            </w:tc>
            <w:tc>
              <w:tcPr>
                <w:tcW w:w="1846" w:type="pct"/>
                <w:vAlign w:val="center"/>
              </w:tcPr>
              <w:p w14:paraId="6A67B24B">
                <w:pPr>
                  <w:jc w:val="right"/>
                  <w:rPr>
                    <w:rFonts w:cs="Times New Roman"/>
                  </w:rPr>
                </w:pPr>
                <w:r>
                  <w:rPr>
                    <w:rFonts w:cs="Times New Roman"/>
                  </w:rPr>
                  <w:t>660,062,871.54</w:t>
                </w:r>
              </w:p>
            </w:tc>
          </w:tr>
        </w:sdtContent>
      </w:sdt>
      <w:sdt>
        <w:sdtPr>
          <w:rPr>
            <w:rFonts w:cs="Times New Roman"/>
            <w:color w:val="000000" w:themeColor="text1"/>
            <w14:textFill>
              <w14:solidFill>
                <w14:schemeClr w14:val="tx1"/>
              </w14:solidFill>
            </w14:textFill>
          </w:rPr>
          <w:alias w:val="应付账款情况明细"/>
          <w:tag w:val="_GBC_6a9eb940fbe64774bcca168078c6adaa"/>
          <w:id w:val="-1086146432"/>
          <w:placeholder>
            <w:docPart w:val="{675b4e51-4ded-4f81-868b-1cf1e144ab31}"/>
          </w:placeholder>
        </w:sdtPr>
        <w:sdtEndPr>
          <w:rPr>
            <w:rFonts w:cs="Times New Roman"/>
            <w:color w:val="000000" w:themeColor="text1"/>
            <w14:textFill>
              <w14:solidFill>
                <w14:schemeClr w14:val="tx1"/>
              </w14:solidFill>
            </w14:textFill>
          </w:rPr>
        </w:sdtEndPr>
        <w:sdtContent>
          <w:tr w14:paraId="1242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46BEE29D">
                <w:pPr>
                  <w:rPr>
                    <w:rFonts w:cs="Times New Roman"/>
                  </w:rPr>
                </w:pPr>
                <w:r>
                  <w:rPr>
                    <w:rFonts w:cs="Times New Roman"/>
                  </w:rPr>
                  <w:t>应付运费</w:t>
                </w:r>
              </w:p>
            </w:tc>
            <w:tc>
              <w:tcPr>
                <w:tcW w:w="1584" w:type="pct"/>
                <w:vAlign w:val="center"/>
              </w:tcPr>
              <w:p w14:paraId="4A3AD7FB">
                <w:pPr>
                  <w:jc w:val="right"/>
                  <w:rPr>
                    <w:rFonts w:cs="Times New Roman"/>
                  </w:rPr>
                </w:pPr>
                <w:r>
                  <w:rPr>
                    <w:rFonts w:cs="Times New Roman"/>
                  </w:rPr>
                  <w:t>5,207,951.17</w:t>
                </w:r>
              </w:p>
            </w:tc>
            <w:tc>
              <w:tcPr>
                <w:tcW w:w="1846" w:type="pct"/>
                <w:vAlign w:val="center"/>
              </w:tcPr>
              <w:p w14:paraId="0DA6163E">
                <w:pPr>
                  <w:jc w:val="right"/>
                  <w:rPr>
                    <w:rFonts w:cs="Times New Roman"/>
                  </w:rPr>
                </w:pPr>
                <w:r>
                  <w:rPr>
                    <w:rFonts w:cs="Times New Roman"/>
                  </w:rPr>
                  <w:t>5,943,588.84</w:t>
                </w:r>
              </w:p>
            </w:tc>
          </w:tr>
        </w:sdtContent>
      </w:sdt>
      <w:sdt>
        <w:sdtPr>
          <w:rPr>
            <w:rFonts w:cs="Times New Roman"/>
            <w:color w:val="000000" w:themeColor="text1"/>
            <w14:textFill>
              <w14:solidFill>
                <w14:schemeClr w14:val="tx1"/>
              </w14:solidFill>
            </w14:textFill>
          </w:rPr>
          <w:alias w:val="应付账款情况明细"/>
          <w:tag w:val="_GBC_6a9eb940fbe64774bcca168078c6adaa"/>
          <w:id w:val="1713146399"/>
          <w:placeholder>
            <w:docPart w:val="{675b4e51-4ded-4f81-868b-1cf1e144ab31}"/>
          </w:placeholder>
        </w:sdtPr>
        <w:sdtEndPr>
          <w:rPr>
            <w:rFonts w:cs="Times New Roman"/>
            <w:color w:val="000000" w:themeColor="text1"/>
            <w14:textFill>
              <w14:solidFill>
                <w14:schemeClr w14:val="tx1"/>
              </w14:solidFill>
            </w14:textFill>
          </w:rPr>
        </w:sdtEndPr>
        <w:sdtContent>
          <w:tr w14:paraId="53B5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0D76E58C">
                <w:pPr>
                  <w:rPr>
                    <w:rFonts w:cs="Times New Roman"/>
                  </w:rPr>
                </w:pPr>
                <w:r>
                  <w:rPr>
                    <w:rFonts w:cs="Times New Roman"/>
                  </w:rPr>
                  <w:t>应付工程款</w:t>
                </w:r>
              </w:p>
            </w:tc>
            <w:tc>
              <w:tcPr>
                <w:tcW w:w="1584" w:type="pct"/>
                <w:vAlign w:val="center"/>
              </w:tcPr>
              <w:p w14:paraId="302FE6E3">
                <w:pPr>
                  <w:jc w:val="right"/>
                  <w:rPr>
                    <w:rFonts w:cs="Times New Roman"/>
                  </w:rPr>
                </w:pPr>
                <w:r>
                  <w:rPr>
                    <w:rFonts w:cs="Times New Roman"/>
                  </w:rPr>
                  <w:t>286,265,100.51</w:t>
                </w:r>
              </w:p>
            </w:tc>
            <w:tc>
              <w:tcPr>
                <w:tcW w:w="1846" w:type="pct"/>
                <w:vAlign w:val="center"/>
              </w:tcPr>
              <w:p w14:paraId="3B0AEF6F">
                <w:pPr>
                  <w:jc w:val="right"/>
                  <w:rPr>
                    <w:rFonts w:cs="Times New Roman"/>
                  </w:rPr>
                </w:pPr>
                <w:r>
                  <w:rPr>
                    <w:rFonts w:cs="Times New Roman"/>
                  </w:rPr>
                  <w:t>326,195,551.85</w:t>
                </w:r>
              </w:p>
            </w:tc>
          </w:tr>
        </w:sdtContent>
      </w:sdt>
      <w:sdt>
        <w:sdtPr>
          <w:rPr>
            <w:rFonts w:cs="Times New Roman"/>
            <w:color w:val="000000" w:themeColor="text1"/>
            <w14:textFill>
              <w14:solidFill>
                <w14:schemeClr w14:val="tx1"/>
              </w14:solidFill>
            </w14:textFill>
          </w:rPr>
          <w:alias w:val="应付账款情况明细"/>
          <w:tag w:val="_GBC_6a9eb940fbe64774bcca168078c6adaa"/>
          <w:id w:val="700053672"/>
          <w:placeholder>
            <w:docPart w:val="{675b4e51-4ded-4f81-868b-1cf1e144ab31}"/>
          </w:placeholder>
        </w:sdtPr>
        <w:sdtEndPr>
          <w:rPr>
            <w:rFonts w:cs="Times New Roman"/>
            <w:color w:val="000000" w:themeColor="text1"/>
            <w14:textFill>
              <w14:solidFill>
                <w14:schemeClr w14:val="tx1"/>
              </w14:solidFill>
            </w14:textFill>
          </w:rPr>
        </w:sdtEndPr>
        <w:sdtContent>
          <w:tr w14:paraId="0BD9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29F94BB2">
                <w:pPr>
                  <w:rPr>
                    <w:rFonts w:cs="Times New Roman"/>
                  </w:rPr>
                </w:pPr>
                <w:r>
                  <w:rPr>
                    <w:rFonts w:cs="Times New Roman"/>
                  </w:rPr>
                  <w:t>应付设备款</w:t>
                </w:r>
              </w:p>
            </w:tc>
            <w:tc>
              <w:tcPr>
                <w:tcW w:w="1584" w:type="pct"/>
                <w:vAlign w:val="center"/>
              </w:tcPr>
              <w:p w14:paraId="7F59E861">
                <w:pPr>
                  <w:jc w:val="right"/>
                  <w:rPr>
                    <w:rFonts w:cs="Times New Roman"/>
                  </w:rPr>
                </w:pPr>
                <w:r>
                  <w:rPr>
                    <w:rFonts w:cs="Times New Roman"/>
                  </w:rPr>
                  <w:t>90,862,519.70</w:t>
                </w:r>
              </w:p>
            </w:tc>
            <w:tc>
              <w:tcPr>
                <w:tcW w:w="1846" w:type="pct"/>
                <w:vAlign w:val="center"/>
              </w:tcPr>
              <w:p w14:paraId="4C9F6F94">
                <w:pPr>
                  <w:jc w:val="right"/>
                  <w:rPr>
                    <w:rFonts w:cs="Times New Roman"/>
                  </w:rPr>
                </w:pPr>
                <w:r>
                  <w:rPr>
                    <w:rFonts w:cs="Times New Roman"/>
                  </w:rPr>
                  <w:t>99,322,485.15</w:t>
                </w:r>
              </w:p>
            </w:tc>
          </w:tr>
        </w:sdtContent>
      </w:sdt>
      <w:sdt>
        <w:sdtPr>
          <w:rPr>
            <w:rFonts w:cs="Times New Roman"/>
            <w:color w:val="000000" w:themeColor="text1"/>
            <w14:textFill>
              <w14:solidFill>
                <w14:schemeClr w14:val="tx1"/>
              </w14:solidFill>
            </w14:textFill>
          </w:rPr>
          <w:alias w:val="应付账款情况明细"/>
          <w:tag w:val="_GBC_6a9eb940fbe64774bcca168078c6adaa"/>
          <w:id w:val="-371300835"/>
          <w:placeholder>
            <w:docPart w:val="{675b4e51-4ded-4f81-868b-1cf1e144ab31}"/>
          </w:placeholder>
        </w:sdtPr>
        <w:sdtEndPr>
          <w:rPr>
            <w:rFonts w:cs="Times New Roman"/>
            <w:color w:val="000000" w:themeColor="text1"/>
            <w14:textFill>
              <w14:solidFill>
                <w14:schemeClr w14:val="tx1"/>
              </w14:solidFill>
            </w14:textFill>
          </w:rPr>
        </w:sdtEndPr>
        <w:sdtContent>
          <w:tr w14:paraId="2CD4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14:paraId="5098779A">
                <w:pPr>
                  <w:rPr>
                    <w:rFonts w:cs="Times New Roman"/>
                  </w:rPr>
                </w:pPr>
                <w:r>
                  <w:rPr>
                    <w:rFonts w:cs="Times New Roman"/>
                  </w:rPr>
                  <w:t>其他</w:t>
                </w:r>
              </w:p>
            </w:tc>
            <w:tc>
              <w:tcPr>
                <w:tcW w:w="1584" w:type="pct"/>
                <w:vAlign w:val="center"/>
              </w:tcPr>
              <w:p w14:paraId="7A88DD08">
                <w:pPr>
                  <w:jc w:val="right"/>
                  <w:rPr>
                    <w:rFonts w:cs="Times New Roman"/>
                  </w:rPr>
                </w:pPr>
                <w:r>
                  <w:rPr>
                    <w:rFonts w:cs="Times New Roman"/>
                  </w:rPr>
                  <w:t>56,532,554.89</w:t>
                </w:r>
              </w:p>
            </w:tc>
            <w:tc>
              <w:tcPr>
                <w:tcW w:w="1846" w:type="pct"/>
                <w:vAlign w:val="center"/>
              </w:tcPr>
              <w:p w14:paraId="31AE8160">
                <w:pPr>
                  <w:jc w:val="right"/>
                  <w:rPr>
                    <w:rFonts w:cs="Times New Roman"/>
                  </w:rPr>
                </w:pPr>
                <w:r>
                  <w:rPr>
                    <w:rFonts w:cs="Times New Roman"/>
                  </w:rPr>
                  <w:t>56,953,125.77</w:t>
                </w:r>
              </w:p>
            </w:tc>
          </w:tr>
        </w:sdtContent>
      </w:sdt>
      <w:tr w14:paraId="5A00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b82b4cb1d4fa4c8fb75bed463f2da31b"/>
            <w:id w:val="-1088533841"/>
          </w:sdtPr>
          <w:sdtEndPr>
            <w:rPr>
              <w:rFonts w:cs="Times New Roman"/>
            </w:rPr>
          </w:sdtEndPr>
          <w:sdtContent>
            <w:tc>
              <w:tcPr>
                <w:tcW w:w="1570" w:type="pct"/>
              </w:tcPr>
              <w:p w14:paraId="4C6AE2E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584" w:type="pct"/>
            <w:vAlign w:val="center"/>
          </w:tcPr>
          <w:p w14:paraId="67633928">
            <w:pPr>
              <w:jc w:val="right"/>
              <w:rPr>
                <w:rFonts w:cs="Times New Roman"/>
              </w:rPr>
            </w:pPr>
            <w:r>
              <w:rPr>
                <w:rFonts w:cs="Times New Roman"/>
              </w:rPr>
              <w:t>2,461,080,100.16</w:t>
            </w:r>
          </w:p>
        </w:tc>
        <w:tc>
          <w:tcPr>
            <w:tcW w:w="1846" w:type="pct"/>
            <w:vAlign w:val="center"/>
          </w:tcPr>
          <w:p w14:paraId="7277A3AA">
            <w:pPr>
              <w:jc w:val="right"/>
              <w:rPr>
                <w:rFonts w:cs="Times New Roman"/>
              </w:rPr>
            </w:pPr>
            <w:r>
              <w:rPr>
                <w:rFonts w:cs="Times New Roman"/>
              </w:rPr>
              <w:t>3,253,056,965.76</w:t>
            </w:r>
          </w:p>
        </w:tc>
      </w:tr>
    </w:tbl>
    <w:p w14:paraId="217BBB3B">
      <w:pPr>
        <w:rPr>
          <w:color w:val="000000" w:themeColor="text1"/>
          <w14:textFill>
            <w14:solidFill>
              <w14:schemeClr w14:val="tx1"/>
            </w14:solidFill>
          </w14:textFill>
        </w:rPr>
      </w:pPr>
    </w:p>
    <w:p w14:paraId="6EFCA590">
      <w:pPr>
        <w:pStyle w:val="5"/>
        <w:numPr>
          <w:ilvl w:val="0"/>
          <w:numId w:val="79"/>
        </w:numPr>
        <w:tabs>
          <w:tab w:val="left" w:pos="588"/>
        </w:tabs>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账龄超过</w:t>
      </w:r>
      <w:r>
        <w:rPr>
          <w:rFonts w:ascii="宋体" w:hAnsi="宋体"/>
          <w:color w:val="000000" w:themeColor="text1"/>
          <w:kern w:val="0"/>
          <w14:textFill>
            <w14:solidFill>
              <w14:schemeClr w14:val="tx1"/>
            </w14:solidFill>
          </w14:textFill>
        </w:rPr>
        <w:t>1年</w:t>
      </w:r>
      <w:r>
        <w:rPr>
          <w:rFonts w:hint="eastAsia" w:ascii="宋体" w:hAnsi="宋体"/>
          <w:color w:val="000000" w:themeColor="text1"/>
          <w:kern w:val="0"/>
          <w14:textFill>
            <w14:solidFill>
              <w14:schemeClr w14:val="tx1"/>
            </w14:solidFill>
          </w14:textFill>
        </w:rPr>
        <w:t>或逾期</w:t>
      </w:r>
      <w:r>
        <w:rPr>
          <w:rFonts w:ascii="宋体" w:hAnsi="宋体"/>
          <w:color w:val="000000" w:themeColor="text1"/>
          <w:kern w:val="0"/>
          <w14:textFill>
            <w14:solidFill>
              <w14:schemeClr w14:val="tx1"/>
            </w14:solidFill>
          </w14:textFill>
        </w:rPr>
        <w:t>的重要应付账款</w:t>
      </w:r>
    </w:p>
    <w:sdt>
      <w:sdtPr>
        <w:rPr>
          <w:color w:val="000000" w:themeColor="text1"/>
          <w14:textFill>
            <w14:solidFill>
              <w14:schemeClr w14:val="tx1"/>
            </w14:solidFill>
          </w14:textFill>
        </w:rPr>
        <w:alias w:val="是否适用：账龄超过1年的重要应付账款[双击切换]"/>
        <w:tag w:val="_GBC_02c6e7ed8ae149e8a09f5b80217deb89"/>
        <w:id w:val="1746609124"/>
      </w:sdtPr>
      <w:sdtEndPr>
        <w:rPr>
          <w:color w:val="000000" w:themeColor="text1"/>
          <w14:textFill>
            <w14:solidFill>
              <w14:schemeClr w14:val="tx1"/>
            </w14:solidFill>
          </w14:textFill>
        </w:rPr>
      </w:sdtEndPr>
      <w:sdtContent>
        <w:p w14:paraId="59FB5A1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DED639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账龄超过1年的应付账款"/>
          <w:tag w:val="_GBC_4828fbb06386477f83dfc0c7b55875e7"/>
          <w:id w:val="975339712"/>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账龄超过1年的应付账款"/>
          <w:tag w:val="_GBC_56837a7d36f94902b75d8fe132af82b6"/>
          <w:id w:val="-160079158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3"/>
        <w:gridCol w:w="2827"/>
        <w:gridCol w:w="2939"/>
      </w:tblGrid>
      <w:tr w14:paraId="0EBD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1272c72b1bc41e2a47d7fbfb0839e2b"/>
            <w:id w:val="-506599668"/>
          </w:sdtPr>
          <w:sdtEndPr>
            <w:rPr>
              <w:rFonts w:cs="Times New Roman"/>
            </w:rPr>
          </w:sdtEndPr>
          <w:sdtContent>
            <w:tc>
              <w:tcPr>
                <w:tcW w:w="1814" w:type="pct"/>
                <w:vAlign w:val="center"/>
              </w:tcPr>
              <w:p w14:paraId="0587C8B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41b9d7d7e0c84d6c9f8c3a0a59e37c14"/>
            <w:id w:val="528607402"/>
          </w:sdtPr>
          <w:sdtEndPr>
            <w:rPr>
              <w:rFonts w:cs="Times New Roman"/>
            </w:rPr>
          </w:sdtEndPr>
          <w:sdtContent>
            <w:tc>
              <w:tcPr>
                <w:tcW w:w="1562" w:type="pct"/>
                <w:vAlign w:val="center"/>
              </w:tcPr>
              <w:p w14:paraId="083D439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49e0f43ba09d42649fabb4ecc22986ca"/>
            <w:id w:val="699439603"/>
          </w:sdtPr>
          <w:sdtEndPr>
            <w:rPr>
              <w:rFonts w:cs="Times New Roman"/>
            </w:rPr>
          </w:sdtEndPr>
          <w:sdtContent>
            <w:tc>
              <w:tcPr>
                <w:tcW w:w="1624" w:type="pct"/>
                <w:vAlign w:val="center"/>
              </w:tcPr>
              <w:p w14:paraId="3187F86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未偿还或结转的原因</w:t>
                </w:r>
              </w:p>
            </w:tc>
          </w:sdtContent>
        </w:sdt>
      </w:tr>
      <w:sdt>
        <w:sdtPr>
          <w:rPr>
            <w:rFonts w:cs="Times New Roman"/>
            <w:color w:val="000000" w:themeColor="text1"/>
            <w14:textFill>
              <w14:solidFill>
                <w14:schemeClr w14:val="tx1"/>
              </w14:solidFill>
            </w14:textFill>
          </w:rPr>
          <w:alias w:val="重要的账龄超过1年的应付账款明细"/>
          <w:tag w:val="_GBC_3c24b8450a0a47bd8859f88e883aa952"/>
          <w:id w:val="1725645732"/>
          <w:placeholder>
            <w:docPart w:val="{b46afa6c-b4bd-4b7d-bcbe-7ec724afd91c}"/>
          </w:placeholder>
        </w:sdtPr>
        <w:sdtEndPr>
          <w:rPr>
            <w:rFonts w:cs="Times New Roman"/>
            <w:color w:val="000000" w:themeColor="text1"/>
            <w14:textFill>
              <w14:solidFill>
                <w14:schemeClr w14:val="tx1"/>
              </w14:solidFill>
            </w14:textFill>
          </w:rPr>
        </w:sdtEndPr>
        <w:sdtContent>
          <w:tr w14:paraId="7969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317A7946">
                <w:pPr>
                  <w:rPr>
                    <w:rFonts w:cs="Times New Roman"/>
                  </w:rPr>
                </w:pPr>
                <w:r>
                  <w:rPr>
                    <w:rFonts w:cs="Times New Roman"/>
                  </w:rPr>
                  <w:t>应付材料款</w:t>
                </w:r>
              </w:p>
            </w:tc>
            <w:tc>
              <w:tcPr>
                <w:tcW w:w="1562" w:type="pct"/>
                <w:vAlign w:val="center"/>
              </w:tcPr>
              <w:p w14:paraId="3CB14CC3">
                <w:pPr>
                  <w:jc w:val="right"/>
                  <w:rPr>
                    <w:rFonts w:cs="Times New Roman"/>
                  </w:rPr>
                </w:pPr>
                <w:r>
                  <w:rPr>
                    <w:rFonts w:cs="Times New Roman"/>
                  </w:rPr>
                  <w:t>16,047,660.00</w:t>
                </w:r>
              </w:p>
            </w:tc>
            <w:tc>
              <w:tcPr>
                <w:tcW w:w="1624" w:type="pct"/>
              </w:tcPr>
              <w:p w14:paraId="78AAF890">
                <w:pPr>
                  <w:rPr>
                    <w:rFonts w:cs="Times New Roman"/>
                  </w:rPr>
                </w:pPr>
                <w:r>
                  <w:rPr>
                    <w:rFonts w:cs="Times New Roman"/>
                  </w:rPr>
                  <w:t>合同尚未执行完毕</w:t>
                </w:r>
              </w:p>
            </w:tc>
          </w:tr>
        </w:sdtContent>
      </w:sdt>
      <w:sdt>
        <w:sdtPr>
          <w:rPr>
            <w:rFonts w:cs="Times New Roman"/>
            <w:color w:val="000000" w:themeColor="text1"/>
            <w14:textFill>
              <w14:solidFill>
                <w14:schemeClr w14:val="tx1"/>
              </w14:solidFill>
            </w14:textFill>
          </w:rPr>
          <w:alias w:val="重要的账龄超过1年的应付账款明细"/>
          <w:tag w:val="_GBC_3c24b8450a0a47bd8859f88e883aa952"/>
          <w:id w:val="1159884440"/>
          <w:placeholder>
            <w:docPart w:val="{b46afa6c-b4bd-4b7d-bcbe-7ec724afd91c}"/>
          </w:placeholder>
        </w:sdtPr>
        <w:sdtEndPr>
          <w:rPr>
            <w:rFonts w:cs="Times New Roman"/>
            <w:color w:val="000000" w:themeColor="text1"/>
            <w14:textFill>
              <w14:solidFill>
                <w14:schemeClr w14:val="tx1"/>
              </w14:solidFill>
            </w14:textFill>
          </w:rPr>
        </w:sdtEndPr>
        <w:sdtContent>
          <w:tr w14:paraId="03D6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72DA6BD7">
                <w:pPr>
                  <w:rPr>
                    <w:rFonts w:cs="Times New Roman"/>
                  </w:rPr>
                </w:pPr>
                <w:r>
                  <w:rPr>
                    <w:rFonts w:cs="Times New Roman"/>
                  </w:rPr>
                  <w:t>应付工程款</w:t>
                </w:r>
              </w:p>
            </w:tc>
            <w:tc>
              <w:tcPr>
                <w:tcW w:w="1562" w:type="pct"/>
                <w:vAlign w:val="center"/>
              </w:tcPr>
              <w:p w14:paraId="517DE188">
                <w:pPr>
                  <w:jc w:val="right"/>
                  <w:rPr>
                    <w:rFonts w:cs="Times New Roman"/>
                  </w:rPr>
                </w:pPr>
                <w:r>
                  <w:rPr>
                    <w:rFonts w:cs="Times New Roman"/>
                  </w:rPr>
                  <w:t>169,845,978.77</w:t>
                </w:r>
              </w:p>
            </w:tc>
            <w:tc>
              <w:tcPr>
                <w:tcW w:w="1624" w:type="pct"/>
              </w:tcPr>
              <w:p w14:paraId="3D4B5D62">
                <w:pPr>
                  <w:rPr>
                    <w:rFonts w:cs="Times New Roman"/>
                  </w:rPr>
                </w:pPr>
                <w:r>
                  <w:rPr>
                    <w:rFonts w:cs="Times New Roman"/>
                  </w:rPr>
                  <w:t>合同尚未执行完毕</w:t>
                </w:r>
              </w:p>
            </w:tc>
          </w:tr>
        </w:sdtContent>
      </w:sdt>
      <w:sdt>
        <w:sdtPr>
          <w:rPr>
            <w:rFonts w:cs="Times New Roman"/>
            <w:color w:val="000000" w:themeColor="text1"/>
            <w14:textFill>
              <w14:solidFill>
                <w14:schemeClr w14:val="tx1"/>
              </w14:solidFill>
            </w14:textFill>
          </w:rPr>
          <w:alias w:val="重要的账龄超过1年的应付账款明细"/>
          <w:tag w:val="_GBC_3c24b8450a0a47bd8859f88e883aa952"/>
          <w:id w:val="627899704"/>
          <w:placeholder>
            <w:docPart w:val="{b46afa6c-b4bd-4b7d-bcbe-7ec724afd91c}"/>
          </w:placeholder>
        </w:sdtPr>
        <w:sdtEndPr>
          <w:rPr>
            <w:rFonts w:cs="Times New Roman"/>
            <w:color w:val="000000" w:themeColor="text1"/>
            <w14:textFill>
              <w14:solidFill>
                <w14:schemeClr w14:val="tx1"/>
              </w14:solidFill>
            </w14:textFill>
          </w:rPr>
        </w:sdtEndPr>
        <w:sdtContent>
          <w:tr w14:paraId="6DCA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pct"/>
                <w:tcBorders>
                  <w:bottom w:val="single" w:color="auto" w:sz="4" w:space="0"/>
                </w:tcBorders>
              </w:tcPr>
              <w:p w14:paraId="7955E52C">
                <w:pPr>
                  <w:rPr>
                    <w:rFonts w:cs="Times New Roman"/>
                  </w:rPr>
                </w:pPr>
                <w:r>
                  <w:rPr>
                    <w:rFonts w:cs="Times New Roman"/>
                  </w:rPr>
                  <w:t>应付货款</w:t>
                </w:r>
              </w:p>
            </w:tc>
            <w:tc>
              <w:tcPr>
                <w:tcW w:w="1562" w:type="pct"/>
                <w:vAlign w:val="center"/>
              </w:tcPr>
              <w:p w14:paraId="0BBAEBD3">
                <w:pPr>
                  <w:jc w:val="right"/>
                  <w:rPr>
                    <w:rFonts w:cs="Times New Roman"/>
                  </w:rPr>
                </w:pPr>
                <w:r>
                  <w:rPr>
                    <w:rFonts w:cs="Times New Roman"/>
                  </w:rPr>
                  <w:t>114,244,071.12</w:t>
                </w:r>
              </w:p>
            </w:tc>
            <w:tc>
              <w:tcPr>
                <w:tcW w:w="1624" w:type="pct"/>
              </w:tcPr>
              <w:p w14:paraId="698A1142">
                <w:pPr>
                  <w:rPr>
                    <w:rFonts w:cs="Times New Roman"/>
                  </w:rPr>
                </w:pPr>
                <w:r>
                  <w:rPr>
                    <w:rFonts w:cs="Times New Roman"/>
                  </w:rPr>
                  <w:t>合同尚未执行完毕</w:t>
                </w:r>
              </w:p>
            </w:tc>
          </w:tr>
        </w:sdtContent>
      </w:sdt>
      <w:tr w14:paraId="78A5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eca4761bb44d46c18cd4488e72a6e130"/>
            <w:id w:val="-1375079066"/>
          </w:sdtPr>
          <w:sdtEndPr>
            <w:rPr>
              <w:rFonts w:cs="Times New Roman"/>
            </w:rPr>
          </w:sdtEndPr>
          <w:sdtContent>
            <w:tc>
              <w:tcPr>
                <w:tcW w:w="1814" w:type="pct"/>
                <w:vAlign w:val="center"/>
              </w:tcPr>
              <w:p w14:paraId="7B48FC8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562" w:type="pct"/>
            <w:vAlign w:val="center"/>
          </w:tcPr>
          <w:p w14:paraId="25C4B7DA">
            <w:pPr>
              <w:jc w:val="right"/>
              <w:rPr>
                <w:rFonts w:cs="Times New Roman"/>
              </w:rPr>
            </w:pPr>
            <w:r>
              <w:rPr>
                <w:rFonts w:cs="Times New Roman"/>
              </w:rPr>
              <w:t>300,137,709.89</w:t>
            </w:r>
          </w:p>
        </w:tc>
        <w:tc>
          <w:tcPr>
            <w:tcW w:w="1624" w:type="pct"/>
          </w:tcPr>
          <w:p w14:paraId="353EDE9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3CF4FE3D">
      <w:pPr>
        <w:rPr>
          <w:color w:val="000000" w:themeColor="text1"/>
          <w14:textFill>
            <w14:solidFill>
              <w14:schemeClr w14:val="tx1"/>
            </w14:solidFill>
          </w14:textFill>
        </w:rPr>
      </w:pPr>
    </w:p>
    <w:p w14:paraId="3360E3F9">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账款的其他说明[双击切换]"/>
        <w:tag w:val="_GBC_9a797e83ea1747e9aca4221e6cdfe89f"/>
        <w:id w:val="147465837"/>
        <w:placeholder>
          <w:docPart w:val="GBC22222222222222222222222222222"/>
        </w:placeholder>
      </w:sdtPr>
      <w:sdtEndPr>
        <w:rPr>
          <w:color w:val="000000" w:themeColor="text1"/>
          <w14:textFill>
            <w14:solidFill>
              <w14:schemeClr w14:val="tx1"/>
            </w14:solidFill>
          </w14:textFill>
        </w:rPr>
      </w:sdtEndPr>
      <w:sdtContent>
        <w:p w14:paraId="2FF4C83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38A51A">
      <w:pPr>
        <w:snapToGrid w:val="0"/>
        <w:spacing w:line="240" w:lineRule="atLeast"/>
        <w:rPr>
          <w:color w:val="000000" w:themeColor="text1"/>
          <w14:textFill>
            <w14:solidFill>
              <w14:schemeClr w14:val="tx1"/>
            </w14:solidFill>
          </w14:textFill>
        </w:rPr>
      </w:pPr>
    </w:p>
    <w:p w14:paraId="1414E9EA">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预收款项</w:t>
      </w:r>
    </w:p>
    <w:p w14:paraId="1CEDD131">
      <w:pPr>
        <w:pStyle w:val="5"/>
        <w:numPr>
          <w:ilvl w:val="0"/>
          <w:numId w:val="8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预收账款项列示</w:t>
      </w:r>
    </w:p>
    <w:sdt>
      <w:sdtPr>
        <w:rPr>
          <w:color w:val="000000" w:themeColor="text1"/>
          <w14:textFill>
            <w14:solidFill>
              <w14:schemeClr w14:val="tx1"/>
            </w14:solidFill>
          </w14:textFill>
        </w:rPr>
        <w:alias w:val="是否适用：预收账款项列示[双击切换]"/>
        <w:tag w:val="_GBC_cf9ab7f5f12c4f788a9bbb6e3ef9c9de"/>
        <w:id w:val="-1316023497"/>
      </w:sdtPr>
      <w:sdtEndPr>
        <w:rPr>
          <w:color w:val="000000" w:themeColor="text1"/>
          <w14:textFill>
            <w14:solidFill>
              <w14:schemeClr w14:val="tx1"/>
            </w14:solidFill>
          </w14:textFill>
        </w:rPr>
      </w:sdtEndPr>
      <w:sdtContent>
        <w:p w14:paraId="3D26916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22FC745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收账款情况"/>
          <w:tag w:val="_GBC_f4564e0d7a8a4a9589aae9168c4c8fdb"/>
          <w:id w:val="170637429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收账款情况"/>
          <w:tag w:val="_GBC_e993db46bf3641c59c10bd3e14a930d9"/>
          <w:id w:val="122965363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7"/>
        <w:gridCol w:w="3078"/>
        <w:gridCol w:w="3074"/>
      </w:tblGrid>
      <w:tr w14:paraId="29B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d5dd98b095374d108e2df93a96e434bb"/>
            <w:id w:val="1508251053"/>
          </w:sdtPr>
          <w:sdtEndPr>
            <w:rPr>
              <w:rFonts w:cs="Times New Roman"/>
            </w:rPr>
          </w:sdtEndPr>
          <w:sdtContent>
            <w:tc>
              <w:tcPr>
                <w:tcW w:w="1600" w:type="pct"/>
              </w:tcPr>
              <w:p w14:paraId="303563E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9fc077db74354318b54c7ec24cd1ce0c"/>
            <w:id w:val="-899360937"/>
          </w:sdtPr>
          <w:sdtEndPr>
            <w:rPr>
              <w:rFonts w:cs="Times New Roman"/>
            </w:rPr>
          </w:sdtEndPr>
          <w:sdtContent>
            <w:tc>
              <w:tcPr>
                <w:tcW w:w="1700" w:type="pct"/>
              </w:tcPr>
              <w:p w14:paraId="6F2B2F4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aa9447699c054ad4b698586b835a3180"/>
            <w:id w:val="-2098012702"/>
          </w:sdtPr>
          <w:sdtEndPr>
            <w:rPr>
              <w:rFonts w:cs="Times New Roman"/>
            </w:rPr>
          </w:sdtEndPr>
          <w:sdtContent>
            <w:tc>
              <w:tcPr>
                <w:tcW w:w="1698" w:type="pct"/>
              </w:tcPr>
              <w:p w14:paraId="4658444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sdt>
        <w:sdtPr>
          <w:rPr>
            <w:rFonts w:cs="Times New Roman"/>
            <w:color w:val="000000" w:themeColor="text1"/>
            <w14:textFill>
              <w14:solidFill>
                <w14:schemeClr w14:val="tx1"/>
              </w14:solidFill>
            </w14:textFill>
          </w:rPr>
          <w:alias w:val="预收账款情况明细"/>
          <w:tag w:val="_GBC_230853c1febc415e90da55e0c713ce54"/>
          <w:id w:val="-1852942619"/>
          <w:placeholder>
            <w:docPart w:val="{77489c01-767b-4814-8639-35fe896fae20}"/>
          </w:placeholder>
        </w:sdtPr>
        <w:sdtEndPr>
          <w:rPr>
            <w:rFonts w:cs="Times New Roman"/>
            <w:color w:val="000000" w:themeColor="text1"/>
            <w14:textFill>
              <w14:solidFill>
                <w14:schemeClr w14:val="tx1"/>
              </w14:solidFill>
            </w14:textFill>
          </w:rPr>
        </w:sdtEndPr>
        <w:sdtContent>
          <w:tr w14:paraId="0A55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0" w:type="pct"/>
              </w:tcPr>
              <w:p w14:paraId="451F3339">
                <w:pPr>
                  <w:rPr>
                    <w:rFonts w:cs="Times New Roman"/>
                  </w:rPr>
                </w:pPr>
                <w:r>
                  <w:rPr>
                    <w:rFonts w:cs="Times New Roman"/>
                  </w:rPr>
                  <w:t>预收租金</w:t>
                </w:r>
              </w:p>
            </w:tc>
            <w:tc>
              <w:tcPr>
                <w:tcW w:w="1700" w:type="pct"/>
                <w:vAlign w:val="center"/>
              </w:tcPr>
              <w:p w14:paraId="2E61F14B">
                <w:pPr>
                  <w:jc w:val="right"/>
                  <w:rPr>
                    <w:rFonts w:cs="Times New Roman"/>
                  </w:rPr>
                </w:pPr>
                <w:r>
                  <w:rPr>
                    <w:rFonts w:cs="Times New Roman"/>
                  </w:rPr>
                  <w:t>19,861,549.47</w:t>
                </w:r>
              </w:p>
            </w:tc>
            <w:tc>
              <w:tcPr>
                <w:tcW w:w="1698" w:type="pct"/>
                <w:vAlign w:val="center"/>
              </w:tcPr>
              <w:p w14:paraId="6AE6E5D0">
                <w:pPr>
                  <w:jc w:val="right"/>
                  <w:rPr>
                    <w:rFonts w:cs="Times New Roman"/>
                  </w:rPr>
                </w:pPr>
                <w:r>
                  <w:rPr>
                    <w:rFonts w:cs="Times New Roman"/>
                  </w:rPr>
                  <w:t>30,609,636.04</w:t>
                </w:r>
              </w:p>
            </w:tc>
          </w:tr>
        </w:sdtContent>
      </w:sdt>
      <w:sdt>
        <w:sdtPr>
          <w:rPr>
            <w:rFonts w:cs="Times New Roman"/>
          </w:rPr>
          <w:alias w:val="预收账款情况明细"/>
          <w:tag w:val="_GBC_230853c1febc415e90da55e0c713ce54"/>
          <w:id w:val="1314993608"/>
          <w:placeholder>
            <w:docPart w:val="{77489c01-767b-4814-8639-35fe896fae20}"/>
          </w:placeholder>
        </w:sdtPr>
        <w:sdtEndPr>
          <w:rPr>
            <w:rFonts w:cs="Times New Roman"/>
          </w:rPr>
        </w:sdtEndPr>
        <w:sdtContent>
          <w:tr w14:paraId="0DD9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dbdcdc98ceee47408e8ac7a0d53c5b39"/>
                <w:id w:val="-214280392"/>
              </w:sdtPr>
              <w:sdtEndPr>
                <w:rPr>
                  <w:rFonts w:cs="Times New Roman"/>
                </w:rPr>
              </w:sdtEndPr>
              <w:sdtContent>
                <w:tc>
                  <w:tcPr>
                    <w:tcW w:w="1600" w:type="pct"/>
                  </w:tcPr>
                  <w:p w14:paraId="1A266E4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700" w:type="pct"/>
                <w:vAlign w:val="center"/>
              </w:tcPr>
              <w:p w14:paraId="5762E5B8">
                <w:pPr>
                  <w:jc w:val="right"/>
                  <w:rPr>
                    <w:rFonts w:cs="Times New Roman"/>
                  </w:rPr>
                </w:pPr>
                <w:r>
                  <w:rPr>
                    <w:rFonts w:cs="Times New Roman"/>
                  </w:rPr>
                  <w:t>19,861,549.47</w:t>
                </w:r>
              </w:p>
            </w:tc>
            <w:tc>
              <w:tcPr>
                <w:tcW w:w="1698" w:type="pct"/>
                <w:vAlign w:val="center"/>
              </w:tcPr>
              <w:p w14:paraId="144532D3">
                <w:pPr>
                  <w:jc w:val="right"/>
                  <w:rPr>
                    <w:rFonts w:cs="Times New Roman"/>
                  </w:rPr>
                </w:pPr>
                <w:r>
                  <w:rPr>
                    <w:rFonts w:cs="Times New Roman"/>
                  </w:rPr>
                  <w:t>30,609,636.04</w:t>
                </w:r>
              </w:p>
            </w:tc>
          </w:tr>
        </w:sdtContent>
      </w:sdt>
    </w:tbl>
    <w:p w14:paraId="7BB76602">
      <w:pPr>
        <w:rPr>
          <w:color w:val="000000" w:themeColor="text1"/>
          <w14:textFill>
            <w14:solidFill>
              <w14:schemeClr w14:val="tx1"/>
            </w14:solidFill>
          </w14:textFill>
        </w:rPr>
      </w:pPr>
    </w:p>
    <w:p w14:paraId="43B95EA2">
      <w:pPr>
        <w:pStyle w:val="5"/>
        <w:numPr>
          <w:ilvl w:val="0"/>
          <w:numId w:val="80"/>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账龄超过1年的重要预收款项</w:t>
      </w:r>
    </w:p>
    <w:sdt>
      <w:sdtPr>
        <w:rPr>
          <w:color w:val="000000" w:themeColor="text1"/>
          <w14:textFill>
            <w14:solidFill>
              <w14:schemeClr w14:val="tx1"/>
            </w14:solidFill>
          </w14:textFill>
        </w:rPr>
        <w:alias w:val="是否适用：账龄超过1年的重要预收款项[双击切换]"/>
        <w:tag w:val="_GBC_ae7ea5bab4b04b2cb170af5020f86302"/>
        <w:id w:val="147465762"/>
        <w:placeholder>
          <w:docPart w:val="GBC22222222222222222222222222222"/>
        </w:placeholder>
      </w:sdtPr>
      <w:sdtEndPr>
        <w:rPr>
          <w:color w:val="000000" w:themeColor="text1"/>
          <w14:textFill>
            <w14:solidFill>
              <w14:schemeClr w14:val="tx1"/>
            </w14:solidFill>
          </w14:textFill>
        </w:rPr>
      </w:sdtEndPr>
      <w:sdtContent>
        <w:p w14:paraId="15B3D85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01FDDFA">
      <w:pPr>
        <w:rPr>
          <w:rFonts w:cstheme="minorBidi"/>
          <w:color w:val="000000" w:themeColor="text1"/>
          <w14:textFill>
            <w14:solidFill>
              <w14:schemeClr w14:val="tx1"/>
            </w14:solidFill>
          </w14:textFill>
        </w:rPr>
      </w:pPr>
    </w:p>
    <w:p w14:paraId="715FC698">
      <w:pPr>
        <w:pStyle w:val="5"/>
        <w:numPr>
          <w:ilvl w:val="0"/>
          <w:numId w:val="80"/>
        </w:numPr>
        <w:rPr>
          <w:rFonts w:ascii="宋体" w:hAnsi="宋体"/>
          <w:color w:val="000000" w:themeColor="text1"/>
          <w:szCs w:val="21"/>
          <w14:textFill>
            <w14:solidFill>
              <w14:schemeClr w14:val="tx1"/>
            </w14:solidFill>
          </w14:textFill>
        </w:rPr>
      </w:pPr>
      <w:bookmarkStart w:id="350" w:name="_Hlk167960464"/>
      <w:r>
        <w:rPr>
          <w:rFonts w:hint="eastAsia" w:ascii="宋体" w:hAnsi="宋体"/>
          <w:color w:val="000000" w:themeColor="text1"/>
          <w:szCs w:val="21"/>
          <w14:textFill>
            <w14:solidFill>
              <w14:schemeClr w14:val="tx1"/>
            </w14:solidFill>
          </w14:textFill>
        </w:rPr>
        <w:t>报告期内账面价值发生重大变动的金额和原因</w:t>
      </w:r>
    </w:p>
    <w:sdt>
      <w:sdtPr>
        <w:rPr>
          <w:color w:val="000000" w:themeColor="text1"/>
          <w14:textFill>
            <w14:solidFill>
              <w14:schemeClr w14:val="tx1"/>
            </w14:solidFill>
          </w14:textFill>
        </w:rPr>
        <w:alias w:val="是否适用：预收款项账面价值发生重大变动的金额和原因?[双击切换]"/>
        <w:tag w:val="_GBC_e406dc580328407abd4af2aa60e13e28"/>
        <w:id w:val="147464422"/>
        <w:placeholder>
          <w:docPart w:val="GBC22222222222222222222222222222"/>
        </w:placeholder>
      </w:sdtPr>
      <w:sdtEndPr>
        <w:rPr>
          <w:color w:val="000000" w:themeColor="text1"/>
          <w14:textFill>
            <w14:solidFill>
              <w14:schemeClr w14:val="tx1"/>
            </w14:solidFill>
          </w14:textFill>
        </w:rPr>
      </w:sdtEndPr>
      <w:sdtContent>
        <w:p w14:paraId="6D39477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A46A2DA">
      <w:pPr>
        <w:rPr>
          <w:color w:val="000000" w:themeColor="text1"/>
          <w14:textFill>
            <w14:solidFill>
              <w14:schemeClr w14:val="tx1"/>
            </w14:solidFill>
          </w14:textFill>
        </w:rPr>
      </w:pPr>
    </w:p>
    <w:bookmarkEnd w:id="350"/>
    <w:p w14:paraId="2C8FDDE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预收账款的其他说明[双击切换]"/>
        <w:tag w:val="_GBC_f473b6b28a104ffc812e6da4cf5177e5"/>
        <w:id w:val="147457565"/>
        <w:placeholder>
          <w:docPart w:val="GBC22222222222222222222222222222"/>
        </w:placeholder>
      </w:sdtPr>
      <w:sdtEndPr>
        <w:rPr>
          <w:color w:val="000000" w:themeColor="text1"/>
          <w14:textFill>
            <w14:solidFill>
              <w14:schemeClr w14:val="tx1"/>
            </w14:solidFill>
          </w14:textFill>
        </w:rPr>
      </w:sdtEndPr>
      <w:sdtContent>
        <w:p w14:paraId="2878612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5AADFA">
      <w:pPr>
        <w:rPr>
          <w:color w:val="000000" w:themeColor="text1"/>
          <w14:textFill>
            <w14:solidFill>
              <w14:schemeClr w14:val="tx1"/>
            </w14:solidFill>
          </w14:textFill>
        </w:rPr>
      </w:pPr>
    </w:p>
    <w:p w14:paraId="6E21C4CC">
      <w:pPr>
        <w:pStyle w:val="57"/>
        <w:numPr>
          <w:ilvl w:val="0"/>
          <w:numId w:val="54"/>
        </w:numPr>
        <w:rPr>
          <w:color w:val="000000" w:themeColor="text1"/>
          <w:szCs w:val="21"/>
          <w14:textFill>
            <w14:solidFill>
              <w14:schemeClr w14:val="tx1"/>
            </w14:solidFill>
          </w14:textFill>
        </w:rPr>
      </w:pPr>
      <w:bookmarkStart w:id="351" w:name="_Hlk10535609"/>
      <w:r>
        <w:rPr>
          <w:rFonts w:hint="eastAsia"/>
          <w:color w:val="000000" w:themeColor="text1"/>
          <w:szCs w:val="21"/>
          <w14:textFill>
            <w14:solidFill>
              <w14:schemeClr w14:val="tx1"/>
            </w14:solidFill>
          </w14:textFill>
        </w:rPr>
        <w:t>合同负债</w:t>
      </w:r>
    </w:p>
    <w:p w14:paraId="0E10EBC6">
      <w:pPr>
        <w:pStyle w:val="58"/>
        <w:numPr>
          <w:ilvl w:val="0"/>
          <w:numId w:val="8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合同负债情况</w:t>
      </w:r>
    </w:p>
    <w:sdt>
      <w:sdtPr>
        <w:rPr>
          <w:color w:val="000000" w:themeColor="text1"/>
          <w14:textFill>
            <w14:solidFill>
              <w14:schemeClr w14:val="tx1"/>
            </w14:solidFill>
          </w14:textFill>
        </w:rPr>
        <w:alias w:val="是否适用：合同负债情况[双击切换]"/>
        <w:tag w:val="_GBC_2b6238a8ea00438eab947f83a5f6451d"/>
        <w:id w:val="2028208023"/>
      </w:sdtPr>
      <w:sdtEndPr>
        <w:rPr>
          <w:color w:val="000000" w:themeColor="text1"/>
          <w14:textFill>
            <w14:solidFill>
              <w14:schemeClr w14:val="tx1"/>
            </w14:solidFill>
          </w14:textFill>
        </w:rPr>
      </w:sdtEndPr>
      <w:sdtContent>
        <w:p w14:paraId="0C5DCFC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B0BACE6">
      <w:pPr>
        <w:ind w:left="36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合同负债情况"/>
          <w:tag w:val="_GBC_0024c0ddc3514b009e8166b63dc10ae9"/>
          <w:id w:val="-125204243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合同负债情况"/>
          <w:tag w:val="_GBC_154d9411b9764a4f8e1412d0a22c8375"/>
          <w:id w:val="1424768594"/>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7"/>
        <w:gridCol w:w="3078"/>
        <w:gridCol w:w="3074"/>
      </w:tblGrid>
      <w:tr w14:paraId="755C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c5e783ac966e416184ff57e436f98be2"/>
            <w:id w:val="316380902"/>
          </w:sdtPr>
          <w:sdtEndPr>
            <w:rPr>
              <w:rFonts w:cs="Times New Roman"/>
            </w:rPr>
          </w:sdtEndPr>
          <w:sdtContent>
            <w:tc>
              <w:tcPr>
                <w:tcW w:w="1601" w:type="pct"/>
              </w:tcPr>
              <w:p w14:paraId="1A9B07B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a4f8a9567271447e9f7bc01f59c6eed6"/>
            <w:id w:val="1158193484"/>
          </w:sdtPr>
          <w:sdtEndPr>
            <w:rPr>
              <w:rFonts w:cs="Times New Roman"/>
            </w:rPr>
          </w:sdtEndPr>
          <w:sdtContent>
            <w:tc>
              <w:tcPr>
                <w:tcW w:w="1701" w:type="pct"/>
                <w:vAlign w:val="center"/>
              </w:tcPr>
              <w:p w14:paraId="20AB43AF">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b8f751ec83834a96b0e87c862d2ae80b"/>
            <w:id w:val="1116258119"/>
          </w:sdtPr>
          <w:sdtEndPr>
            <w:rPr>
              <w:rFonts w:cs="Times New Roman"/>
            </w:rPr>
          </w:sdtEndPr>
          <w:sdtContent>
            <w:tc>
              <w:tcPr>
                <w:tcW w:w="1698" w:type="pct"/>
                <w:vAlign w:val="center"/>
              </w:tcPr>
              <w:p w14:paraId="250B3359">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sdt>
        <w:sdtPr>
          <w:rPr>
            <w:rFonts w:cs="Times New Roman"/>
            <w:color w:val="000000" w:themeColor="text1"/>
            <w14:textFill>
              <w14:solidFill>
                <w14:schemeClr w14:val="tx1"/>
              </w14:solidFill>
            </w14:textFill>
          </w:rPr>
          <w:alias w:val="合同负债明细"/>
          <w:tag w:val="_TUP_d1c7a7f050fb40619e0f52b844ab99a2"/>
          <w:id w:val="1794556465"/>
          <w:placeholder>
            <w:docPart w:val="{3d117078-d684-4d51-9e6b-7f31e594f04d}"/>
          </w:placeholder>
        </w:sdtPr>
        <w:sdtEndPr>
          <w:rPr>
            <w:rFonts w:cs="Times New Roman"/>
            <w:color w:val="000000" w:themeColor="text1"/>
            <w14:textFill>
              <w14:solidFill>
                <w14:schemeClr w14:val="tx1"/>
              </w14:solidFill>
            </w14:textFill>
          </w:rPr>
        </w:sdtEndPr>
        <w:sdtContent>
          <w:tr w14:paraId="7E73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14:paraId="3FA86642">
                <w:pPr>
                  <w:rPr>
                    <w:rFonts w:cs="Times New Roman"/>
                  </w:rPr>
                </w:pPr>
                <w:r>
                  <w:rPr>
                    <w:rFonts w:cs="Times New Roman"/>
                  </w:rPr>
                  <w:t>预收货款</w:t>
                </w:r>
              </w:p>
            </w:tc>
            <w:tc>
              <w:tcPr>
                <w:tcW w:w="1701" w:type="pct"/>
                <w:vAlign w:val="center"/>
              </w:tcPr>
              <w:p w14:paraId="4DC6DD40">
                <w:pPr>
                  <w:jc w:val="right"/>
                  <w:rPr>
                    <w:rFonts w:cs="Times New Roman"/>
                  </w:rPr>
                </w:pPr>
                <w:r>
                  <w:rPr>
                    <w:rFonts w:cs="Times New Roman"/>
                  </w:rPr>
                  <w:t>502,596,189.52</w:t>
                </w:r>
              </w:p>
            </w:tc>
            <w:tc>
              <w:tcPr>
                <w:tcW w:w="1698" w:type="pct"/>
                <w:vAlign w:val="center"/>
              </w:tcPr>
              <w:p w14:paraId="1A5A06E3">
                <w:pPr>
                  <w:jc w:val="right"/>
                  <w:rPr>
                    <w:rFonts w:cs="Times New Roman"/>
                  </w:rPr>
                </w:pPr>
                <w:r>
                  <w:rPr>
                    <w:rFonts w:cs="Times New Roman"/>
                  </w:rPr>
                  <w:t>741,649,367.11</w:t>
                </w:r>
              </w:p>
            </w:tc>
          </w:tr>
        </w:sdtContent>
      </w:sdt>
      <w:sdt>
        <w:sdtPr>
          <w:rPr>
            <w:rFonts w:cs="Times New Roman"/>
            <w:color w:val="000000" w:themeColor="text1"/>
            <w14:textFill>
              <w14:solidFill>
                <w14:schemeClr w14:val="tx1"/>
              </w14:solidFill>
            </w14:textFill>
          </w:rPr>
          <w:alias w:val="合同负债明细"/>
          <w:tag w:val="_TUP_d1c7a7f050fb40619e0f52b844ab99a2"/>
          <w:id w:val="969713123"/>
          <w:placeholder>
            <w:docPart w:val="{3d117078-d684-4d51-9e6b-7f31e594f04d}"/>
          </w:placeholder>
        </w:sdtPr>
        <w:sdtEndPr>
          <w:rPr>
            <w:rFonts w:cs="Times New Roman"/>
            <w:color w:val="000000" w:themeColor="text1"/>
            <w14:textFill>
              <w14:solidFill>
                <w14:schemeClr w14:val="tx1"/>
              </w14:solidFill>
            </w14:textFill>
          </w:rPr>
        </w:sdtEndPr>
        <w:sdtContent>
          <w:tr w14:paraId="3DF8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14:paraId="568F4052">
                <w:pPr>
                  <w:rPr>
                    <w:rFonts w:cs="Times New Roman"/>
                  </w:rPr>
                </w:pPr>
                <w:r>
                  <w:rPr>
                    <w:rFonts w:cs="Times New Roman"/>
                  </w:rPr>
                  <w:t>预收房款</w:t>
                </w:r>
              </w:p>
            </w:tc>
            <w:tc>
              <w:tcPr>
                <w:tcW w:w="1701" w:type="pct"/>
                <w:vAlign w:val="center"/>
              </w:tcPr>
              <w:p w14:paraId="3E46D5B5">
                <w:pPr>
                  <w:jc w:val="right"/>
                  <w:rPr>
                    <w:rFonts w:cs="Times New Roman"/>
                  </w:rPr>
                </w:pPr>
                <w:r>
                  <w:rPr>
                    <w:rFonts w:cs="Times New Roman"/>
                  </w:rPr>
                  <w:t>433,331,164.07</w:t>
                </w:r>
              </w:p>
            </w:tc>
            <w:tc>
              <w:tcPr>
                <w:tcW w:w="1698" w:type="pct"/>
                <w:vAlign w:val="center"/>
              </w:tcPr>
              <w:p w14:paraId="71285DB7">
                <w:pPr>
                  <w:jc w:val="right"/>
                  <w:rPr>
                    <w:rFonts w:cs="Times New Roman"/>
                  </w:rPr>
                </w:pPr>
                <w:r>
                  <w:rPr>
                    <w:rFonts w:cs="Times New Roman"/>
                  </w:rPr>
                  <w:t>200,747,583.17</w:t>
                </w:r>
              </w:p>
            </w:tc>
          </w:tr>
        </w:sdtContent>
      </w:sdt>
      <w:tr w14:paraId="6A40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749720f346f74db784b99fec9408ed39"/>
            <w:id w:val="1701048390"/>
          </w:sdtPr>
          <w:sdtEndPr>
            <w:rPr>
              <w:rFonts w:cs="Times New Roman"/>
            </w:rPr>
          </w:sdtEndPr>
          <w:sdtContent>
            <w:tc>
              <w:tcPr>
                <w:tcW w:w="1601" w:type="pct"/>
              </w:tcPr>
              <w:p w14:paraId="04C003A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701" w:type="pct"/>
            <w:vAlign w:val="center"/>
          </w:tcPr>
          <w:p w14:paraId="0195FB52">
            <w:pPr>
              <w:jc w:val="right"/>
              <w:rPr>
                <w:rFonts w:cs="Times New Roman"/>
              </w:rPr>
            </w:pPr>
            <w:r>
              <w:rPr>
                <w:rFonts w:cs="Times New Roman"/>
              </w:rPr>
              <w:t>935,927,353.59</w:t>
            </w:r>
          </w:p>
        </w:tc>
        <w:tc>
          <w:tcPr>
            <w:tcW w:w="1698" w:type="pct"/>
            <w:vAlign w:val="center"/>
          </w:tcPr>
          <w:p w14:paraId="45A6082A">
            <w:pPr>
              <w:jc w:val="right"/>
              <w:rPr>
                <w:rFonts w:cs="Times New Roman"/>
              </w:rPr>
            </w:pPr>
            <w:r>
              <w:rPr>
                <w:rFonts w:cs="Times New Roman"/>
              </w:rPr>
              <w:t>942,396,950.28</w:t>
            </w:r>
          </w:p>
        </w:tc>
      </w:tr>
    </w:tbl>
    <w:p w14:paraId="0600955F">
      <w:pPr>
        <w:rPr>
          <w:color w:val="000000" w:themeColor="text1"/>
          <w14:textFill>
            <w14:solidFill>
              <w14:schemeClr w14:val="tx1"/>
            </w14:solidFill>
          </w14:textFill>
        </w:rPr>
      </w:pPr>
    </w:p>
    <w:p w14:paraId="000AFEB1">
      <w:pPr>
        <w:rPr>
          <w:color w:val="000000" w:themeColor="text1"/>
          <w14:textFill>
            <w14:solidFill>
              <w14:schemeClr w14:val="tx1"/>
            </w14:solidFill>
          </w14:textFill>
        </w:rPr>
      </w:pPr>
    </w:p>
    <w:bookmarkEnd w:id="351"/>
    <w:p w14:paraId="6A816611">
      <w:pPr>
        <w:pStyle w:val="58"/>
        <w:numPr>
          <w:ilvl w:val="0"/>
          <w:numId w:val="81"/>
        </w:numPr>
        <w:rPr>
          <w:rFonts w:ascii="宋体" w:hAnsi="宋体"/>
          <w:color w:val="000000" w:themeColor="text1"/>
          <w14:textFill>
            <w14:solidFill>
              <w14:schemeClr w14:val="tx1"/>
            </w14:solidFill>
          </w14:textFill>
        </w:rPr>
      </w:pPr>
      <w:bookmarkStart w:id="352" w:name="_Hlk167960548"/>
      <w:r>
        <w:rPr>
          <w:rFonts w:hint="eastAsia" w:ascii="宋体" w:hAnsi="宋体"/>
          <w:color w:val="000000" w:themeColor="text1"/>
          <w14:textFill>
            <w14:solidFill>
              <w14:schemeClr w14:val="tx1"/>
            </w14:solidFill>
          </w14:textFill>
        </w:rPr>
        <w:t>账龄超过1年的重要合同负债</w:t>
      </w:r>
    </w:p>
    <w:sdt>
      <w:sdtPr>
        <w:rPr>
          <w:color w:val="000000" w:themeColor="text1"/>
          <w14:textFill>
            <w14:solidFill>
              <w14:schemeClr w14:val="tx1"/>
            </w14:solidFill>
          </w14:textFill>
        </w:rPr>
        <w:alias w:val="是否适用：账龄超过1年的重要合同负债明细[双击切换]"/>
        <w:tag w:val="_GBC_aef24e08ea524c9a9a25ec0e93c6c574"/>
        <w:id w:val="480739107"/>
      </w:sdtPr>
      <w:sdtEndPr>
        <w:rPr>
          <w:color w:val="000000" w:themeColor="text1"/>
          <w14:textFill>
            <w14:solidFill>
              <w14:schemeClr w14:val="tx1"/>
            </w14:solidFill>
          </w14:textFill>
        </w:rPr>
      </w:sdtEndPr>
      <w:sdtContent>
        <w:p w14:paraId="29874DA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608790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账龄超过2年的重要合同负债明细"/>
          <w:tag w:val="_GBC_053e1a97fea0488280aee989bba6e363"/>
          <w:id w:val="-949243477"/>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账龄超过3年的重要合同负债明细"/>
          <w:tag w:val="_GBC_52195bdb13b0483ba0133c69acccf3f0"/>
          <w:id w:val="1048419164"/>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2"/>
        <w:gridCol w:w="2438"/>
        <w:gridCol w:w="3049"/>
      </w:tblGrid>
      <w:tr w14:paraId="1506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1983e85101bf4be392ffaddbf00b542a"/>
            <w:id w:val="1906574387"/>
          </w:sdtPr>
          <w:sdtEndPr>
            <w:rPr>
              <w:rFonts w:cs="Times New Roman"/>
            </w:rPr>
          </w:sdtEndPr>
          <w:sdtContent>
            <w:tc>
              <w:tcPr>
                <w:tcW w:w="1968" w:type="pct"/>
                <w:vAlign w:val="center"/>
              </w:tcPr>
              <w:p w14:paraId="6DB3A6B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bc00cae273249b18efa889a4b2e726e"/>
            <w:id w:val="1788920629"/>
          </w:sdtPr>
          <w:sdtEndPr>
            <w:rPr>
              <w:rFonts w:cs="Times New Roman"/>
            </w:rPr>
          </w:sdtEndPr>
          <w:sdtContent>
            <w:tc>
              <w:tcPr>
                <w:tcW w:w="1347" w:type="pct"/>
                <w:vAlign w:val="center"/>
              </w:tcPr>
              <w:p w14:paraId="123814D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357d74a4b9a84205bc2d12fa07d440ac"/>
            <w:id w:val="618110933"/>
          </w:sdtPr>
          <w:sdtEndPr>
            <w:rPr>
              <w:rFonts w:cs="Times New Roman"/>
            </w:rPr>
          </w:sdtEndPr>
          <w:sdtContent>
            <w:tc>
              <w:tcPr>
                <w:tcW w:w="1684" w:type="pct"/>
                <w:vAlign w:val="center"/>
              </w:tcPr>
              <w:p w14:paraId="6074DF1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未偿还或结转的原因</w:t>
                </w:r>
              </w:p>
            </w:tc>
          </w:sdtContent>
        </w:sdt>
      </w:tr>
      <w:sdt>
        <w:sdtPr>
          <w:rPr>
            <w:rFonts w:cs="Times New Roman"/>
            <w:color w:val="000000" w:themeColor="text1"/>
            <w14:textFill>
              <w14:solidFill>
                <w14:schemeClr w14:val="tx1"/>
              </w14:solidFill>
            </w14:textFill>
          </w:rPr>
          <w:alias w:val="账龄超过1年的重要合同负债明细"/>
          <w:tag w:val="_TUP_bb86390c50984c5daa7d8bcd0395c750"/>
          <w:id w:val="109169666"/>
          <w:placeholder>
            <w:docPart w:val="{2cc8f0d7-c5d6-4c8a-a47f-adb2d612b16a}"/>
          </w:placeholder>
        </w:sdtPr>
        <w:sdtEndPr>
          <w:rPr>
            <w:rFonts w:cs="Times New Roman"/>
            <w:color w:val="000000" w:themeColor="text1"/>
            <w14:textFill>
              <w14:solidFill>
                <w14:schemeClr w14:val="tx1"/>
              </w14:solidFill>
            </w14:textFill>
          </w:rPr>
        </w:sdtEndPr>
        <w:sdtContent>
          <w:tr w14:paraId="1ECB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pct"/>
                <w:tcBorders>
                  <w:bottom w:val="single" w:color="auto" w:sz="4" w:space="0"/>
                </w:tcBorders>
              </w:tcPr>
              <w:p w14:paraId="1D28E24D">
                <w:pPr>
                  <w:rPr>
                    <w:rFonts w:cs="Times New Roman"/>
                  </w:rPr>
                </w:pPr>
                <w:r>
                  <w:rPr>
                    <w:rFonts w:cs="Times New Roman"/>
                  </w:rPr>
                  <w:t>北京鑫源荣海装备科技有限公司</w:t>
                </w:r>
              </w:p>
            </w:tc>
            <w:tc>
              <w:tcPr>
                <w:tcW w:w="1347" w:type="pct"/>
                <w:vAlign w:val="center"/>
              </w:tcPr>
              <w:p w14:paraId="32BDF061">
                <w:pPr>
                  <w:jc w:val="right"/>
                  <w:rPr>
                    <w:rFonts w:cs="Times New Roman"/>
                  </w:rPr>
                </w:pPr>
                <w:r>
                  <w:rPr>
                    <w:rFonts w:cs="Times New Roman"/>
                  </w:rPr>
                  <w:t>38,672,654.87</w:t>
                </w:r>
              </w:p>
            </w:tc>
            <w:tc>
              <w:tcPr>
                <w:tcW w:w="1684" w:type="pct"/>
              </w:tcPr>
              <w:p w14:paraId="4CDAB0F1">
                <w:pPr>
                  <w:rPr>
                    <w:rFonts w:cs="Times New Roman"/>
                  </w:rPr>
                </w:pPr>
                <w:r>
                  <w:rPr>
                    <w:rFonts w:cs="Times New Roman"/>
                  </w:rPr>
                  <w:t>尚未结算</w:t>
                </w:r>
              </w:p>
            </w:tc>
          </w:tr>
        </w:sdtContent>
      </w:sdt>
      <w:sdt>
        <w:sdtPr>
          <w:rPr>
            <w:rFonts w:cs="Times New Roman"/>
            <w:color w:val="000000" w:themeColor="text1"/>
            <w14:textFill>
              <w14:solidFill>
                <w14:schemeClr w14:val="tx1"/>
              </w14:solidFill>
            </w14:textFill>
          </w:rPr>
          <w:alias w:val="账龄超过1年的重要合同负债明细"/>
          <w:tag w:val="_TUP_bb86390c50984c5daa7d8bcd0395c750"/>
          <w:id w:val="-1019148170"/>
          <w:placeholder>
            <w:docPart w:val="{2cc8f0d7-c5d6-4c8a-a47f-adb2d612b16a}"/>
          </w:placeholder>
        </w:sdtPr>
        <w:sdtEndPr>
          <w:rPr>
            <w:rFonts w:cs="Times New Roman"/>
            <w:color w:val="000000" w:themeColor="text1"/>
            <w14:textFill>
              <w14:solidFill>
                <w14:schemeClr w14:val="tx1"/>
              </w14:solidFill>
            </w14:textFill>
          </w:rPr>
        </w:sdtEndPr>
        <w:sdtContent>
          <w:tr w14:paraId="4FFC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pct"/>
                <w:tcBorders>
                  <w:bottom w:val="single" w:color="auto" w:sz="4" w:space="0"/>
                </w:tcBorders>
              </w:tcPr>
              <w:p w14:paraId="2C5C04B0">
                <w:pPr>
                  <w:rPr>
                    <w:rFonts w:cs="Times New Roman"/>
                  </w:rPr>
                </w:pPr>
                <w:r>
                  <w:rPr>
                    <w:rFonts w:cs="Times New Roman"/>
                  </w:rPr>
                  <w:t>江苏禹尧化工有限公司</w:t>
                </w:r>
              </w:p>
            </w:tc>
            <w:tc>
              <w:tcPr>
                <w:tcW w:w="1347" w:type="pct"/>
                <w:vAlign w:val="center"/>
              </w:tcPr>
              <w:p w14:paraId="55058D18">
                <w:pPr>
                  <w:jc w:val="right"/>
                  <w:rPr>
                    <w:rFonts w:cs="Times New Roman"/>
                  </w:rPr>
                </w:pPr>
                <w:r>
                  <w:rPr>
                    <w:rFonts w:cs="Times New Roman"/>
                  </w:rPr>
                  <w:t>76,372,764.60</w:t>
                </w:r>
              </w:p>
            </w:tc>
            <w:tc>
              <w:tcPr>
                <w:tcW w:w="1684" w:type="pct"/>
              </w:tcPr>
              <w:p w14:paraId="145379C6">
                <w:pPr>
                  <w:rPr>
                    <w:rFonts w:cs="Times New Roman"/>
                  </w:rPr>
                </w:pPr>
                <w:r>
                  <w:rPr>
                    <w:rFonts w:cs="Times New Roman"/>
                  </w:rPr>
                  <w:t>尚未结算</w:t>
                </w:r>
              </w:p>
            </w:tc>
          </w:tr>
        </w:sdtContent>
      </w:sdt>
      <w:sdt>
        <w:sdtPr>
          <w:rPr>
            <w:rFonts w:cs="Times New Roman"/>
            <w:color w:val="000000" w:themeColor="text1"/>
            <w14:textFill>
              <w14:solidFill>
                <w14:schemeClr w14:val="tx1"/>
              </w14:solidFill>
            </w14:textFill>
          </w:rPr>
          <w:alias w:val="账龄超过1年的重要合同负债明细"/>
          <w:tag w:val="_TUP_bb86390c50984c5daa7d8bcd0395c750"/>
          <w:id w:val="-713819489"/>
          <w:placeholder>
            <w:docPart w:val="{2cc8f0d7-c5d6-4c8a-a47f-adb2d612b16a}"/>
          </w:placeholder>
        </w:sdtPr>
        <w:sdtEndPr>
          <w:rPr>
            <w:rFonts w:cs="Times New Roman"/>
            <w:color w:val="000000" w:themeColor="text1"/>
            <w14:textFill>
              <w14:solidFill>
                <w14:schemeClr w14:val="tx1"/>
              </w14:solidFill>
            </w14:textFill>
          </w:rPr>
        </w:sdtEndPr>
        <w:sdtContent>
          <w:tr w14:paraId="18C1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pct"/>
                <w:tcBorders>
                  <w:bottom w:val="single" w:color="auto" w:sz="4" w:space="0"/>
                </w:tcBorders>
              </w:tcPr>
              <w:p w14:paraId="23343E90">
                <w:pPr>
                  <w:rPr>
                    <w:rFonts w:cs="Times New Roman"/>
                  </w:rPr>
                </w:pPr>
                <w:r>
                  <w:rPr>
                    <w:rFonts w:cs="Times New Roman"/>
                  </w:rPr>
                  <w:t>江苏正信和荣石油化工有限公司</w:t>
                </w:r>
              </w:p>
            </w:tc>
            <w:tc>
              <w:tcPr>
                <w:tcW w:w="1347" w:type="pct"/>
                <w:vAlign w:val="center"/>
              </w:tcPr>
              <w:p w14:paraId="68D2C7C5">
                <w:pPr>
                  <w:jc w:val="right"/>
                  <w:rPr>
                    <w:rFonts w:cs="Times New Roman"/>
                  </w:rPr>
                </w:pPr>
                <w:r>
                  <w:rPr>
                    <w:rFonts w:cs="Times New Roman"/>
                  </w:rPr>
                  <w:t>35,890,892.04</w:t>
                </w:r>
              </w:p>
            </w:tc>
            <w:tc>
              <w:tcPr>
                <w:tcW w:w="1684" w:type="pct"/>
              </w:tcPr>
              <w:p w14:paraId="65CBD3F9">
                <w:pPr>
                  <w:rPr>
                    <w:rFonts w:cs="Times New Roman"/>
                  </w:rPr>
                </w:pPr>
                <w:r>
                  <w:rPr>
                    <w:rFonts w:cs="Times New Roman"/>
                  </w:rPr>
                  <w:t>尚未结算</w:t>
                </w:r>
              </w:p>
            </w:tc>
          </w:tr>
        </w:sdtContent>
      </w:sdt>
      <w:tr w14:paraId="2AB7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pct"/>
            <w:vAlign w:val="center"/>
          </w:tcPr>
          <w:sdt>
            <w:sdtPr>
              <w:rPr>
                <w:rFonts w:cs="Times New Roman"/>
              </w:rPr>
              <w:tag w:val="_PLD_e3b3258c46d743d0b0195710d25d46b9"/>
              <w:id w:val="392397991"/>
            </w:sdtPr>
            <w:sdtEndPr>
              <w:rPr>
                <w:rFonts w:cs="Times New Roman"/>
              </w:rPr>
            </w:sdtEndPr>
            <w:sdtContent>
              <w:p w14:paraId="7AF761C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sdtContent>
          </w:sdt>
        </w:tc>
        <w:tc>
          <w:tcPr>
            <w:tcW w:w="1347" w:type="pct"/>
            <w:vAlign w:val="center"/>
          </w:tcPr>
          <w:p w14:paraId="59129252">
            <w:pPr>
              <w:jc w:val="right"/>
              <w:rPr>
                <w:rFonts w:cs="Times New Roman"/>
              </w:rPr>
            </w:pPr>
            <w:r>
              <w:rPr>
                <w:rFonts w:cs="Times New Roman"/>
              </w:rPr>
              <w:t>150,936,311.51</w:t>
            </w:r>
          </w:p>
        </w:tc>
        <w:tc>
          <w:tcPr>
            <w:tcW w:w="1684" w:type="pct"/>
          </w:tcPr>
          <w:sdt>
            <w:sdtPr>
              <w:rPr>
                <w:rFonts w:cs="Times New Roman"/>
              </w:rPr>
              <w:tag w:val="_PLD_5388a40f5f0145e08ca6997c29794a7a"/>
              <w:id w:val="1415433671"/>
            </w:sdtPr>
            <w:sdtEndPr>
              <w:rPr>
                <w:rFonts w:cs="Times New Roman"/>
              </w:rPr>
            </w:sdtEndPr>
            <w:sdtContent>
              <w:p w14:paraId="0B0D48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sdtContent>
          </w:sdt>
        </w:tc>
      </w:tr>
    </w:tbl>
    <w:p w14:paraId="27BBF631">
      <w:pPr>
        <w:rPr>
          <w:color w:val="000000" w:themeColor="text1"/>
          <w14:textFill>
            <w14:solidFill>
              <w14:schemeClr w14:val="tx1"/>
            </w14:solidFill>
          </w14:textFill>
        </w:rPr>
      </w:pPr>
    </w:p>
    <w:bookmarkEnd w:id="352"/>
    <w:p w14:paraId="7A261D5D">
      <w:pPr>
        <w:pStyle w:val="58"/>
        <w:numPr>
          <w:ilvl w:val="0"/>
          <w:numId w:val="81"/>
        </w:numPr>
        <w:rPr>
          <w:rFonts w:ascii="宋体" w:hAnsi="宋体"/>
          <w:color w:val="000000" w:themeColor="text1"/>
          <w14:textFill>
            <w14:solidFill>
              <w14:schemeClr w14:val="tx1"/>
            </w14:solidFill>
          </w14:textFill>
        </w:rPr>
      </w:pPr>
      <w:bookmarkStart w:id="353" w:name="_Hlk10535674"/>
      <w:r>
        <w:rPr>
          <w:rFonts w:hint="eastAsia" w:ascii="宋体" w:hAnsi="宋体"/>
          <w:color w:val="000000" w:themeColor="text1"/>
          <w14:textFill>
            <w14:solidFill>
              <w14:schemeClr w14:val="tx1"/>
            </w14:solidFill>
          </w14:textFill>
        </w:rPr>
        <w:t>报告期内账面价值发生重大变动的金额和原因</w:t>
      </w:r>
    </w:p>
    <w:sdt>
      <w:sdtPr>
        <w:rPr>
          <w:color w:val="000000" w:themeColor="text1"/>
          <w14:textFill>
            <w14:solidFill>
              <w14:schemeClr w14:val="tx1"/>
            </w14:solidFill>
          </w14:textFill>
        </w:rPr>
        <w:alias w:val="是否适用：合同负债账面价值发生重大变动[双击切换]"/>
        <w:tag w:val="_GBC_18d9cdd7095d4bda8f22860c58746248"/>
        <w:id w:val="147456737"/>
        <w:placeholder>
          <w:docPart w:val="GBC22222222222222222222222222222"/>
        </w:placeholder>
      </w:sdtPr>
      <w:sdtEndPr>
        <w:rPr>
          <w:color w:val="000000" w:themeColor="text1"/>
          <w14:textFill>
            <w14:solidFill>
              <w14:schemeClr w14:val="tx1"/>
            </w14:solidFill>
          </w14:textFill>
        </w:rPr>
      </w:sdtEndPr>
      <w:sdtContent>
        <w:p w14:paraId="183D117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EF565D">
      <w:pPr>
        <w:rPr>
          <w:color w:val="000000" w:themeColor="text1"/>
          <w14:textFill>
            <w14:solidFill>
              <w14:schemeClr w14:val="tx1"/>
            </w14:solidFill>
          </w14:textFill>
        </w:rPr>
      </w:pPr>
    </w:p>
    <w:bookmarkEnd w:id="353"/>
    <w:p w14:paraId="31C454BA">
      <w:pPr>
        <w:rPr>
          <w:color w:val="000000" w:themeColor="text1"/>
          <w14:textFill>
            <w14:solidFill>
              <w14:schemeClr w14:val="tx1"/>
            </w14:solidFill>
          </w14:textFill>
        </w:rPr>
      </w:pPr>
      <w:bookmarkStart w:id="354" w:name="_Hlk10535687"/>
      <w:bookmarkStart w:id="355" w:name="_Hlk10535696"/>
      <w:r>
        <w:rPr>
          <w:rFonts w:hint="eastAsia"/>
          <w:color w:val="000000" w:themeColor="text1"/>
          <w14:textFill>
            <w14:solidFill>
              <w14:schemeClr w14:val="tx1"/>
            </w14:solidFill>
          </w14:textFill>
        </w:rPr>
        <w:t>其他说明：</w:t>
      </w:r>
      <w:bookmarkEnd w:id="354"/>
    </w:p>
    <w:sdt>
      <w:sdtPr>
        <w:rPr>
          <w:color w:val="000000" w:themeColor="text1"/>
          <w14:textFill>
            <w14:solidFill>
              <w14:schemeClr w14:val="tx1"/>
            </w14:solidFill>
          </w14:textFill>
        </w:rPr>
        <w:alias w:val="是否适用：合同负债其他说明[双击切换]"/>
        <w:tag w:val="_GBC_f73cf097b72042508657c656d4dc0c08"/>
        <w:id w:val="147478618"/>
        <w:placeholder>
          <w:docPart w:val="GBC22222222222222222222222222222"/>
        </w:placeholder>
      </w:sdtPr>
      <w:sdtEndPr>
        <w:rPr>
          <w:color w:val="000000" w:themeColor="text1"/>
          <w14:textFill>
            <w14:solidFill>
              <w14:schemeClr w14:val="tx1"/>
            </w14:solidFill>
          </w14:textFill>
        </w:rPr>
      </w:sdtEndPr>
      <w:sdtContent>
        <w:p w14:paraId="6B5FB3E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55"/>
    <w:p w14:paraId="400BB9E3">
      <w:pPr>
        <w:rPr>
          <w:color w:val="000000" w:themeColor="text1"/>
          <w14:textFill>
            <w14:solidFill>
              <w14:schemeClr w14:val="tx1"/>
            </w14:solidFill>
          </w14:textFill>
        </w:rPr>
      </w:pPr>
    </w:p>
    <w:p w14:paraId="241E2A59">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应付职工薪酬</w:t>
      </w:r>
    </w:p>
    <w:p w14:paraId="377B1966">
      <w:pPr>
        <w:pStyle w:val="58"/>
        <w:numPr>
          <w:ilvl w:val="0"/>
          <w:numId w:val="8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应付职工薪酬列示</w:t>
      </w:r>
    </w:p>
    <w:sdt>
      <w:sdtPr>
        <w:rPr>
          <w:color w:val="000000" w:themeColor="text1"/>
          <w14:textFill>
            <w14:solidFill>
              <w14:schemeClr w14:val="tx1"/>
            </w14:solidFill>
          </w14:textFill>
        </w:rPr>
        <w:alias w:val="是否适用：应付职工薪酬列示[双击切换]"/>
        <w:tag w:val="_GBC_88faccc480a843dca589c1af0d3fee37"/>
        <w:id w:val="147472960"/>
        <w:placeholder>
          <w:docPart w:val="GBC22222222222222222222222222222"/>
        </w:placeholder>
      </w:sdtPr>
      <w:sdtEndPr>
        <w:rPr>
          <w:color w:val="000000" w:themeColor="text1"/>
          <w14:textFill>
            <w14:solidFill>
              <w14:schemeClr w14:val="tx1"/>
            </w14:solidFill>
          </w14:textFill>
        </w:rPr>
      </w:sdtEndPr>
      <w:sdtContent>
        <w:p w14:paraId="192CAFA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DF0FF2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职工薪酬"/>
          <w:tag w:val="_GBC_5c4cdcd7cd924c4ca8e87f806bc459b0"/>
          <w:id w:val="1474732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职工薪酬"/>
          <w:tag w:val="_GBC_1b7f0fd0ca54470ca12f1037c092be9a"/>
          <w:id w:val="1474670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5"/>
        <w:gridCol w:w="1609"/>
        <w:gridCol w:w="1607"/>
        <w:gridCol w:w="1608"/>
        <w:gridCol w:w="1617"/>
      </w:tblGrid>
      <w:tr w14:paraId="5091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481bea2acb8f49ac9b4cfc92cd4a426e"/>
            <w:id w:val="147472223"/>
          </w:sdtPr>
          <w:sdtEndPr>
            <w:rPr>
              <w:rFonts w:cs="Times New Roman"/>
            </w:rPr>
          </w:sdtEndPr>
          <w:sdtContent>
            <w:tc>
              <w:tcPr>
                <w:tcW w:w="1438" w:type="pct"/>
                <w:vAlign w:val="center"/>
              </w:tcPr>
              <w:p w14:paraId="20B1E14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ff27c0f5bcb94d9b932762b91edf2ff1"/>
            <w:id w:val="147470840"/>
          </w:sdtPr>
          <w:sdtEndPr>
            <w:rPr>
              <w:rFonts w:cs="Times New Roman"/>
            </w:rPr>
          </w:sdtEndPr>
          <w:sdtContent>
            <w:tc>
              <w:tcPr>
                <w:tcW w:w="889" w:type="pct"/>
                <w:vAlign w:val="center"/>
              </w:tcPr>
              <w:p w14:paraId="6807F93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7274636f27ae4e048ade60bfddaa8164"/>
            <w:id w:val="147461376"/>
          </w:sdtPr>
          <w:sdtEndPr>
            <w:rPr>
              <w:rFonts w:cs="Times New Roman"/>
            </w:rPr>
          </w:sdtEndPr>
          <w:sdtContent>
            <w:tc>
              <w:tcPr>
                <w:tcW w:w="888" w:type="pct"/>
                <w:vAlign w:val="center"/>
              </w:tcPr>
              <w:p w14:paraId="0797ABC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本期增加</w:t>
                </w:r>
              </w:p>
            </w:tc>
          </w:sdtContent>
        </w:sdt>
        <w:sdt>
          <w:sdtPr>
            <w:rPr>
              <w:rFonts w:cs="Times New Roman"/>
            </w:rPr>
            <w:tag w:val="_PLD_07ae572963de436aa2308d649a28c23b"/>
            <w:id w:val="147460154"/>
          </w:sdtPr>
          <w:sdtEndPr>
            <w:rPr>
              <w:rFonts w:cs="Times New Roman"/>
            </w:rPr>
          </w:sdtEndPr>
          <w:sdtContent>
            <w:tc>
              <w:tcPr>
                <w:tcW w:w="889" w:type="pct"/>
                <w:vAlign w:val="center"/>
              </w:tcPr>
              <w:p w14:paraId="20EFF83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本期减少</w:t>
                </w:r>
              </w:p>
            </w:tc>
          </w:sdtContent>
        </w:sdt>
        <w:sdt>
          <w:sdtPr>
            <w:rPr>
              <w:rFonts w:cs="Times New Roman"/>
            </w:rPr>
            <w:tag w:val="_PLD_27069329d7654e34bc45ca7dee532204"/>
            <w:id w:val="147452715"/>
          </w:sdtPr>
          <w:sdtEndPr>
            <w:rPr>
              <w:rFonts w:cs="Times New Roman"/>
            </w:rPr>
          </w:sdtEndPr>
          <w:sdtContent>
            <w:tc>
              <w:tcPr>
                <w:tcW w:w="894" w:type="pct"/>
                <w:vAlign w:val="center"/>
              </w:tcPr>
              <w:p w14:paraId="3FD794A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5465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tcPr>
          <w:p w14:paraId="154CE23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一、短期薪酬</w:t>
            </w:r>
          </w:p>
        </w:tc>
        <w:tc>
          <w:tcPr>
            <w:tcW w:w="889" w:type="pct"/>
            <w:vAlign w:val="center"/>
          </w:tcPr>
          <w:p w14:paraId="36C931FC">
            <w:pPr>
              <w:jc w:val="right"/>
              <w:textAlignment w:val="center"/>
              <w:rPr>
                <w:rFonts w:cs="Times New Roman"/>
              </w:rPr>
            </w:pPr>
            <w:r>
              <w:rPr>
                <w:rFonts w:cs="Times New Roman"/>
                <w:color w:val="000000"/>
              </w:rPr>
              <w:t>262,415,077.75</w:t>
            </w:r>
          </w:p>
        </w:tc>
        <w:tc>
          <w:tcPr>
            <w:tcW w:w="888" w:type="pct"/>
            <w:vAlign w:val="center"/>
          </w:tcPr>
          <w:p w14:paraId="06D8C5D3">
            <w:pPr>
              <w:jc w:val="right"/>
              <w:textAlignment w:val="center"/>
              <w:rPr>
                <w:rFonts w:cs="Times New Roman"/>
              </w:rPr>
            </w:pPr>
            <w:r>
              <w:rPr>
                <w:rFonts w:cs="Times New Roman"/>
                <w:color w:val="000000"/>
              </w:rPr>
              <w:t>558,460,506.08</w:t>
            </w:r>
          </w:p>
        </w:tc>
        <w:tc>
          <w:tcPr>
            <w:tcW w:w="889" w:type="pct"/>
            <w:vAlign w:val="center"/>
          </w:tcPr>
          <w:p w14:paraId="445DCF8A">
            <w:pPr>
              <w:jc w:val="right"/>
              <w:textAlignment w:val="center"/>
              <w:rPr>
                <w:rFonts w:cs="Times New Roman"/>
              </w:rPr>
            </w:pPr>
            <w:r>
              <w:rPr>
                <w:rFonts w:cs="Times New Roman"/>
                <w:color w:val="000000"/>
              </w:rPr>
              <w:t>677,463,522.21</w:t>
            </w:r>
          </w:p>
        </w:tc>
        <w:tc>
          <w:tcPr>
            <w:tcW w:w="894" w:type="pct"/>
            <w:vAlign w:val="center"/>
          </w:tcPr>
          <w:p w14:paraId="77EE73C3">
            <w:pPr>
              <w:jc w:val="right"/>
              <w:textAlignment w:val="center"/>
              <w:rPr>
                <w:rFonts w:cs="Times New Roman"/>
              </w:rPr>
            </w:pPr>
            <w:r>
              <w:rPr>
                <w:rFonts w:cs="Times New Roman"/>
                <w:color w:val="000000"/>
              </w:rPr>
              <w:t>143,412,061.62</w:t>
            </w:r>
          </w:p>
        </w:tc>
      </w:tr>
      <w:tr w14:paraId="2856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tcPr>
          <w:p w14:paraId="07C9287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二、离职后福利-设定提存计划</w:t>
            </w:r>
          </w:p>
        </w:tc>
        <w:tc>
          <w:tcPr>
            <w:tcW w:w="889" w:type="pct"/>
            <w:vAlign w:val="center"/>
          </w:tcPr>
          <w:p w14:paraId="46D78865">
            <w:pPr>
              <w:jc w:val="right"/>
              <w:textAlignment w:val="center"/>
              <w:rPr>
                <w:rFonts w:cs="Times New Roman"/>
              </w:rPr>
            </w:pPr>
            <w:r>
              <w:rPr>
                <w:rFonts w:cs="Times New Roman"/>
                <w:color w:val="000000"/>
              </w:rPr>
              <w:t>1,903,969.25</w:t>
            </w:r>
          </w:p>
        </w:tc>
        <w:tc>
          <w:tcPr>
            <w:tcW w:w="888" w:type="pct"/>
            <w:vAlign w:val="center"/>
          </w:tcPr>
          <w:p w14:paraId="6253491F">
            <w:pPr>
              <w:jc w:val="right"/>
              <w:textAlignment w:val="center"/>
              <w:rPr>
                <w:rFonts w:cs="Times New Roman"/>
              </w:rPr>
            </w:pPr>
            <w:r>
              <w:rPr>
                <w:rFonts w:cs="Times New Roman"/>
                <w:color w:val="000000"/>
              </w:rPr>
              <w:t>78,355,360.78</w:t>
            </w:r>
          </w:p>
        </w:tc>
        <w:tc>
          <w:tcPr>
            <w:tcW w:w="889" w:type="pct"/>
            <w:vAlign w:val="center"/>
          </w:tcPr>
          <w:p w14:paraId="11D505E5">
            <w:pPr>
              <w:jc w:val="right"/>
              <w:textAlignment w:val="center"/>
              <w:rPr>
                <w:rFonts w:cs="Times New Roman"/>
              </w:rPr>
            </w:pPr>
            <w:r>
              <w:rPr>
                <w:rFonts w:cs="Times New Roman"/>
                <w:color w:val="000000"/>
              </w:rPr>
              <w:t>77,210,083.42</w:t>
            </w:r>
          </w:p>
        </w:tc>
        <w:tc>
          <w:tcPr>
            <w:tcW w:w="894" w:type="pct"/>
            <w:vAlign w:val="center"/>
          </w:tcPr>
          <w:p w14:paraId="12D7E562">
            <w:pPr>
              <w:jc w:val="right"/>
              <w:textAlignment w:val="center"/>
              <w:rPr>
                <w:rFonts w:cs="Times New Roman"/>
              </w:rPr>
            </w:pPr>
            <w:r>
              <w:rPr>
                <w:rFonts w:cs="Times New Roman"/>
                <w:color w:val="000000"/>
              </w:rPr>
              <w:t>3,049,246.61</w:t>
            </w:r>
          </w:p>
        </w:tc>
      </w:tr>
      <w:tr w14:paraId="3949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tcPr>
          <w:p w14:paraId="1F36D85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三、辞退福利</w:t>
            </w:r>
          </w:p>
        </w:tc>
        <w:tc>
          <w:tcPr>
            <w:tcW w:w="889" w:type="pct"/>
            <w:vAlign w:val="center"/>
          </w:tcPr>
          <w:p w14:paraId="1877D7D1">
            <w:pPr>
              <w:jc w:val="right"/>
              <w:textAlignment w:val="center"/>
              <w:rPr>
                <w:rFonts w:cs="Times New Roman"/>
              </w:rPr>
            </w:pPr>
            <w:r>
              <w:rPr>
                <w:rFonts w:cs="Times New Roman"/>
                <w:color w:val="000000"/>
              </w:rPr>
              <w:t>461,319.94</w:t>
            </w:r>
          </w:p>
        </w:tc>
        <w:tc>
          <w:tcPr>
            <w:tcW w:w="888" w:type="pct"/>
            <w:vAlign w:val="center"/>
          </w:tcPr>
          <w:p w14:paraId="516A814D">
            <w:pPr>
              <w:jc w:val="right"/>
              <w:textAlignment w:val="center"/>
              <w:rPr>
                <w:rFonts w:cs="Times New Roman"/>
              </w:rPr>
            </w:pPr>
            <w:r>
              <w:rPr>
                <w:rFonts w:cs="Times New Roman"/>
                <w:color w:val="000000"/>
              </w:rPr>
              <w:t>1,782,359.13</w:t>
            </w:r>
          </w:p>
        </w:tc>
        <w:tc>
          <w:tcPr>
            <w:tcW w:w="889" w:type="pct"/>
            <w:vAlign w:val="center"/>
          </w:tcPr>
          <w:p w14:paraId="361690EF">
            <w:pPr>
              <w:jc w:val="right"/>
              <w:textAlignment w:val="center"/>
              <w:rPr>
                <w:rFonts w:cs="Times New Roman"/>
              </w:rPr>
            </w:pPr>
            <w:r>
              <w:rPr>
                <w:rFonts w:cs="Times New Roman"/>
                <w:color w:val="000000"/>
              </w:rPr>
              <w:t>2,173,810.25</w:t>
            </w:r>
          </w:p>
        </w:tc>
        <w:tc>
          <w:tcPr>
            <w:tcW w:w="894" w:type="pct"/>
            <w:vAlign w:val="center"/>
          </w:tcPr>
          <w:p w14:paraId="2A3E7FC2">
            <w:pPr>
              <w:jc w:val="right"/>
              <w:textAlignment w:val="center"/>
              <w:rPr>
                <w:rFonts w:cs="Times New Roman"/>
              </w:rPr>
            </w:pPr>
            <w:r>
              <w:rPr>
                <w:rFonts w:cs="Times New Roman"/>
                <w:color w:val="000000"/>
              </w:rPr>
              <w:t>69,868.82</w:t>
            </w:r>
          </w:p>
        </w:tc>
      </w:tr>
      <w:tr w14:paraId="083E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tcPr>
          <w:p w14:paraId="6561BD2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四、一年内到期的其他福利</w:t>
            </w:r>
          </w:p>
        </w:tc>
        <w:tc>
          <w:tcPr>
            <w:tcW w:w="889" w:type="pct"/>
            <w:vAlign w:val="center"/>
          </w:tcPr>
          <w:p w14:paraId="37415E7C">
            <w:pPr>
              <w:jc w:val="right"/>
              <w:textAlignment w:val="center"/>
              <w:rPr>
                <w:rFonts w:cs="Times New Roman"/>
              </w:rPr>
            </w:pPr>
            <w:r>
              <w:rPr>
                <w:rFonts w:cs="Times New Roman"/>
                <w:color w:val="000000"/>
              </w:rPr>
              <w:t>31,369,567.00</w:t>
            </w:r>
          </w:p>
        </w:tc>
        <w:tc>
          <w:tcPr>
            <w:tcW w:w="888" w:type="pct"/>
            <w:vAlign w:val="center"/>
          </w:tcPr>
          <w:p w14:paraId="235A4011">
            <w:pPr>
              <w:jc w:val="right"/>
              <w:textAlignment w:val="center"/>
              <w:rPr>
                <w:rFonts w:cs="Times New Roman"/>
              </w:rPr>
            </w:pPr>
            <w:r>
              <w:rPr>
                <w:rFonts w:cs="Times New Roman"/>
                <w:color w:val="000000"/>
              </w:rPr>
              <w:t>355,905.07</w:t>
            </w:r>
          </w:p>
        </w:tc>
        <w:tc>
          <w:tcPr>
            <w:tcW w:w="889" w:type="pct"/>
            <w:vAlign w:val="center"/>
          </w:tcPr>
          <w:p w14:paraId="44FBF76F">
            <w:pPr>
              <w:jc w:val="right"/>
              <w:textAlignment w:val="center"/>
              <w:rPr>
                <w:rFonts w:cs="Times New Roman"/>
              </w:rPr>
            </w:pPr>
            <w:r>
              <w:rPr>
                <w:rFonts w:cs="Times New Roman"/>
                <w:color w:val="000000"/>
              </w:rPr>
              <w:t>17,752,372.91</w:t>
            </w:r>
          </w:p>
        </w:tc>
        <w:tc>
          <w:tcPr>
            <w:tcW w:w="894" w:type="pct"/>
            <w:vAlign w:val="center"/>
          </w:tcPr>
          <w:p w14:paraId="32A1FE01">
            <w:pPr>
              <w:jc w:val="right"/>
              <w:textAlignment w:val="center"/>
              <w:rPr>
                <w:rFonts w:cs="Times New Roman"/>
              </w:rPr>
            </w:pPr>
            <w:r>
              <w:rPr>
                <w:rFonts w:cs="Times New Roman"/>
                <w:color w:val="000000"/>
              </w:rPr>
              <w:t>13,973,099.16</w:t>
            </w:r>
          </w:p>
        </w:tc>
      </w:tr>
      <w:tr w14:paraId="7657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pct"/>
            <w:vAlign w:val="center"/>
          </w:tcPr>
          <w:p w14:paraId="7E1471A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89" w:type="pct"/>
            <w:vAlign w:val="center"/>
          </w:tcPr>
          <w:p w14:paraId="314099FA">
            <w:pPr>
              <w:jc w:val="right"/>
              <w:textAlignment w:val="center"/>
              <w:rPr>
                <w:rFonts w:cs="Times New Roman"/>
              </w:rPr>
            </w:pPr>
            <w:r>
              <w:rPr>
                <w:rFonts w:cs="Times New Roman"/>
                <w:color w:val="000000"/>
              </w:rPr>
              <w:t>296,149,933.94</w:t>
            </w:r>
          </w:p>
        </w:tc>
        <w:tc>
          <w:tcPr>
            <w:tcW w:w="888" w:type="pct"/>
            <w:vAlign w:val="center"/>
          </w:tcPr>
          <w:p w14:paraId="0BC43C2E">
            <w:pPr>
              <w:jc w:val="right"/>
              <w:textAlignment w:val="center"/>
              <w:rPr>
                <w:rFonts w:cs="Times New Roman"/>
              </w:rPr>
            </w:pPr>
            <w:r>
              <w:rPr>
                <w:rFonts w:cs="Times New Roman"/>
                <w:color w:val="000000"/>
              </w:rPr>
              <w:t>638,954,131.06</w:t>
            </w:r>
          </w:p>
        </w:tc>
        <w:tc>
          <w:tcPr>
            <w:tcW w:w="889" w:type="pct"/>
            <w:vAlign w:val="center"/>
          </w:tcPr>
          <w:p w14:paraId="62488DAF">
            <w:pPr>
              <w:jc w:val="right"/>
              <w:textAlignment w:val="center"/>
              <w:rPr>
                <w:rFonts w:cs="Times New Roman"/>
              </w:rPr>
            </w:pPr>
            <w:r>
              <w:rPr>
                <w:rFonts w:cs="Times New Roman"/>
                <w:color w:val="000000"/>
              </w:rPr>
              <w:t>774,599,788.79</w:t>
            </w:r>
          </w:p>
        </w:tc>
        <w:tc>
          <w:tcPr>
            <w:tcW w:w="894" w:type="pct"/>
            <w:vAlign w:val="center"/>
          </w:tcPr>
          <w:p w14:paraId="447E5F54">
            <w:pPr>
              <w:jc w:val="right"/>
              <w:textAlignment w:val="center"/>
              <w:rPr>
                <w:rFonts w:cs="Times New Roman"/>
              </w:rPr>
            </w:pPr>
            <w:r>
              <w:rPr>
                <w:rFonts w:cs="Times New Roman"/>
                <w:color w:val="000000"/>
              </w:rPr>
              <w:t>160,504,276.21</w:t>
            </w:r>
          </w:p>
        </w:tc>
      </w:tr>
    </w:tbl>
    <w:p w14:paraId="5FE4D9A3">
      <w:pPr>
        <w:rPr>
          <w:color w:val="000000" w:themeColor="text1"/>
          <w14:textFill>
            <w14:solidFill>
              <w14:schemeClr w14:val="tx1"/>
            </w14:solidFill>
          </w14:textFill>
        </w:rPr>
      </w:pPr>
    </w:p>
    <w:p w14:paraId="77BD20CE">
      <w:pPr>
        <w:pStyle w:val="58"/>
        <w:numPr>
          <w:ilvl w:val="0"/>
          <w:numId w:val="8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短期薪酬列示</w:t>
      </w:r>
    </w:p>
    <w:sdt>
      <w:sdtPr>
        <w:rPr>
          <w:color w:val="000000" w:themeColor="text1"/>
          <w14:textFill>
            <w14:solidFill>
              <w14:schemeClr w14:val="tx1"/>
            </w14:solidFill>
          </w14:textFill>
        </w:rPr>
        <w:alias w:val="是否适用：短期薪酬列示[双击切换]"/>
        <w:tag w:val="_GBC_fe9cc4ffdf524f4695448b31c76167ce"/>
        <w:id w:val="147464146"/>
        <w:placeholder>
          <w:docPart w:val="GBC22222222222222222222222222222"/>
        </w:placeholder>
      </w:sdtPr>
      <w:sdtEndPr>
        <w:rPr>
          <w:color w:val="000000" w:themeColor="text1"/>
          <w14:textFill>
            <w14:solidFill>
              <w14:schemeClr w14:val="tx1"/>
            </w14:solidFill>
          </w14:textFill>
        </w:rPr>
      </w:sdtEndPr>
      <w:sdtContent>
        <w:p w14:paraId="790D54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CF9B9E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短期薪酬"/>
          <w:tag w:val="_GBC_f5a2a934147944d68f11ca2bcce4d80f"/>
          <w:id w:val="1474804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短期薪酬"/>
          <w:tag w:val="_GBC_ded097d86a7d48b8a8b1d9689a73bd5d"/>
          <w:id w:val="1474717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3"/>
        <w:gridCol w:w="1612"/>
        <w:gridCol w:w="1595"/>
        <w:gridCol w:w="1609"/>
        <w:gridCol w:w="1619"/>
      </w:tblGrid>
      <w:tr w14:paraId="0F99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7b5378bc64e24511ae79d643c80f9c98"/>
            <w:id w:val="147473264"/>
          </w:sdtPr>
          <w:sdtEndPr>
            <w:rPr>
              <w:rFonts w:cs="Times New Roman"/>
            </w:rPr>
          </w:sdtEndPr>
          <w:sdtContent>
            <w:tc>
              <w:tcPr>
                <w:tcW w:w="1444" w:type="pct"/>
                <w:tcBorders>
                  <w:top w:val="single" w:color="auto" w:sz="4" w:space="0"/>
                  <w:left w:val="single" w:color="auto" w:sz="4" w:space="0"/>
                  <w:bottom w:val="single" w:color="auto" w:sz="4" w:space="0"/>
                  <w:right w:val="single" w:color="auto" w:sz="4" w:space="0"/>
                </w:tcBorders>
                <w:vAlign w:val="center"/>
              </w:tcPr>
              <w:p w14:paraId="53C95421">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0144fa4bad154236aa75e1dcc0a89e56"/>
            <w:id w:val="147467849"/>
          </w:sdtPr>
          <w:sdtEndPr>
            <w:rPr>
              <w:rFonts w:cs="Times New Roman"/>
            </w:rPr>
          </w:sdtEndPr>
          <w:sdtContent>
            <w:tc>
              <w:tcPr>
                <w:tcW w:w="891" w:type="pct"/>
                <w:tcBorders>
                  <w:top w:val="single" w:color="auto" w:sz="4" w:space="0"/>
                  <w:left w:val="single" w:color="auto" w:sz="4" w:space="0"/>
                  <w:bottom w:val="single" w:color="auto" w:sz="4" w:space="0"/>
                  <w:right w:val="single" w:color="auto" w:sz="4" w:space="0"/>
                </w:tcBorders>
                <w:vAlign w:val="center"/>
              </w:tcPr>
              <w:p w14:paraId="0056E157">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2d15a4a9e10b4386a7ed67bc2137e04a"/>
            <w:id w:val="147482850"/>
          </w:sdtPr>
          <w:sdtEndPr>
            <w:rPr>
              <w:rFonts w:cs="Times New Roman"/>
            </w:rPr>
          </w:sdtEndPr>
          <w:sdtContent>
            <w:tc>
              <w:tcPr>
                <w:tcW w:w="881" w:type="pct"/>
                <w:tcBorders>
                  <w:top w:val="single" w:color="auto" w:sz="4" w:space="0"/>
                  <w:left w:val="single" w:color="auto" w:sz="4" w:space="0"/>
                  <w:bottom w:val="single" w:color="auto" w:sz="4" w:space="0"/>
                  <w:right w:val="single" w:color="auto" w:sz="4" w:space="0"/>
                </w:tcBorders>
                <w:vAlign w:val="center"/>
              </w:tcPr>
              <w:p w14:paraId="49FE85F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本期增加</w:t>
                </w:r>
              </w:p>
            </w:tc>
          </w:sdtContent>
        </w:sdt>
        <w:sdt>
          <w:sdtPr>
            <w:rPr>
              <w:rFonts w:cs="Times New Roman"/>
            </w:rPr>
            <w:tag w:val="_PLD_12a2bbefe0874cde83fdb77f4a4158a1"/>
            <w:id w:val="147468718"/>
          </w:sdtPr>
          <w:sdtEndPr>
            <w:rPr>
              <w:rFonts w:cs="Times New Roman"/>
            </w:rPr>
          </w:sdtEndPr>
          <w:sdtContent>
            <w:tc>
              <w:tcPr>
                <w:tcW w:w="889" w:type="pct"/>
                <w:tcBorders>
                  <w:top w:val="single" w:color="auto" w:sz="4" w:space="0"/>
                  <w:left w:val="single" w:color="auto" w:sz="4" w:space="0"/>
                  <w:bottom w:val="single" w:color="auto" w:sz="4" w:space="0"/>
                  <w:right w:val="single" w:color="auto" w:sz="4" w:space="0"/>
                </w:tcBorders>
                <w:vAlign w:val="center"/>
              </w:tcPr>
              <w:p w14:paraId="44DEB2B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本期减少</w:t>
                </w:r>
              </w:p>
            </w:tc>
          </w:sdtContent>
        </w:sdt>
        <w:sdt>
          <w:sdtPr>
            <w:rPr>
              <w:rFonts w:cs="Times New Roman"/>
            </w:rPr>
            <w:tag w:val="_PLD_190d6bcbbde148ffb48f230c6d9d7186"/>
            <w:id w:val="147469394"/>
          </w:sdtPr>
          <w:sdtEndPr>
            <w:rPr>
              <w:rFonts w:cs="Times New Roman"/>
            </w:rPr>
          </w:sdtEndPr>
          <w:sdtContent>
            <w:tc>
              <w:tcPr>
                <w:tcW w:w="895" w:type="pct"/>
                <w:tcBorders>
                  <w:top w:val="single" w:color="auto" w:sz="4" w:space="0"/>
                  <w:left w:val="single" w:color="auto" w:sz="4" w:space="0"/>
                  <w:bottom w:val="single" w:color="auto" w:sz="4" w:space="0"/>
                  <w:right w:val="single" w:color="auto" w:sz="4" w:space="0"/>
                </w:tcBorders>
                <w:vAlign w:val="center"/>
              </w:tcPr>
              <w:p w14:paraId="30942144">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21B2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22892D9D">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一、工资、奖金、津贴和补贴</w:t>
            </w:r>
          </w:p>
        </w:tc>
        <w:tc>
          <w:tcPr>
            <w:tcW w:w="891" w:type="pct"/>
            <w:tcBorders>
              <w:top w:val="single" w:color="auto" w:sz="4" w:space="0"/>
              <w:left w:val="single" w:color="auto" w:sz="4" w:space="0"/>
              <w:bottom w:val="single" w:color="auto" w:sz="4" w:space="0"/>
              <w:right w:val="single" w:color="auto" w:sz="4" w:space="0"/>
            </w:tcBorders>
            <w:vAlign w:val="center"/>
          </w:tcPr>
          <w:p w14:paraId="40D4D791">
            <w:pPr>
              <w:jc w:val="right"/>
              <w:textAlignment w:val="center"/>
              <w:rPr>
                <w:rFonts w:cs="Times New Roman"/>
              </w:rPr>
            </w:pPr>
            <w:r>
              <w:rPr>
                <w:rFonts w:cs="Times New Roman"/>
                <w:color w:val="000000"/>
              </w:rPr>
              <w:t>184,020,654.19</w:t>
            </w:r>
          </w:p>
        </w:tc>
        <w:tc>
          <w:tcPr>
            <w:tcW w:w="881" w:type="pct"/>
            <w:tcBorders>
              <w:top w:val="single" w:color="auto" w:sz="4" w:space="0"/>
              <w:left w:val="single" w:color="auto" w:sz="4" w:space="0"/>
              <w:bottom w:val="single" w:color="auto" w:sz="4" w:space="0"/>
              <w:right w:val="single" w:color="auto" w:sz="4" w:space="0"/>
            </w:tcBorders>
            <w:vAlign w:val="center"/>
          </w:tcPr>
          <w:p w14:paraId="0FD23B1F">
            <w:pPr>
              <w:jc w:val="right"/>
              <w:textAlignment w:val="center"/>
              <w:rPr>
                <w:rFonts w:cs="Times New Roman"/>
              </w:rPr>
            </w:pPr>
            <w:r>
              <w:rPr>
                <w:rFonts w:cs="Times New Roman"/>
                <w:color w:val="000000"/>
              </w:rPr>
              <w:t>446,704,712.40</w:t>
            </w:r>
          </w:p>
        </w:tc>
        <w:tc>
          <w:tcPr>
            <w:tcW w:w="889" w:type="pct"/>
            <w:tcBorders>
              <w:top w:val="single" w:color="auto" w:sz="4" w:space="0"/>
              <w:left w:val="single" w:color="auto" w:sz="4" w:space="0"/>
              <w:bottom w:val="single" w:color="auto" w:sz="4" w:space="0"/>
              <w:right w:val="single" w:color="auto" w:sz="4" w:space="0"/>
            </w:tcBorders>
            <w:vAlign w:val="center"/>
          </w:tcPr>
          <w:p w14:paraId="610CB40E">
            <w:pPr>
              <w:jc w:val="right"/>
              <w:textAlignment w:val="center"/>
              <w:rPr>
                <w:rFonts w:cs="Times New Roman"/>
              </w:rPr>
            </w:pPr>
            <w:r>
              <w:rPr>
                <w:rFonts w:cs="Times New Roman"/>
                <w:color w:val="000000"/>
              </w:rPr>
              <w:t>564,963,482.42</w:t>
            </w:r>
          </w:p>
        </w:tc>
        <w:tc>
          <w:tcPr>
            <w:tcW w:w="895" w:type="pct"/>
            <w:tcBorders>
              <w:top w:val="single" w:color="auto" w:sz="4" w:space="0"/>
              <w:left w:val="single" w:color="auto" w:sz="4" w:space="0"/>
              <w:bottom w:val="single" w:color="auto" w:sz="4" w:space="0"/>
              <w:right w:val="single" w:color="auto" w:sz="4" w:space="0"/>
            </w:tcBorders>
            <w:vAlign w:val="center"/>
          </w:tcPr>
          <w:p w14:paraId="30C7C258">
            <w:pPr>
              <w:jc w:val="right"/>
              <w:textAlignment w:val="center"/>
              <w:rPr>
                <w:rFonts w:cs="Times New Roman"/>
              </w:rPr>
            </w:pPr>
            <w:r>
              <w:rPr>
                <w:rFonts w:cs="Times New Roman"/>
                <w:color w:val="000000"/>
              </w:rPr>
              <w:t>65,761,884.17</w:t>
            </w:r>
          </w:p>
        </w:tc>
      </w:tr>
      <w:tr w14:paraId="4AC7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39ABBC7E">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二、职工福利费</w:t>
            </w:r>
          </w:p>
        </w:tc>
        <w:tc>
          <w:tcPr>
            <w:tcW w:w="891" w:type="pct"/>
            <w:tcBorders>
              <w:top w:val="single" w:color="auto" w:sz="4" w:space="0"/>
              <w:left w:val="single" w:color="auto" w:sz="4" w:space="0"/>
              <w:bottom w:val="single" w:color="auto" w:sz="4" w:space="0"/>
              <w:right w:val="single" w:color="auto" w:sz="4" w:space="0"/>
            </w:tcBorders>
            <w:vAlign w:val="center"/>
          </w:tcPr>
          <w:p w14:paraId="6B3E6D2B">
            <w:pPr>
              <w:jc w:val="right"/>
              <w:textAlignment w:val="center"/>
              <w:rPr>
                <w:rFonts w:cs="Times New Roman"/>
              </w:rPr>
            </w:pPr>
            <w:r>
              <w:rPr>
                <w:rFonts w:cs="Times New Roman"/>
                <w:color w:val="000000"/>
              </w:rPr>
              <w:t>347,898.30</w:t>
            </w:r>
          </w:p>
        </w:tc>
        <w:tc>
          <w:tcPr>
            <w:tcW w:w="881" w:type="pct"/>
            <w:tcBorders>
              <w:top w:val="single" w:color="auto" w:sz="4" w:space="0"/>
              <w:left w:val="single" w:color="auto" w:sz="4" w:space="0"/>
              <w:bottom w:val="single" w:color="auto" w:sz="4" w:space="0"/>
              <w:right w:val="single" w:color="auto" w:sz="4" w:space="0"/>
            </w:tcBorders>
            <w:vAlign w:val="center"/>
          </w:tcPr>
          <w:p w14:paraId="5D70E071">
            <w:pPr>
              <w:jc w:val="right"/>
              <w:textAlignment w:val="center"/>
              <w:rPr>
                <w:rFonts w:cs="Times New Roman"/>
              </w:rPr>
            </w:pPr>
            <w:r>
              <w:rPr>
                <w:rFonts w:cs="Times New Roman"/>
                <w:color w:val="000000"/>
              </w:rPr>
              <w:t>19,781,098.10</w:t>
            </w:r>
          </w:p>
        </w:tc>
        <w:tc>
          <w:tcPr>
            <w:tcW w:w="889" w:type="pct"/>
            <w:tcBorders>
              <w:top w:val="single" w:color="auto" w:sz="4" w:space="0"/>
              <w:left w:val="single" w:color="auto" w:sz="4" w:space="0"/>
              <w:bottom w:val="single" w:color="auto" w:sz="4" w:space="0"/>
              <w:right w:val="single" w:color="auto" w:sz="4" w:space="0"/>
            </w:tcBorders>
            <w:vAlign w:val="center"/>
          </w:tcPr>
          <w:p w14:paraId="3B3C6CEF">
            <w:pPr>
              <w:jc w:val="right"/>
              <w:textAlignment w:val="center"/>
              <w:rPr>
                <w:rFonts w:cs="Times New Roman"/>
              </w:rPr>
            </w:pPr>
            <w:r>
              <w:rPr>
                <w:rFonts w:cs="Times New Roman"/>
                <w:color w:val="000000"/>
              </w:rPr>
              <w:t>20,084,853.38</w:t>
            </w:r>
          </w:p>
        </w:tc>
        <w:tc>
          <w:tcPr>
            <w:tcW w:w="895" w:type="pct"/>
            <w:tcBorders>
              <w:top w:val="single" w:color="auto" w:sz="4" w:space="0"/>
              <w:left w:val="single" w:color="auto" w:sz="4" w:space="0"/>
              <w:bottom w:val="single" w:color="auto" w:sz="4" w:space="0"/>
              <w:right w:val="single" w:color="auto" w:sz="4" w:space="0"/>
            </w:tcBorders>
            <w:vAlign w:val="center"/>
          </w:tcPr>
          <w:p w14:paraId="5144F101">
            <w:pPr>
              <w:jc w:val="right"/>
              <w:textAlignment w:val="center"/>
              <w:rPr>
                <w:rFonts w:cs="Times New Roman"/>
              </w:rPr>
            </w:pPr>
            <w:r>
              <w:rPr>
                <w:rFonts w:cs="Times New Roman"/>
                <w:color w:val="000000"/>
              </w:rPr>
              <w:t>44,143.02</w:t>
            </w:r>
          </w:p>
        </w:tc>
      </w:tr>
      <w:tr w14:paraId="47EC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319AFBDD">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三、社会保险费</w:t>
            </w:r>
          </w:p>
        </w:tc>
        <w:tc>
          <w:tcPr>
            <w:tcW w:w="891" w:type="pct"/>
            <w:tcBorders>
              <w:top w:val="single" w:color="auto" w:sz="4" w:space="0"/>
              <w:left w:val="single" w:color="auto" w:sz="4" w:space="0"/>
              <w:bottom w:val="single" w:color="auto" w:sz="4" w:space="0"/>
              <w:right w:val="single" w:color="auto" w:sz="4" w:space="0"/>
            </w:tcBorders>
            <w:vAlign w:val="center"/>
          </w:tcPr>
          <w:p w14:paraId="637E291E">
            <w:pPr>
              <w:jc w:val="right"/>
              <w:textAlignment w:val="center"/>
              <w:rPr>
                <w:rFonts w:cs="Times New Roman"/>
              </w:rPr>
            </w:pPr>
            <w:r>
              <w:rPr>
                <w:rFonts w:cs="Times New Roman"/>
                <w:color w:val="000000"/>
              </w:rPr>
              <w:t>3,085,384.48</w:t>
            </w:r>
          </w:p>
        </w:tc>
        <w:tc>
          <w:tcPr>
            <w:tcW w:w="881" w:type="pct"/>
            <w:tcBorders>
              <w:top w:val="single" w:color="auto" w:sz="4" w:space="0"/>
              <w:left w:val="single" w:color="auto" w:sz="4" w:space="0"/>
              <w:bottom w:val="single" w:color="auto" w:sz="4" w:space="0"/>
              <w:right w:val="single" w:color="auto" w:sz="4" w:space="0"/>
            </w:tcBorders>
            <w:vAlign w:val="center"/>
          </w:tcPr>
          <w:p w14:paraId="7CC6C9AD">
            <w:pPr>
              <w:jc w:val="right"/>
              <w:textAlignment w:val="center"/>
              <w:rPr>
                <w:rFonts w:cs="Times New Roman"/>
              </w:rPr>
            </w:pPr>
            <w:r>
              <w:rPr>
                <w:rFonts w:cs="Times New Roman"/>
                <w:color w:val="000000"/>
              </w:rPr>
              <w:t>42,390,257.98</w:t>
            </w:r>
          </w:p>
        </w:tc>
        <w:tc>
          <w:tcPr>
            <w:tcW w:w="889" w:type="pct"/>
            <w:tcBorders>
              <w:top w:val="single" w:color="auto" w:sz="4" w:space="0"/>
              <w:left w:val="single" w:color="auto" w:sz="4" w:space="0"/>
              <w:bottom w:val="single" w:color="auto" w:sz="4" w:space="0"/>
              <w:right w:val="single" w:color="auto" w:sz="4" w:space="0"/>
            </w:tcBorders>
            <w:vAlign w:val="center"/>
          </w:tcPr>
          <w:p w14:paraId="4949E3FB">
            <w:pPr>
              <w:jc w:val="right"/>
              <w:textAlignment w:val="center"/>
              <w:rPr>
                <w:rFonts w:cs="Times New Roman"/>
              </w:rPr>
            </w:pPr>
            <w:r>
              <w:rPr>
                <w:rFonts w:cs="Times New Roman"/>
                <w:color w:val="000000"/>
              </w:rPr>
              <w:t>41,928,879.55</w:t>
            </w:r>
          </w:p>
        </w:tc>
        <w:tc>
          <w:tcPr>
            <w:tcW w:w="895" w:type="pct"/>
            <w:tcBorders>
              <w:top w:val="single" w:color="auto" w:sz="4" w:space="0"/>
              <w:left w:val="single" w:color="auto" w:sz="4" w:space="0"/>
              <w:bottom w:val="single" w:color="auto" w:sz="4" w:space="0"/>
              <w:right w:val="single" w:color="auto" w:sz="4" w:space="0"/>
            </w:tcBorders>
            <w:vAlign w:val="center"/>
          </w:tcPr>
          <w:p w14:paraId="7BE94327">
            <w:pPr>
              <w:jc w:val="right"/>
              <w:textAlignment w:val="center"/>
              <w:rPr>
                <w:rFonts w:cs="Times New Roman"/>
              </w:rPr>
            </w:pPr>
            <w:r>
              <w:rPr>
                <w:rFonts w:cs="Times New Roman"/>
                <w:color w:val="000000"/>
              </w:rPr>
              <w:t>3,546,762.91</w:t>
            </w:r>
          </w:p>
        </w:tc>
      </w:tr>
      <w:tr w14:paraId="08D5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54A059C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其中：医疗保险费</w:t>
            </w:r>
          </w:p>
        </w:tc>
        <w:tc>
          <w:tcPr>
            <w:tcW w:w="891" w:type="pct"/>
            <w:tcBorders>
              <w:top w:val="single" w:color="auto" w:sz="4" w:space="0"/>
              <w:left w:val="single" w:color="auto" w:sz="4" w:space="0"/>
              <w:bottom w:val="single" w:color="auto" w:sz="4" w:space="0"/>
              <w:right w:val="single" w:color="auto" w:sz="4" w:space="0"/>
            </w:tcBorders>
            <w:vAlign w:val="center"/>
          </w:tcPr>
          <w:p w14:paraId="20CE4764">
            <w:pPr>
              <w:jc w:val="right"/>
              <w:textAlignment w:val="center"/>
              <w:rPr>
                <w:rFonts w:cs="Times New Roman"/>
              </w:rPr>
            </w:pPr>
            <w:r>
              <w:rPr>
                <w:rFonts w:cs="Times New Roman"/>
                <w:color w:val="000000"/>
              </w:rPr>
              <w:t>3,046,494.70</w:t>
            </w:r>
          </w:p>
        </w:tc>
        <w:tc>
          <w:tcPr>
            <w:tcW w:w="881" w:type="pct"/>
            <w:tcBorders>
              <w:top w:val="single" w:color="auto" w:sz="4" w:space="0"/>
              <w:left w:val="single" w:color="auto" w:sz="4" w:space="0"/>
              <w:bottom w:val="single" w:color="auto" w:sz="4" w:space="0"/>
              <w:right w:val="single" w:color="auto" w:sz="4" w:space="0"/>
            </w:tcBorders>
            <w:vAlign w:val="center"/>
          </w:tcPr>
          <w:p w14:paraId="02E9A1B0">
            <w:pPr>
              <w:jc w:val="right"/>
              <w:textAlignment w:val="center"/>
              <w:rPr>
                <w:rFonts w:cs="Times New Roman"/>
              </w:rPr>
            </w:pPr>
            <w:r>
              <w:rPr>
                <w:rFonts w:cs="Times New Roman"/>
                <w:color w:val="000000"/>
              </w:rPr>
              <w:t>37,283,674.17</w:t>
            </w:r>
          </w:p>
        </w:tc>
        <w:tc>
          <w:tcPr>
            <w:tcW w:w="889" w:type="pct"/>
            <w:tcBorders>
              <w:top w:val="single" w:color="auto" w:sz="4" w:space="0"/>
              <w:left w:val="single" w:color="auto" w:sz="4" w:space="0"/>
              <w:bottom w:val="single" w:color="auto" w:sz="4" w:space="0"/>
              <w:right w:val="single" w:color="auto" w:sz="4" w:space="0"/>
            </w:tcBorders>
            <w:vAlign w:val="center"/>
          </w:tcPr>
          <w:p w14:paraId="27C60425">
            <w:pPr>
              <w:jc w:val="right"/>
              <w:textAlignment w:val="center"/>
              <w:rPr>
                <w:rFonts w:cs="Times New Roman"/>
              </w:rPr>
            </w:pPr>
            <w:r>
              <w:rPr>
                <w:rFonts w:cs="Times New Roman"/>
                <w:color w:val="000000"/>
              </w:rPr>
              <w:t>36,979,979.04</w:t>
            </w:r>
          </w:p>
        </w:tc>
        <w:tc>
          <w:tcPr>
            <w:tcW w:w="895" w:type="pct"/>
            <w:tcBorders>
              <w:top w:val="single" w:color="auto" w:sz="4" w:space="0"/>
              <w:left w:val="single" w:color="auto" w:sz="4" w:space="0"/>
              <w:bottom w:val="single" w:color="auto" w:sz="4" w:space="0"/>
              <w:right w:val="single" w:color="auto" w:sz="4" w:space="0"/>
            </w:tcBorders>
            <w:vAlign w:val="center"/>
          </w:tcPr>
          <w:p w14:paraId="78D87DD5">
            <w:pPr>
              <w:jc w:val="right"/>
              <w:textAlignment w:val="center"/>
              <w:rPr>
                <w:rFonts w:cs="Times New Roman"/>
              </w:rPr>
            </w:pPr>
            <w:r>
              <w:rPr>
                <w:rFonts w:cs="Times New Roman"/>
                <w:color w:val="000000"/>
              </w:rPr>
              <w:t>3,350,189.83</w:t>
            </w:r>
          </w:p>
        </w:tc>
      </w:tr>
      <w:tr w14:paraId="31BE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35A94C40">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工伤保险费</w:t>
            </w:r>
          </w:p>
        </w:tc>
        <w:tc>
          <w:tcPr>
            <w:tcW w:w="891" w:type="pct"/>
            <w:tcBorders>
              <w:top w:val="single" w:color="auto" w:sz="4" w:space="0"/>
              <w:left w:val="single" w:color="auto" w:sz="4" w:space="0"/>
              <w:bottom w:val="single" w:color="auto" w:sz="4" w:space="0"/>
              <w:right w:val="single" w:color="auto" w:sz="4" w:space="0"/>
            </w:tcBorders>
            <w:vAlign w:val="center"/>
          </w:tcPr>
          <w:p w14:paraId="4A1A0095">
            <w:pPr>
              <w:jc w:val="right"/>
              <w:textAlignment w:val="center"/>
              <w:rPr>
                <w:rFonts w:cs="Times New Roman"/>
              </w:rPr>
            </w:pPr>
            <w:r>
              <w:rPr>
                <w:rFonts w:cs="Times New Roman"/>
                <w:color w:val="000000"/>
              </w:rPr>
              <w:t>37,863.20</w:t>
            </w:r>
          </w:p>
        </w:tc>
        <w:tc>
          <w:tcPr>
            <w:tcW w:w="881" w:type="pct"/>
            <w:tcBorders>
              <w:top w:val="single" w:color="auto" w:sz="4" w:space="0"/>
              <w:left w:val="single" w:color="auto" w:sz="4" w:space="0"/>
              <w:bottom w:val="single" w:color="auto" w:sz="4" w:space="0"/>
              <w:right w:val="single" w:color="auto" w:sz="4" w:space="0"/>
            </w:tcBorders>
            <w:vAlign w:val="center"/>
          </w:tcPr>
          <w:p w14:paraId="46F43202">
            <w:pPr>
              <w:jc w:val="right"/>
              <w:textAlignment w:val="center"/>
              <w:rPr>
                <w:rFonts w:cs="Times New Roman"/>
              </w:rPr>
            </w:pPr>
            <w:r>
              <w:rPr>
                <w:rFonts w:cs="Times New Roman"/>
                <w:color w:val="000000"/>
              </w:rPr>
              <w:t>4,318,397.37</w:t>
            </w:r>
          </w:p>
        </w:tc>
        <w:tc>
          <w:tcPr>
            <w:tcW w:w="889" w:type="pct"/>
            <w:tcBorders>
              <w:top w:val="single" w:color="auto" w:sz="4" w:space="0"/>
              <w:left w:val="single" w:color="auto" w:sz="4" w:space="0"/>
              <w:bottom w:val="single" w:color="auto" w:sz="4" w:space="0"/>
              <w:right w:val="single" w:color="auto" w:sz="4" w:space="0"/>
            </w:tcBorders>
            <w:vAlign w:val="center"/>
          </w:tcPr>
          <w:p w14:paraId="795B3BEE">
            <w:pPr>
              <w:jc w:val="right"/>
              <w:textAlignment w:val="center"/>
              <w:rPr>
                <w:rFonts w:cs="Times New Roman"/>
              </w:rPr>
            </w:pPr>
            <w:r>
              <w:rPr>
                <w:rFonts w:cs="Times New Roman"/>
                <w:color w:val="000000"/>
              </w:rPr>
              <w:t>4,201,687.49</w:t>
            </w:r>
          </w:p>
        </w:tc>
        <w:tc>
          <w:tcPr>
            <w:tcW w:w="895" w:type="pct"/>
            <w:tcBorders>
              <w:top w:val="single" w:color="auto" w:sz="4" w:space="0"/>
              <w:left w:val="single" w:color="auto" w:sz="4" w:space="0"/>
              <w:bottom w:val="single" w:color="auto" w:sz="4" w:space="0"/>
              <w:right w:val="single" w:color="auto" w:sz="4" w:space="0"/>
            </w:tcBorders>
            <w:vAlign w:val="center"/>
          </w:tcPr>
          <w:p w14:paraId="1276BA7A">
            <w:pPr>
              <w:jc w:val="right"/>
              <w:textAlignment w:val="center"/>
              <w:rPr>
                <w:rFonts w:cs="Times New Roman"/>
              </w:rPr>
            </w:pPr>
            <w:r>
              <w:rPr>
                <w:rFonts w:cs="Times New Roman"/>
                <w:color w:val="000000"/>
              </w:rPr>
              <w:t>154,573.08</w:t>
            </w:r>
          </w:p>
        </w:tc>
      </w:tr>
      <w:tr w14:paraId="7A84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58765558">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生育保险费</w:t>
            </w:r>
          </w:p>
        </w:tc>
        <w:tc>
          <w:tcPr>
            <w:tcW w:w="891" w:type="pct"/>
            <w:tcBorders>
              <w:top w:val="single" w:color="auto" w:sz="4" w:space="0"/>
              <w:left w:val="single" w:color="auto" w:sz="4" w:space="0"/>
              <w:bottom w:val="single" w:color="auto" w:sz="4" w:space="0"/>
              <w:right w:val="single" w:color="auto" w:sz="4" w:space="0"/>
            </w:tcBorders>
            <w:vAlign w:val="center"/>
          </w:tcPr>
          <w:p w14:paraId="063BC6F4">
            <w:pPr>
              <w:jc w:val="right"/>
              <w:textAlignment w:val="center"/>
              <w:rPr>
                <w:rFonts w:cs="Times New Roman"/>
              </w:rPr>
            </w:pPr>
            <w:r>
              <w:rPr>
                <w:rFonts w:cs="Times New Roman"/>
                <w:color w:val="000000"/>
              </w:rPr>
              <w:t>1,026.58</w:t>
            </w:r>
          </w:p>
        </w:tc>
        <w:tc>
          <w:tcPr>
            <w:tcW w:w="881" w:type="pct"/>
            <w:tcBorders>
              <w:top w:val="single" w:color="auto" w:sz="4" w:space="0"/>
              <w:left w:val="single" w:color="auto" w:sz="4" w:space="0"/>
              <w:bottom w:val="single" w:color="auto" w:sz="4" w:space="0"/>
              <w:right w:val="single" w:color="auto" w:sz="4" w:space="0"/>
            </w:tcBorders>
            <w:vAlign w:val="center"/>
          </w:tcPr>
          <w:p w14:paraId="6CA50275">
            <w:pPr>
              <w:jc w:val="right"/>
              <w:textAlignment w:val="center"/>
              <w:rPr>
                <w:rFonts w:cs="Times New Roman"/>
              </w:rPr>
            </w:pPr>
            <w:r>
              <w:rPr>
                <w:rFonts w:cs="Times New Roman"/>
                <w:color w:val="000000"/>
              </w:rPr>
              <w:t>788,186.44</w:t>
            </w:r>
          </w:p>
        </w:tc>
        <w:tc>
          <w:tcPr>
            <w:tcW w:w="889" w:type="pct"/>
            <w:tcBorders>
              <w:top w:val="single" w:color="auto" w:sz="4" w:space="0"/>
              <w:left w:val="single" w:color="auto" w:sz="4" w:space="0"/>
              <w:bottom w:val="single" w:color="auto" w:sz="4" w:space="0"/>
              <w:right w:val="single" w:color="auto" w:sz="4" w:space="0"/>
            </w:tcBorders>
            <w:vAlign w:val="center"/>
          </w:tcPr>
          <w:p w14:paraId="70548259">
            <w:pPr>
              <w:jc w:val="right"/>
              <w:textAlignment w:val="center"/>
              <w:rPr>
                <w:rFonts w:cs="Times New Roman"/>
              </w:rPr>
            </w:pPr>
            <w:r>
              <w:rPr>
                <w:rFonts w:cs="Times New Roman"/>
                <w:color w:val="000000"/>
              </w:rPr>
              <w:t>747,213.02</w:t>
            </w:r>
          </w:p>
        </w:tc>
        <w:tc>
          <w:tcPr>
            <w:tcW w:w="895" w:type="pct"/>
            <w:tcBorders>
              <w:top w:val="single" w:color="auto" w:sz="4" w:space="0"/>
              <w:left w:val="single" w:color="auto" w:sz="4" w:space="0"/>
              <w:bottom w:val="single" w:color="auto" w:sz="4" w:space="0"/>
              <w:right w:val="single" w:color="auto" w:sz="4" w:space="0"/>
            </w:tcBorders>
            <w:vAlign w:val="center"/>
          </w:tcPr>
          <w:p w14:paraId="07C7A17F">
            <w:pPr>
              <w:jc w:val="right"/>
              <w:textAlignment w:val="center"/>
              <w:rPr>
                <w:rFonts w:cs="Times New Roman"/>
              </w:rPr>
            </w:pPr>
            <w:r>
              <w:rPr>
                <w:rFonts w:cs="Times New Roman"/>
                <w:color w:val="000000"/>
              </w:rPr>
              <w:t>42,000.00</w:t>
            </w:r>
          </w:p>
        </w:tc>
      </w:tr>
      <w:tr w14:paraId="7CEC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79298DD3">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四、住房公积金</w:t>
            </w:r>
          </w:p>
        </w:tc>
        <w:tc>
          <w:tcPr>
            <w:tcW w:w="891" w:type="pct"/>
            <w:tcBorders>
              <w:top w:val="single" w:color="auto" w:sz="4" w:space="0"/>
              <w:left w:val="single" w:color="auto" w:sz="4" w:space="0"/>
              <w:bottom w:val="single" w:color="auto" w:sz="4" w:space="0"/>
              <w:right w:val="single" w:color="auto" w:sz="4" w:space="0"/>
            </w:tcBorders>
            <w:vAlign w:val="center"/>
          </w:tcPr>
          <w:p w14:paraId="64CB6555">
            <w:pPr>
              <w:jc w:val="right"/>
              <w:textAlignment w:val="center"/>
              <w:rPr>
                <w:rFonts w:cs="Times New Roman"/>
              </w:rPr>
            </w:pPr>
            <w:r>
              <w:rPr>
                <w:rFonts w:cs="Times New Roman"/>
                <w:color w:val="000000"/>
              </w:rPr>
              <w:t>19,287,522.47</w:t>
            </w:r>
          </w:p>
        </w:tc>
        <w:tc>
          <w:tcPr>
            <w:tcW w:w="881" w:type="pct"/>
            <w:tcBorders>
              <w:top w:val="single" w:color="auto" w:sz="4" w:space="0"/>
              <w:left w:val="single" w:color="auto" w:sz="4" w:space="0"/>
              <w:bottom w:val="single" w:color="auto" w:sz="4" w:space="0"/>
              <w:right w:val="single" w:color="auto" w:sz="4" w:space="0"/>
            </w:tcBorders>
            <w:vAlign w:val="center"/>
          </w:tcPr>
          <w:p w14:paraId="2E31EF3A">
            <w:pPr>
              <w:jc w:val="right"/>
              <w:textAlignment w:val="center"/>
              <w:rPr>
                <w:rFonts w:cs="Times New Roman"/>
              </w:rPr>
            </w:pPr>
            <w:r>
              <w:rPr>
                <w:rFonts w:cs="Times New Roman"/>
                <w:color w:val="000000"/>
              </w:rPr>
              <w:t>33,449,076.44</w:t>
            </w:r>
          </w:p>
        </w:tc>
        <w:tc>
          <w:tcPr>
            <w:tcW w:w="889" w:type="pct"/>
            <w:tcBorders>
              <w:top w:val="single" w:color="auto" w:sz="4" w:space="0"/>
              <w:left w:val="single" w:color="auto" w:sz="4" w:space="0"/>
              <w:bottom w:val="single" w:color="auto" w:sz="4" w:space="0"/>
              <w:right w:val="single" w:color="auto" w:sz="4" w:space="0"/>
            </w:tcBorders>
            <w:vAlign w:val="center"/>
          </w:tcPr>
          <w:p w14:paraId="0FBF020A">
            <w:pPr>
              <w:jc w:val="right"/>
              <w:textAlignment w:val="center"/>
              <w:rPr>
                <w:rFonts w:cs="Times New Roman"/>
              </w:rPr>
            </w:pPr>
            <w:r>
              <w:rPr>
                <w:rFonts w:cs="Times New Roman"/>
                <w:color w:val="000000"/>
              </w:rPr>
              <w:t>32,858,308.98</w:t>
            </w:r>
          </w:p>
        </w:tc>
        <w:tc>
          <w:tcPr>
            <w:tcW w:w="895" w:type="pct"/>
            <w:tcBorders>
              <w:top w:val="single" w:color="auto" w:sz="4" w:space="0"/>
              <w:left w:val="single" w:color="auto" w:sz="4" w:space="0"/>
              <w:bottom w:val="single" w:color="auto" w:sz="4" w:space="0"/>
              <w:right w:val="single" w:color="auto" w:sz="4" w:space="0"/>
            </w:tcBorders>
            <w:vAlign w:val="center"/>
          </w:tcPr>
          <w:p w14:paraId="1321B453">
            <w:pPr>
              <w:jc w:val="right"/>
              <w:textAlignment w:val="center"/>
              <w:rPr>
                <w:rFonts w:cs="Times New Roman"/>
              </w:rPr>
            </w:pPr>
            <w:r>
              <w:rPr>
                <w:rFonts w:cs="Times New Roman"/>
                <w:color w:val="000000"/>
              </w:rPr>
              <w:t>19,878,289.93</w:t>
            </w:r>
          </w:p>
        </w:tc>
      </w:tr>
      <w:tr w14:paraId="002D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3861E9C1">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五、工会经费和职工教育经费</w:t>
            </w:r>
          </w:p>
        </w:tc>
        <w:tc>
          <w:tcPr>
            <w:tcW w:w="891" w:type="pct"/>
            <w:tcBorders>
              <w:top w:val="single" w:color="auto" w:sz="4" w:space="0"/>
              <w:left w:val="single" w:color="auto" w:sz="4" w:space="0"/>
              <w:bottom w:val="single" w:color="auto" w:sz="4" w:space="0"/>
              <w:right w:val="single" w:color="auto" w:sz="4" w:space="0"/>
            </w:tcBorders>
            <w:vAlign w:val="center"/>
          </w:tcPr>
          <w:p w14:paraId="7088418A">
            <w:pPr>
              <w:jc w:val="right"/>
              <w:textAlignment w:val="center"/>
              <w:rPr>
                <w:rFonts w:cs="Times New Roman"/>
              </w:rPr>
            </w:pPr>
            <w:r>
              <w:rPr>
                <w:rFonts w:cs="Times New Roman"/>
                <w:color w:val="000000"/>
              </w:rPr>
              <w:t>55,570,972.00</w:t>
            </w:r>
          </w:p>
        </w:tc>
        <w:tc>
          <w:tcPr>
            <w:tcW w:w="881" w:type="pct"/>
            <w:tcBorders>
              <w:top w:val="single" w:color="auto" w:sz="4" w:space="0"/>
              <w:left w:val="single" w:color="auto" w:sz="4" w:space="0"/>
              <w:bottom w:val="single" w:color="auto" w:sz="4" w:space="0"/>
              <w:right w:val="single" w:color="auto" w:sz="4" w:space="0"/>
            </w:tcBorders>
            <w:vAlign w:val="center"/>
          </w:tcPr>
          <w:p w14:paraId="0284C0F8">
            <w:pPr>
              <w:jc w:val="right"/>
              <w:textAlignment w:val="center"/>
              <w:rPr>
                <w:rFonts w:cs="Times New Roman"/>
              </w:rPr>
            </w:pPr>
            <w:r>
              <w:rPr>
                <w:rFonts w:cs="Times New Roman"/>
                <w:color w:val="000000"/>
              </w:rPr>
              <w:t>9,186,598.65</w:t>
            </w:r>
          </w:p>
        </w:tc>
        <w:tc>
          <w:tcPr>
            <w:tcW w:w="889" w:type="pct"/>
            <w:tcBorders>
              <w:top w:val="single" w:color="auto" w:sz="4" w:space="0"/>
              <w:left w:val="single" w:color="auto" w:sz="4" w:space="0"/>
              <w:bottom w:val="single" w:color="auto" w:sz="4" w:space="0"/>
              <w:right w:val="single" w:color="auto" w:sz="4" w:space="0"/>
            </w:tcBorders>
            <w:vAlign w:val="center"/>
          </w:tcPr>
          <w:p w14:paraId="2BFA19E9">
            <w:pPr>
              <w:jc w:val="right"/>
              <w:textAlignment w:val="center"/>
              <w:rPr>
                <w:rFonts w:cs="Times New Roman"/>
              </w:rPr>
            </w:pPr>
            <w:r>
              <w:rPr>
                <w:rFonts w:cs="Times New Roman"/>
                <w:color w:val="000000"/>
              </w:rPr>
              <w:t>10,620,385.13</w:t>
            </w:r>
          </w:p>
        </w:tc>
        <w:tc>
          <w:tcPr>
            <w:tcW w:w="895" w:type="pct"/>
            <w:tcBorders>
              <w:top w:val="single" w:color="auto" w:sz="4" w:space="0"/>
              <w:left w:val="single" w:color="auto" w:sz="4" w:space="0"/>
              <w:bottom w:val="single" w:color="auto" w:sz="4" w:space="0"/>
              <w:right w:val="single" w:color="auto" w:sz="4" w:space="0"/>
            </w:tcBorders>
            <w:vAlign w:val="center"/>
          </w:tcPr>
          <w:p w14:paraId="29DC7603">
            <w:pPr>
              <w:jc w:val="right"/>
              <w:textAlignment w:val="center"/>
              <w:rPr>
                <w:rFonts w:cs="Times New Roman"/>
              </w:rPr>
            </w:pPr>
            <w:r>
              <w:rPr>
                <w:rFonts w:cs="Times New Roman"/>
                <w:color w:val="000000"/>
              </w:rPr>
              <w:t>54,137,185.52</w:t>
            </w:r>
          </w:p>
        </w:tc>
      </w:tr>
      <w:tr w14:paraId="60FF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tcPr>
          <w:p w14:paraId="62AF446F">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六、其他短期薪酬</w:t>
            </w:r>
          </w:p>
        </w:tc>
        <w:tc>
          <w:tcPr>
            <w:tcW w:w="891" w:type="pct"/>
            <w:tcBorders>
              <w:top w:val="single" w:color="auto" w:sz="4" w:space="0"/>
              <w:left w:val="single" w:color="auto" w:sz="4" w:space="0"/>
              <w:bottom w:val="single" w:color="auto" w:sz="4" w:space="0"/>
              <w:right w:val="single" w:color="auto" w:sz="4" w:space="0"/>
            </w:tcBorders>
            <w:vAlign w:val="center"/>
          </w:tcPr>
          <w:p w14:paraId="0763E072">
            <w:pPr>
              <w:jc w:val="right"/>
              <w:textAlignment w:val="center"/>
              <w:rPr>
                <w:rFonts w:cs="Times New Roman"/>
              </w:rPr>
            </w:pPr>
            <w:r>
              <w:rPr>
                <w:rFonts w:cs="Times New Roman"/>
                <w:color w:val="000000"/>
              </w:rPr>
              <w:t>102,646.31</w:t>
            </w:r>
          </w:p>
        </w:tc>
        <w:tc>
          <w:tcPr>
            <w:tcW w:w="881" w:type="pct"/>
            <w:tcBorders>
              <w:top w:val="single" w:color="auto" w:sz="4" w:space="0"/>
              <w:left w:val="single" w:color="auto" w:sz="4" w:space="0"/>
              <w:bottom w:val="single" w:color="auto" w:sz="4" w:space="0"/>
              <w:right w:val="single" w:color="auto" w:sz="4" w:space="0"/>
            </w:tcBorders>
            <w:vAlign w:val="center"/>
          </w:tcPr>
          <w:p w14:paraId="45AF1D65">
            <w:pPr>
              <w:jc w:val="right"/>
              <w:textAlignment w:val="center"/>
              <w:rPr>
                <w:rFonts w:cs="Times New Roman"/>
              </w:rPr>
            </w:pPr>
            <w:r>
              <w:rPr>
                <w:rFonts w:cs="Times New Roman"/>
                <w:color w:val="000000"/>
              </w:rPr>
              <w:t>6,948,762.51</w:t>
            </w:r>
          </w:p>
        </w:tc>
        <w:tc>
          <w:tcPr>
            <w:tcW w:w="889" w:type="pct"/>
            <w:tcBorders>
              <w:top w:val="single" w:color="auto" w:sz="4" w:space="0"/>
              <w:left w:val="single" w:color="auto" w:sz="4" w:space="0"/>
              <w:bottom w:val="single" w:color="auto" w:sz="4" w:space="0"/>
              <w:right w:val="single" w:color="auto" w:sz="4" w:space="0"/>
            </w:tcBorders>
            <w:vAlign w:val="center"/>
          </w:tcPr>
          <w:p w14:paraId="724CEE52">
            <w:pPr>
              <w:jc w:val="right"/>
              <w:textAlignment w:val="center"/>
              <w:rPr>
                <w:rFonts w:cs="Times New Roman"/>
              </w:rPr>
            </w:pPr>
            <w:r>
              <w:rPr>
                <w:rFonts w:cs="Times New Roman"/>
                <w:color w:val="000000"/>
              </w:rPr>
              <w:t>7,007,612.75</w:t>
            </w:r>
          </w:p>
        </w:tc>
        <w:tc>
          <w:tcPr>
            <w:tcW w:w="895" w:type="pct"/>
            <w:tcBorders>
              <w:top w:val="single" w:color="auto" w:sz="4" w:space="0"/>
              <w:left w:val="single" w:color="auto" w:sz="4" w:space="0"/>
              <w:bottom w:val="single" w:color="auto" w:sz="4" w:space="0"/>
              <w:right w:val="single" w:color="auto" w:sz="4" w:space="0"/>
            </w:tcBorders>
            <w:vAlign w:val="center"/>
          </w:tcPr>
          <w:p w14:paraId="32790678">
            <w:pPr>
              <w:jc w:val="right"/>
              <w:textAlignment w:val="center"/>
              <w:rPr>
                <w:rFonts w:cs="Times New Roman"/>
              </w:rPr>
            </w:pPr>
            <w:r>
              <w:rPr>
                <w:rFonts w:cs="Times New Roman"/>
                <w:color w:val="000000"/>
              </w:rPr>
              <w:t>43,796.07</w:t>
            </w:r>
          </w:p>
        </w:tc>
      </w:tr>
      <w:tr w14:paraId="1923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4" w:type="pct"/>
            <w:tcBorders>
              <w:top w:val="single" w:color="auto" w:sz="4" w:space="0"/>
              <w:left w:val="single" w:color="auto" w:sz="4" w:space="0"/>
              <w:bottom w:val="single" w:color="auto" w:sz="4" w:space="0"/>
              <w:right w:val="single" w:color="auto" w:sz="4" w:space="0"/>
            </w:tcBorders>
            <w:vAlign w:val="center"/>
          </w:tcPr>
          <w:p w14:paraId="7AC06A94">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91" w:type="pct"/>
            <w:tcBorders>
              <w:top w:val="single" w:color="auto" w:sz="4" w:space="0"/>
              <w:left w:val="single" w:color="auto" w:sz="4" w:space="0"/>
              <w:bottom w:val="single" w:color="auto" w:sz="4" w:space="0"/>
              <w:right w:val="single" w:color="auto" w:sz="4" w:space="0"/>
            </w:tcBorders>
            <w:vAlign w:val="center"/>
          </w:tcPr>
          <w:p w14:paraId="7FEFF9EA">
            <w:pPr>
              <w:jc w:val="right"/>
              <w:textAlignment w:val="center"/>
              <w:rPr>
                <w:rFonts w:cs="Times New Roman"/>
              </w:rPr>
            </w:pPr>
            <w:r>
              <w:rPr>
                <w:rFonts w:cs="Times New Roman"/>
                <w:color w:val="000000"/>
              </w:rPr>
              <w:t>262,415,077.75</w:t>
            </w:r>
          </w:p>
        </w:tc>
        <w:tc>
          <w:tcPr>
            <w:tcW w:w="881" w:type="pct"/>
            <w:tcBorders>
              <w:top w:val="single" w:color="auto" w:sz="4" w:space="0"/>
              <w:left w:val="single" w:color="auto" w:sz="4" w:space="0"/>
              <w:bottom w:val="single" w:color="auto" w:sz="4" w:space="0"/>
              <w:right w:val="single" w:color="auto" w:sz="4" w:space="0"/>
            </w:tcBorders>
            <w:vAlign w:val="center"/>
          </w:tcPr>
          <w:p w14:paraId="6619F717">
            <w:pPr>
              <w:jc w:val="right"/>
              <w:textAlignment w:val="center"/>
              <w:rPr>
                <w:rFonts w:cs="Times New Roman"/>
              </w:rPr>
            </w:pPr>
            <w:r>
              <w:rPr>
                <w:rFonts w:cs="Times New Roman"/>
                <w:color w:val="000000"/>
              </w:rPr>
              <w:t>558,460,506.08</w:t>
            </w:r>
          </w:p>
        </w:tc>
        <w:tc>
          <w:tcPr>
            <w:tcW w:w="889" w:type="pct"/>
            <w:tcBorders>
              <w:top w:val="single" w:color="auto" w:sz="4" w:space="0"/>
              <w:left w:val="single" w:color="auto" w:sz="4" w:space="0"/>
              <w:bottom w:val="single" w:color="auto" w:sz="4" w:space="0"/>
              <w:right w:val="single" w:color="auto" w:sz="4" w:space="0"/>
            </w:tcBorders>
            <w:vAlign w:val="center"/>
          </w:tcPr>
          <w:p w14:paraId="3162F2AE">
            <w:pPr>
              <w:jc w:val="right"/>
              <w:textAlignment w:val="center"/>
              <w:rPr>
                <w:rFonts w:cs="Times New Roman"/>
              </w:rPr>
            </w:pPr>
            <w:r>
              <w:rPr>
                <w:rFonts w:cs="Times New Roman"/>
                <w:color w:val="000000"/>
              </w:rPr>
              <w:t>677,463,522.21</w:t>
            </w:r>
          </w:p>
        </w:tc>
        <w:tc>
          <w:tcPr>
            <w:tcW w:w="895" w:type="pct"/>
            <w:tcBorders>
              <w:top w:val="single" w:color="auto" w:sz="4" w:space="0"/>
              <w:left w:val="single" w:color="auto" w:sz="4" w:space="0"/>
              <w:bottom w:val="single" w:color="auto" w:sz="4" w:space="0"/>
              <w:right w:val="single" w:color="auto" w:sz="4" w:space="0"/>
            </w:tcBorders>
            <w:vAlign w:val="center"/>
          </w:tcPr>
          <w:p w14:paraId="221C733C">
            <w:pPr>
              <w:jc w:val="right"/>
              <w:textAlignment w:val="center"/>
              <w:rPr>
                <w:rFonts w:cs="Times New Roman"/>
              </w:rPr>
            </w:pPr>
            <w:r>
              <w:rPr>
                <w:rFonts w:cs="Times New Roman"/>
                <w:color w:val="000000"/>
              </w:rPr>
              <w:t>143,412,061.62</w:t>
            </w:r>
          </w:p>
        </w:tc>
      </w:tr>
    </w:tbl>
    <w:p w14:paraId="6E028157">
      <w:pPr>
        <w:rPr>
          <w:color w:val="000000" w:themeColor="text1"/>
          <w14:textFill>
            <w14:solidFill>
              <w14:schemeClr w14:val="tx1"/>
            </w14:solidFill>
          </w14:textFill>
        </w:rPr>
      </w:pPr>
    </w:p>
    <w:p w14:paraId="47110D71">
      <w:pPr>
        <w:pStyle w:val="58"/>
        <w:numPr>
          <w:ilvl w:val="0"/>
          <w:numId w:val="8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设定提存计划列示</w:t>
      </w:r>
    </w:p>
    <w:sdt>
      <w:sdtPr>
        <w:rPr>
          <w:color w:val="000000" w:themeColor="text1"/>
          <w14:textFill>
            <w14:solidFill>
              <w14:schemeClr w14:val="tx1"/>
            </w14:solidFill>
          </w14:textFill>
        </w:rPr>
        <w:alias w:val="是否适用：设定提存计划列示[双击切换]"/>
        <w:tag w:val="_GBC_107b7eec6d75473e8809e93d01e00021"/>
        <w:id w:val="147469662"/>
        <w:placeholder>
          <w:docPart w:val="GBC22222222222222222222222222222"/>
        </w:placeholder>
      </w:sdtPr>
      <w:sdtEndPr>
        <w:rPr>
          <w:color w:val="000000" w:themeColor="text1"/>
          <w14:textFill>
            <w14:solidFill>
              <w14:schemeClr w14:val="tx1"/>
            </w14:solidFill>
          </w14:textFill>
        </w:rPr>
      </w:sdtEndPr>
      <w:sdtContent>
        <w:p w14:paraId="1E16F9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95EB55">
      <w:pPr>
        <w:jc w:val="right"/>
        <w:rPr>
          <w:color w:val="000000" w:themeColor="text1"/>
          <w14:textFill>
            <w14:solidFill>
              <w14:schemeClr w14:val="tx1"/>
            </w14:solidFill>
          </w14:textFill>
        </w:rPr>
      </w:pPr>
    </w:p>
    <w:p w14:paraId="6619998F">
      <w:pPr>
        <w:jc w:val="right"/>
        <w:rPr>
          <w:color w:val="000000" w:themeColor="text1"/>
          <w14:textFill>
            <w14:solidFill>
              <w14:schemeClr w14:val="tx1"/>
            </w14:solidFill>
          </w14:textFill>
        </w:rPr>
      </w:pPr>
    </w:p>
    <w:p w14:paraId="58B38617">
      <w:pPr>
        <w:jc w:val="right"/>
        <w:rPr>
          <w:color w:val="000000" w:themeColor="text1"/>
          <w14:textFill>
            <w14:solidFill>
              <w14:schemeClr w14:val="tx1"/>
            </w14:solidFill>
          </w14:textFill>
        </w:rPr>
      </w:pPr>
    </w:p>
    <w:p w14:paraId="34F8998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设定提存计划列示"/>
          <w:tag w:val="_GBC_744d8f829e6040c78616ef1951ef7e59"/>
          <w:id w:val="1474537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设定提存计划列示"/>
          <w:tag w:val="_GBC_433e4a4ae9d648a2973673cbec959f23"/>
          <w:id w:val="1474569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1624"/>
        <w:gridCol w:w="1609"/>
        <w:gridCol w:w="1638"/>
        <w:gridCol w:w="1593"/>
      </w:tblGrid>
      <w:tr w14:paraId="74F2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f8a9011ca6bd4cc895a50279da6547e9"/>
            <w:id w:val="147474281"/>
          </w:sdtPr>
          <w:sdtEndPr>
            <w:rPr>
              <w:rFonts w:cs="Times New Roman"/>
            </w:rPr>
          </w:sdtEndPr>
          <w:sdtContent>
            <w:tc>
              <w:tcPr>
                <w:tcW w:w="1429" w:type="pct"/>
                <w:vAlign w:val="center"/>
              </w:tcPr>
              <w:p w14:paraId="251A749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b9ecea0e08e4c1bb5fe2474183a8480"/>
            <w:id w:val="147482063"/>
          </w:sdtPr>
          <w:sdtEndPr>
            <w:rPr>
              <w:rFonts w:cs="Times New Roman"/>
            </w:rPr>
          </w:sdtEndPr>
          <w:sdtContent>
            <w:tc>
              <w:tcPr>
                <w:tcW w:w="897" w:type="pct"/>
                <w:vAlign w:val="center"/>
              </w:tcPr>
              <w:p w14:paraId="40D61D9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11b6b53867b44c92b19ef791cad0c8c4"/>
            <w:id w:val="147463539"/>
          </w:sdtPr>
          <w:sdtEndPr>
            <w:rPr>
              <w:rFonts w:cs="Times New Roman"/>
            </w:rPr>
          </w:sdtEndPr>
          <w:sdtContent>
            <w:tc>
              <w:tcPr>
                <w:tcW w:w="889" w:type="pct"/>
                <w:vAlign w:val="center"/>
              </w:tcPr>
              <w:p w14:paraId="3C1E644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本期增加</w:t>
                </w:r>
              </w:p>
            </w:tc>
          </w:sdtContent>
        </w:sdt>
        <w:sdt>
          <w:sdtPr>
            <w:rPr>
              <w:rFonts w:cs="Times New Roman"/>
            </w:rPr>
            <w:tag w:val="_PLD_c2cbd009dd4248ceb9040da5fc326084"/>
            <w:id w:val="147458963"/>
          </w:sdtPr>
          <w:sdtEndPr>
            <w:rPr>
              <w:rFonts w:cs="Times New Roman"/>
            </w:rPr>
          </w:sdtEndPr>
          <w:sdtContent>
            <w:tc>
              <w:tcPr>
                <w:tcW w:w="905" w:type="pct"/>
                <w:vAlign w:val="center"/>
              </w:tcPr>
              <w:p w14:paraId="52DEF4A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本期减少</w:t>
                </w:r>
              </w:p>
            </w:tc>
          </w:sdtContent>
        </w:sdt>
        <w:sdt>
          <w:sdtPr>
            <w:rPr>
              <w:rFonts w:cs="Times New Roman"/>
            </w:rPr>
            <w:tag w:val="_PLD_0ded00fbf217420ebfe8ace86c12086d"/>
            <w:id w:val="147478875"/>
          </w:sdtPr>
          <w:sdtEndPr>
            <w:rPr>
              <w:rFonts w:cs="Times New Roman"/>
            </w:rPr>
          </w:sdtEndPr>
          <w:sdtContent>
            <w:tc>
              <w:tcPr>
                <w:tcW w:w="880" w:type="pct"/>
                <w:vAlign w:val="center"/>
              </w:tcPr>
              <w:p w14:paraId="6A39818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351D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tcPr>
          <w:p w14:paraId="6156780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1、基本养老保险</w:t>
            </w:r>
          </w:p>
        </w:tc>
        <w:tc>
          <w:tcPr>
            <w:tcW w:w="897" w:type="pct"/>
            <w:vAlign w:val="center"/>
          </w:tcPr>
          <w:p w14:paraId="77B7BF5C">
            <w:pPr>
              <w:jc w:val="right"/>
              <w:textAlignment w:val="center"/>
              <w:rPr>
                <w:rFonts w:cs="Times New Roman"/>
              </w:rPr>
            </w:pPr>
            <w:r>
              <w:rPr>
                <w:rFonts w:cs="Times New Roman"/>
                <w:color w:val="000000"/>
              </w:rPr>
              <w:t>1,833,010.21</w:t>
            </w:r>
          </w:p>
        </w:tc>
        <w:tc>
          <w:tcPr>
            <w:tcW w:w="889" w:type="pct"/>
            <w:vAlign w:val="center"/>
          </w:tcPr>
          <w:p w14:paraId="4C96F298">
            <w:pPr>
              <w:jc w:val="right"/>
              <w:textAlignment w:val="center"/>
              <w:rPr>
                <w:rFonts w:cs="Times New Roman"/>
              </w:rPr>
            </w:pPr>
            <w:r>
              <w:rPr>
                <w:rFonts w:cs="Times New Roman"/>
                <w:color w:val="000000"/>
              </w:rPr>
              <w:t>74,087,739.95</w:t>
            </w:r>
          </w:p>
        </w:tc>
        <w:tc>
          <w:tcPr>
            <w:tcW w:w="905" w:type="pct"/>
            <w:vAlign w:val="center"/>
          </w:tcPr>
          <w:p w14:paraId="4570EF90">
            <w:pPr>
              <w:jc w:val="right"/>
              <w:textAlignment w:val="center"/>
              <w:rPr>
                <w:rFonts w:cs="Times New Roman"/>
              </w:rPr>
            </w:pPr>
            <w:r>
              <w:rPr>
                <w:rFonts w:cs="Times New Roman"/>
                <w:color w:val="000000"/>
              </w:rPr>
              <w:t>73,017,089.67</w:t>
            </w:r>
          </w:p>
        </w:tc>
        <w:tc>
          <w:tcPr>
            <w:tcW w:w="880" w:type="pct"/>
            <w:vAlign w:val="center"/>
          </w:tcPr>
          <w:p w14:paraId="645D4AF3">
            <w:pPr>
              <w:jc w:val="right"/>
              <w:textAlignment w:val="center"/>
              <w:rPr>
                <w:rFonts w:cs="Times New Roman"/>
              </w:rPr>
            </w:pPr>
            <w:r>
              <w:rPr>
                <w:rFonts w:cs="Times New Roman"/>
                <w:color w:val="000000"/>
              </w:rPr>
              <w:t>2,903,660.49</w:t>
            </w:r>
          </w:p>
        </w:tc>
      </w:tr>
      <w:tr w14:paraId="40DD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tcPr>
          <w:p w14:paraId="78FA336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2、失业保险费</w:t>
            </w:r>
          </w:p>
        </w:tc>
        <w:tc>
          <w:tcPr>
            <w:tcW w:w="897" w:type="pct"/>
            <w:vAlign w:val="center"/>
          </w:tcPr>
          <w:p w14:paraId="18FE2357">
            <w:pPr>
              <w:jc w:val="right"/>
              <w:textAlignment w:val="center"/>
              <w:rPr>
                <w:rFonts w:cs="Times New Roman"/>
              </w:rPr>
            </w:pPr>
            <w:r>
              <w:rPr>
                <w:rFonts w:cs="Times New Roman"/>
                <w:color w:val="000000"/>
              </w:rPr>
              <w:t>70,959.04</w:t>
            </w:r>
          </w:p>
        </w:tc>
        <w:tc>
          <w:tcPr>
            <w:tcW w:w="889" w:type="pct"/>
            <w:vAlign w:val="center"/>
          </w:tcPr>
          <w:p w14:paraId="3E555C7A">
            <w:pPr>
              <w:jc w:val="right"/>
              <w:textAlignment w:val="center"/>
              <w:rPr>
                <w:rFonts w:cs="Times New Roman"/>
              </w:rPr>
            </w:pPr>
            <w:r>
              <w:rPr>
                <w:rFonts w:cs="Times New Roman"/>
                <w:color w:val="000000"/>
              </w:rPr>
              <w:t>3,002,803.53</w:t>
            </w:r>
          </w:p>
        </w:tc>
        <w:tc>
          <w:tcPr>
            <w:tcW w:w="905" w:type="pct"/>
            <w:vAlign w:val="center"/>
          </w:tcPr>
          <w:p w14:paraId="0AD6FBC0">
            <w:pPr>
              <w:jc w:val="right"/>
              <w:textAlignment w:val="center"/>
              <w:rPr>
                <w:rFonts w:cs="Times New Roman"/>
              </w:rPr>
            </w:pPr>
            <w:r>
              <w:rPr>
                <w:rFonts w:cs="Times New Roman"/>
                <w:color w:val="000000"/>
              </w:rPr>
              <w:t>2,928,176.45</w:t>
            </w:r>
          </w:p>
        </w:tc>
        <w:tc>
          <w:tcPr>
            <w:tcW w:w="880" w:type="pct"/>
            <w:vAlign w:val="center"/>
          </w:tcPr>
          <w:p w14:paraId="446C9F70">
            <w:pPr>
              <w:jc w:val="right"/>
              <w:textAlignment w:val="center"/>
              <w:rPr>
                <w:rFonts w:cs="Times New Roman"/>
              </w:rPr>
            </w:pPr>
            <w:r>
              <w:rPr>
                <w:rFonts w:cs="Times New Roman"/>
                <w:color w:val="000000"/>
              </w:rPr>
              <w:t>145,586.12</w:t>
            </w:r>
          </w:p>
        </w:tc>
      </w:tr>
      <w:tr w14:paraId="0533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tcPr>
          <w:p w14:paraId="1B79F22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3、企业年金缴费</w:t>
            </w:r>
          </w:p>
        </w:tc>
        <w:tc>
          <w:tcPr>
            <w:tcW w:w="897" w:type="pct"/>
            <w:vAlign w:val="center"/>
          </w:tcPr>
          <w:p w14:paraId="7759AE21">
            <w:pPr>
              <w:jc w:val="right"/>
              <w:rPr>
                <w:rFonts w:cs="Times New Roman"/>
              </w:rPr>
            </w:pPr>
          </w:p>
        </w:tc>
        <w:tc>
          <w:tcPr>
            <w:tcW w:w="889" w:type="pct"/>
            <w:vAlign w:val="center"/>
          </w:tcPr>
          <w:p w14:paraId="53932FEE">
            <w:pPr>
              <w:jc w:val="right"/>
              <w:textAlignment w:val="center"/>
              <w:rPr>
                <w:rFonts w:cs="Times New Roman"/>
              </w:rPr>
            </w:pPr>
            <w:r>
              <w:rPr>
                <w:rFonts w:cs="Times New Roman"/>
                <w:color w:val="000000"/>
              </w:rPr>
              <w:t>1,264,817.30</w:t>
            </w:r>
          </w:p>
        </w:tc>
        <w:tc>
          <w:tcPr>
            <w:tcW w:w="905" w:type="pct"/>
            <w:vAlign w:val="center"/>
          </w:tcPr>
          <w:p w14:paraId="6AB2CC91">
            <w:pPr>
              <w:jc w:val="right"/>
              <w:textAlignment w:val="center"/>
              <w:rPr>
                <w:rFonts w:cs="Times New Roman"/>
              </w:rPr>
            </w:pPr>
            <w:r>
              <w:rPr>
                <w:rFonts w:cs="Times New Roman"/>
                <w:color w:val="000000"/>
              </w:rPr>
              <w:t>1,264,817.30</w:t>
            </w:r>
          </w:p>
        </w:tc>
        <w:tc>
          <w:tcPr>
            <w:tcW w:w="880" w:type="pct"/>
            <w:vAlign w:val="center"/>
          </w:tcPr>
          <w:p w14:paraId="7A889402">
            <w:pPr>
              <w:jc w:val="right"/>
              <w:rPr>
                <w:rFonts w:cs="Times New Roman"/>
              </w:rPr>
            </w:pPr>
          </w:p>
        </w:tc>
      </w:tr>
      <w:tr w14:paraId="76B4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9" w:type="pct"/>
            <w:vAlign w:val="center"/>
          </w:tcPr>
          <w:p w14:paraId="36F736D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97" w:type="pct"/>
            <w:vAlign w:val="center"/>
          </w:tcPr>
          <w:p w14:paraId="616336AC">
            <w:pPr>
              <w:jc w:val="right"/>
              <w:textAlignment w:val="center"/>
              <w:rPr>
                <w:rFonts w:cs="Times New Roman"/>
              </w:rPr>
            </w:pPr>
            <w:r>
              <w:rPr>
                <w:rFonts w:cs="Times New Roman"/>
                <w:color w:val="000000"/>
              </w:rPr>
              <w:t>1,903,969.25</w:t>
            </w:r>
          </w:p>
        </w:tc>
        <w:tc>
          <w:tcPr>
            <w:tcW w:w="889" w:type="pct"/>
            <w:vAlign w:val="center"/>
          </w:tcPr>
          <w:p w14:paraId="7BA471F3">
            <w:pPr>
              <w:jc w:val="right"/>
              <w:textAlignment w:val="center"/>
              <w:rPr>
                <w:rFonts w:cs="Times New Roman"/>
              </w:rPr>
            </w:pPr>
            <w:r>
              <w:rPr>
                <w:rFonts w:cs="Times New Roman"/>
                <w:color w:val="000000"/>
              </w:rPr>
              <w:t>78,355,360.78</w:t>
            </w:r>
          </w:p>
        </w:tc>
        <w:tc>
          <w:tcPr>
            <w:tcW w:w="905" w:type="pct"/>
            <w:vAlign w:val="center"/>
          </w:tcPr>
          <w:p w14:paraId="51BCC2E1">
            <w:pPr>
              <w:jc w:val="right"/>
              <w:textAlignment w:val="center"/>
              <w:rPr>
                <w:rFonts w:cs="Times New Roman"/>
              </w:rPr>
            </w:pPr>
            <w:r>
              <w:rPr>
                <w:rFonts w:cs="Times New Roman"/>
                <w:color w:val="000000"/>
              </w:rPr>
              <w:t>77,210,083.42</w:t>
            </w:r>
          </w:p>
        </w:tc>
        <w:tc>
          <w:tcPr>
            <w:tcW w:w="880" w:type="pct"/>
            <w:vAlign w:val="center"/>
          </w:tcPr>
          <w:p w14:paraId="1307B658">
            <w:pPr>
              <w:jc w:val="right"/>
              <w:textAlignment w:val="center"/>
              <w:rPr>
                <w:rFonts w:cs="Times New Roman"/>
              </w:rPr>
            </w:pPr>
            <w:r>
              <w:rPr>
                <w:rFonts w:cs="Times New Roman"/>
                <w:color w:val="000000"/>
              </w:rPr>
              <w:t>3,049,246.61</w:t>
            </w:r>
          </w:p>
        </w:tc>
      </w:tr>
    </w:tbl>
    <w:p w14:paraId="5538CF37">
      <w:pPr>
        <w:autoSpaceDE w:val="0"/>
        <w:autoSpaceDN w:val="0"/>
        <w:adjustRightInd w:val="0"/>
        <w:rPr>
          <w:color w:val="000000" w:themeColor="text1"/>
          <w14:textFill>
            <w14:solidFill>
              <w14:schemeClr w14:val="tx1"/>
            </w14:solidFill>
          </w14:textFill>
        </w:rPr>
      </w:pPr>
    </w:p>
    <w:p w14:paraId="204E0095">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职工薪酬的说明[双击切换]"/>
        <w:tag w:val="_GBC_f41ecc08d4994ba99707111806caa376"/>
        <w:id w:val="147480989"/>
        <w:placeholder>
          <w:docPart w:val="GBC22222222222222222222222222222"/>
        </w:placeholder>
      </w:sdtPr>
      <w:sdtEndPr>
        <w:rPr>
          <w:color w:val="000000" w:themeColor="text1"/>
          <w14:textFill>
            <w14:solidFill>
              <w14:schemeClr w14:val="tx1"/>
            </w14:solidFill>
          </w14:textFill>
        </w:rPr>
      </w:sdtEndPr>
      <w:sdtContent>
        <w:p w14:paraId="0F6974CC">
          <w:pPr>
            <w:autoSpaceDE w:val="0"/>
            <w:autoSpaceDN w:val="0"/>
            <w:adjustRightIn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8D39AEC">
      <w:pPr>
        <w:autoSpaceDE w:val="0"/>
        <w:autoSpaceDN w:val="0"/>
        <w:adjustRightInd w:val="0"/>
        <w:rPr>
          <w:color w:val="000000" w:themeColor="text1"/>
          <w14:textFill>
            <w14:solidFill>
              <w14:schemeClr w14:val="tx1"/>
            </w14:solidFill>
          </w14:textFill>
        </w:rPr>
      </w:pPr>
    </w:p>
    <w:p w14:paraId="6D66E823">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应交税费</w:t>
      </w:r>
    </w:p>
    <w:sdt>
      <w:sdtPr>
        <w:rPr>
          <w:color w:val="000000" w:themeColor="text1"/>
          <w14:textFill>
            <w14:solidFill>
              <w14:schemeClr w14:val="tx1"/>
            </w14:solidFill>
          </w14:textFill>
        </w:rPr>
        <w:alias w:val="是否适用：应交税费[双击切换]"/>
        <w:tag w:val="_GBC_e7e2664720b9408384c5d3cd6d97c132"/>
        <w:id w:val="147457497"/>
        <w:placeholder>
          <w:docPart w:val="GBC22222222222222222222222222222"/>
        </w:placeholder>
      </w:sdtPr>
      <w:sdtEndPr>
        <w:rPr>
          <w:color w:val="000000" w:themeColor="text1"/>
          <w14:textFill>
            <w14:solidFill>
              <w14:schemeClr w14:val="tx1"/>
            </w14:solidFill>
          </w14:textFill>
        </w:rPr>
      </w:sdtEndPr>
      <w:sdtContent>
        <w:p w14:paraId="7ECE6DF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791A1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交税费"/>
          <w:tag w:val="_GBC_a6162c9f021640929018406be611b834"/>
          <w:id w:val="1474510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交税费"/>
          <w:tag w:val="_GBC_d787fa1c70604797889c69c4c364e711"/>
          <w:id w:val="1474800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980"/>
        <w:gridCol w:w="2955"/>
        <w:gridCol w:w="2960"/>
      </w:tblGrid>
      <w:tr w14:paraId="3D27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ab0019be2d10489d885d15626d85168f"/>
            <w:id w:val="147454072"/>
          </w:sdtPr>
          <w:sdtEndPr>
            <w:rPr>
              <w:rFonts w:cs="Times New Roman"/>
            </w:rPr>
          </w:sdtEndPr>
          <w:sdtContent>
            <w:tc>
              <w:tcPr>
                <w:tcW w:w="1675" w:type="pct"/>
                <w:vAlign w:val="center"/>
              </w:tcPr>
              <w:p w14:paraId="58EE502B">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4d086e8f4e004ee3aa116a5d10a7ecbd"/>
            <w:id w:val="147456315"/>
          </w:sdtPr>
          <w:sdtEndPr>
            <w:rPr>
              <w:rFonts w:cs="Times New Roman"/>
            </w:rPr>
          </w:sdtEndPr>
          <w:sdtContent>
            <w:tc>
              <w:tcPr>
                <w:tcW w:w="1661" w:type="pct"/>
                <w:vAlign w:val="center"/>
              </w:tcPr>
              <w:p w14:paraId="606545B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8b866f731e474c6ebfb67cd903ab95c8"/>
            <w:id w:val="147469424"/>
          </w:sdtPr>
          <w:sdtEndPr>
            <w:rPr>
              <w:rFonts w:cs="Times New Roman"/>
            </w:rPr>
          </w:sdtEndPr>
          <w:sdtContent>
            <w:tc>
              <w:tcPr>
                <w:tcW w:w="1664" w:type="pct"/>
                <w:vAlign w:val="center"/>
              </w:tcPr>
              <w:p w14:paraId="15A6DA9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18E1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4EDE884D">
            <w:pPr>
              <w:ind w:right="105"/>
              <w:rPr>
                <w:rFonts w:cs="Times New Roman"/>
                <w:color w:val="000000" w:themeColor="text1"/>
                <w14:textFill>
                  <w14:solidFill>
                    <w14:schemeClr w14:val="tx1"/>
                  </w14:solidFill>
                </w14:textFill>
              </w:rPr>
            </w:pPr>
            <w:r>
              <w:rPr>
                <w:rFonts w:cs="Times New Roman"/>
                <w:color w:val="000000"/>
              </w:rPr>
              <w:t>增值税</w:t>
            </w:r>
          </w:p>
        </w:tc>
        <w:tc>
          <w:tcPr>
            <w:tcW w:w="1661" w:type="pct"/>
            <w:vAlign w:val="center"/>
          </w:tcPr>
          <w:p w14:paraId="5A8A8B9A">
            <w:pPr>
              <w:jc w:val="right"/>
              <w:textAlignment w:val="center"/>
              <w:rPr>
                <w:rFonts w:cs="Times New Roman"/>
              </w:rPr>
            </w:pPr>
            <w:r>
              <w:rPr>
                <w:rFonts w:cs="Times New Roman"/>
                <w:color w:val="000000"/>
              </w:rPr>
              <w:t>13,349,399.31</w:t>
            </w:r>
          </w:p>
        </w:tc>
        <w:tc>
          <w:tcPr>
            <w:tcW w:w="1664" w:type="pct"/>
            <w:vAlign w:val="center"/>
          </w:tcPr>
          <w:p w14:paraId="68A749FD">
            <w:pPr>
              <w:jc w:val="right"/>
              <w:textAlignment w:val="center"/>
              <w:rPr>
                <w:rFonts w:cs="Times New Roman"/>
              </w:rPr>
            </w:pPr>
            <w:r>
              <w:rPr>
                <w:rFonts w:cs="Times New Roman"/>
                <w:color w:val="000000"/>
              </w:rPr>
              <w:t>29,105,530.14</w:t>
            </w:r>
          </w:p>
        </w:tc>
      </w:tr>
      <w:tr w14:paraId="2F53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5E50E05B">
            <w:pPr>
              <w:ind w:right="105"/>
              <w:rPr>
                <w:rFonts w:cs="Times New Roman"/>
                <w:color w:val="000000" w:themeColor="text1"/>
                <w14:textFill>
                  <w14:solidFill>
                    <w14:schemeClr w14:val="tx1"/>
                  </w14:solidFill>
                </w14:textFill>
              </w:rPr>
            </w:pPr>
            <w:r>
              <w:rPr>
                <w:rFonts w:cs="Times New Roman"/>
                <w:color w:val="000000"/>
              </w:rPr>
              <w:t>企业所得税</w:t>
            </w:r>
          </w:p>
        </w:tc>
        <w:tc>
          <w:tcPr>
            <w:tcW w:w="1661" w:type="pct"/>
            <w:vAlign w:val="center"/>
          </w:tcPr>
          <w:p w14:paraId="72ACDF8E">
            <w:pPr>
              <w:jc w:val="right"/>
              <w:textAlignment w:val="center"/>
              <w:rPr>
                <w:rFonts w:cs="Times New Roman"/>
              </w:rPr>
            </w:pPr>
            <w:r>
              <w:rPr>
                <w:rFonts w:cs="Times New Roman"/>
                <w:color w:val="000000"/>
              </w:rPr>
              <w:t>76,265,887.32</w:t>
            </w:r>
          </w:p>
        </w:tc>
        <w:tc>
          <w:tcPr>
            <w:tcW w:w="1664" w:type="pct"/>
            <w:vAlign w:val="center"/>
          </w:tcPr>
          <w:p w14:paraId="7DAFC71B">
            <w:pPr>
              <w:jc w:val="right"/>
              <w:textAlignment w:val="center"/>
              <w:rPr>
                <w:rFonts w:cs="Times New Roman"/>
              </w:rPr>
            </w:pPr>
            <w:r>
              <w:rPr>
                <w:rFonts w:cs="Times New Roman"/>
                <w:color w:val="000000"/>
              </w:rPr>
              <w:t>87,991,185.95</w:t>
            </w:r>
          </w:p>
        </w:tc>
      </w:tr>
      <w:tr w14:paraId="2189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60001FE4">
            <w:pPr>
              <w:ind w:right="105"/>
              <w:rPr>
                <w:rFonts w:cs="Times New Roman"/>
                <w:color w:val="000000" w:themeColor="text1"/>
                <w14:textFill>
                  <w14:solidFill>
                    <w14:schemeClr w14:val="tx1"/>
                  </w14:solidFill>
                </w14:textFill>
              </w:rPr>
            </w:pPr>
            <w:r>
              <w:rPr>
                <w:rFonts w:cs="Times New Roman"/>
                <w:color w:val="000000"/>
              </w:rPr>
              <w:t>个人所得税</w:t>
            </w:r>
          </w:p>
        </w:tc>
        <w:tc>
          <w:tcPr>
            <w:tcW w:w="1661" w:type="pct"/>
            <w:vAlign w:val="center"/>
          </w:tcPr>
          <w:p w14:paraId="1C010009">
            <w:pPr>
              <w:jc w:val="right"/>
              <w:textAlignment w:val="center"/>
              <w:rPr>
                <w:rFonts w:cs="Times New Roman"/>
              </w:rPr>
            </w:pPr>
            <w:r>
              <w:rPr>
                <w:rFonts w:cs="Times New Roman"/>
                <w:color w:val="000000"/>
              </w:rPr>
              <w:t>3,351,030.29</w:t>
            </w:r>
          </w:p>
        </w:tc>
        <w:tc>
          <w:tcPr>
            <w:tcW w:w="1664" w:type="pct"/>
            <w:vAlign w:val="center"/>
          </w:tcPr>
          <w:p w14:paraId="192D0690">
            <w:pPr>
              <w:jc w:val="right"/>
              <w:textAlignment w:val="center"/>
              <w:rPr>
                <w:rFonts w:cs="Times New Roman"/>
              </w:rPr>
            </w:pPr>
            <w:r>
              <w:rPr>
                <w:rFonts w:cs="Times New Roman"/>
                <w:color w:val="000000"/>
              </w:rPr>
              <w:t>5,296,612.80</w:t>
            </w:r>
          </w:p>
        </w:tc>
      </w:tr>
      <w:tr w14:paraId="0FA2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694C0BCB">
            <w:pPr>
              <w:ind w:right="105"/>
              <w:rPr>
                <w:rFonts w:cs="Times New Roman"/>
                <w:color w:val="000000" w:themeColor="text1"/>
                <w14:textFill>
                  <w14:solidFill>
                    <w14:schemeClr w14:val="tx1"/>
                  </w14:solidFill>
                </w14:textFill>
              </w:rPr>
            </w:pPr>
            <w:r>
              <w:rPr>
                <w:rFonts w:cs="Times New Roman"/>
                <w:color w:val="000000"/>
              </w:rPr>
              <w:t>城市维护建设税</w:t>
            </w:r>
          </w:p>
        </w:tc>
        <w:tc>
          <w:tcPr>
            <w:tcW w:w="1661" w:type="pct"/>
            <w:vAlign w:val="center"/>
          </w:tcPr>
          <w:p w14:paraId="7B1A6863">
            <w:pPr>
              <w:jc w:val="right"/>
              <w:textAlignment w:val="center"/>
              <w:rPr>
                <w:rFonts w:cs="Times New Roman"/>
              </w:rPr>
            </w:pPr>
            <w:r>
              <w:rPr>
                <w:rFonts w:cs="Times New Roman"/>
                <w:color w:val="000000"/>
              </w:rPr>
              <w:t>1,271,649.86</w:t>
            </w:r>
          </w:p>
        </w:tc>
        <w:tc>
          <w:tcPr>
            <w:tcW w:w="1664" w:type="pct"/>
            <w:vAlign w:val="center"/>
          </w:tcPr>
          <w:p w14:paraId="40C421E6">
            <w:pPr>
              <w:jc w:val="right"/>
              <w:textAlignment w:val="center"/>
              <w:rPr>
                <w:rFonts w:cs="Times New Roman"/>
              </w:rPr>
            </w:pPr>
            <w:r>
              <w:rPr>
                <w:rFonts w:cs="Times New Roman"/>
                <w:color w:val="000000"/>
              </w:rPr>
              <w:t>1,687,091.97</w:t>
            </w:r>
          </w:p>
        </w:tc>
      </w:tr>
      <w:tr w14:paraId="4EAE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0BAAAFD2">
            <w:pPr>
              <w:ind w:right="105"/>
              <w:rPr>
                <w:rFonts w:cs="Times New Roman"/>
                <w:color w:val="000000" w:themeColor="text1"/>
                <w14:textFill>
                  <w14:solidFill>
                    <w14:schemeClr w14:val="tx1"/>
                  </w14:solidFill>
                </w14:textFill>
              </w:rPr>
            </w:pPr>
            <w:r>
              <w:rPr>
                <w:rFonts w:cs="Times New Roman"/>
                <w:color w:val="000000"/>
              </w:rPr>
              <w:t>房产税</w:t>
            </w:r>
          </w:p>
        </w:tc>
        <w:tc>
          <w:tcPr>
            <w:tcW w:w="1661" w:type="pct"/>
            <w:vAlign w:val="center"/>
          </w:tcPr>
          <w:p w14:paraId="40CB8D6E">
            <w:pPr>
              <w:jc w:val="right"/>
              <w:textAlignment w:val="center"/>
              <w:rPr>
                <w:rFonts w:cs="Times New Roman"/>
              </w:rPr>
            </w:pPr>
            <w:r>
              <w:rPr>
                <w:rFonts w:cs="Times New Roman"/>
                <w:color w:val="000000"/>
              </w:rPr>
              <w:t>4,723,473.11</w:t>
            </w:r>
          </w:p>
        </w:tc>
        <w:tc>
          <w:tcPr>
            <w:tcW w:w="1664" w:type="pct"/>
            <w:vAlign w:val="center"/>
          </w:tcPr>
          <w:p w14:paraId="7C3A4F3B">
            <w:pPr>
              <w:jc w:val="right"/>
              <w:textAlignment w:val="center"/>
              <w:rPr>
                <w:rFonts w:cs="Times New Roman"/>
              </w:rPr>
            </w:pPr>
            <w:r>
              <w:rPr>
                <w:rFonts w:cs="Times New Roman"/>
                <w:color w:val="000000"/>
              </w:rPr>
              <w:t>4,387,643.63</w:t>
            </w:r>
          </w:p>
        </w:tc>
      </w:tr>
      <w:tr w14:paraId="1257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400FB4EE">
            <w:pPr>
              <w:ind w:right="105"/>
              <w:rPr>
                <w:rFonts w:cs="Times New Roman"/>
                <w:color w:val="000000" w:themeColor="text1"/>
                <w14:textFill>
                  <w14:solidFill>
                    <w14:schemeClr w14:val="tx1"/>
                  </w14:solidFill>
                </w14:textFill>
              </w:rPr>
            </w:pPr>
            <w:r>
              <w:rPr>
                <w:rFonts w:cs="Times New Roman"/>
                <w:color w:val="000000"/>
              </w:rPr>
              <w:t>教育费附加</w:t>
            </w:r>
          </w:p>
        </w:tc>
        <w:tc>
          <w:tcPr>
            <w:tcW w:w="1661" w:type="pct"/>
            <w:vAlign w:val="center"/>
          </w:tcPr>
          <w:p w14:paraId="3E0141FC">
            <w:pPr>
              <w:jc w:val="right"/>
              <w:textAlignment w:val="center"/>
              <w:rPr>
                <w:rFonts w:cs="Times New Roman"/>
              </w:rPr>
            </w:pPr>
            <w:r>
              <w:rPr>
                <w:rFonts w:cs="Times New Roman"/>
                <w:color w:val="000000"/>
              </w:rPr>
              <w:t>658,380.68</w:t>
            </w:r>
          </w:p>
        </w:tc>
        <w:tc>
          <w:tcPr>
            <w:tcW w:w="1664" w:type="pct"/>
            <w:vAlign w:val="center"/>
          </w:tcPr>
          <w:p w14:paraId="7476D059">
            <w:pPr>
              <w:jc w:val="right"/>
              <w:textAlignment w:val="center"/>
              <w:rPr>
                <w:rFonts w:cs="Times New Roman"/>
              </w:rPr>
            </w:pPr>
            <w:r>
              <w:rPr>
                <w:rFonts w:cs="Times New Roman"/>
                <w:color w:val="000000"/>
              </w:rPr>
              <w:t>1,326,146.15</w:t>
            </w:r>
          </w:p>
        </w:tc>
      </w:tr>
      <w:tr w14:paraId="2C20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73C24063">
            <w:pPr>
              <w:ind w:right="105"/>
              <w:rPr>
                <w:rFonts w:cs="Times New Roman"/>
              </w:rPr>
            </w:pPr>
            <w:r>
              <w:rPr>
                <w:rFonts w:cs="Times New Roman"/>
                <w:color w:val="000000"/>
              </w:rPr>
              <w:t>土地使用税</w:t>
            </w:r>
          </w:p>
        </w:tc>
        <w:tc>
          <w:tcPr>
            <w:tcW w:w="1661" w:type="pct"/>
            <w:vAlign w:val="center"/>
          </w:tcPr>
          <w:p w14:paraId="1B181F51">
            <w:pPr>
              <w:jc w:val="right"/>
              <w:textAlignment w:val="center"/>
              <w:rPr>
                <w:rFonts w:cs="Times New Roman"/>
              </w:rPr>
            </w:pPr>
            <w:r>
              <w:rPr>
                <w:rFonts w:cs="Times New Roman"/>
                <w:color w:val="000000"/>
              </w:rPr>
              <w:t>5,362,983.16</w:t>
            </w:r>
          </w:p>
        </w:tc>
        <w:tc>
          <w:tcPr>
            <w:tcW w:w="1664" w:type="pct"/>
            <w:vAlign w:val="center"/>
          </w:tcPr>
          <w:p w14:paraId="324936F9">
            <w:pPr>
              <w:jc w:val="right"/>
              <w:textAlignment w:val="center"/>
              <w:rPr>
                <w:rFonts w:cs="Times New Roman"/>
              </w:rPr>
            </w:pPr>
            <w:r>
              <w:rPr>
                <w:rFonts w:cs="Times New Roman"/>
                <w:color w:val="000000"/>
              </w:rPr>
              <w:t>4,826,565.98</w:t>
            </w:r>
          </w:p>
        </w:tc>
      </w:tr>
      <w:tr w14:paraId="0512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14:paraId="11A6D0C7">
            <w:pPr>
              <w:ind w:right="105"/>
              <w:rPr>
                <w:rFonts w:cs="Times New Roman"/>
              </w:rPr>
            </w:pPr>
            <w:r>
              <w:rPr>
                <w:rFonts w:cs="Times New Roman"/>
                <w:color w:val="000000"/>
              </w:rPr>
              <w:t>其他</w:t>
            </w:r>
          </w:p>
        </w:tc>
        <w:tc>
          <w:tcPr>
            <w:tcW w:w="1661" w:type="pct"/>
            <w:vAlign w:val="center"/>
          </w:tcPr>
          <w:p w14:paraId="7FBEBE85">
            <w:pPr>
              <w:jc w:val="right"/>
              <w:textAlignment w:val="center"/>
              <w:rPr>
                <w:rFonts w:cs="Times New Roman"/>
              </w:rPr>
            </w:pPr>
            <w:r>
              <w:rPr>
                <w:rFonts w:cs="Times New Roman"/>
                <w:color w:val="000000"/>
              </w:rPr>
              <w:t>4,281,871.44</w:t>
            </w:r>
          </w:p>
        </w:tc>
        <w:tc>
          <w:tcPr>
            <w:tcW w:w="1664" w:type="pct"/>
            <w:vAlign w:val="center"/>
          </w:tcPr>
          <w:p w14:paraId="378EFB24">
            <w:pPr>
              <w:jc w:val="right"/>
              <w:textAlignment w:val="center"/>
              <w:rPr>
                <w:rFonts w:cs="Times New Roman"/>
              </w:rPr>
            </w:pPr>
            <w:r>
              <w:rPr>
                <w:rFonts w:cs="Times New Roman"/>
                <w:color w:val="000000"/>
              </w:rPr>
              <w:t>4,347,944.58</w:t>
            </w:r>
          </w:p>
        </w:tc>
      </w:tr>
      <w:tr w14:paraId="4EF4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vAlign w:val="center"/>
          </w:tcPr>
          <w:p w14:paraId="2BDF3672">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61" w:type="pct"/>
            <w:vAlign w:val="center"/>
          </w:tcPr>
          <w:p w14:paraId="5A6CEB8C">
            <w:pPr>
              <w:jc w:val="right"/>
              <w:textAlignment w:val="center"/>
              <w:rPr>
                <w:rFonts w:cs="Times New Roman"/>
              </w:rPr>
            </w:pPr>
            <w:r>
              <w:rPr>
                <w:rFonts w:cs="Times New Roman"/>
                <w:color w:val="000000"/>
              </w:rPr>
              <w:t>109,264,675.17</w:t>
            </w:r>
          </w:p>
        </w:tc>
        <w:tc>
          <w:tcPr>
            <w:tcW w:w="1664" w:type="pct"/>
            <w:vAlign w:val="center"/>
          </w:tcPr>
          <w:p w14:paraId="734FFC98">
            <w:pPr>
              <w:jc w:val="right"/>
              <w:textAlignment w:val="center"/>
              <w:rPr>
                <w:rFonts w:cs="Times New Roman"/>
              </w:rPr>
            </w:pPr>
            <w:r>
              <w:rPr>
                <w:rFonts w:cs="Times New Roman"/>
                <w:color w:val="000000"/>
              </w:rPr>
              <w:t>138,968,721.20</w:t>
            </w:r>
          </w:p>
        </w:tc>
      </w:tr>
    </w:tbl>
    <w:p w14:paraId="2DFE2BC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应交税金的说明"/>
        <w:tag w:val="_GBC_fb59f8f9de2d41c3aaf0dc3b0970dd91"/>
        <w:id w:val="147483559"/>
        <w:placeholder>
          <w:docPart w:val="GBC22222222222222222222222222222"/>
        </w:placeholder>
      </w:sdtPr>
      <w:sdtEndPr>
        <w:rPr>
          <w:color w:val="000000" w:themeColor="text1"/>
          <w14:textFill>
            <w14:solidFill>
              <w14:schemeClr w14:val="tx1"/>
            </w14:solidFill>
          </w14:textFill>
        </w:rPr>
      </w:sdtEndPr>
      <w:sdtContent>
        <w:p w14:paraId="4D1BF186">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7580B56A">
      <w:pPr>
        <w:rPr>
          <w:color w:val="000000" w:themeColor="text1"/>
          <w14:textFill>
            <w14:solidFill>
              <w14:schemeClr w14:val="tx1"/>
            </w14:solidFill>
          </w14:textFill>
        </w:rPr>
      </w:pPr>
    </w:p>
    <w:p w14:paraId="354F20E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其他应付款</w:t>
      </w:r>
    </w:p>
    <w:p w14:paraId="24EC63A1">
      <w:pPr>
        <w:pStyle w:val="58"/>
        <w:numPr>
          <w:ilvl w:val="0"/>
          <w:numId w:val="83"/>
        </w:numPr>
        <w:ind w:left="425" w:hanging="425"/>
        <w:rPr>
          <w:color w:val="000000" w:themeColor="text1"/>
          <w14:textFill>
            <w14:solidFill>
              <w14:schemeClr w14:val="tx1"/>
            </w14:solidFill>
          </w14:textFill>
        </w:rPr>
      </w:pPr>
      <w:bookmarkStart w:id="356" w:name="_Hlk167960650"/>
      <w:r>
        <w:rPr>
          <w:rFonts w:hint="eastAsia"/>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其他应付款分类列示[双击切换]"/>
        <w:tag w:val="_GBC_5827d75493f041f68356cdf43e4b0e52"/>
        <w:id w:val="147457503"/>
        <w:placeholder>
          <w:docPart w:val="GBC22222222222222222222222222222"/>
        </w:placeholder>
      </w:sdtPr>
      <w:sdtEndPr>
        <w:rPr>
          <w:color w:val="000000" w:themeColor="text1"/>
          <w14:textFill>
            <w14:solidFill>
              <w14:schemeClr w14:val="tx1"/>
            </w14:solidFill>
          </w14:textFill>
        </w:rPr>
      </w:sdtEndPr>
      <w:sdtContent>
        <w:p w14:paraId="19FE71F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0CD7CC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付款分类列示"/>
          <w:tag w:val="_GBC_2c430d2cae634c2e8376192a2b4c05d5"/>
          <w:id w:val="1474678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付款分类列示"/>
          <w:tag w:val="_GBC_ac9f03788d1745f8afc5195f61ce7b16"/>
          <w:id w:val="1474811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8"/>
        <w:gridCol w:w="2863"/>
        <w:gridCol w:w="2878"/>
      </w:tblGrid>
      <w:tr w14:paraId="7FB1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547406e2caa94b57a871517659cf9c0e"/>
            <w:id w:val="147480490"/>
          </w:sdtPr>
          <w:sdtEndPr>
            <w:rPr>
              <w:rFonts w:cs="Times New Roman"/>
            </w:rPr>
          </w:sdtEndPr>
          <w:sdtContent>
            <w:tc>
              <w:tcPr>
                <w:tcW w:w="1828" w:type="pct"/>
                <w:vAlign w:val="center"/>
              </w:tcPr>
              <w:p w14:paraId="2EED5EE0">
                <w:pPr>
                  <w:tabs>
                    <w:tab w:val="right" w:pos="3690"/>
                    <w:tab w:val="right" w:pos="5130"/>
                    <w:tab w:val="right" w:pos="6030"/>
                    <w:tab w:val="right" w:pos="7650"/>
                    <w:tab w:val="right" w:pos="9270"/>
                  </w:tabs>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719b36c588443f38353aada8839625f"/>
            <w:id w:val="147454089"/>
          </w:sdtPr>
          <w:sdtEndPr>
            <w:rPr>
              <w:rFonts w:cs="Times New Roman"/>
            </w:rPr>
          </w:sdtEndPr>
          <w:sdtContent>
            <w:tc>
              <w:tcPr>
                <w:tcW w:w="1582" w:type="pct"/>
                <w:vAlign w:val="center"/>
              </w:tcPr>
              <w:p w14:paraId="5FB9E7C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bc6045ff64f3481da65c0cff41edd1d0"/>
            <w:id w:val="147466431"/>
          </w:sdtPr>
          <w:sdtEndPr>
            <w:rPr>
              <w:rFonts w:cs="Times New Roman"/>
            </w:rPr>
          </w:sdtEndPr>
          <w:sdtContent>
            <w:tc>
              <w:tcPr>
                <w:tcW w:w="1590" w:type="pct"/>
                <w:vAlign w:val="center"/>
              </w:tcPr>
              <w:p w14:paraId="094627E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259D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173C66D4">
            <w:pPr>
              <w:tabs>
                <w:tab w:val="right" w:pos="3690"/>
                <w:tab w:val="right" w:pos="5130"/>
                <w:tab w:val="right" w:pos="6030"/>
                <w:tab w:val="right" w:pos="7650"/>
                <w:tab w:val="right" w:pos="9270"/>
              </w:tabs>
              <w:adjustRightInd w:val="0"/>
              <w:snapToGri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应付利息</w:t>
            </w:r>
          </w:p>
        </w:tc>
        <w:tc>
          <w:tcPr>
            <w:tcW w:w="1582" w:type="pct"/>
            <w:vAlign w:val="center"/>
          </w:tcPr>
          <w:p w14:paraId="067A8321">
            <w:pPr>
              <w:tabs>
                <w:tab w:val="right" w:pos="3690"/>
                <w:tab w:val="right" w:pos="5130"/>
                <w:tab w:val="right" w:pos="6030"/>
                <w:tab w:val="right" w:pos="7650"/>
                <w:tab w:val="right" w:pos="9270"/>
              </w:tabs>
              <w:adjustRightInd w:val="0"/>
              <w:snapToGrid w:val="0"/>
              <w:jc w:val="right"/>
              <w:rPr>
                <w:rFonts w:cs="Times New Roman"/>
              </w:rPr>
            </w:pPr>
          </w:p>
        </w:tc>
        <w:tc>
          <w:tcPr>
            <w:tcW w:w="1590" w:type="pct"/>
            <w:vAlign w:val="center"/>
          </w:tcPr>
          <w:p w14:paraId="422BA088">
            <w:pPr>
              <w:tabs>
                <w:tab w:val="right" w:pos="3690"/>
                <w:tab w:val="right" w:pos="5130"/>
                <w:tab w:val="right" w:pos="6030"/>
                <w:tab w:val="right" w:pos="7650"/>
                <w:tab w:val="right" w:pos="9270"/>
              </w:tabs>
              <w:adjustRightInd w:val="0"/>
              <w:snapToGrid w:val="0"/>
              <w:jc w:val="right"/>
              <w:rPr>
                <w:rFonts w:cs="Times New Roman"/>
              </w:rPr>
            </w:pPr>
          </w:p>
        </w:tc>
      </w:tr>
      <w:tr w14:paraId="2A77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05D0C0CC">
            <w:pPr>
              <w:tabs>
                <w:tab w:val="right" w:pos="3690"/>
                <w:tab w:val="right" w:pos="5130"/>
                <w:tab w:val="right" w:pos="6030"/>
                <w:tab w:val="right" w:pos="7650"/>
                <w:tab w:val="right" w:pos="9270"/>
              </w:tabs>
              <w:adjustRightInd w:val="0"/>
              <w:snapToGri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应付股利</w:t>
            </w:r>
          </w:p>
        </w:tc>
        <w:tc>
          <w:tcPr>
            <w:tcW w:w="1582" w:type="pct"/>
            <w:vAlign w:val="center"/>
          </w:tcPr>
          <w:p w14:paraId="38823326">
            <w:pPr>
              <w:tabs>
                <w:tab w:val="right" w:pos="3690"/>
                <w:tab w:val="right" w:pos="5130"/>
                <w:tab w:val="right" w:pos="6030"/>
                <w:tab w:val="right" w:pos="7650"/>
                <w:tab w:val="right" w:pos="9270"/>
              </w:tabs>
              <w:adjustRightInd w:val="0"/>
              <w:snapToGrid w:val="0"/>
              <w:jc w:val="right"/>
              <w:rPr>
                <w:rFonts w:cs="Times New Roman"/>
              </w:rPr>
            </w:pPr>
          </w:p>
        </w:tc>
        <w:tc>
          <w:tcPr>
            <w:tcW w:w="1590" w:type="pct"/>
            <w:vAlign w:val="center"/>
          </w:tcPr>
          <w:p w14:paraId="2906A6BE">
            <w:pPr>
              <w:tabs>
                <w:tab w:val="right" w:pos="3690"/>
                <w:tab w:val="right" w:pos="5130"/>
                <w:tab w:val="right" w:pos="6030"/>
                <w:tab w:val="right" w:pos="7650"/>
                <w:tab w:val="right" w:pos="9270"/>
              </w:tabs>
              <w:adjustRightInd w:val="0"/>
              <w:snapToGrid w:val="0"/>
              <w:jc w:val="right"/>
              <w:rPr>
                <w:rFonts w:cs="Times New Roman"/>
              </w:rPr>
            </w:pPr>
          </w:p>
        </w:tc>
      </w:tr>
      <w:tr w14:paraId="5878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3DC23E62">
            <w:pPr>
              <w:tabs>
                <w:tab w:val="right" w:pos="3690"/>
                <w:tab w:val="right" w:pos="5130"/>
                <w:tab w:val="right" w:pos="6030"/>
                <w:tab w:val="right" w:pos="7650"/>
                <w:tab w:val="right" w:pos="9270"/>
              </w:tabs>
              <w:adjustRightInd w:val="0"/>
              <w:snapToGri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其他应付款</w:t>
            </w:r>
          </w:p>
        </w:tc>
        <w:tc>
          <w:tcPr>
            <w:tcW w:w="2792" w:type="dxa"/>
            <w:vAlign w:val="center"/>
          </w:tcPr>
          <w:p w14:paraId="3867390F">
            <w:pPr>
              <w:jc w:val="right"/>
              <w:textAlignment w:val="center"/>
              <w:rPr>
                <w:rFonts w:cs="Times New Roman"/>
              </w:rPr>
            </w:pPr>
            <w:r>
              <w:rPr>
                <w:rFonts w:eastAsia="Arial Narrow" w:cs="Times New Roman"/>
                <w:color w:val="000000"/>
                <w:lang w:bidi="ar"/>
              </w:rPr>
              <w:t>944,679,877.34</w:t>
            </w:r>
          </w:p>
        </w:tc>
        <w:tc>
          <w:tcPr>
            <w:tcW w:w="1590" w:type="pct"/>
            <w:vAlign w:val="center"/>
          </w:tcPr>
          <w:p w14:paraId="29F51335">
            <w:pPr>
              <w:jc w:val="right"/>
              <w:textAlignment w:val="center"/>
              <w:rPr>
                <w:rFonts w:cs="Times New Roman"/>
              </w:rPr>
            </w:pPr>
            <w:r>
              <w:rPr>
                <w:rFonts w:cs="Times New Roman"/>
                <w:color w:val="000000"/>
              </w:rPr>
              <w:t>958,381,409.24</w:t>
            </w:r>
          </w:p>
        </w:tc>
      </w:tr>
      <w:tr w14:paraId="4D2E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235BA310">
            <w:pPr>
              <w:tabs>
                <w:tab w:val="right" w:pos="3690"/>
                <w:tab w:val="right" w:pos="5130"/>
                <w:tab w:val="right" w:pos="6030"/>
                <w:tab w:val="right" w:pos="7650"/>
                <w:tab w:val="right" w:pos="9270"/>
              </w:tabs>
              <w:adjustRightInd w:val="0"/>
              <w:snapToGri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792" w:type="dxa"/>
            <w:vAlign w:val="center"/>
          </w:tcPr>
          <w:p w14:paraId="70EB60D6">
            <w:pPr>
              <w:jc w:val="right"/>
              <w:textAlignment w:val="center"/>
              <w:rPr>
                <w:rFonts w:cs="Times New Roman"/>
              </w:rPr>
            </w:pPr>
            <w:r>
              <w:rPr>
                <w:rFonts w:eastAsia="Arial Narrow" w:cs="Times New Roman"/>
                <w:color w:val="000000"/>
                <w:lang w:bidi="ar"/>
              </w:rPr>
              <w:t>944,679,877.34</w:t>
            </w:r>
          </w:p>
        </w:tc>
        <w:tc>
          <w:tcPr>
            <w:tcW w:w="1590" w:type="pct"/>
            <w:vAlign w:val="center"/>
          </w:tcPr>
          <w:p w14:paraId="342D8CC3">
            <w:pPr>
              <w:jc w:val="right"/>
              <w:textAlignment w:val="center"/>
              <w:rPr>
                <w:rFonts w:cs="Times New Roman"/>
              </w:rPr>
            </w:pPr>
            <w:r>
              <w:rPr>
                <w:rFonts w:cs="Times New Roman"/>
                <w:color w:val="000000"/>
              </w:rPr>
              <w:t>958,381,409.24</w:t>
            </w:r>
          </w:p>
        </w:tc>
      </w:tr>
    </w:tbl>
    <w:p w14:paraId="1C26FC69">
      <w:pPr>
        <w:rPr>
          <w:color w:val="000000" w:themeColor="text1"/>
          <w14:textFill>
            <w14:solidFill>
              <w14:schemeClr w14:val="tx1"/>
            </w14:solidFill>
          </w14:textFill>
        </w:rPr>
      </w:pPr>
    </w:p>
    <w:bookmarkEnd w:id="356"/>
    <w:p w14:paraId="5C15C2C9">
      <w:pPr>
        <w:pStyle w:val="58"/>
        <w:numPr>
          <w:ilvl w:val="0"/>
          <w:numId w:val="83"/>
        </w:numPr>
        <w:ind w:left="425" w:hanging="425"/>
        <w:rPr>
          <w:color w:val="000000" w:themeColor="text1"/>
          <w14:textFill>
            <w14:solidFill>
              <w14:schemeClr w14:val="tx1"/>
            </w14:solidFill>
          </w14:textFill>
        </w:rPr>
      </w:pPr>
      <w:bookmarkStart w:id="357" w:name="_Hlk10536047"/>
      <w:r>
        <w:rPr>
          <w:rFonts w:hint="eastAsia"/>
          <w:color w:val="000000" w:themeColor="text1"/>
          <w14:textFill>
            <w14:solidFill>
              <w14:schemeClr w14:val="tx1"/>
            </w14:solidFill>
          </w14:textFill>
        </w:rPr>
        <w:t>应付利息</w:t>
      </w:r>
    </w:p>
    <w:sdt>
      <w:sdtPr>
        <w:rPr>
          <w:color w:val="000000" w:themeColor="text1"/>
          <w14:textFill>
            <w14:solidFill>
              <w14:schemeClr w14:val="tx1"/>
            </w14:solidFill>
          </w14:textFill>
        </w:rPr>
        <w:alias w:val="是否适用：应付利息[双击切换]"/>
        <w:tag w:val="_GBC_9058c1c6b0a94f6a8c531ec2dbd35706"/>
        <w:id w:val="147479923"/>
        <w:placeholder>
          <w:docPart w:val="GBC22222222222222222222222222222"/>
        </w:placeholder>
      </w:sdtPr>
      <w:sdtEndPr>
        <w:rPr>
          <w:color w:val="000000" w:themeColor="text1"/>
          <w14:textFill>
            <w14:solidFill>
              <w14:schemeClr w14:val="tx1"/>
            </w14:solidFill>
          </w14:textFill>
        </w:rPr>
      </w:sdtEndPr>
      <w:sdtContent>
        <w:p w14:paraId="0D6C2DF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B855F4">
      <w:pPr>
        <w:rPr>
          <w:color w:val="000000" w:themeColor="text1"/>
          <w14:textFill>
            <w14:solidFill>
              <w14:schemeClr w14:val="tx1"/>
            </w14:solidFill>
          </w14:textFill>
        </w:rPr>
      </w:pPr>
    </w:p>
    <w:p w14:paraId="2C0F3F46">
      <w:pPr>
        <w:rPr>
          <w:color w:val="000000" w:themeColor="text1"/>
          <w14:textFill>
            <w14:solidFill>
              <w14:schemeClr w14:val="tx1"/>
            </w14:solidFill>
          </w14:textFill>
        </w:rPr>
      </w:pPr>
    </w:p>
    <w:bookmarkEnd w:id="357"/>
    <w:p w14:paraId="298EFB60">
      <w:pPr>
        <w:pStyle w:val="58"/>
        <w:numPr>
          <w:ilvl w:val="0"/>
          <w:numId w:val="83"/>
        </w:numPr>
        <w:ind w:left="425" w:hanging="425"/>
        <w:rPr>
          <w:color w:val="000000" w:themeColor="text1"/>
          <w14:textFill>
            <w14:solidFill>
              <w14:schemeClr w14:val="tx1"/>
            </w14:solidFill>
          </w14:textFill>
        </w:rPr>
      </w:pPr>
      <w:bookmarkStart w:id="358" w:name="_Hlk10536068"/>
      <w:bookmarkStart w:id="359" w:name="_Hlk10536082"/>
      <w:r>
        <w:rPr>
          <w:rFonts w:hint="eastAsia"/>
          <w:color w:val="000000" w:themeColor="text1"/>
          <w14:textFill>
            <w14:solidFill>
              <w14:schemeClr w14:val="tx1"/>
            </w14:solidFill>
          </w14:textFill>
        </w:rPr>
        <w:t>应付股利</w:t>
      </w:r>
      <w:bookmarkEnd w:id="358"/>
    </w:p>
    <w:sdt>
      <w:sdtPr>
        <w:rPr>
          <w:color w:val="000000" w:themeColor="text1"/>
          <w14:textFill>
            <w14:solidFill>
              <w14:schemeClr w14:val="tx1"/>
            </w14:solidFill>
          </w14:textFill>
        </w:rPr>
        <w:alias w:val="是否适用：应付股利[双击切换]"/>
        <w:tag w:val="_GBC_09dc75ba10d44acfb18b03320a40e4c5"/>
        <w:id w:val="147453246"/>
        <w:placeholder>
          <w:docPart w:val="GBC22222222222222222222222222222"/>
        </w:placeholder>
      </w:sdtPr>
      <w:sdtEndPr>
        <w:rPr>
          <w:color w:val="000000" w:themeColor="text1"/>
          <w14:textFill>
            <w14:solidFill>
              <w14:schemeClr w14:val="tx1"/>
            </w14:solidFill>
          </w14:textFill>
        </w:rPr>
      </w:sdtEndPr>
      <w:sdtContent>
        <w:p w14:paraId="053E9F2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DC1A4D">
      <w:pPr>
        <w:snapToGrid w:val="0"/>
        <w:rPr>
          <w:color w:val="000000" w:themeColor="text1"/>
          <w14:textFill>
            <w14:solidFill>
              <w14:schemeClr w14:val="tx1"/>
            </w14:solidFill>
          </w14:textFill>
        </w:rPr>
      </w:pPr>
    </w:p>
    <w:bookmarkEnd w:id="359"/>
    <w:p w14:paraId="7DE37525">
      <w:pPr>
        <w:rPr>
          <w:color w:val="000000" w:themeColor="text1"/>
          <w14:textFill>
            <w14:solidFill>
              <w14:schemeClr w14:val="tx1"/>
            </w14:solidFill>
          </w14:textFill>
        </w:rPr>
      </w:pPr>
    </w:p>
    <w:p w14:paraId="51AF1AE9">
      <w:pPr>
        <w:pStyle w:val="58"/>
        <w:numPr>
          <w:ilvl w:val="0"/>
          <w:numId w:val="83"/>
        </w:numPr>
        <w:ind w:left="425" w:hanging="425"/>
        <w:rPr>
          <w:color w:val="000000" w:themeColor="text1"/>
          <w14:textFill>
            <w14:solidFill>
              <w14:schemeClr w14:val="tx1"/>
            </w14:solidFill>
          </w14:textFill>
        </w:rPr>
      </w:pPr>
      <w:bookmarkStart w:id="360" w:name="_Hlk10536163"/>
      <w:r>
        <w:rPr>
          <w:rFonts w:hint="eastAsia"/>
          <w:color w:val="000000" w:themeColor="text1"/>
          <w14:textFill>
            <w14:solidFill>
              <w14:schemeClr w14:val="tx1"/>
            </w14:solidFill>
          </w14:textFill>
        </w:rPr>
        <w:t>其他应付款</w:t>
      </w:r>
    </w:p>
    <w:p w14:paraId="2980DBAA">
      <w:pPr>
        <w:rPr>
          <w:color w:val="000000" w:themeColor="text1"/>
          <w14:textFill>
            <w14:solidFill>
              <w14:schemeClr w14:val="tx1"/>
            </w14:solidFill>
          </w14:textFill>
        </w:rPr>
      </w:pPr>
      <w:r>
        <w:rPr>
          <w:rFonts w:hint="eastAsia"/>
          <w:color w:val="000000" w:themeColor="text1"/>
          <w14:textFill>
            <w14:solidFill>
              <w14:schemeClr w14:val="tx1"/>
            </w14:solidFill>
          </w14:textFill>
        </w:rPr>
        <w:t>按款项性质列示其他应付款</w:t>
      </w:r>
    </w:p>
    <w:sdt>
      <w:sdtPr>
        <w:rPr>
          <w:color w:val="000000" w:themeColor="text1"/>
          <w14:textFill>
            <w14:solidFill>
              <w14:schemeClr w14:val="tx1"/>
            </w14:solidFill>
          </w14:textFill>
        </w:rPr>
        <w:alias w:val="是否适用：按款项性质列示其他应付款[双击切换]"/>
        <w:tag w:val="_GBC_a099ebd596de4984814ff6b49af92e86"/>
        <w:id w:val="-1099864576"/>
      </w:sdtPr>
      <w:sdtEndPr>
        <w:rPr>
          <w:color w:val="000000" w:themeColor="text1"/>
          <w14:textFill>
            <w14:solidFill>
              <w14:schemeClr w14:val="tx1"/>
            </w14:solidFill>
          </w14:textFill>
        </w:rPr>
      </w:sdtEndPr>
      <w:sdtContent>
        <w:p w14:paraId="763E9F8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302040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付款情况"/>
          <w:tag w:val="_GBC_781a05c0c742470b88557fa8878adf9c"/>
          <w:id w:val="1447125806"/>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付款情况"/>
          <w:tag w:val="_GBC_19bba6af93f1445cbfdc13ddfb71a0ea"/>
          <w:id w:val="65280456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3"/>
        <w:gridCol w:w="2999"/>
        <w:gridCol w:w="3127"/>
      </w:tblGrid>
      <w:tr w14:paraId="7396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991c4118c8d4069811e5f758978143f"/>
            <w:id w:val="-231932566"/>
          </w:sdtPr>
          <w:sdtEndPr>
            <w:rPr>
              <w:rFonts w:cs="Times New Roman"/>
            </w:rPr>
          </w:sdtEndPr>
          <w:sdtContent>
            <w:tc>
              <w:tcPr>
                <w:tcW w:w="1615" w:type="pct"/>
              </w:tcPr>
              <w:p w14:paraId="229002E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c1bcea3523f040f08da3a1bd0d135ad5"/>
            <w:id w:val="1026604405"/>
          </w:sdtPr>
          <w:sdtEndPr>
            <w:rPr>
              <w:rFonts w:cs="Times New Roman"/>
            </w:rPr>
          </w:sdtEndPr>
          <w:sdtContent>
            <w:tc>
              <w:tcPr>
                <w:tcW w:w="1657" w:type="pct"/>
              </w:tcPr>
              <w:p w14:paraId="136EC45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b89663858245498c995c58e2bab384aa"/>
            <w:id w:val="-1704168723"/>
          </w:sdtPr>
          <w:sdtEndPr>
            <w:rPr>
              <w:rFonts w:cs="Times New Roman"/>
            </w:rPr>
          </w:sdtEndPr>
          <w:sdtContent>
            <w:tc>
              <w:tcPr>
                <w:tcW w:w="1728" w:type="pct"/>
              </w:tcPr>
              <w:p w14:paraId="4ECF635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sdt>
        <w:sdtPr>
          <w:rPr>
            <w:rFonts w:cs="Times New Roman"/>
            <w:color w:val="000000" w:themeColor="text1"/>
            <w14:textFill>
              <w14:solidFill>
                <w14:schemeClr w14:val="tx1"/>
              </w14:solidFill>
            </w14:textFill>
          </w:rPr>
          <w:alias w:val="其他应付款情况明细"/>
          <w:tag w:val="_TUP_d68cb62e22fc4f99ab4d25c145efcd43"/>
          <w:id w:val="1097293218"/>
          <w:placeholder>
            <w:docPart w:val="{6a0c14a3-273d-4a1c-87a0-a16ca3bc5bd5}"/>
          </w:placeholder>
        </w:sdtPr>
        <w:sdtEndPr>
          <w:rPr>
            <w:rFonts w:cs="Times New Roman"/>
            <w:color w:val="000000" w:themeColor="text1"/>
            <w14:textFill>
              <w14:solidFill>
                <w14:schemeClr w14:val="tx1"/>
              </w14:solidFill>
            </w14:textFill>
          </w:rPr>
        </w:sdtEndPr>
        <w:sdtContent>
          <w:tr w14:paraId="6E8A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5AA20D5A">
                <w:pPr>
                  <w:rPr>
                    <w:rFonts w:cs="Times New Roman"/>
                  </w:rPr>
                </w:pPr>
                <w:r>
                  <w:rPr>
                    <w:rFonts w:cs="Times New Roman"/>
                  </w:rPr>
                  <w:t>往来款</w:t>
                </w:r>
              </w:p>
            </w:tc>
            <w:tc>
              <w:tcPr>
                <w:tcW w:w="1657" w:type="pct"/>
                <w:vAlign w:val="center"/>
              </w:tcPr>
              <w:p w14:paraId="28ABC7A9">
                <w:pPr>
                  <w:jc w:val="right"/>
                  <w:rPr>
                    <w:rFonts w:cs="Times New Roman"/>
                  </w:rPr>
                </w:pPr>
                <w:r>
                  <w:rPr>
                    <w:rFonts w:cs="Times New Roman"/>
                  </w:rPr>
                  <w:t>589,419,531.55</w:t>
                </w:r>
              </w:p>
            </w:tc>
            <w:tc>
              <w:tcPr>
                <w:tcW w:w="1728" w:type="pct"/>
                <w:vAlign w:val="center"/>
              </w:tcPr>
              <w:p w14:paraId="6BC7D971">
                <w:pPr>
                  <w:jc w:val="right"/>
                  <w:rPr>
                    <w:rFonts w:cs="Times New Roman"/>
                  </w:rPr>
                </w:pPr>
                <w:r>
                  <w:rPr>
                    <w:rFonts w:cs="Times New Roman"/>
                  </w:rPr>
                  <w:t>600,899,289.66</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1955438980"/>
          <w:placeholder>
            <w:docPart w:val="{6a0c14a3-273d-4a1c-87a0-a16ca3bc5bd5}"/>
          </w:placeholder>
        </w:sdtPr>
        <w:sdtEndPr>
          <w:rPr>
            <w:rFonts w:cs="Times New Roman"/>
            <w:color w:val="000000" w:themeColor="text1"/>
            <w14:textFill>
              <w14:solidFill>
                <w14:schemeClr w14:val="tx1"/>
              </w14:solidFill>
            </w14:textFill>
          </w:rPr>
        </w:sdtEndPr>
        <w:sdtContent>
          <w:tr w14:paraId="7B34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7AE5CDE8">
                <w:pPr>
                  <w:rPr>
                    <w:rFonts w:cs="Times New Roman"/>
                  </w:rPr>
                </w:pPr>
                <w:r>
                  <w:rPr>
                    <w:rFonts w:cs="Times New Roman"/>
                  </w:rPr>
                  <w:t>保证金</w:t>
                </w:r>
              </w:p>
            </w:tc>
            <w:tc>
              <w:tcPr>
                <w:tcW w:w="1657" w:type="pct"/>
                <w:vAlign w:val="center"/>
              </w:tcPr>
              <w:p w14:paraId="4719D09F">
                <w:pPr>
                  <w:jc w:val="right"/>
                  <w:rPr>
                    <w:rFonts w:cs="Times New Roman"/>
                  </w:rPr>
                </w:pPr>
                <w:r>
                  <w:rPr>
                    <w:rFonts w:cs="Times New Roman"/>
                  </w:rPr>
                  <w:t>100,397,727.08</w:t>
                </w:r>
              </w:p>
            </w:tc>
            <w:tc>
              <w:tcPr>
                <w:tcW w:w="1728" w:type="pct"/>
                <w:vAlign w:val="center"/>
              </w:tcPr>
              <w:p w14:paraId="744136E3">
                <w:pPr>
                  <w:jc w:val="right"/>
                  <w:rPr>
                    <w:rFonts w:cs="Times New Roman"/>
                  </w:rPr>
                </w:pPr>
                <w:r>
                  <w:rPr>
                    <w:rFonts w:cs="Times New Roman"/>
                  </w:rPr>
                  <w:t>99,663,768.94</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1355721810"/>
          <w:placeholder>
            <w:docPart w:val="{6a0c14a3-273d-4a1c-87a0-a16ca3bc5bd5}"/>
          </w:placeholder>
        </w:sdtPr>
        <w:sdtEndPr>
          <w:rPr>
            <w:rFonts w:cs="Times New Roman"/>
            <w:color w:val="000000" w:themeColor="text1"/>
            <w14:textFill>
              <w14:solidFill>
                <w14:schemeClr w14:val="tx1"/>
              </w14:solidFill>
            </w14:textFill>
          </w:rPr>
        </w:sdtEndPr>
        <w:sdtContent>
          <w:tr w14:paraId="5AA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4CDAD287">
                <w:pPr>
                  <w:rPr>
                    <w:rFonts w:cs="Times New Roman"/>
                  </w:rPr>
                </w:pPr>
                <w:r>
                  <w:rPr>
                    <w:rFonts w:cs="Times New Roman"/>
                  </w:rPr>
                  <w:t>暂收款</w:t>
                </w:r>
              </w:p>
            </w:tc>
            <w:tc>
              <w:tcPr>
                <w:tcW w:w="1657" w:type="pct"/>
                <w:vAlign w:val="center"/>
              </w:tcPr>
              <w:p w14:paraId="094CAA0D">
                <w:pPr>
                  <w:jc w:val="right"/>
                  <w:rPr>
                    <w:rFonts w:cs="Times New Roman"/>
                  </w:rPr>
                </w:pPr>
                <w:r>
                  <w:rPr>
                    <w:rFonts w:cs="Times New Roman"/>
                  </w:rPr>
                  <w:t>39,848,654.05</w:t>
                </w:r>
              </w:p>
            </w:tc>
            <w:tc>
              <w:tcPr>
                <w:tcW w:w="1728" w:type="pct"/>
                <w:vAlign w:val="center"/>
              </w:tcPr>
              <w:p w14:paraId="4E1EE15A">
                <w:pPr>
                  <w:jc w:val="right"/>
                  <w:rPr>
                    <w:rFonts w:cs="Times New Roman"/>
                  </w:rPr>
                </w:pPr>
                <w:r>
                  <w:rPr>
                    <w:rFonts w:cs="Times New Roman"/>
                  </w:rPr>
                  <w:t>33,373,800.81</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1875387847"/>
          <w:placeholder>
            <w:docPart w:val="{6a0c14a3-273d-4a1c-87a0-a16ca3bc5bd5}"/>
          </w:placeholder>
        </w:sdtPr>
        <w:sdtEndPr>
          <w:rPr>
            <w:rFonts w:cs="Times New Roman"/>
            <w:color w:val="000000" w:themeColor="text1"/>
            <w14:textFill>
              <w14:solidFill>
                <w14:schemeClr w14:val="tx1"/>
              </w14:solidFill>
            </w14:textFill>
          </w:rPr>
        </w:sdtEndPr>
        <w:sdtContent>
          <w:tr w14:paraId="0C6A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561BB740">
                <w:pPr>
                  <w:rPr>
                    <w:rFonts w:cs="Times New Roman"/>
                  </w:rPr>
                </w:pPr>
                <w:r>
                  <w:rPr>
                    <w:rFonts w:cs="Times New Roman"/>
                  </w:rPr>
                  <w:t>应付职工款</w:t>
                </w:r>
              </w:p>
            </w:tc>
            <w:tc>
              <w:tcPr>
                <w:tcW w:w="1657" w:type="pct"/>
                <w:vAlign w:val="center"/>
              </w:tcPr>
              <w:p w14:paraId="0C39FE77">
                <w:pPr>
                  <w:jc w:val="right"/>
                  <w:rPr>
                    <w:rFonts w:cs="Times New Roman"/>
                  </w:rPr>
                </w:pPr>
                <w:r>
                  <w:rPr>
                    <w:rFonts w:cs="Times New Roman"/>
                  </w:rPr>
                  <w:t>68,873,212.01</w:t>
                </w:r>
              </w:p>
            </w:tc>
            <w:tc>
              <w:tcPr>
                <w:tcW w:w="1728" w:type="pct"/>
                <w:vAlign w:val="center"/>
              </w:tcPr>
              <w:p w14:paraId="55631E5F">
                <w:pPr>
                  <w:jc w:val="right"/>
                  <w:rPr>
                    <w:rFonts w:cs="Times New Roman"/>
                  </w:rPr>
                </w:pPr>
                <w:r>
                  <w:rPr>
                    <w:rFonts w:cs="Times New Roman"/>
                  </w:rPr>
                  <w:t>69,161,423.55</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599761621"/>
          <w:placeholder>
            <w:docPart w:val="{6a0c14a3-273d-4a1c-87a0-a16ca3bc5bd5}"/>
          </w:placeholder>
        </w:sdtPr>
        <w:sdtEndPr>
          <w:rPr>
            <w:rFonts w:cs="Times New Roman"/>
            <w:color w:val="000000" w:themeColor="text1"/>
            <w14:textFill>
              <w14:solidFill>
                <w14:schemeClr w14:val="tx1"/>
              </w14:solidFill>
            </w14:textFill>
          </w:rPr>
        </w:sdtEndPr>
        <w:sdtContent>
          <w:tr w14:paraId="28CD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119B38C3">
                <w:pPr>
                  <w:rPr>
                    <w:rFonts w:cs="Times New Roman"/>
                  </w:rPr>
                </w:pPr>
                <w:r>
                  <w:rPr>
                    <w:rFonts w:cs="Times New Roman"/>
                  </w:rPr>
                  <w:t>房屋维修基金</w:t>
                </w:r>
              </w:p>
            </w:tc>
            <w:tc>
              <w:tcPr>
                <w:tcW w:w="1657" w:type="pct"/>
                <w:vAlign w:val="center"/>
              </w:tcPr>
              <w:p w14:paraId="0ABFEE7E">
                <w:pPr>
                  <w:jc w:val="right"/>
                  <w:rPr>
                    <w:rFonts w:cs="Times New Roman"/>
                  </w:rPr>
                </w:pPr>
                <w:r>
                  <w:rPr>
                    <w:rFonts w:cs="Times New Roman"/>
                  </w:rPr>
                  <w:t>22,534,865.33</w:t>
                </w:r>
              </w:p>
            </w:tc>
            <w:tc>
              <w:tcPr>
                <w:tcW w:w="1728" w:type="pct"/>
                <w:vAlign w:val="center"/>
              </w:tcPr>
              <w:p w14:paraId="5E43642C">
                <w:pPr>
                  <w:jc w:val="right"/>
                  <w:rPr>
                    <w:rFonts w:cs="Times New Roman"/>
                  </w:rPr>
                </w:pPr>
                <w:r>
                  <w:rPr>
                    <w:rFonts w:cs="Times New Roman"/>
                  </w:rPr>
                  <w:t>24,983,141.57</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375432024"/>
          <w:placeholder>
            <w:docPart w:val="{6a0c14a3-273d-4a1c-87a0-a16ca3bc5bd5}"/>
          </w:placeholder>
        </w:sdtPr>
        <w:sdtEndPr>
          <w:rPr>
            <w:rFonts w:cs="Times New Roman"/>
            <w:color w:val="000000" w:themeColor="text1"/>
            <w14:textFill>
              <w14:solidFill>
                <w14:schemeClr w14:val="tx1"/>
              </w14:solidFill>
            </w14:textFill>
          </w:rPr>
        </w:sdtEndPr>
        <w:sdtContent>
          <w:tr w14:paraId="0390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562658FD">
                <w:pPr>
                  <w:rPr>
                    <w:rFonts w:cs="Times New Roman"/>
                  </w:rPr>
                </w:pPr>
                <w:r>
                  <w:rPr>
                    <w:rFonts w:cs="Times New Roman"/>
                  </w:rPr>
                  <w:t>代扣社保</w:t>
                </w:r>
              </w:p>
            </w:tc>
            <w:tc>
              <w:tcPr>
                <w:tcW w:w="1657" w:type="pct"/>
                <w:vAlign w:val="center"/>
              </w:tcPr>
              <w:p w14:paraId="6CCE082A">
                <w:pPr>
                  <w:jc w:val="right"/>
                  <w:rPr>
                    <w:rFonts w:cs="Times New Roman"/>
                  </w:rPr>
                </w:pPr>
                <w:r>
                  <w:rPr>
                    <w:rFonts w:cs="Times New Roman"/>
                  </w:rPr>
                  <w:t>11,997,143.76</w:t>
                </w:r>
              </w:p>
            </w:tc>
            <w:tc>
              <w:tcPr>
                <w:tcW w:w="1728" w:type="pct"/>
                <w:vAlign w:val="center"/>
              </w:tcPr>
              <w:p w14:paraId="54364D81">
                <w:pPr>
                  <w:jc w:val="right"/>
                  <w:rPr>
                    <w:rFonts w:cs="Times New Roman"/>
                  </w:rPr>
                </w:pPr>
                <w:r>
                  <w:rPr>
                    <w:rFonts w:cs="Times New Roman"/>
                  </w:rPr>
                  <w:t>11,573,539.82</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732150234"/>
          <w:placeholder>
            <w:docPart w:val="{6a0c14a3-273d-4a1c-87a0-a16ca3bc5bd5}"/>
          </w:placeholder>
        </w:sdtPr>
        <w:sdtEndPr>
          <w:rPr>
            <w:rFonts w:cs="Times New Roman"/>
            <w:color w:val="000000" w:themeColor="text1"/>
            <w14:textFill>
              <w14:solidFill>
                <w14:schemeClr w14:val="tx1"/>
              </w14:solidFill>
            </w14:textFill>
          </w:rPr>
        </w:sdtEndPr>
        <w:sdtContent>
          <w:tr w14:paraId="641A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006F2586">
                <w:pPr>
                  <w:rPr>
                    <w:rFonts w:cs="Times New Roman"/>
                  </w:rPr>
                </w:pPr>
                <w:r>
                  <w:rPr>
                    <w:rFonts w:cs="Times New Roman"/>
                  </w:rPr>
                  <w:t>押金</w:t>
                </w:r>
              </w:p>
            </w:tc>
            <w:tc>
              <w:tcPr>
                <w:tcW w:w="1657" w:type="pct"/>
                <w:vAlign w:val="center"/>
              </w:tcPr>
              <w:p w14:paraId="6631F7FA">
                <w:pPr>
                  <w:jc w:val="right"/>
                  <w:rPr>
                    <w:rFonts w:cs="Times New Roman"/>
                  </w:rPr>
                </w:pPr>
                <w:r>
                  <w:rPr>
                    <w:rFonts w:cs="Times New Roman"/>
                  </w:rPr>
                  <w:t>7,744,283.77</w:t>
                </w:r>
              </w:p>
            </w:tc>
            <w:tc>
              <w:tcPr>
                <w:tcW w:w="1728" w:type="pct"/>
                <w:vAlign w:val="center"/>
              </w:tcPr>
              <w:p w14:paraId="2CDB93A2">
                <w:pPr>
                  <w:jc w:val="right"/>
                  <w:rPr>
                    <w:rFonts w:cs="Times New Roman"/>
                  </w:rPr>
                </w:pPr>
                <w:r>
                  <w:rPr>
                    <w:rFonts w:cs="Times New Roman"/>
                  </w:rPr>
                  <w:t>8,838,480.34</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2055449081"/>
          <w:placeholder>
            <w:docPart w:val="{6a0c14a3-273d-4a1c-87a0-a16ca3bc5bd5}"/>
          </w:placeholder>
        </w:sdtPr>
        <w:sdtEndPr>
          <w:rPr>
            <w:rFonts w:cs="Times New Roman"/>
            <w:color w:val="000000" w:themeColor="text1"/>
            <w14:textFill>
              <w14:solidFill>
                <w14:schemeClr w14:val="tx1"/>
              </w14:solidFill>
            </w14:textFill>
          </w:rPr>
        </w:sdtEndPr>
        <w:sdtContent>
          <w:tr w14:paraId="5C98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249CDD77">
                <w:pPr>
                  <w:rPr>
                    <w:rFonts w:cs="Times New Roman"/>
                  </w:rPr>
                </w:pPr>
                <w:r>
                  <w:rPr>
                    <w:rFonts w:cs="Times New Roman"/>
                  </w:rPr>
                  <w:t>代扣公积金</w:t>
                </w:r>
              </w:p>
            </w:tc>
            <w:tc>
              <w:tcPr>
                <w:tcW w:w="1657" w:type="pct"/>
                <w:vAlign w:val="center"/>
              </w:tcPr>
              <w:p w14:paraId="758F9111">
                <w:pPr>
                  <w:jc w:val="right"/>
                  <w:rPr>
                    <w:rFonts w:cs="Times New Roman"/>
                  </w:rPr>
                </w:pPr>
                <w:r>
                  <w:rPr>
                    <w:rFonts w:cs="Times New Roman"/>
                  </w:rPr>
                  <w:t>1,098,293.15</w:t>
                </w:r>
              </w:p>
            </w:tc>
            <w:tc>
              <w:tcPr>
                <w:tcW w:w="1728" w:type="pct"/>
                <w:vAlign w:val="center"/>
              </w:tcPr>
              <w:p w14:paraId="4607A626">
                <w:pPr>
                  <w:jc w:val="right"/>
                  <w:rPr>
                    <w:rFonts w:cs="Times New Roman"/>
                  </w:rPr>
                </w:pPr>
                <w:r>
                  <w:rPr>
                    <w:rFonts w:cs="Times New Roman"/>
                  </w:rPr>
                  <w:t>1,949,292.76</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1333129804"/>
          <w:placeholder>
            <w:docPart w:val="{6a0c14a3-273d-4a1c-87a0-a16ca3bc5bd5}"/>
          </w:placeholder>
        </w:sdtPr>
        <w:sdtEndPr>
          <w:rPr>
            <w:rFonts w:cs="Times New Roman"/>
            <w:color w:val="000000" w:themeColor="text1"/>
            <w14:textFill>
              <w14:solidFill>
                <w14:schemeClr w14:val="tx1"/>
              </w14:solidFill>
            </w14:textFill>
          </w:rPr>
        </w:sdtEndPr>
        <w:sdtContent>
          <w:tr w14:paraId="45B3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61F14F24">
                <w:pPr>
                  <w:rPr>
                    <w:rFonts w:cs="Times New Roman"/>
                  </w:rPr>
                </w:pPr>
                <w:r>
                  <w:rPr>
                    <w:rFonts w:cs="Times New Roman"/>
                  </w:rPr>
                  <w:t>维修费</w:t>
                </w:r>
              </w:p>
            </w:tc>
            <w:tc>
              <w:tcPr>
                <w:tcW w:w="1657" w:type="pct"/>
                <w:vAlign w:val="center"/>
              </w:tcPr>
              <w:p w14:paraId="1D7CAE81">
                <w:pPr>
                  <w:jc w:val="right"/>
                  <w:rPr>
                    <w:rFonts w:cs="Times New Roman"/>
                  </w:rPr>
                </w:pPr>
                <w:r>
                  <w:rPr>
                    <w:rFonts w:cs="Times New Roman"/>
                  </w:rPr>
                  <w:t>1,047,213.63</w:t>
                </w:r>
              </w:p>
            </w:tc>
            <w:tc>
              <w:tcPr>
                <w:tcW w:w="1728" w:type="pct"/>
                <w:vAlign w:val="center"/>
              </w:tcPr>
              <w:p w14:paraId="3C5D098A">
                <w:pPr>
                  <w:jc w:val="right"/>
                  <w:rPr>
                    <w:rFonts w:cs="Times New Roman"/>
                  </w:rPr>
                </w:pPr>
                <w:r>
                  <w:rPr>
                    <w:rFonts w:cs="Times New Roman"/>
                  </w:rPr>
                  <w:t>933,242.79</w:t>
                </w:r>
              </w:p>
            </w:tc>
          </w:tr>
        </w:sdtContent>
      </w:sdt>
      <w:sdt>
        <w:sdtPr>
          <w:rPr>
            <w:rFonts w:cs="Times New Roman"/>
            <w:color w:val="000000" w:themeColor="text1"/>
            <w14:textFill>
              <w14:solidFill>
                <w14:schemeClr w14:val="tx1"/>
              </w14:solidFill>
            </w14:textFill>
          </w:rPr>
          <w:alias w:val="其他应付款情况明细"/>
          <w:tag w:val="_TUP_d68cb62e22fc4f99ab4d25c145efcd43"/>
          <w:id w:val="224423351"/>
          <w:placeholder>
            <w:docPart w:val="{6a0c14a3-273d-4a1c-87a0-a16ca3bc5bd5}"/>
          </w:placeholder>
        </w:sdtPr>
        <w:sdtEndPr>
          <w:rPr>
            <w:rFonts w:cs="Times New Roman"/>
            <w:color w:val="000000" w:themeColor="text1"/>
            <w14:textFill>
              <w14:solidFill>
                <w14:schemeClr w14:val="tx1"/>
              </w14:solidFill>
            </w14:textFill>
          </w:rPr>
        </w:sdtEndPr>
        <w:sdtContent>
          <w:tr w14:paraId="7D78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14:paraId="559A98D6">
                <w:pPr>
                  <w:rPr>
                    <w:rFonts w:cs="Times New Roman"/>
                  </w:rPr>
                </w:pPr>
                <w:r>
                  <w:rPr>
                    <w:rFonts w:cs="Times New Roman"/>
                  </w:rPr>
                  <w:t>其他</w:t>
                </w:r>
              </w:p>
            </w:tc>
            <w:tc>
              <w:tcPr>
                <w:tcW w:w="1657" w:type="pct"/>
                <w:vAlign w:val="center"/>
              </w:tcPr>
              <w:p w14:paraId="240F796E">
                <w:pPr>
                  <w:jc w:val="right"/>
                  <w:rPr>
                    <w:rFonts w:cs="Times New Roman"/>
                  </w:rPr>
                </w:pPr>
                <w:r>
                  <w:rPr>
                    <w:rFonts w:cs="Times New Roman"/>
                  </w:rPr>
                  <w:t>101,718,953.01</w:t>
                </w:r>
              </w:p>
            </w:tc>
            <w:tc>
              <w:tcPr>
                <w:tcW w:w="1728" w:type="pct"/>
                <w:vAlign w:val="center"/>
              </w:tcPr>
              <w:p w14:paraId="04BAE4AA">
                <w:pPr>
                  <w:jc w:val="right"/>
                  <w:rPr>
                    <w:rFonts w:cs="Times New Roman"/>
                  </w:rPr>
                </w:pPr>
                <w:r>
                  <w:rPr>
                    <w:rFonts w:cs="Times New Roman"/>
                  </w:rPr>
                  <w:t>107,005,429.00</w:t>
                </w:r>
              </w:p>
            </w:tc>
          </w:tr>
        </w:sdtContent>
      </w:sdt>
      <w:tr w14:paraId="0759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dc1df66b4e6549929c6b91b265854e4c"/>
            <w:id w:val="1887678471"/>
          </w:sdtPr>
          <w:sdtEndPr>
            <w:rPr>
              <w:rFonts w:cs="Times New Roman"/>
            </w:rPr>
          </w:sdtEndPr>
          <w:sdtContent>
            <w:tc>
              <w:tcPr>
                <w:tcW w:w="1615" w:type="pct"/>
              </w:tcPr>
              <w:p w14:paraId="4C8C605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57" w:type="pct"/>
            <w:vAlign w:val="center"/>
          </w:tcPr>
          <w:p w14:paraId="2C049BBF">
            <w:pPr>
              <w:jc w:val="right"/>
              <w:rPr>
                <w:rFonts w:cs="Times New Roman"/>
              </w:rPr>
            </w:pPr>
            <w:r>
              <w:rPr>
                <w:rFonts w:cs="Times New Roman"/>
              </w:rPr>
              <w:t>944,679,877.34</w:t>
            </w:r>
          </w:p>
        </w:tc>
        <w:tc>
          <w:tcPr>
            <w:tcW w:w="1728" w:type="pct"/>
            <w:vAlign w:val="center"/>
          </w:tcPr>
          <w:p w14:paraId="08171327">
            <w:pPr>
              <w:jc w:val="right"/>
              <w:rPr>
                <w:rFonts w:cs="Times New Roman"/>
              </w:rPr>
            </w:pPr>
            <w:r>
              <w:rPr>
                <w:rFonts w:cs="Times New Roman"/>
              </w:rPr>
              <w:t>958,381,409.24</w:t>
            </w:r>
          </w:p>
        </w:tc>
      </w:tr>
    </w:tbl>
    <w:p w14:paraId="3E1ECCFE">
      <w:pPr>
        <w:rPr>
          <w:color w:val="000000" w:themeColor="text1"/>
          <w14:textFill>
            <w14:solidFill>
              <w14:schemeClr w14:val="tx1"/>
            </w14:solidFill>
          </w14:textFill>
        </w:rPr>
      </w:pPr>
    </w:p>
    <w:p w14:paraId="230C2F0A">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账龄超过</w:t>
      </w:r>
      <w:r>
        <w:rPr>
          <w:color w:val="000000" w:themeColor="text1"/>
          <w14:textFill>
            <w14:solidFill>
              <w14:schemeClr w14:val="tx1"/>
            </w14:solidFill>
          </w14:textFill>
        </w:rPr>
        <w:t>1年</w:t>
      </w:r>
      <w:r>
        <w:rPr>
          <w:rFonts w:hint="eastAsia"/>
          <w:color w:val="000000" w:themeColor="text1"/>
          <w14:textFill>
            <w14:solidFill>
              <w14:schemeClr w14:val="tx1"/>
            </w14:solidFill>
          </w14:textFill>
        </w:rPr>
        <w:t>或逾期</w:t>
      </w:r>
      <w:r>
        <w:rPr>
          <w:color w:val="000000" w:themeColor="text1"/>
          <w14:textFill>
            <w14:solidFill>
              <w14:schemeClr w14:val="tx1"/>
            </w14:solidFill>
          </w14:textFill>
        </w:rPr>
        <w:t>的重要其他应付款</w:t>
      </w:r>
    </w:p>
    <w:p w14:paraId="491993A1">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账龄超过1年的重要其他应付款[双击切换]"/>
          <w:tag w:val="_GBC_484cd63ee8b54a41978c822ae4ec5689"/>
          <w:id w:val="1444577283"/>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sdtContent>
      </w:sdt>
    </w:p>
    <w:p w14:paraId="2C0BB57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账龄超过1年的重要其他应付款"/>
          <w:tag w:val="_GBC_70627db7610a4aaf857bc90322d6cdfe"/>
          <w:id w:val="1261096111"/>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账龄超过1年的重要其他应付款"/>
          <w:tag w:val="_GBC_8ef8bcf4c1a64fecb8d1bc26dcf905d1"/>
          <w:id w:val="-102494121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3028"/>
        <w:gridCol w:w="3113"/>
      </w:tblGrid>
      <w:tr w14:paraId="4FF0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sdt>
          <w:sdtPr>
            <w:rPr>
              <w:rFonts w:cs="Times New Roman"/>
            </w:rPr>
            <w:tag w:val="_PLD_a2b3ff41455140df9be8564e6380c550"/>
            <w:id w:val="-1552526077"/>
          </w:sdtPr>
          <w:sdtEndPr>
            <w:rPr>
              <w:rFonts w:cs="Times New Roman"/>
            </w:rPr>
          </w:sdtEndPr>
          <w:sdtContent>
            <w:tc>
              <w:tcPr>
                <w:tcW w:w="1607" w:type="pct"/>
                <w:vAlign w:val="center"/>
              </w:tcPr>
              <w:p w14:paraId="0A22E79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e96da55b57ef4b128b17e8730df5f38e"/>
            <w:id w:val="-1318193792"/>
          </w:sdtPr>
          <w:sdtEndPr>
            <w:rPr>
              <w:rFonts w:cs="Times New Roman"/>
            </w:rPr>
          </w:sdtEndPr>
          <w:sdtContent>
            <w:tc>
              <w:tcPr>
                <w:tcW w:w="1673" w:type="pct"/>
                <w:vAlign w:val="center"/>
              </w:tcPr>
              <w:p w14:paraId="147B1A1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a0a7c81595d2416d898e57939ff78dd7"/>
            <w:id w:val="-1764688804"/>
          </w:sdtPr>
          <w:sdtEndPr>
            <w:rPr>
              <w:rFonts w:cs="Times New Roman"/>
            </w:rPr>
          </w:sdtEndPr>
          <w:sdtContent>
            <w:tc>
              <w:tcPr>
                <w:tcW w:w="1720" w:type="pct"/>
                <w:vAlign w:val="center"/>
              </w:tcPr>
              <w:p w14:paraId="06078A1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未偿还或结转的原因</w:t>
                </w:r>
              </w:p>
            </w:tc>
          </w:sdtContent>
        </w:sdt>
      </w:tr>
      <w:sdt>
        <w:sdtPr>
          <w:rPr>
            <w:rFonts w:cs="Times New Roman"/>
            <w:color w:val="000000" w:themeColor="text1"/>
            <w14:textFill>
              <w14:solidFill>
                <w14:schemeClr w14:val="tx1"/>
              </w14:solidFill>
            </w14:textFill>
          </w:rPr>
          <w:alias w:val="重要的账龄超过1年的其他应付款明细"/>
          <w:tag w:val="_TUP_107abfb893f149c8878e75d2528d9efe"/>
          <w:id w:val="-927272976"/>
          <w:placeholder>
            <w:docPart w:val="{d4c05224-2427-4576-94d4-91b9333b0dd2}"/>
          </w:placeholder>
        </w:sdtPr>
        <w:sdtEndPr>
          <w:rPr>
            <w:rFonts w:cs="Times New Roman"/>
            <w:color w:val="000000" w:themeColor="text1"/>
            <w14:textFill>
              <w14:solidFill>
                <w14:schemeClr w14:val="tx1"/>
              </w14:solidFill>
            </w14:textFill>
          </w:rPr>
        </w:sdtEndPr>
        <w:sdtContent>
          <w:tr w14:paraId="7AED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5138644C">
                <w:pPr>
                  <w:rPr>
                    <w:rFonts w:cs="Times New Roman"/>
                  </w:rPr>
                </w:pPr>
                <w:r>
                  <w:rPr>
                    <w:rFonts w:cs="Times New Roman"/>
                  </w:rPr>
                  <w:t>往来款</w:t>
                </w:r>
              </w:p>
            </w:tc>
            <w:tc>
              <w:tcPr>
                <w:tcW w:w="1673" w:type="pct"/>
                <w:vAlign w:val="center"/>
              </w:tcPr>
              <w:p w14:paraId="23E72C4F">
                <w:pPr>
                  <w:jc w:val="right"/>
                  <w:rPr>
                    <w:rFonts w:cs="Times New Roman"/>
                  </w:rPr>
                </w:pPr>
                <w:r>
                  <w:rPr>
                    <w:rFonts w:cs="Times New Roman"/>
                  </w:rPr>
                  <w:t>264,046,960.18</w:t>
                </w:r>
              </w:p>
            </w:tc>
            <w:tc>
              <w:tcPr>
                <w:tcW w:w="1720" w:type="pct"/>
                <w:vAlign w:val="center"/>
              </w:tcPr>
              <w:p w14:paraId="349FB118">
                <w:pPr>
                  <w:rPr>
                    <w:rFonts w:cs="Times New Roman"/>
                  </w:rPr>
                </w:pPr>
                <w:r>
                  <w:rPr>
                    <w:rFonts w:cs="Times New Roman"/>
                  </w:rPr>
                  <w:t>业务尚未结束</w:t>
                </w:r>
              </w:p>
            </w:tc>
          </w:tr>
        </w:sdtContent>
      </w:sdt>
      <w:sdt>
        <w:sdtPr>
          <w:rPr>
            <w:rFonts w:cs="Times New Roman"/>
            <w:color w:val="000000" w:themeColor="text1"/>
            <w14:textFill>
              <w14:solidFill>
                <w14:schemeClr w14:val="tx1"/>
              </w14:solidFill>
            </w14:textFill>
          </w:rPr>
          <w:alias w:val="重要的账龄超过1年的其他应付款明细"/>
          <w:tag w:val="_TUP_107abfb893f149c8878e75d2528d9efe"/>
          <w:id w:val="854846092"/>
          <w:placeholder>
            <w:docPart w:val="{d4c05224-2427-4576-94d4-91b9333b0dd2}"/>
          </w:placeholder>
        </w:sdtPr>
        <w:sdtEndPr>
          <w:rPr>
            <w:rFonts w:cs="Times New Roman"/>
            <w:color w:val="000000" w:themeColor="text1"/>
            <w14:textFill>
              <w14:solidFill>
                <w14:schemeClr w14:val="tx1"/>
              </w14:solidFill>
            </w14:textFill>
          </w:rPr>
        </w:sdtEndPr>
        <w:sdtContent>
          <w:tr w14:paraId="593A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449BC9D2">
                <w:pPr>
                  <w:rPr>
                    <w:rFonts w:cs="Times New Roman"/>
                  </w:rPr>
                </w:pPr>
                <w:r>
                  <w:rPr>
                    <w:rFonts w:cs="Times New Roman"/>
                  </w:rPr>
                  <w:t>房屋维修基金</w:t>
                </w:r>
              </w:p>
            </w:tc>
            <w:tc>
              <w:tcPr>
                <w:tcW w:w="1673" w:type="pct"/>
                <w:vAlign w:val="center"/>
              </w:tcPr>
              <w:p w14:paraId="014C4EA7">
                <w:pPr>
                  <w:jc w:val="right"/>
                  <w:rPr>
                    <w:rFonts w:cs="Times New Roman"/>
                  </w:rPr>
                </w:pPr>
                <w:r>
                  <w:rPr>
                    <w:rFonts w:cs="Times New Roman"/>
                  </w:rPr>
                  <w:t>21,441,373.15</w:t>
                </w:r>
              </w:p>
            </w:tc>
            <w:tc>
              <w:tcPr>
                <w:tcW w:w="1720" w:type="pct"/>
                <w:vAlign w:val="center"/>
              </w:tcPr>
              <w:p w14:paraId="0E44D371">
                <w:pPr>
                  <w:rPr>
                    <w:rFonts w:cs="Times New Roman"/>
                  </w:rPr>
                </w:pPr>
                <w:r>
                  <w:rPr>
                    <w:rFonts w:cs="Times New Roman"/>
                  </w:rPr>
                  <w:t>尚未使用</w:t>
                </w:r>
              </w:p>
            </w:tc>
          </w:tr>
        </w:sdtContent>
      </w:sdt>
      <w:sdt>
        <w:sdtPr>
          <w:rPr>
            <w:rFonts w:cs="Times New Roman"/>
            <w:color w:val="000000" w:themeColor="text1"/>
            <w14:textFill>
              <w14:solidFill>
                <w14:schemeClr w14:val="tx1"/>
              </w14:solidFill>
            </w14:textFill>
          </w:rPr>
          <w:alias w:val="重要的账龄超过1年的其他应付款明细"/>
          <w:tag w:val="_TUP_107abfb893f149c8878e75d2528d9efe"/>
          <w:id w:val="1882284135"/>
          <w:placeholder>
            <w:docPart w:val="{d4c05224-2427-4576-94d4-91b9333b0dd2}"/>
          </w:placeholder>
        </w:sdtPr>
        <w:sdtEndPr>
          <w:rPr>
            <w:rFonts w:cs="Times New Roman"/>
            <w:color w:val="000000" w:themeColor="text1"/>
            <w14:textFill>
              <w14:solidFill>
                <w14:schemeClr w14:val="tx1"/>
              </w14:solidFill>
            </w14:textFill>
          </w:rPr>
        </w:sdtEndPr>
        <w:sdtContent>
          <w:tr w14:paraId="531B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Borders>
                  <w:bottom w:val="single" w:color="auto" w:sz="4" w:space="0"/>
                </w:tcBorders>
              </w:tcPr>
              <w:p w14:paraId="76A63D70">
                <w:pPr>
                  <w:rPr>
                    <w:rFonts w:cs="Times New Roman"/>
                  </w:rPr>
                </w:pPr>
                <w:r>
                  <w:rPr>
                    <w:rFonts w:cs="Times New Roman"/>
                  </w:rPr>
                  <w:t>保证金</w:t>
                </w:r>
              </w:p>
            </w:tc>
            <w:tc>
              <w:tcPr>
                <w:tcW w:w="1673" w:type="pct"/>
                <w:vAlign w:val="center"/>
              </w:tcPr>
              <w:p w14:paraId="6594978D">
                <w:pPr>
                  <w:jc w:val="right"/>
                  <w:rPr>
                    <w:rFonts w:cs="Times New Roman"/>
                  </w:rPr>
                </w:pPr>
                <w:r>
                  <w:rPr>
                    <w:rFonts w:cs="Times New Roman"/>
                  </w:rPr>
                  <w:t>49,050,000.00</w:t>
                </w:r>
              </w:p>
            </w:tc>
            <w:tc>
              <w:tcPr>
                <w:tcW w:w="1720" w:type="pct"/>
                <w:vAlign w:val="center"/>
              </w:tcPr>
              <w:p w14:paraId="236EF38E">
                <w:pPr>
                  <w:rPr>
                    <w:rFonts w:cs="Times New Roman"/>
                  </w:rPr>
                </w:pPr>
                <w:r>
                  <w:rPr>
                    <w:rFonts w:cs="Times New Roman"/>
                  </w:rPr>
                  <w:t>未达到结算条件</w:t>
                </w:r>
              </w:p>
            </w:tc>
          </w:tr>
        </w:sdtContent>
      </w:sdt>
      <w:tr w14:paraId="55C1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ea766d57335d427393a67dd762f0167b"/>
            <w:id w:val="-1444759927"/>
          </w:sdtPr>
          <w:sdtEndPr>
            <w:rPr>
              <w:rFonts w:cs="Times New Roman"/>
            </w:rPr>
          </w:sdtEndPr>
          <w:sdtContent>
            <w:tc>
              <w:tcPr>
                <w:tcW w:w="1607" w:type="pct"/>
                <w:vAlign w:val="center"/>
              </w:tcPr>
              <w:p w14:paraId="305099E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73" w:type="pct"/>
            <w:vAlign w:val="center"/>
          </w:tcPr>
          <w:p w14:paraId="7EAF26A5">
            <w:pPr>
              <w:jc w:val="right"/>
              <w:rPr>
                <w:rFonts w:cs="Times New Roman"/>
              </w:rPr>
            </w:pPr>
            <w:r>
              <w:rPr>
                <w:rFonts w:cs="Times New Roman"/>
              </w:rPr>
              <w:t>334,538,333.33</w:t>
            </w:r>
          </w:p>
        </w:tc>
        <w:tc>
          <w:tcPr>
            <w:tcW w:w="1720" w:type="pct"/>
          </w:tcPr>
          <w:p w14:paraId="736705F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2C72F8C6">
      <w:pPr>
        <w:rPr>
          <w:color w:val="000000" w:themeColor="text1"/>
          <w14:textFill>
            <w14:solidFill>
              <w14:schemeClr w14:val="tx1"/>
            </w14:solidFill>
          </w14:textFill>
        </w:rPr>
      </w:pPr>
    </w:p>
    <w:p w14:paraId="6D4909F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应付款的其他说明[双击切换]"/>
        <w:tag w:val="_GBC_c968ec386e144657884a6b5b483acbfd"/>
        <w:id w:val="147478185"/>
        <w:placeholder>
          <w:docPart w:val="GBC22222222222222222222222222222"/>
        </w:placeholder>
      </w:sdtPr>
      <w:sdtEndPr>
        <w:rPr>
          <w:color w:val="000000" w:themeColor="text1"/>
          <w14:textFill>
            <w14:solidFill>
              <w14:schemeClr w14:val="tx1"/>
            </w14:solidFill>
          </w14:textFill>
        </w:rPr>
      </w:sdtEndPr>
      <w:sdtContent>
        <w:p w14:paraId="05DC1C1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60"/>
    <w:p w14:paraId="40AD063B">
      <w:pPr>
        <w:rPr>
          <w:color w:val="000000" w:themeColor="text1"/>
          <w14:textFill>
            <w14:solidFill>
              <w14:schemeClr w14:val="tx1"/>
            </w14:solidFill>
          </w14:textFill>
        </w:rPr>
      </w:pPr>
    </w:p>
    <w:p w14:paraId="2D5A8066">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持有待售负债</w:t>
      </w:r>
    </w:p>
    <w:sdt>
      <w:sdtPr>
        <w:rPr>
          <w:color w:val="000000" w:themeColor="text1"/>
          <w14:textFill>
            <w14:solidFill>
              <w14:schemeClr w14:val="tx1"/>
            </w14:solidFill>
          </w14:textFill>
        </w:rPr>
        <w:alias w:val="是否适用：划分为持有待售的负债[双击切换]"/>
        <w:tag w:val="_GBC_039b9e06b132407a89f578be468d6ec8"/>
        <w:id w:val="147468035"/>
        <w:placeholder>
          <w:docPart w:val="GBC22222222222222222222222222222"/>
        </w:placeholder>
      </w:sdtPr>
      <w:sdtEndPr>
        <w:rPr>
          <w:color w:val="000000" w:themeColor="text1"/>
          <w14:textFill>
            <w14:solidFill>
              <w14:schemeClr w14:val="tx1"/>
            </w14:solidFill>
          </w14:textFill>
        </w:rPr>
      </w:sdtEndPr>
      <w:sdtContent>
        <w:p w14:paraId="26BF118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B03A78">
      <w:pPr>
        <w:rPr>
          <w:color w:val="000000" w:themeColor="text1"/>
          <w14:textFill>
            <w14:solidFill>
              <w14:schemeClr w14:val="tx1"/>
            </w14:solidFill>
          </w14:textFill>
        </w:rPr>
      </w:pPr>
    </w:p>
    <w:p w14:paraId="3856D4DD">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1年内到期的非流动负债</w:t>
      </w:r>
    </w:p>
    <w:sdt>
      <w:sdtPr>
        <w:rPr>
          <w:color w:val="000000" w:themeColor="text1"/>
          <w14:textFill>
            <w14:solidFill>
              <w14:schemeClr w14:val="tx1"/>
            </w14:solidFill>
          </w14:textFill>
        </w:rPr>
        <w:alias w:val="是否适用：1年内到期的非流动负债[双击切换]"/>
        <w:tag w:val="_GBC_9b606bc3f0cf4f77be9b0f299d212c73"/>
        <w:id w:val="147462282"/>
        <w:placeholder>
          <w:docPart w:val="GBC22222222222222222222222222222"/>
        </w:placeholder>
      </w:sdtPr>
      <w:sdtEndPr>
        <w:rPr>
          <w:color w:val="000000" w:themeColor="text1"/>
          <w14:textFill>
            <w14:solidFill>
              <w14:schemeClr w14:val="tx1"/>
            </w14:solidFill>
          </w14:textFill>
        </w:rPr>
      </w:sdtEndPr>
      <w:sdtContent>
        <w:p w14:paraId="3063958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0D57B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1年内到期的非流动负债情况"/>
          <w:tag w:val="_GBC_7bad01766fa0485ea9c16109704ff32e"/>
          <w:id w:val="1474768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1年内到期的非流动负债情况"/>
          <w:tag w:val="_GBC_25aa805434d340a6ade79870522c9640"/>
          <w:id w:val="1474687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3037"/>
        <w:gridCol w:w="3104"/>
      </w:tblGrid>
      <w:tr w14:paraId="6345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bf2815b84ebe4a1e94909ee96ec31ac1"/>
            <w:id w:val="147451868"/>
          </w:sdtPr>
          <w:sdtEndPr>
            <w:rPr>
              <w:rFonts w:cs="Times New Roman"/>
            </w:rPr>
          </w:sdtEndPr>
          <w:sdtContent>
            <w:tc>
              <w:tcPr>
                <w:tcW w:w="1607" w:type="pct"/>
              </w:tcPr>
              <w:p w14:paraId="3290178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b7abcf611bc4296ad7bd9c8177202e0"/>
            <w:id w:val="147478694"/>
          </w:sdtPr>
          <w:sdtEndPr>
            <w:rPr>
              <w:rFonts w:cs="Times New Roman"/>
            </w:rPr>
          </w:sdtEndPr>
          <w:sdtContent>
            <w:tc>
              <w:tcPr>
                <w:tcW w:w="1678" w:type="pct"/>
              </w:tcPr>
              <w:p w14:paraId="3C7021C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371959274ef4493ca1fe426c930e0bf2"/>
            <w:id w:val="147468488"/>
          </w:sdtPr>
          <w:sdtEndPr>
            <w:rPr>
              <w:rFonts w:cs="Times New Roman"/>
            </w:rPr>
          </w:sdtEndPr>
          <w:sdtContent>
            <w:tc>
              <w:tcPr>
                <w:tcW w:w="1715" w:type="pct"/>
              </w:tcPr>
              <w:p w14:paraId="5DB13EC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09D6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039B7E9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1年内到期的长期借款</w:t>
            </w:r>
          </w:p>
        </w:tc>
        <w:tc>
          <w:tcPr>
            <w:tcW w:w="1678" w:type="pct"/>
            <w:vAlign w:val="center"/>
          </w:tcPr>
          <w:p w14:paraId="346B0FAA">
            <w:pPr>
              <w:jc w:val="right"/>
              <w:textAlignment w:val="center"/>
              <w:rPr>
                <w:rFonts w:cs="Times New Roman"/>
              </w:rPr>
            </w:pPr>
            <w:r>
              <w:rPr>
                <w:rFonts w:cs="Times New Roman"/>
                <w:color w:val="000000"/>
              </w:rPr>
              <w:t>14,707,283.00</w:t>
            </w:r>
          </w:p>
        </w:tc>
        <w:tc>
          <w:tcPr>
            <w:tcW w:w="1715" w:type="pct"/>
            <w:vAlign w:val="center"/>
          </w:tcPr>
          <w:p w14:paraId="6DFB4566">
            <w:pPr>
              <w:jc w:val="right"/>
              <w:textAlignment w:val="center"/>
              <w:rPr>
                <w:rFonts w:cs="Times New Roman"/>
              </w:rPr>
            </w:pPr>
            <w:r>
              <w:rPr>
                <w:rFonts w:cs="Times New Roman"/>
                <w:color w:val="000000"/>
              </w:rPr>
              <w:t>32,903,118.06</w:t>
            </w:r>
          </w:p>
        </w:tc>
      </w:tr>
      <w:tr w14:paraId="457B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7BF0996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1年内到期的应付债券</w:t>
            </w:r>
          </w:p>
        </w:tc>
        <w:tc>
          <w:tcPr>
            <w:tcW w:w="1678" w:type="pct"/>
            <w:vAlign w:val="center"/>
          </w:tcPr>
          <w:p w14:paraId="69E59227">
            <w:pPr>
              <w:jc w:val="right"/>
              <w:textAlignment w:val="center"/>
              <w:rPr>
                <w:rFonts w:cs="Times New Roman"/>
              </w:rPr>
            </w:pPr>
            <w:r>
              <w:rPr>
                <w:rFonts w:cs="Times New Roman"/>
                <w:color w:val="000000"/>
              </w:rPr>
              <w:t>500,900,408.11</w:t>
            </w:r>
          </w:p>
        </w:tc>
        <w:tc>
          <w:tcPr>
            <w:tcW w:w="1715" w:type="pct"/>
            <w:vAlign w:val="center"/>
          </w:tcPr>
          <w:p w14:paraId="220CFD3B">
            <w:pPr>
              <w:jc w:val="right"/>
              <w:textAlignment w:val="center"/>
              <w:rPr>
                <w:rFonts w:cs="Times New Roman"/>
              </w:rPr>
            </w:pPr>
            <w:r>
              <w:rPr>
                <w:rFonts w:cs="Times New Roman"/>
                <w:color w:val="000000"/>
              </w:rPr>
              <w:t>20,276,025.81</w:t>
            </w:r>
          </w:p>
        </w:tc>
      </w:tr>
      <w:tr w14:paraId="68E0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2F09321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1年内到期的租赁负债</w:t>
            </w:r>
          </w:p>
        </w:tc>
        <w:tc>
          <w:tcPr>
            <w:tcW w:w="1678" w:type="pct"/>
            <w:vAlign w:val="center"/>
          </w:tcPr>
          <w:p w14:paraId="36D0D0CE">
            <w:pPr>
              <w:jc w:val="right"/>
              <w:textAlignment w:val="center"/>
              <w:rPr>
                <w:rFonts w:cs="Times New Roman"/>
              </w:rPr>
            </w:pPr>
            <w:r>
              <w:rPr>
                <w:rFonts w:cs="Times New Roman"/>
                <w:color w:val="000000"/>
              </w:rPr>
              <w:t>865,881.50</w:t>
            </w:r>
          </w:p>
        </w:tc>
        <w:tc>
          <w:tcPr>
            <w:tcW w:w="1715" w:type="pct"/>
            <w:vAlign w:val="center"/>
          </w:tcPr>
          <w:p w14:paraId="00470D3C">
            <w:pPr>
              <w:jc w:val="right"/>
              <w:textAlignment w:val="center"/>
              <w:rPr>
                <w:rFonts w:cs="Times New Roman"/>
              </w:rPr>
            </w:pPr>
            <w:r>
              <w:rPr>
                <w:rFonts w:cs="Times New Roman"/>
                <w:color w:val="000000"/>
              </w:rPr>
              <w:t>845,174.42</w:t>
            </w:r>
          </w:p>
        </w:tc>
      </w:tr>
      <w:tr w14:paraId="2B2F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14:paraId="40598CF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78" w:type="pct"/>
            <w:vAlign w:val="center"/>
          </w:tcPr>
          <w:p w14:paraId="3FA765EB">
            <w:pPr>
              <w:jc w:val="right"/>
              <w:textAlignment w:val="center"/>
              <w:rPr>
                <w:rFonts w:cs="Times New Roman"/>
              </w:rPr>
            </w:pPr>
            <w:r>
              <w:rPr>
                <w:rFonts w:cs="Times New Roman"/>
                <w:color w:val="000000"/>
              </w:rPr>
              <w:t>516,473,572.61</w:t>
            </w:r>
          </w:p>
        </w:tc>
        <w:tc>
          <w:tcPr>
            <w:tcW w:w="1715" w:type="pct"/>
            <w:vAlign w:val="center"/>
          </w:tcPr>
          <w:p w14:paraId="3899B9CB">
            <w:pPr>
              <w:jc w:val="right"/>
              <w:textAlignment w:val="center"/>
              <w:rPr>
                <w:rFonts w:cs="Times New Roman"/>
              </w:rPr>
            </w:pPr>
            <w:r>
              <w:rPr>
                <w:rFonts w:cs="Times New Roman"/>
                <w:color w:val="000000"/>
              </w:rPr>
              <w:t>54,024,318.29</w:t>
            </w:r>
          </w:p>
        </w:tc>
      </w:tr>
    </w:tbl>
    <w:p w14:paraId="6F13420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1年内到期的非流动负债说明"/>
        <w:tag w:val="_GBC_ae2cc1bff1994660ac9e57279493bfe6"/>
        <w:id w:val="147471535"/>
        <w:placeholder>
          <w:docPart w:val="GBC22222222222222222222222222222"/>
        </w:placeholder>
      </w:sdtPr>
      <w:sdtEndPr>
        <w:rPr>
          <w:color w:val="000000" w:themeColor="text1"/>
          <w14:textFill>
            <w14:solidFill>
              <w14:schemeClr w14:val="tx1"/>
            </w14:solidFill>
          </w14:textFill>
        </w:rPr>
      </w:sdtEndPr>
      <w:sdtContent>
        <w:p w14:paraId="35C7DCF2">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EAE9398">
      <w:pPr>
        <w:rPr>
          <w:color w:val="000000" w:themeColor="text1"/>
          <w14:textFill>
            <w14:solidFill>
              <w14:schemeClr w14:val="tx1"/>
            </w14:solidFill>
          </w14:textFill>
        </w:rPr>
      </w:pPr>
    </w:p>
    <w:p w14:paraId="59BC3DDA">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其他流动负债</w:t>
      </w:r>
      <w:bookmarkStart w:id="361" w:name="_Hlk10536328"/>
    </w:p>
    <w:sdt>
      <w:sdtPr>
        <w:rPr>
          <w:rFonts w:hint="eastAsia"/>
          <w:color w:val="000000" w:themeColor="text1"/>
          <w14:textFill>
            <w14:solidFill>
              <w14:schemeClr w14:val="tx1"/>
            </w14:solidFill>
          </w14:textFill>
        </w:rPr>
        <w:alias w:val="是否适用：其他流动负债情况 [双击切换]"/>
        <w:tag w:val="_GBC_80907e3e53c44260b850f42646eb3d63"/>
        <w:id w:val="147460137"/>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14:paraId="51F41D5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CD55A8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流动负债"/>
          <w:tag w:val="_GBC_6d31349460124941a4929421727aab0e"/>
          <w:id w:val="1474827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流动负债"/>
          <w:tag w:val="_GBC_7d8c93066ac541859a45d371953d3cdc"/>
          <w:id w:val="1474722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3118"/>
        <w:gridCol w:w="3129"/>
      </w:tblGrid>
      <w:tr w14:paraId="5573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cs="Times New Roman"/>
            </w:rPr>
            <w:tag w:val="_PLD_8fb682e3d6ad4a60b648ec38137fbf9d"/>
            <w:id w:val="147481822"/>
          </w:sdtPr>
          <w:sdtEndPr>
            <w:rPr>
              <w:rFonts w:cs="Times New Roman"/>
            </w:rPr>
          </w:sdtEndPr>
          <w:sdtContent>
            <w:tc>
              <w:tcPr>
                <w:tcW w:w="1548" w:type="pct"/>
                <w:tcBorders>
                  <w:top w:val="single" w:color="auto" w:sz="4" w:space="0"/>
                  <w:left w:val="single" w:color="auto" w:sz="4" w:space="0"/>
                  <w:bottom w:val="single" w:color="auto" w:sz="4" w:space="0"/>
                  <w:right w:val="single" w:color="auto" w:sz="4" w:space="0"/>
                </w:tcBorders>
                <w:vAlign w:val="bottom"/>
              </w:tcPr>
              <w:p w14:paraId="07B13490">
                <w:pPr>
                  <w:tabs>
                    <w:tab w:val="right" w:pos="3690"/>
                    <w:tab w:val="right" w:pos="5130"/>
                    <w:tab w:val="right" w:pos="6030"/>
                    <w:tab w:val="right" w:pos="7650"/>
                    <w:tab w:val="right" w:pos="9270"/>
                  </w:tabs>
                  <w:snapToGrid w:val="0"/>
                  <w:ind w:left="-109" w:leftChars="-52"/>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0c0b762dc58f486f9f736b7ace21e9a0"/>
            <w:id w:val="147479006"/>
          </w:sdtPr>
          <w:sdtEndPr>
            <w:rPr>
              <w:rFonts w:cs="Times New Roman"/>
            </w:rPr>
          </w:sdtEndPr>
          <w:sdtContent>
            <w:tc>
              <w:tcPr>
                <w:tcW w:w="1723" w:type="pct"/>
                <w:tcBorders>
                  <w:top w:val="single" w:color="auto" w:sz="4" w:space="0"/>
                  <w:left w:val="single" w:color="auto" w:sz="4" w:space="0"/>
                  <w:bottom w:val="single" w:color="auto" w:sz="4" w:space="0"/>
                  <w:right w:val="single" w:color="auto" w:sz="4" w:space="0"/>
                </w:tcBorders>
              </w:tcPr>
              <w:p w14:paraId="7B404972">
                <w:pPr>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942d693f41424f82b813e282a8210643"/>
            <w:id w:val="147480547"/>
          </w:sdtPr>
          <w:sdtEndPr>
            <w:rPr>
              <w:rFonts w:cs="Times New Roman"/>
            </w:rPr>
          </w:sdtEndPr>
          <w:sdtContent>
            <w:tc>
              <w:tcPr>
                <w:tcW w:w="1729" w:type="pct"/>
                <w:tcBorders>
                  <w:top w:val="single" w:color="auto" w:sz="4" w:space="0"/>
                  <w:left w:val="single" w:color="auto" w:sz="4" w:space="0"/>
                  <w:bottom w:val="single" w:color="auto" w:sz="4" w:space="0"/>
                  <w:right w:val="single" w:color="auto" w:sz="4" w:space="0"/>
                </w:tcBorders>
              </w:tcPr>
              <w:p w14:paraId="24602F20">
                <w:pPr>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677C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7FA74325">
            <w:pPr>
              <w:textAlignment w:val="top"/>
              <w:rPr>
                <w:rFonts w:cs="Times New Roman"/>
                <w:color w:val="000000" w:themeColor="text1"/>
                <w14:textFill>
                  <w14:solidFill>
                    <w14:schemeClr w14:val="tx1"/>
                  </w14:solidFill>
                </w14:textFill>
              </w:rPr>
            </w:pPr>
            <w:r>
              <w:rPr>
                <w:rFonts w:cs="Times New Roman"/>
                <w:color w:val="000000"/>
                <w:lang w:bidi="ar"/>
              </w:rPr>
              <w:t>股东借款</w:t>
            </w:r>
          </w:p>
        </w:tc>
        <w:tc>
          <w:tcPr>
            <w:tcW w:w="1723" w:type="pct"/>
            <w:tcBorders>
              <w:top w:val="single" w:color="auto" w:sz="4" w:space="0"/>
              <w:left w:val="single" w:color="auto" w:sz="4" w:space="0"/>
              <w:bottom w:val="single" w:color="auto" w:sz="4" w:space="0"/>
              <w:right w:val="single" w:color="auto" w:sz="4" w:space="0"/>
            </w:tcBorders>
            <w:vAlign w:val="center"/>
          </w:tcPr>
          <w:p w14:paraId="2826F1D8">
            <w:pPr>
              <w:jc w:val="right"/>
              <w:textAlignment w:val="center"/>
              <w:rPr>
                <w:rFonts w:cs="Times New Roman"/>
              </w:rPr>
            </w:pPr>
            <w:r>
              <w:rPr>
                <w:rFonts w:cs="Times New Roman"/>
                <w:color w:val="000000"/>
              </w:rPr>
              <w:t>215,085,500.00</w:t>
            </w:r>
          </w:p>
        </w:tc>
        <w:tc>
          <w:tcPr>
            <w:tcW w:w="1729" w:type="pct"/>
            <w:tcBorders>
              <w:top w:val="single" w:color="auto" w:sz="4" w:space="0"/>
              <w:left w:val="single" w:color="auto" w:sz="4" w:space="0"/>
              <w:bottom w:val="single" w:color="auto" w:sz="4" w:space="0"/>
              <w:right w:val="single" w:color="auto" w:sz="4" w:space="0"/>
            </w:tcBorders>
            <w:vAlign w:val="center"/>
          </w:tcPr>
          <w:p w14:paraId="1BE4F6EE">
            <w:pPr>
              <w:jc w:val="right"/>
              <w:textAlignment w:val="center"/>
              <w:rPr>
                <w:rFonts w:cs="Times New Roman"/>
              </w:rPr>
            </w:pPr>
            <w:r>
              <w:rPr>
                <w:rFonts w:cs="Times New Roman"/>
                <w:color w:val="000000"/>
              </w:rPr>
              <w:t>215,134,230.55</w:t>
            </w:r>
          </w:p>
        </w:tc>
      </w:tr>
      <w:tr w14:paraId="112F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31508083">
            <w:pPr>
              <w:textAlignment w:val="top"/>
              <w:rPr>
                <w:rFonts w:cs="Times New Roman"/>
                <w:color w:val="000000" w:themeColor="text1"/>
                <w14:textFill>
                  <w14:solidFill>
                    <w14:schemeClr w14:val="tx1"/>
                  </w14:solidFill>
                </w14:textFill>
              </w:rPr>
            </w:pPr>
            <w:r>
              <w:rPr>
                <w:rFonts w:cs="Times New Roman"/>
                <w:color w:val="000000"/>
                <w:lang w:bidi="ar"/>
              </w:rPr>
              <w:t>票据背书未终止确认款项</w:t>
            </w:r>
          </w:p>
        </w:tc>
        <w:tc>
          <w:tcPr>
            <w:tcW w:w="1723" w:type="pct"/>
            <w:tcBorders>
              <w:top w:val="single" w:color="auto" w:sz="4" w:space="0"/>
              <w:left w:val="single" w:color="auto" w:sz="4" w:space="0"/>
              <w:bottom w:val="single" w:color="auto" w:sz="4" w:space="0"/>
              <w:right w:val="single" w:color="auto" w:sz="4" w:space="0"/>
            </w:tcBorders>
            <w:vAlign w:val="center"/>
          </w:tcPr>
          <w:p w14:paraId="6A106D57">
            <w:pPr>
              <w:jc w:val="right"/>
              <w:textAlignment w:val="center"/>
              <w:rPr>
                <w:rFonts w:cs="Times New Roman"/>
              </w:rPr>
            </w:pPr>
            <w:r>
              <w:rPr>
                <w:rFonts w:cs="Times New Roman"/>
                <w:color w:val="000000"/>
              </w:rPr>
              <w:t>140,000.00</w:t>
            </w:r>
          </w:p>
        </w:tc>
        <w:tc>
          <w:tcPr>
            <w:tcW w:w="1729" w:type="pct"/>
            <w:tcBorders>
              <w:top w:val="single" w:color="auto" w:sz="4" w:space="0"/>
              <w:left w:val="single" w:color="auto" w:sz="4" w:space="0"/>
              <w:bottom w:val="single" w:color="auto" w:sz="4" w:space="0"/>
              <w:right w:val="single" w:color="auto" w:sz="4" w:space="0"/>
            </w:tcBorders>
            <w:vAlign w:val="center"/>
          </w:tcPr>
          <w:p w14:paraId="43DC7FDF">
            <w:pPr>
              <w:jc w:val="right"/>
              <w:textAlignment w:val="center"/>
              <w:rPr>
                <w:rFonts w:cs="Times New Roman"/>
              </w:rPr>
            </w:pPr>
            <w:r>
              <w:rPr>
                <w:rFonts w:cs="Times New Roman"/>
                <w:color w:val="000000"/>
              </w:rPr>
              <w:t>6,033,977.09</w:t>
            </w:r>
          </w:p>
        </w:tc>
      </w:tr>
      <w:tr w14:paraId="67F7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07CC3E12">
            <w:pPr>
              <w:textAlignment w:val="top"/>
              <w:rPr>
                <w:rFonts w:cs="Times New Roman"/>
              </w:rPr>
            </w:pPr>
            <w:r>
              <w:rPr>
                <w:rFonts w:cs="Times New Roman"/>
                <w:color w:val="000000"/>
                <w:lang w:bidi="ar"/>
              </w:rPr>
              <w:t>待转销项税额</w:t>
            </w:r>
          </w:p>
        </w:tc>
        <w:tc>
          <w:tcPr>
            <w:tcW w:w="1723" w:type="pct"/>
            <w:tcBorders>
              <w:top w:val="single" w:color="auto" w:sz="4" w:space="0"/>
              <w:left w:val="single" w:color="auto" w:sz="4" w:space="0"/>
              <w:bottom w:val="single" w:color="auto" w:sz="4" w:space="0"/>
              <w:right w:val="single" w:color="auto" w:sz="4" w:space="0"/>
            </w:tcBorders>
            <w:vAlign w:val="center"/>
          </w:tcPr>
          <w:p w14:paraId="663EF9B2">
            <w:pPr>
              <w:jc w:val="right"/>
              <w:textAlignment w:val="center"/>
              <w:rPr>
                <w:rFonts w:cs="Times New Roman"/>
              </w:rPr>
            </w:pPr>
            <w:r>
              <w:rPr>
                <w:rFonts w:cs="Times New Roman"/>
                <w:color w:val="000000"/>
              </w:rPr>
              <w:t>66,223,304.58</w:t>
            </w:r>
          </w:p>
        </w:tc>
        <w:tc>
          <w:tcPr>
            <w:tcW w:w="1729" w:type="pct"/>
            <w:tcBorders>
              <w:top w:val="single" w:color="auto" w:sz="4" w:space="0"/>
              <w:left w:val="single" w:color="auto" w:sz="4" w:space="0"/>
              <w:bottom w:val="single" w:color="auto" w:sz="4" w:space="0"/>
              <w:right w:val="single" w:color="auto" w:sz="4" w:space="0"/>
            </w:tcBorders>
            <w:vAlign w:val="center"/>
          </w:tcPr>
          <w:p w14:paraId="4A6CBB91">
            <w:pPr>
              <w:jc w:val="right"/>
              <w:textAlignment w:val="center"/>
              <w:rPr>
                <w:rFonts w:cs="Times New Roman"/>
              </w:rPr>
            </w:pPr>
            <w:r>
              <w:rPr>
                <w:rFonts w:cs="Times New Roman"/>
                <w:color w:val="000000"/>
              </w:rPr>
              <w:t>85,704,977.64</w:t>
            </w:r>
          </w:p>
        </w:tc>
      </w:tr>
      <w:tr w14:paraId="587B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14:paraId="6A6E7EA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723" w:type="pct"/>
            <w:tcBorders>
              <w:top w:val="single" w:color="auto" w:sz="4" w:space="0"/>
              <w:left w:val="single" w:color="auto" w:sz="4" w:space="0"/>
              <w:bottom w:val="single" w:color="auto" w:sz="4" w:space="0"/>
              <w:right w:val="single" w:color="auto" w:sz="4" w:space="0"/>
            </w:tcBorders>
            <w:vAlign w:val="center"/>
          </w:tcPr>
          <w:p w14:paraId="78660F3D">
            <w:pPr>
              <w:jc w:val="right"/>
              <w:textAlignment w:val="center"/>
              <w:rPr>
                <w:rFonts w:cs="Times New Roman"/>
              </w:rPr>
            </w:pPr>
            <w:r>
              <w:rPr>
                <w:rFonts w:cs="Times New Roman"/>
                <w:color w:val="000000"/>
              </w:rPr>
              <w:t>281,448,804.58</w:t>
            </w:r>
          </w:p>
        </w:tc>
        <w:tc>
          <w:tcPr>
            <w:tcW w:w="1729" w:type="pct"/>
            <w:tcBorders>
              <w:top w:val="single" w:color="auto" w:sz="4" w:space="0"/>
              <w:left w:val="single" w:color="auto" w:sz="4" w:space="0"/>
              <w:bottom w:val="single" w:color="auto" w:sz="4" w:space="0"/>
              <w:right w:val="single" w:color="auto" w:sz="4" w:space="0"/>
            </w:tcBorders>
            <w:vAlign w:val="center"/>
          </w:tcPr>
          <w:p w14:paraId="0BC711C6">
            <w:pPr>
              <w:jc w:val="right"/>
              <w:textAlignment w:val="center"/>
              <w:rPr>
                <w:rFonts w:cs="Times New Roman"/>
              </w:rPr>
            </w:pPr>
            <w:r>
              <w:rPr>
                <w:rFonts w:cs="Times New Roman"/>
                <w:color w:val="000000"/>
              </w:rPr>
              <w:t>306,873,185.28</w:t>
            </w:r>
          </w:p>
        </w:tc>
      </w:tr>
    </w:tbl>
    <w:p w14:paraId="5113DE2A">
      <w:pPr>
        <w:rPr>
          <w:color w:val="000000" w:themeColor="text1"/>
          <w14:textFill>
            <w14:solidFill>
              <w14:schemeClr w14:val="tx1"/>
            </w14:solidFill>
          </w14:textFill>
        </w:rPr>
      </w:pPr>
    </w:p>
    <w:bookmarkEnd w:id="361"/>
    <w:p w14:paraId="2878C637">
      <w:pPr>
        <w:rPr>
          <w:color w:val="000000" w:themeColor="text1"/>
          <w14:textFill>
            <w14:solidFill>
              <w14:schemeClr w14:val="tx1"/>
            </w14:solidFill>
          </w14:textFill>
        </w:rPr>
      </w:pPr>
      <w:bookmarkStart w:id="362" w:name="_Hlk167968687"/>
      <w:r>
        <w:rPr>
          <w:rFonts w:hint="eastAsia"/>
          <w:color w:val="000000" w:themeColor="text1"/>
          <w14:textFill>
            <w14:solidFill>
              <w14:schemeClr w14:val="tx1"/>
            </w14:solidFill>
          </w14:textFill>
        </w:rPr>
        <w:t>短期</w:t>
      </w:r>
      <w:r>
        <w:rPr>
          <w:color w:val="000000" w:themeColor="text1"/>
          <w14:textFill>
            <w14:solidFill>
              <w14:schemeClr w14:val="tx1"/>
            </w14:solidFill>
          </w14:textFill>
        </w:rPr>
        <w:t>应付债券的增减变动</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短期应付债券的增减变动[双击切换]"/>
        <w:tag w:val="_GBC_564144f89f7f4019bdcd86b0e624bfee"/>
        <w:id w:val="147463316"/>
        <w:placeholder>
          <w:docPart w:val="GBC22222222222222222222222222222"/>
        </w:placeholder>
      </w:sdtPr>
      <w:sdtEndPr>
        <w:rPr>
          <w:color w:val="000000" w:themeColor="text1"/>
          <w14:textFill>
            <w14:solidFill>
              <w14:schemeClr w14:val="tx1"/>
            </w14:solidFill>
          </w14:textFill>
        </w:rPr>
      </w:sdtEndPr>
      <w:sdtContent>
        <w:p w14:paraId="066D7F7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9C3FDF">
      <w:pPr>
        <w:rPr>
          <w:rFonts w:cstheme="minorBidi"/>
          <w:color w:val="000000" w:themeColor="text1"/>
          <w:kern w:val="2"/>
          <w14:textFill>
            <w14:solidFill>
              <w14:schemeClr w14:val="tx1"/>
            </w14:solidFill>
          </w14:textFill>
        </w:rPr>
      </w:pPr>
    </w:p>
    <w:bookmarkEnd w:id="362"/>
    <w:p w14:paraId="59E75FED">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流动负债说明[双击切换]"/>
        <w:tag w:val="_GBC_6ebc9e220fb04ea584ed56f756d92d59"/>
        <w:id w:val="147472593"/>
        <w:placeholder>
          <w:docPart w:val="GBC22222222222222222222222222222"/>
        </w:placeholder>
      </w:sdtPr>
      <w:sdtEndPr>
        <w:rPr>
          <w:color w:val="000000" w:themeColor="text1"/>
          <w14:textFill>
            <w14:solidFill>
              <w14:schemeClr w14:val="tx1"/>
            </w14:solidFill>
          </w14:textFill>
        </w:rPr>
      </w:sdtEndPr>
      <w:sdtContent>
        <w:p w14:paraId="0B0C398E">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28A68A9">
      <w:pPr>
        <w:rPr>
          <w:color w:val="000000" w:themeColor="text1"/>
          <w14:textFill>
            <w14:solidFill>
              <w14:schemeClr w14:val="tx1"/>
            </w14:solidFill>
          </w14:textFill>
        </w:rPr>
      </w:pPr>
    </w:p>
    <w:p w14:paraId="70B41F07">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长期借款</w:t>
      </w:r>
    </w:p>
    <w:p w14:paraId="71977E88">
      <w:pPr>
        <w:pStyle w:val="58"/>
        <w:numPr>
          <w:ilvl w:val="0"/>
          <w:numId w:val="84"/>
        </w:numPr>
        <w:tabs>
          <w:tab w:val="left" w:pos="630"/>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长期借款分类</w:t>
      </w:r>
    </w:p>
    <w:sdt>
      <w:sdtPr>
        <w:rPr>
          <w:color w:val="000000" w:themeColor="text1"/>
          <w14:textFill>
            <w14:solidFill>
              <w14:schemeClr w14:val="tx1"/>
            </w14:solidFill>
          </w14:textFill>
        </w:rPr>
        <w:alias w:val="是否适用：长期借款分类[双击切换]"/>
        <w:tag w:val="_GBC_6ef43a5268e7491db189883a31952469"/>
        <w:id w:val="147471524"/>
        <w:placeholder>
          <w:docPart w:val="GBC22222222222222222222222222222"/>
        </w:placeholder>
      </w:sdtPr>
      <w:sdtEndPr>
        <w:rPr>
          <w:color w:val="000000" w:themeColor="text1"/>
          <w14:textFill>
            <w14:solidFill>
              <w14:schemeClr w14:val="tx1"/>
            </w14:solidFill>
          </w14:textFill>
        </w:rPr>
      </w:sdtEndPr>
      <w:sdtContent>
        <w:p w14:paraId="460F671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785367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借款分类"/>
          <w:tag w:val="_GBC_146f044f7fd14a45bf9247f0af389a14"/>
          <w:id w:val="1474749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借款分类"/>
          <w:tag w:val="_GBC_7570ad6f1fd04c3d939be649ce4cfc30"/>
          <w:id w:val="1474674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98"/>
        <w:gridCol w:w="2999"/>
        <w:gridCol w:w="2896"/>
      </w:tblGrid>
      <w:tr w14:paraId="57DB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rPr>
              <w:rFonts w:cs="Times New Roman"/>
            </w:rPr>
            <w:tag w:val="_PLD_3ee60507a6384334b819485e73faa1f4"/>
            <w:id w:val="147477365"/>
          </w:sdtPr>
          <w:sdtEndPr>
            <w:rPr>
              <w:rFonts w:cs="Times New Roman"/>
            </w:rPr>
          </w:sdtEndPr>
          <w:sdtContent>
            <w:tc>
              <w:tcPr>
                <w:tcW w:w="1686" w:type="pct"/>
              </w:tcPr>
              <w:p w14:paraId="2805D3E5">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2a4fabfb296457384b1523a60233642"/>
            <w:id w:val="147481194"/>
          </w:sdtPr>
          <w:sdtEndPr>
            <w:rPr>
              <w:rFonts w:cs="Times New Roman"/>
            </w:rPr>
          </w:sdtEndPr>
          <w:sdtContent>
            <w:tc>
              <w:tcPr>
                <w:tcW w:w="1686" w:type="pct"/>
              </w:tcPr>
              <w:p w14:paraId="2530478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aab598d4b37f4953a2ee9b7475cb43e6"/>
            <w:id w:val="147463043"/>
          </w:sdtPr>
          <w:sdtEndPr>
            <w:rPr>
              <w:rFonts w:cs="Times New Roman"/>
            </w:rPr>
          </w:sdtEndPr>
          <w:sdtContent>
            <w:tc>
              <w:tcPr>
                <w:tcW w:w="1628" w:type="pct"/>
              </w:tcPr>
              <w:p w14:paraId="3EA738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76ED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3BB261B8">
            <w:pPr>
              <w:autoSpaceDE w:val="0"/>
              <w:autoSpaceDN w:val="0"/>
              <w:adjustRightInd w:val="0"/>
              <w:snapToGrid w:val="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抵押借款</w:t>
            </w:r>
          </w:p>
        </w:tc>
        <w:tc>
          <w:tcPr>
            <w:tcW w:w="1686" w:type="pct"/>
            <w:vAlign w:val="center"/>
          </w:tcPr>
          <w:p w14:paraId="3D79E7D7">
            <w:pPr>
              <w:jc w:val="right"/>
              <w:rPr>
                <w:rFonts w:cs="Times New Roman"/>
                <w:color w:val="000000"/>
              </w:rPr>
            </w:pPr>
            <w:r>
              <w:rPr>
                <w:rFonts w:cs="Times New Roman"/>
                <w:color w:val="000000"/>
              </w:rPr>
              <w:t>1,875,562.50</w:t>
            </w:r>
          </w:p>
        </w:tc>
        <w:tc>
          <w:tcPr>
            <w:tcW w:w="1628" w:type="pct"/>
            <w:vAlign w:val="center"/>
          </w:tcPr>
          <w:p w14:paraId="77765A1B">
            <w:pPr>
              <w:jc w:val="right"/>
              <w:rPr>
                <w:rFonts w:cs="Times New Roman"/>
              </w:rPr>
            </w:pPr>
            <w:r>
              <w:rPr>
                <w:rFonts w:cs="Times New Roman"/>
                <w:color w:val="000000"/>
              </w:rPr>
              <w:t>26,894,784.72</w:t>
            </w:r>
          </w:p>
        </w:tc>
      </w:tr>
      <w:tr w14:paraId="36F6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24C9D373">
            <w:pPr>
              <w:autoSpaceDE w:val="0"/>
              <w:autoSpaceDN w:val="0"/>
              <w:adjustRightInd w:val="0"/>
              <w:snapToGrid w:val="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保证借款</w:t>
            </w:r>
          </w:p>
        </w:tc>
        <w:tc>
          <w:tcPr>
            <w:tcW w:w="1686" w:type="pct"/>
            <w:vAlign w:val="center"/>
          </w:tcPr>
          <w:p w14:paraId="63E112D5">
            <w:pPr>
              <w:jc w:val="right"/>
              <w:rPr>
                <w:rFonts w:cs="Times New Roman"/>
                <w:color w:val="000000"/>
              </w:rPr>
            </w:pPr>
            <w:r>
              <w:rPr>
                <w:rFonts w:cs="Times New Roman"/>
                <w:color w:val="000000"/>
              </w:rPr>
              <w:t>4,006,350.00</w:t>
            </w:r>
          </w:p>
        </w:tc>
        <w:tc>
          <w:tcPr>
            <w:tcW w:w="1628" w:type="pct"/>
            <w:vAlign w:val="center"/>
          </w:tcPr>
          <w:p w14:paraId="3691B780">
            <w:pPr>
              <w:jc w:val="right"/>
              <w:rPr>
                <w:rFonts w:cs="Times New Roman"/>
              </w:rPr>
            </w:pPr>
            <w:r>
              <w:rPr>
                <w:rFonts w:cs="Times New Roman"/>
                <w:color w:val="000000"/>
              </w:rPr>
              <w:t>4,007,055.56</w:t>
            </w:r>
          </w:p>
        </w:tc>
      </w:tr>
      <w:tr w14:paraId="0E3F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39293AEA">
            <w:pPr>
              <w:autoSpaceDE w:val="0"/>
              <w:autoSpaceDN w:val="0"/>
              <w:adjustRightInd w:val="0"/>
              <w:snapToGrid w:val="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信用借款</w:t>
            </w:r>
          </w:p>
        </w:tc>
        <w:tc>
          <w:tcPr>
            <w:tcW w:w="1686" w:type="pct"/>
            <w:vAlign w:val="center"/>
          </w:tcPr>
          <w:p w14:paraId="38FCF56E">
            <w:pPr>
              <w:jc w:val="right"/>
              <w:rPr>
                <w:rFonts w:cs="Times New Roman"/>
                <w:color w:val="000000"/>
              </w:rPr>
            </w:pPr>
            <w:r>
              <w:rPr>
                <w:rFonts w:cs="Times New Roman"/>
                <w:color w:val="000000"/>
              </w:rPr>
              <w:t>2,523,594,360.60</w:t>
            </w:r>
          </w:p>
        </w:tc>
        <w:tc>
          <w:tcPr>
            <w:tcW w:w="1628" w:type="pct"/>
            <w:vAlign w:val="center"/>
          </w:tcPr>
          <w:p w14:paraId="65EA8FCD">
            <w:pPr>
              <w:jc w:val="right"/>
              <w:rPr>
                <w:rFonts w:cs="Times New Roman"/>
              </w:rPr>
            </w:pPr>
            <w:r>
              <w:rPr>
                <w:rFonts w:cs="Times New Roman"/>
                <w:color w:val="000000"/>
              </w:rPr>
              <w:t>499,319,061.12</w:t>
            </w:r>
          </w:p>
        </w:tc>
      </w:tr>
      <w:tr w14:paraId="699C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5255A82F">
            <w:pPr>
              <w:autoSpaceDE w:val="0"/>
              <w:autoSpaceDN w:val="0"/>
              <w:adjustRightInd w:val="0"/>
              <w:snapToGrid w:val="0"/>
              <w:rPr>
                <w:rFonts w:cs="Times New Roman"/>
              </w:rPr>
            </w:pPr>
            <w:r>
              <w:rPr>
                <w:rFonts w:cs="Times New Roman"/>
              </w:rPr>
              <w:t>减：一年内到期的长期借款</w:t>
            </w:r>
          </w:p>
        </w:tc>
        <w:tc>
          <w:tcPr>
            <w:tcW w:w="1686" w:type="pct"/>
            <w:vAlign w:val="center"/>
          </w:tcPr>
          <w:p w14:paraId="20229756">
            <w:pPr>
              <w:jc w:val="right"/>
              <w:rPr>
                <w:rFonts w:cs="Times New Roman"/>
                <w:color w:val="000000"/>
              </w:rPr>
            </w:pPr>
            <w:r>
              <w:rPr>
                <w:rFonts w:cs="Times New Roman"/>
                <w:color w:val="000000"/>
              </w:rPr>
              <w:t>14,707,283.00</w:t>
            </w:r>
          </w:p>
        </w:tc>
        <w:tc>
          <w:tcPr>
            <w:tcW w:w="1628" w:type="pct"/>
            <w:vAlign w:val="center"/>
          </w:tcPr>
          <w:p w14:paraId="37B58D23">
            <w:pPr>
              <w:jc w:val="right"/>
              <w:rPr>
                <w:rFonts w:cs="Times New Roman"/>
              </w:rPr>
            </w:pPr>
            <w:r>
              <w:rPr>
                <w:rFonts w:cs="Times New Roman"/>
                <w:color w:val="000000"/>
              </w:rPr>
              <w:t>32,903,118.06</w:t>
            </w:r>
          </w:p>
        </w:tc>
      </w:tr>
      <w:tr w14:paraId="465A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vAlign w:val="center"/>
          </w:tcPr>
          <w:p w14:paraId="5308173E">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86" w:type="pct"/>
            <w:vAlign w:val="center"/>
          </w:tcPr>
          <w:p w14:paraId="40E4BDBD">
            <w:pPr>
              <w:jc w:val="right"/>
              <w:rPr>
                <w:rFonts w:cs="Times New Roman"/>
                <w:color w:val="000000"/>
              </w:rPr>
            </w:pPr>
            <w:r>
              <w:rPr>
                <w:rFonts w:cs="Times New Roman"/>
                <w:color w:val="000000"/>
              </w:rPr>
              <w:t>2,514,768,990.10</w:t>
            </w:r>
          </w:p>
        </w:tc>
        <w:tc>
          <w:tcPr>
            <w:tcW w:w="1628" w:type="pct"/>
            <w:vAlign w:val="center"/>
          </w:tcPr>
          <w:p w14:paraId="008A458F">
            <w:pPr>
              <w:jc w:val="right"/>
              <w:rPr>
                <w:rFonts w:cs="Times New Roman"/>
              </w:rPr>
            </w:pPr>
            <w:r>
              <w:rPr>
                <w:rFonts w:cs="Times New Roman"/>
                <w:color w:val="000000"/>
              </w:rPr>
              <w:t>497,317,783.34</w:t>
            </w:r>
          </w:p>
        </w:tc>
      </w:tr>
    </w:tbl>
    <w:p w14:paraId="092A432B">
      <w:pPr>
        <w:snapToGrid w:val="0"/>
        <w:spacing w:before="60" w:after="60" w:line="240" w:lineRule="atLeast"/>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长期借款分类的说明：</w:t>
      </w:r>
    </w:p>
    <w:sdt>
      <w:sdtPr>
        <w:rPr>
          <w:rFonts w:cs="Times New Roman"/>
          <w:color w:val="000000" w:themeColor="text1"/>
          <w14:textFill>
            <w14:solidFill>
              <w14:schemeClr w14:val="tx1"/>
            </w14:solidFill>
          </w14:textFill>
        </w:rPr>
        <w:alias w:val="长期借款分类的说明"/>
        <w:tag w:val="_GBC_c93626a5eade42f48eca926da85f3afb"/>
        <w:id w:val="147469145"/>
        <w:placeholder>
          <w:docPart w:val="GBC22222222222222222222222222222"/>
        </w:placeholder>
      </w:sdtPr>
      <w:sdtEndPr>
        <w:rPr>
          <w:rFonts w:cs="Times New Roman"/>
          <w:color w:val="000000" w:themeColor="text1"/>
          <w14:textFill>
            <w14:solidFill>
              <w14:schemeClr w14:val="tx1"/>
            </w14:solidFill>
          </w14:textFill>
        </w:rPr>
      </w:sdtEndPr>
      <w:sdtContent>
        <w:p w14:paraId="3B28EB00">
          <w:pPr>
            <w:snapToGrid w:val="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抵押借款为本公司之子公司际华三五零九纺织有限公司为建设耐高温特种过滤材料产业用纺织品项目，以设备作为抵押物从中国农发重点建设基金有限公司取得1,500.00万元借款，截止本报告期末已经偿还1,312.50万元，剩余未偿还借款金额187.50万元，将于2025年10月到期，本期分类为一年内到期的非流动负债。</w:t>
          </w:r>
        </w:p>
        <w:p w14:paraId="0FB435E4">
          <w:pPr>
            <w:snapToGrid w:val="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保证借款为本公司之子公司际华(天津)新能源投资有限公司以天津市金地城市建设有限公司作为担保人从天津银行股份有限公司宝坻支行取得长期借款2,000.00万元，截止本报告期末，已经偿还1600.00万元，剩余未偿还借款金额400.00万元，本期分类为一年内到期的非流动负债。</w:t>
          </w:r>
        </w:p>
        <w:p w14:paraId="711D056E">
          <w:pPr>
            <w:snapToGrid w:val="0"/>
            <w:jc w:val="both"/>
            <w:rPr>
              <w:rFonts w:cstheme="minorBidi"/>
              <w:color w:val="000000" w:themeColor="text1"/>
              <w:kern w:val="2"/>
              <w14:textFill>
                <w14:solidFill>
                  <w14:schemeClr w14:val="tx1"/>
                </w14:solidFill>
              </w14:textFill>
            </w:rPr>
          </w:pPr>
        </w:p>
      </w:sdtContent>
    </w:sdt>
    <w:p w14:paraId="30B3B6DC">
      <w:pPr>
        <w:snapToGrid w:val="0"/>
        <w:rPr>
          <w:rFonts w:cstheme="minorBidi"/>
          <w:color w:val="000000" w:themeColor="text1"/>
          <w:kern w:val="2"/>
          <w14:textFill>
            <w14:solidFill>
              <w14:schemeClr w14:val="tx1"/>
            </w14:solidFill>
          </w14:textFill>
        </w:rPr>
      </w:pPr>
    </w:p>
    <w:p w14:paraId="7167EEBA">
      <w:pPr>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r>
        <w:rPr>
          <w:color w:val="000000" w:themeColor="text1"/>
          <w14:textFill>
            <w14:solidFill>
              <w14:schemeClr w14:val="tx1"/>
            </w14:solidFill>
          </w14:textFill>
        </w:rPr>
        <w:t xml:space="preserve"> </w:t>
      </w:r>
    </w:p>
    <w:sdt>
      <w:sdtPr>
        <w:rPr>
          <w:color w:val="000000" w:themeColor="text1"/>
          <w14:textFill>
            <w14:solidFill>
              <w14:schemeClr w14:val="tx1"/>
            </w14:solidFill>
          </w14:textFill>
        </w:rPr>
        <w:alias w:val="是否适用：长期借款的说明[双击切换]"/>
        <w:tag w:val="_GBC_1dc67be6516c4de3956a80023674c75a"/>
        <w:id w:val="147483354"/>
        <w:placeholder>
          <w:docPart w:val="GBC22222222222222222222222222222"/>
        </w:placeholder>
      </w:sdtPr>
      <w:sdtEndPr>
        <w:rPr>
          <w:color w:val="000000" w:themeColor="text1"/>
          <w14:textFill>
            <w14:solidFill>
              <w14:schemeClr w14:val="tx1"/>
            </w14:solidFill>
          </w14:textFill>
        </w:rPr>
      </w:sdtEndPr>
      <w:sdtContent>
        <w:p w14:paraId="44B5E066">
          <w:pPr>
            <w:snapToGri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08EA60E">
      <w:pPr>
        <w:rPr>
          <w:color w:val="000000" w:themeColor="text1"/>
          <w14:textFill>
            <w14:solidFill>
              <w14:schemeClr w14:val="tx1"/>
            </w14:solidFill>
          </w14:textFill>
        </w:rPr>
      </w:pPr>
    </w:p>
    <w:p w14:paraId="576E209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应付债券</w:t>
      </w:r>
    </w:p>
    <w:p w14:paraId="1964067E">
      <w:pPr>
        <w:pStyle w:val="58"/>
        <w:numPr>
          <w:ilvl w:val="0"/>
          <w:numId w:val="85"/>
        </w:numPr>
        <w:tabs>
          <w:tab w:val="left" w:pos="67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应付债券</w:t>
      </w:r>
    </w:p>
    <w:sdt>
      <w:sdtPr>
        <w:rPr>
          <w:rFonts w:hint="eastAsia"/>
          <w:color w:val="000000" w:themeColor="text1"/>
          <w14:textFill>
            <w14:solidFill>
              <w14:schemeClr w14:val="tx1"/>
            </w14:solidFill>
          </w14:textFill>
        </w:rPr>
        <w:alias w:val="是否适用：应付债券[双击切换]"/>
        <w:tag w:val="_GBC_b07c291c892844efaca56bc1d52b1566"/>
        <w:id w:val="311528089"/>
      </w:sdtPr>
      <w:sdtEndPr>
        <w:rPr>
          <w:rFonts w:hint="eastAsia"/>
          <w:color w:val="000000" w:themeColor="text1"/>
          <w14:textFill>
            <w14:solidFill>
              <w14:schemeClr w14:val="tx1"/>
            </w14:solidFill>
          </w14:textFill>
        </w:rPr>
      </w:sdtEndPr>
      <w:sdtContent>
        <w:p w14:paraId="1C2836F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F45577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债券"/>
          <w:tag w:val="_GBC_5c0626b48a2b47e5b1fa30bc0936ae68"/>
          <w:id w:val="1733878162"/>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债券"/>
          <w:tag w:val="_GBC_5dd240124fc44a14b0361901a2a8b897"/>
          <w:id w:val="44289792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99"/>
        <w:gridCol w:w="3022"/>
        <w:gridCol w:w="2872"/>
      </w:tblGrid>
      <w:tr w14:paraId="2C62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52" w:hRule="atLeast"/>
        </w:trPr>
        <w:sdt>
          <w:sdtPr>
            <w:rPr>
              <w:rFonts w:cs="Times New Roman"/>
            </w:rPr>
            <w:tag w:val="_PLD_dacb6f47868c48c4a5180256022d0c07"/>
            <w:id w:val="1238594327"/>
          </w:sdtPr>
          <w:sdtEndPr>
            <w:rPr>
              <w:rFonts w:cs="Times New Roman"/>
            </w:rPr>
          </w:sdtEndPr>
          <w:sdtContent>
            <w:tc>
              <w:tcPr>
                <w:tcW w:w="1686" w:type="pct"/>
              </w:tcPr>
              <w:p w14:paraId="31B5FDA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30efa3a744404b8e898a2f8f653f7f19"/>
            <w:id w:val="-1732685798"/>
          </w:sdtPr>
          <w:sdtEndPr>
            <w:rPr>
              <w:rFonts w:cs="Times New Roman"/>
            </w:rPr>
          </w:sdtEndPr>
          <w:sdtContent>
            <w:tc>
              <w:tcPr>
                <w:tcW w:w="1699" w:type="pct"/>
              </w:tcPr>
              <w:p w14:paraId="0ADB9259">
                <w:pPr>
                  <w:adjustRightInd w:val="0"/>
                  <w:snapToGrid w:val="0"/>
                  <w:ind w:left="-2" w:leftChars="-2" w:right="19" w:rightChars="9" w:hanging="2" w:hangingChars="1"/>
                  <w:jc w:val="center"/>
                  <w:rPr>
                    <w:rFonts w:cs="Times New Roman"/>
                    <w:b/>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faff9d38659a4878bf966d1b9dd493b9"/>
            <w:id w:val="1197739244"/>
          </w:sdtPr>
          <w:sdtEndPr>
            <w:rPr>
              <w:rFonts w:cs="Times New Roman"/>
            </w:rPr>
          </w:sdtEndPr>
          <w:sdtContent>
            <w:tc>
              <w:tcPr>
                <w:tcW w:w="1615" w:type="pct"/>
              </w:tcPr>
              <w:p w14:paraId="55263C72">
                <w:pPr>
                  <w:adjustRightInd w:val="0"/>
                  <w:snapToGrid w:val="0"/>
                  <w:ind w:left="-2" w:leftChars="-2" w:right="19" w:rightChars="9" w:hanging="2" w:hangingChars="1"/>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sdt>
        <w:sdtPr>
          <w:rPr>
            <w:rFonts w:cs="Times New Roman"/>
            <w:color w:val="000000" w:themeColor="text1"/>
            <w14:textFill>
              <w14:solidFill>
                <w14:schemeClr w14:val="tx1"/>
              </w14:solidFill>
            </w14:textFill>
          </w:rPr>
          <w:alias w:val="应付债券情况明细"/>
          <w:tag w:val="_GBC_ce87ca4ab7a54773927187961fdc2d7d"/>
          <w:id w:val="297739548"/>
          <w:placeholder>
            <w:docPart w:val="{7857670b-0411-41a0-8768-2a6b5706f65b}"/>
          </w:placeholder>
        </w:sdtPr>
        <w:sdtEndPr>
          <w:rPr>
            <w:rFonts w:cs="Times New Roman"/>
            <w:color w:val="000000" w:themeColor="text1"/>
            <w14:textFill>
              <w14:solidFill>
                <w14:schemeClr w14:val="tx1"/>
              </w14:solidFill>
            </w14:textFill>
          </w:rPr>
        </w:sdtEndPr>
        <w:sdtContent>
          <w:tr w14:paraId="4099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38D5176B">
                <w:pPr>
                  <w:rPr>
                    <w:rFonts w:cs="Times New Roman"/>
                  </w:rPr>
                </w:pPr>
                <w:r>
                  <w:rPr>
                    <w:rFonts w:cs="Times New Roman"/>
                  </w:rPr>
                  <w:t>20际华01</w:t>
                </w:r>
              </w:p>
            </w:tc>
            <w:tc>
              <w:tcPr>
                <w:tcW w:w="1699" w:type="pct"/>
              </w:tcPr>
              <w:p w14:paraId="50631D47">
                <w:pPr>
                  <w:jc w:val="right"/>
                  <w:rPr>
                    <w:rFonts w:cs="Times New Roman"/>
                  </w:rPr>
                </w:pPr>
              </w:p>
            </w:tc>
            <w:tc>
              <w:tcPr>
                <w:tcW w:w="1615" w:type="pct"/>
                <w:vAlign w:val="center"/>
              </w:tcPr>
              <w:p w14:paraId="4F16B855">
                <w:pPr>
                  <w:jc w:val="right"/>
                  <w:rPr>
                    <w:rFonts w:cs="Times New Roman"/>
                  </w:rPr>
                </w:pPr>
                <w:r>
                  <w:rPr>
                    <w:rFonts w:cs="Times New Roman"/>
                  </w:rPr>
                  <w:t>20,276,025.81</w:t>
                </w:r>
              </w:p>
            </w:tc>
          </w:tr>
        </w:sdtContent>
      </w:sdt>
      <w:sdt>
        <w:sdtPr>
          <w:rPr>
            <w:rFonts w:cs="Times New Roman"/>
            <w:color w:val="000000" w:themeColor="text1"/>
            <w14:textFill>
              <w14:solidFill>
                <w14:schemeClr w14:val="tx1"/>
              </w14:solidFill>
            </w14:textFill>
          </w:rPr>
          <w:alias w:val="应付债券情况明细"/>
          <w:tag w:val="_GBC_ce87ca4ab7a54773927187961fdc2d7d"/>
          <w:id w:val="27770053"/>
          <w:placeholder>
            <w:docPart w:val="{7857670b-0411-41a0-8768-2a6b5706f65b}"/>
          </w:placeholder>
        </w:sdtPr>
        <w:sdtEndPr>
          <w:rPr>
            <w:rFonts w:cs="Times New Roman"/>
            <w:color w:val="000000" w:themeColor="text1"/>
            <w14:textFill>
              <w14:solidFill>
                <w14:schemeClr w14:val="tx1"/>
              </w14:solidFill>
            </w14:textFill>
          </w:rPr>
        </w:sdtEndPr>
        <w:sdtContent>
          <w:tr w14:paraId="0A1A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43C144FD">
                <w:pPr>
                  <w:rPr>
                    <w:rFonts w:cs="Times New Roman"/>
                  </w:rPr>
                </w:pPr>
                <w:r>
                  <w:rPr>
                    <w:rFonts w:cs="Times New Roman"/>
                  </w:rPr>
                  <w:t>23际华集团MTN001</w:t>
                </w:r>
              </w:p>
            </w:tc>
            <w:tc>
              <w:tcPr>
                <w:tcW w:w="1699" w:type="pct"/>
                <w:vAlign w:val="center"/>
              </w:tcPr>
              <w:p w14:paraId="288CF38D">
                <w:pPr>
                  <w:jc w:val="right"/>
                  <w:rPr>
                    <w:rFonts w:cs="Times New Roman"/>
                  </w:rPr>
                </w:pPr>
                <w:r>
                  <w:rPr>
                    <w:rFonts w:cs="Times New Roman"/>
                  </w:rPr>
                  <w:t>500,900,408.11</w:t>
                </w:r>
              </w:p>
            </w:tc>
            <w:tc>
              <w:tcPr>
                <w:tcW w:w="1615" w:type="pct"/>
                <w:vAlign w:val="center"/>
              </w:tcPr>
              <w:p w14:paraId="5AAEC251">
                <w:pPr>
                  <w:jc w:val="right"/>
                  <w:rPr>
                    <w:rFonts w:cs="Times New Roman"/>
                  </w:rPr>
                </w:pPr>
                <w:r>
                  <w:rPr>
                    <w:rFonts w:cs="Times New Roman"/>
                  </w:rPr>
                  <w:t>508,560,210.28</w:t>
                </w:r>
              </w:p>
            </w:tc>
          </w:tr>
        </w:sdtContent>
      </w:sdt>
      <w:sdt>
        <w:sdtPr>
          <w:rPr>
            <w:rFonts w:cs="Times New Roman"/>
            <w:color w:val="000000" w:themeColor="text1"/>
            <w14:textFill>
              <w14:solidFill>
                <w14:schemeClr w14:val="tx1"/>
              </w14:solidFill>
            </w14:textFill>
          </w:rPr>
          <w:alias w:val="应付债券情况明细"/>
          <w:tag w:val="_GBC_ce87ca4ab7a54773927187961fdc2d7d"/>
          <w:id w:val="957215820"/>
          <w:placeholder>
            <w:docPart w:val="{7857670b-0411-41a0-8768-2a6b5706f65b}"/>
          </w:placeholder>
        </w:sdtPr>
        <w:sdtEndPr>
          <w:rPr>
            <w:rFonts w:cs="Times New Roman"/>
            <w:color w:val="000000" w:themeColor="text1"/>
            <w14:textFill>
              <w14:solidFill>
                <w14:schemeClr w14:val="tx1"/>
              </w14:solidFill>
            </w14:textFill>
          </w:rPr>
        </w:sdtEndPr>
        <w:sdtContent>
          <w:tr w14:paraId="7D2C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14:paraId="54A2B67A">
                <w:pPr>
                  <w:rPr>
                    <w:rFonts w:cs="Times New Roman"/>
                  </w:rPr>
                </w:pPr>
                <w:r>
                  <w:rPr>
                    <w:rFonts w:cs="Times New Roman"/>
                  </w:rPr>
                  <w:t>减：1年内到期的应付债券</w:t>
                </w:r>
              </w:p>
            </w:tc>
            <w:tc>
              <w:tcPr>
                <w:tcW w:w="1699" w:type="pct"/>
                <w:vAlign w:val="center"/>
              </w:tcPr>
              <w:p w14:paraId="38F16349">
                <w:pPr>
                  <w:jc w:val="right"/>
                  <w:rPr>
                    <w:rFonts w:cs="Times New Roman"/>
                  </w:rPr>
                </w:pPr>
                <w:r>
                  <w:rPr>
                    <w:rFonts w:cs="Times New Roman"/>
                  </w:rPr>
                  <w:t>-500,900,408.11</w:t>
                </w:r>
              </w:p>
            </w:tc>
            <w:tc>
              <w:tcPr>
                <w:tcW w:w="1615" w:type="pct"/>
                <w:vAlign w:val="center"/>
              </w:tcPr>
              <w:p w14:paraId="70E6CA6A">
                <w:pPr>
                  <w:jc w:val="right"/>
                  <w:rPr>
                    <w:rFonts w:cs="Times New Roman"/>
                  </w:rPr>
                </w:pPr>
                <w:r>
                  <w:rPr>
                    <w:rFonts w:cs="Times New Roman"/>
                  </w:rPr>
                  <w:t>-20,276,025.81</w:t>
                </w:r>
              </w:p>
            </w:tc>
          </w:tr>
        </w:sdtContent>
      </w:sdt>
      <w:tr w14:paraId="76FC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rPr>
              <w:rFonts w:cs="Times New Roman"/>
            </w:rPr>
            <w:tag w:val="_PLD_4bc5d2895572448eb50b2ba82f0a9f34"/>
            <w:id w:val="1692715643"/>
          </w:sdtPr>
          <w:sdtEndPr>
            <w:rPr>
              <w:rFonts w:cs="Times New Roman"/>
            </w:rPr>
          </w:sdtEndPr>
          <w:sdtContent>
            <w:tc>
              <w:tcPr>
                <w:tcW w:w="1686" w:type="pct"/>
              </w:tcPr>
              <w:p w14:paraId="0115642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99" w:type="pct"/>
          </w:tcPr>
          <w:p w14:paraId="616A4923">
            <w:pPr>
              <w:jc w:val="right"/>
              <w:rPr>
                <w:rFonts w:cs="Times New Roman"/>
              </w:rPr>
            </w:pPr>
          </w:p>
        </w:tc>
        <w:tc>
          <w:tcPr>
            <w:tcW w:w="1615" w:type="pct"/>
            <w:vAlign w:val="center"/>
          </w:tcPr>
          <w:p w14:paraId="19F7D229">
            <w:pPr>
              <w:jc w:val="right"/>
              <w:rPr>
                <w:rFonts w:cs="Times New Roman"/>
              </w:rPr>
            </w:pPr>
            <w:r>
              <w:rPr>
                <w:rFonts w:cs="Times New Roman"/>
              </w:rPr>
              <w:t>508,560,210.28</w:t>
            </w:r>
          </w:p>
        </w:tc>
      </w:tr>
    </w:tbl>
    <w:p w14:paraId="23504616">
      <w:pPr>
        <w:rPr>
          <w:color w:val="000000" w:themeColor="text1"/>
          <w14:textFill>
            <w14:solidFill>
              <w14:schemeClr w14:val="tx1"/>
            </w14:solidFill>
          </w14:textFill>
        </w:rPr>
      </w:pPr>
    </w:p>
    <w:p w14:paraId="779DAEB4">
      <w:pPr>
        <w:rPr>
          <w:color w:val="000000" w:themeColor="text1"/>
          <w14:textFill>
            <w14:solidFill>
              <w14:schemeClr w14:val="tx1"/>
            </w14:solidFill>
          </w14:textFill>
        </w:rPr>
      </w:pPr>
    </w:p>
    <w:p w14:paraId="2F261835">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EA729CB">
      <w:pPr>
        <w:pStyle w:val="58"/>
        <w:numPr>
          <w:ilvl w:val="0"/>
          <w:numId w:val="85"/>
        </w:numPr>
        <w:tabs>
          <w:tab w:val="left" w:pos="672"/>
        </w:tabs>
        <w:rPr>
          <w:rFonts w:ascii="宋体" w:hAnsi="宋体"/>
          <w:color w:val="000000" w:themeColor="text1"/>
          <w14:textFill>
            <w14:solidFill>
              <w14:schemeClr w14:val="tx1"/>
            </w14:solidFill>
          </w14:textFill>
        </w:rPr>
      </w:pPr>
      <w:bookmarkStart w:id="363" w:name="_Hlk167968813"/>
      <w:bookmarkStart w:id="364" w:name="OLE_LINK18"/>
      <w:bookmarkStart w:id="365" w:name="OLE_LINK16"/>
      <w:r>
        <w:rPr>
          <w:rFonts w:hint="eastAsia" w:ascii="宋体" w:hAnsi="宋体"/>
          <w:color w:val="000000" w:themeColor="text1"/>
          <w14:textFill>
            <w14:solidFill>
              <w14:schemeClr w14:val="tx1"/>
            </w14:solidFill>
          </w14:textFill>
        </w:rPr>
        <w:t>应付债券的具体情况：（不包括划分为金融负债的优先股、永续债等其他金融工具）</w:t>
      </w:r>
    </w:p>
    <w:sdt>
      <w:sdtPr>
        <w:rPr>
          <w:color w:val="000000" w:themeColor="text1"/>
          <w14:textFill>
            <w14:solidFill>
              <w14:schemeClr w14:val="tx1"/>
            </w14:solidFill>
          </w14:textFill>
        </w:rPr>
        <w:alias w:val="是否适用：应付债券的增减变动[双击切换]"/>
        <w:tag w:val="_GBC_6610dc08d094426e9d4fdad85eee6da2"/>
        <w:id w:val="1094432070"/>
      </w:sdtPr>
      <w:sdtEndPr>
        <w:rPr>
          <w:color w:val="000000" w:themeColor="text1"/>
          <w14:textFill>
            <w14:solidFill>
              <w14:schemeClr w14:val="tx1"/>
            </w14:solidFill>
          </w14:textFill>
        </w:rPr>
      </w:sdtEndPr>
      <w:sdtContent>
        <w:p w14:paraId="36A823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627F34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债券的增减变动"/>
          <w:tag w:val="_GBC_0b6c6349435f48dfb36a4f314a37a8c7"/>
          <w:id w:val="-1277639071"/>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债券的增减变动"/>
          <w:tag w:val="_GBC_85f8f074b46744db805ca08bc7f9c826"/>
          <w:id w:val="-66756349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256"/>
        <w:gridCol w:w="957"/>
        <w:gridCol w:w="889"/>
        <w:gridCol w:w="1248"/>
        <w:gridCol w:w="740"/>
        <w:gridCol w:w="1713"/>
        <w:gridCol w:w="1369"/>
        <w:gridCol w:w="1284"/>
        <w:gridCol w:w="1047"/>
        <w:gridCol w:w="1363"/>
        <w:gridCol w:w="1406"/>
        <w:gridCol w:w="819"/>
      </w:tblGrid>
      <w:tr w14:paraId="33BE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590" w:hRule="atLeast"/>
        </w:trPr>
        <w:sdt>
          <w:sdtPr>
            <w:tag w:val="_PLD_d41be2727aa3429e8cc9023c73e8274c"/>
            <w:id w:val="-1879774001"/>
          </w:sdtPr>
          <w:sdtContent>
            <w:tc>
              <w:tcPr>
                <w:tcW w:w="445" w:type="pct"/>
                <w:vAlign w:val="center"/>
              </w:tcPr>
              <w:p w14:paraId="0F7B31E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债券</w:t>
                </w:r>
              </w:p>
              <w:p w14:paraId="68DB354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tc>
          <w:tcPr>
            <w:tcW w:w="339" w:type="pct"/>
            <w:vAlign w:val="center"/>
          </w:tcPr>
          <w:p w14:paraId="4D74A2B7">
            <w:pPr>
              <w:jc w:val="center"/>
              <w:rPr>
                <w:color w:val="000000" w:themeColor="text1"/>
                <w14:textFill>
                  <w14:solidFill>
                    <w14:schemeClr w14:val="tx1"/>
                  </w14:solidFill>
                </w14:textFill>
              </w:rPr>
            </w:pPr>
            <w:sdt>
              <w:sdtPr>
                <w:tag w:val="_PLD_72ec9d3487084f74bf0ffc84e9e55538"/>
                <w:id w:val="843980590"/>
              </w:sdtPr>
              <w:sdtContent>
                <w:r>
                  <w:rPr>
                    <w:rFonts w:hint="eastAsia"/>
                    <w:color w:val="000000" w:themeColor="text1"/>
                    <w14:textFill>
                      <w14:solidFill>
                        <w14:schemeClr w14:val="tx1"/>
                      </w14:solidFill>
                    </w14:textFill>
                  </w:rPr>
                  <w:t>面值</w:t>
                </w:r>
              </w:sdtContent>
            </w:sdt>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应付债券面值"/>
                <w:tag w:val="_GBC_8e4a47ab1a3649538882b182435a5abb"/>
                <w:id w:val="1833791732"/>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w:t>
            </w:r>
          </w:p>
        </w:tc>
        <w:tc>
          <w:tcPr>
            <w:tcW w:w="315" w:type="pct"/>
            <w:vAlign w:val="center"/>
          </w:tcPr>
          <w:sdt>
            <w:sdtPr>
              <w:tag w:val="_PLD_129fa8a708a648acb82bd509aa094506"/>
              <w:id w:val="-1768690494"/>
            </w:sdtPr>
            <w:sdtContent>
              <w:p w14:paraId="395459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票面利率（%）</w:t>
                </w:r>
              </w:p>
            </w:sdtContent>
          </w:sdt>
        </w:tc>
        <w:sdt>
          <w:sdtPr>
            <w:tag w:val="_PLD_3749ffd60ca24a8192201d606aff6ef7"/>
            <w:id w:val="1121878556"/>
          </w:sdtPr>
          <w:sdtContent>
            <w:tc>
              <w:tcPr>
                <w:tcW w:w="442" w:type="pct"/>
                <w:vAlign w:val="center"/>
              </w:tcPr>
              <w:p w14:paraId="71CCEE9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发行</w:t>
                </w:r>
              </w:p>
              <w:p w14:paraId="4D56D1B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日期</w:t>
                </w:r>
              </w:p>
            </w:tc>
          </w:sdtContent>
        </w:sdt>
        <w:sdt>
          <w:sdtPr>
            <w:tag w:val="_PLD_659f55bd7c5b4f26997cb94585846673"/>
            <w:id w:val="-829520210"/>
          </w:sdtPr>
          <w:sdtContent>
            <w:tc>
              <w:tcPr>
                <w:tcW w:w="262" w:type="pct"/>
                <w:vAlign w:val="center"/>
              </w:tcPr>
              <w:p w14:paraId="76EB19B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债券</w:t>
                </w:r>
              </w:p>
              <w:p w14:paraId="0790475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期限</w:t>
                </w:r>
              </w:p>
            </w:tc>
          </w:sdtContent>
        </w:sdt>
        <w:sdt>
          <w:sdtPr>
            <w:tag w:val="_PLD_ef4aec369760453590c03810a9bba3b2"/>
            <w:id w:val="690025429"/>
          </w:sdtPr>
          <w:sdtContent>
            <w:tc>
              <w:tcPr>
                <w:tcW w:w="607" w:type="pct"/>
                <w:vAlign w:val="center"/>
              </w:tcPr>
              <w:p w14:paraId="0914AC4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发行</w:t>
                </w:r>
              </w:p>
              <w:p w14:paraId="2F096DE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eb2bd771b7a543ceafa412458cbe645d"/>
            <w:id w:val="-1580750540"/>
          </w:sdtPr>
          <w:sdtContent>
            <w:tc>
              <w:tcPr>
                <w:tcW w:w="485" w:type="pct"/>
                <w:vAlign w:val="center"/>
              </w:tcPr>
              <w:p w14:paraId="2C775EF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03D7F04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268f952990ac43c299ce2cd4bb5f70ee"/>
            <w:id w:val="-1961865463"/>
          </w:sdtPr>
          <w:sdtContent>
            <w:tc>
              <w:tcPr>
                <w:tcW w:w="455" w:type="pct"/>
                <w:vAlign w:val="center"/>
              </w:tcPr>
              <w:p w14:paraId="4F5CF46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按面值计提利息</w:t>
                </w:r>
              </w:p>
            </w:tc>
          </w:sdtContent>
        </w:sdt>
        <w:sdt>
          <w:sdtPr>
            <w:tag w:val="_PLD_b754752a2395410c88c2aa53df813fb4"/>
            <w:id w:val="1393617410"/>
          </w:sdtPr>
          <w:sdtContent>
            <w:tc>
              <w:tcPr>
                <w:tcW w:w="371" w:type="pct"/>
                <w:vAlign w:val="center"/>
              </w:tcPr>
              <w:p w14:paraId="5A23739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溢折价摊销</w:t>
                </w:r>
              </w:p>
            </w:tc>
          </w:sdtContent>
        </w:sdt>
        <w:sdt>
          <w:sdtPr>
            <w:tag w:val="_PLD_e9a9a4415f3b4a0bb48b1fc342374a3b"/>
            <w:id w:val="-1397966665"/>
          </w:sdtPr>
          <w:sdtContent>
            <w:tc>
              <w:tcPr>
                <w:tcW w:w="483" w:type="pct"/>
                <w:vAlign w:val="center"/>
              </w:tcPr>
              <w:p w14:paraId="1B352B6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w:t>
                </w:r>
              </w:p>
              <w:p w14:paraId="5CFF8FE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偿还</w:t>
                </w:r>
              </w:p>
            </w:tc>
          </w:sdtContent>
        </w:sdt>
        <w:sdt>
          <w:sdtPr>
            <w:tag w:val="_PLD_b8d1e5afd4b54e399541976cfd25c04f"/>
            <w:id w:val="-1312090075"/>
          </w:sdtPr>
          <w:sdtContent>
            <w:tc>
              <w:tcPr>
                <w:tcW w:w="498" w:type="pct"/>
                <w:vAlign w:val="center"/>
              </w:tcPr>
              <w:p w14:paraId="1A7F529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14:paraId="509C56D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tc>
          <w:tcPr>
            <w:tcW w:w="290" w:type="pct"/>
            <w:vAlign w:val="center"/>
          </w:tcPr>
          <w:sdt>
            <w:sdtPr>
              <w:tag w:val="_PLD_8b48d21f451f4dd4bae44fb4341c676c"/>
              <w:id w:val="-1998415005"/>
            </w:sdtPr>
            <w:sdtContent>
              <w:p w14:paraId="1CC7383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是否违约</w:t>
                </w:r>
              </w:p>
            </w:sdtContent>
          </w:sdt>
        </w:tc>
      </w:tr>
      <w:sdt>
        <w:sdtPr>
          <w:rPr>
            <w:color w:val="000000" w:themeColor="text1"/>
            <w:sz w:val="18"/>
            <w:szCs w:val="18"/>
            <w14:textFill>
              <w14:solidFill>
                <w14:schemeClr w14:val="tx1"/>
              </w14:solidFill>
            </w14:textFill>
          </w:rPr>
          <w:alias w:val="应付债券明细"/>
          <w:tag w:val="_TUP_4c5536eb785446868e29aebe5fc950fa"/>
          <w:id w:val="1904414770"/>
          <w:placeholder>
            <w:docPart w:val="{72a5ff22-9a38-4d02-b871-4d9b0ea35748}"/>
          </w:placeholder>
        </w:sdtPr>
        <w:sdtEndPr>
          <w:rPr>
            <w:color w:val="000000" w:themeColor="text1"/>
            <w:sz w:val="18"/>
            <w:szCs w:val="18"/>
            <w14:textFill>
              <w14:solidFill>
                <w14:schemeClr w14:val="tx1"/>
              </w14:solidFill>
            </w14:textFill>
          </w:rPr>
        </w:sdtEndPr>
        <w:sdtContent>
          <w:tr w14:paraId="2F84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445" w:type="pct"/>
                <w:vAlign w:val="center"/>
              </w:tcPr>
              <w:p w14:paraId="29387A00">
                <w:pPr>
                  <w:rPr>
                    <w:sz w:val="18"/>
                    <w:szCs w:val="18"/>
                  </w:rPr>
                </w:pPr>
                <w:r>
                  <w:rPr>
                    <w:rFonts w:hint="eastAsia"/>
                    <w:sz w:val="18"/>
                    <w:szCs w:val="18"/>
                  </w:rPr>
                  <w:t>20际华01</w:t>
                </w:r>
              </w:p>
            </w:tc>
            <w:tc>
              <w:tcPr>
                <w:tcW w:w="339" w:type="pct"/>
                <w:vAlign w:val="center"/>
              </w:tcPr>
              <w:p w14:paraId="316A6365">
                <w:pPr>
                  <w:jc w:val="center"/>
                  <w:rPr>
                    <w:sz w:val="18"/>
                    <w:szCs w:val="18"/>
                  </w:rPr>
                </w:pPr>
                <w:r>
                  <w:rPr>
                    <w:rFonts w:hint="eastAsia"/>
                    <w:sz w:val="18"/>
                    <w:szCs w:val="18"/>
                  </w:rPr>
                  <w:t>100.00</w:t>
                </w:r>
              </w:p>
            </w:tc>
            <w:tc>
              <w:tcPr>
                <w:tcW w:w="315" w:type="pct"/>
                <w:vAlign w:val="center"/>
              </w:tcPr>
              <w:p w14:paraId="43786F3C">
                <w:pPr>
                  <w:jc w:val="center"/>
                  <w:rPr>
                    <w:sz w:val="18"/>
                    <w:szCs w:val="18"/>
                  </w:rPr>
                </w:pPr>
                <w:r>
                  <w:rPr>
                    <w:rFonts w:hint="eastAsia"/>
                    <w:sz w:val="18"/>
                    <w:szCs w:val="18"/>
                  </w:rPr>
                  <w:t>2.60</w:t>
                </w:r>
              </w:p>
            </w:tc>
            <w:tc>
              <w:tcPr>
                <w:tcW w:w="442" w:type="pct"/>
                <w:vAlign w:val="center"/>
              </w:tcPr>
              <w:p w14:paraId="6D4B2C2B">
                <w:pPr>
                  <w:jc w:val="center"/>
                  <w:rPr>
                    <w:sz w:val="18"/>
                    <w:szCs w:val="18"/>
                  </w:rPr>
                </w:pPr>
                <w:r>
                  <w:rPr>
                    <w:rFonts w:hint="eastAsia"/>
                    <w:sz w:val="18"/>
                    <w:szCs w:val="18"/>
                  </w:rPr>
                  <w:t>2020-06-15</w:t>
                </w:r>
              </w:p>
            </w:tc>
            <w:tc>
              <w:tcPr>
                <w:tcW w:w="262" w:type="pct"/>
                <w:vAlign w:val="center"/>
              </w:tcPr>
              <w:p w14:paraId="6E17F133">
                <w:pPr>
                  <w:jc w:val="center"/>
                  <w:rPr>
                    <w:sz w:val="18"/>
                    <w:szCs w:val="18"/>
                  </w:rPr>
                </w:pPr>
                <w:r>
                  <w:rPr>
                    <w:rFonts w:hint="eastAsia"/>
                    <w:sz w:val="18"/>
                    <w:szCs w:val="18"/>
                  </w:rPr>
                  <w:t>5年</w:t>
                </w:r>
              </w:p>
            </w:tc>
            <w:tc>
              <w:tcPr>
                <w:tcW w:w="607" w:type="pct"/>
                <w:vAlign w:val="center"/>
              </w:tcPr>
              <w:p w14:paraId="11CE2495">
                <w:pPr>
                  <w:jc w:val="right"/>
                  <w:rPr>
                    <w:sz w:val="18"/>
                    <w:szCs w:val="18"/>
                  </w:rPr>
                </w:pPr>
                <w:r>
                  <w:rPr>
                    <w:rFonts w:hint="eastAsia"/>
                    <w:sz w:val="18"/>
                    <w:szCs w:val="18"/>
                  </w:rPr>
                  <w:t>1,500,000,000.00</w:t>
                </w:r>
              </w:p>
            </w:tc>
            <w:tc>
              <w:tcPr>
                <w:tcW w:w="485" w:type="pct"/>
                <w:vAlign w:val="center"/>
              </w:tcPr>
              <w:p w14:paraId="0CA70A9B">
                <w:pPr>
                  <w:jc w:val="right"/>
                  <w:rPr>
                    <w:sz w:val="18"/>
                    <w:szCs w:val="18"/>
                  </w:rPr>
                </w:pPr>
                <w:r>
                  <w:rPr>
                    <w:rFonts w:hint="eastAsia"/>
                    <w:sz w:val="18"/>
                    <w:szCs w:val="18"/>
                  </w:rPr>
                  <w:t>20,276,025.81</w:t>
                </w:r>
              </w:p>
            </w:tc>
            <w:tc>
              <w:tcPr>
                <w:tcW w:w="455" w:type="pct"/>
                <w:vAlign w:val="center"/>
              </w:tcPr>
              <w:p w14:paraId="6538B7EE">
                <w:pPr>
                  <w:jc w:val="right"/>
                  <w:rPr>
                    <w:sz w:val="18"/>
                    <w:szCs w:val="18"/>
                  </w:rPr>
                </w:pPr>
                <w:r>
                  <w:rPr>
                    <w:rFonts w:hint="eastAsia"/>
                    <w:sz w:val="18"/>
                    <w:szCs w:val="18"/>
                  </w:rPr>
                  <w:t>236,493.14</w:t>
                </w:r>
              </w:p>
            </w:tc>
            <w:tc>
              <w:tcPr>
                <w:tcW w:w="371" w:type="pct"/>
                <w:vAlign w:val="center"/>
              </w:tcPr>
              <w:p w14:paraId="5B5A0A31">
                <w:pPr>
                  <w:jc w:val="right"/>
                  <w:rPr>
                    <w:sz w:val="18"/>
                    <w:szCs w:val="18"/>
                  </w:rPr>
                </w:pPr>
                <w:r>
                  <w:rPr>
                    <w:rFonts w:hint="eastAsia"/>
                    <w:sz w:val="18"/>
                    <w:szCs w:val="18"/>
                  </w:rPr>
                  <w:t>7,481.05</w:t>
                </w:r>
              </w:p>
            </w:tc>
            <w:tc>
              <w:tcPr>
                <w:tcW w:w="483" w:type="pct"/>
                <w:vAlign w:val="center"/>
              </w:tcPr>
              <w:p w14:paraId="20D9FAC8">
                <w:pPr>
                  <w:jc w:val="right"/>
                  <w:rPr>
                    <w:sz w:val="18"/>
                    <w:szCs w:val="18"/>
                  </w:rPr>
                </w:pPr>
                <w:r>
                  <w:rPr>
                    <w:rFonts w:hint="eastAsia"/>
                    <w:sz w:val="18"/>
                    <w:szCs w:val="18"/>
                  </w:rPr>
                  <w:t>20,520,000.00</w:t>
                </w:r>
              </w:p>
            </w:tc>
            <w:tc>
              <w:tcPr>
                <w:tcW w:w="498" w:type="pct"/>
                <w:vAlign w:val="center"/>
              </w:tcPr>
              <w:p w14:paraId="16FDDEA0">
                <w:pPr>
                  <w:jc w:val="right"/>
                  <w:rPr>
                    <w:sz w:val="18"/>
                    <w:szCs w:val="18"/>
                  </w:rPr>
                </w:pPr>
              </w:p>
            </w:tc>
            <w:sdt>
              <w:sdtPr>
                <w:rPr>
                  <w:color w:val="000000" w:themeColor="text1"/>
                  <w:sz w:val="18"/>
                  <w:szCs w:val="18"/>
                  <w14:textFill>
                    <w14:solidFill>
                      <w14:schemeClr w14:val="tx1"/>
                    </w14:solidFill>
                  </w14:textFill>
                </w:rPr>
                <w:alias w:val="应付债券是否违约"/>
                <w:tag w:val="_GBC_e670599a73ae46ebb80efcb8ec994898"/>
                <w:id w:val="-1744482557"/>
                <w:comboBox>
                  <w:listItem w:displayText="是" w:value="是"/>
                  <w:listItem w:displayText="否" w:value="否"/>
                </w:comboBox>
              </w:sdtPr>
              <w:sdtEndPr>
                <w:rPr>
                  <w:color w:val="000000" w:themeColor="text1"/>
                  <w:sz w:val="18"/>
                  <w:szCs w:val="18"/>
                  <w14:textFill>
                    <w14:solidFill>
                      <w14:schemeClr w14:val="tx1"/>
                    </w14:solidFill>
                  </w14:textFill>
                </w:rPr>
              </w:sdtEndPr>
              <w:sdtContent>
                <w:tc>
                  <w:tcPr>
                    <w:tcW w:w="290" w:type="pct"/>
                    <w:vAlign w:val="center"/>
                  </w:tcPr>
                  <w:p w14:paraId="16ED025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否</w:t>
                    </w:r>
                  </w:p>
                </w:tc>
              </w:sdtContent>
            </w:sdt>
          </w:tr>
        </w:sdtContent>
      </w:sdt>
      <w:sdt>
        <w:sdtPr>
          <w:rPr>
            <w:color w:val="000000" w:themeColor="text1"/>
            <w:sz w:val="18"/>
            <w:szCs w:val="18"/>
            <w14:textFill>
              <w14:solidFill>
                <w14:schemeClr w14:val="tx1"/>
              </w14:solidFill>
            </w14:textFill>
          </w:rPr>
          <w:alias w:val="应付债券明细"/>
          <w:tag w:val="_TUP_4c5536eb785446868e29aebe5fc950fa"/>
          <w:id w:val="-1752967391"/>
          <w:placeholder>
            <w:docPart w:val="{72a5ff22-9a38-4d02-b871-4d9b0ea35748}"/>
          </w:placeholder>
        </w:sdtPr>
        <w:sdtEndPr>
          <w:rPr>
            <w:color w:val="000000" w:themeColor="text1"/>
            <w:sz w:val="18"/>
            <w:szCs w:val="18"/>
            <w14:textFill>
              <w14:solidFill>
                <w14:schemeClr w14:val="tx1"/>
              </w14:solidFill>
            </w14:textFill>
          </w:rPr>
        </w:sdtEndPr>
        <w:sdtContent>
          <w:tr w14:paraId="174E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tc>
              <w:tcPr>
                <w:tcW w:w="445" w:type="pct"/>
                <w:vAlign w:val="center"/>
              </w:tcPr>
              <w:p w14:paraId="1E6940EA">
                <w:pPr>
                  <w:rPr>
                    <w:sz w:val="18"/>
                    <w:szCs w:val="18"/>
                  </w:rPr>
                </w:pPr>
                <w:r>
                  <w:rPr>
                    <w:rFonts w:hint="eastAsia"/>
                    <w:sz w:val="18"/>
                    <w:szCs w:val="18"/>
                  </w:rPr>
                  <w:t>23际华集团MTN001</w:t>
                </w:r>
              </w:p>
            </w:tc>
            <w:tc>
              <w:tcPr>
                <w:tcW w:w="339" w:type="pct"/>
                <w:vAlign w:val="center"/>
              </w:tcPr>
              <w:p w14:paraId="34BA941F">
                <w:pPr>
                  <w:jc w:val="center"/>
                  <w:rPr>
                    <w:sz w:val="18"/>
                    <w:szCs w:val="18"/>
                  </w:rPr>
                </w:pPr>
                <w:r>
                  <w:rPr>
                    <w:rFonts w:hint="eastAsia"/>
                    <w:sz w:val="18"/>
                    <w:szCs w:val="18"/>
                  </w:rPr>
                  <w:t>100.00</w:t>
                </w:r>
              </w:p>
            </w:tc>
            <w:tc>
              <w:tcPr>
                <w:tcW w:w="315" w:type="pct"/>
                <w:vAlign w:val="center"/>
              </w:tcPr>
              <w:p w14:paraId="5422435E">
                <w:pPr>
                  <w:jc w:val="center"/>
                  <w:rPr>
                    <w:sz w:val="18"/>
                    <w:szCs w:val="18"/>
                  </w:rPr>
                </w:pPr>
                <w:r>
                  <w:rPr>
                    <w:rFonts w:hint="eastAsia"/>
                    <w:sz w:val="18"/>
                    <w:szCs w:val="18"/>
                  </w:rPr>
                  <w:t>3.07</w:t>
                </w:r>
              </w:p>
            </w:tc>
            <w:tc>
              <w:tcPr>
                <w:tcW w:w="442" w:type="pct"/>
                <w:vAlign w:val="center"/>
              </w:tcPr>
              <w:p w14:paraId="001508BB">
                <w:pPr>
                  <w:jc w:val="center"/>
                  <w:rPr>
                    <w:sz w:val="18"/>
                    <w:szCs w:val="18"/>
                  </w:rPr>
                </w:pPr>
                <w:r>
                  <w:rPr>
                    <w:rFonts w:hint="eastAsia"/>
                    <w:sz w:val="18"/>
                    <w:szCs w:val="18"/>
                  </w:rPr>
                  <w:t>2023-06-01</w:t>
                </w:r>
              </w:p>
            </w:tc>
            <w:tc>
              <w:tcPr>
                <w:tcW w:w="262" w:type="pct"/>
                <w:vAlign w:val="center"/>
              </w:tcPr>
              <w:p w14:paraId="1C9DBC39">
                <w:pPr>
                  <w:jc w:val="center"/>
                  <w:rPr>
                    <w:sz w:val="18"/>
                    <w:szCs w:val="18"/>
                  </w:rPr>
                </w:pPr>
                <w:r>
                  <w:rPr>
                    <w:rFonts w:hint="eastAsia"/>
                    <w:sz w:val="18"/>
                    <w:szCs w:val="18"/>
                  </w:rPr>
                  <w:t>3年</w:t>
                </w:r>
              </w:p>
            </w:tc>
            <w:tc>
              <w:tcPr>
                <w:tcW w:w="607" w:type="pct"/>
                <w:vAlign w:val="center"/>
              </w:tcPr>
              <w:p w14:paraId="2C36028C">
                <w:pPr>
                  <w:jc w:val="right"/>
                  <w:rPr>
                    <w:sz w:val="18"/>
                    <w:szCs w:val="18"/>
                  </w:rPr>
                </w:pPr>
                <w:r>
                  <w:rPr>
                    <w:rFonts w:hint="eastAsia"/>
                    <w:sz w:val="18"/>
                    <w:szCs w:val="18"/>
                  </w:rPr>
                  <w:t>500,000,000.00</w:t>
                </w:r>
              </w:p>
            </w:tc>
            <w:tc>
              <w:tcPr>
                <w:tcW w:w="485" w:type="pct"/>
                <w:vAlign w:val="center"/>
              </w:tcPr>
              <w:p w14:paraId="083D0D26">
                <w:pPr>
                  <w:jc w:val="right"/>
                  <w:rPr>
                    <w:sz w:val="18"/>
                    <w:szCs w:val="18"/>
                  </w:rPr>
                </w:pPr>
                <w:r>
                  <w:rPr>
                    <w:rFonts w:hint="eastAsia"/>
                    <w:sz w:val="18"/>
                    <w:szCs w:val="18"/>
                  </w:rPr>
                  <w:t>508,560,210.28</w:t>
                </w:r>
              </w:p>
            </w:tc>
            <w:tc>
              <w:tcPr>
                <w:tcW w:w="455" w:type="pct"/>
                <w:vAlign w:val="center"/>
              </w:tcPr>
              <w:p w14:paraId="0939EF7E">
                <w:pPr>
                  <w:jc w:val="right"/>
                  <w:rPr>
                    <w:sz w:val="18"/>
                    <w:szCs w:val="18"/>
                  </w:rPr>
                </w:pPr>
                <w:r>
                  <w:rPr>
                    <w:rFonts w:hint="eastAsia"/>
                    <w:sz w:val="18"/>
                    <w:szCs w:val="18"/>
                  </w:rPr>
                  <w:t>7,611,917.81</w:t>
                </w:r>
              </w:p>
            </w:tc>
            <w:tc>
              <w:tcPr>
                <w:tcW w:w="371" w:type="pct"/>
                <w:vAlign w:val="center"/>
              </w:tcPr>
              <w:p w14:paraId="2E2BC530">
                <w:pPr>
                  <w:jc w:val="right"/>
                  <w:rPr>
                    <w:sz w:val="18"/>
                    <w:szCs w:val="18"/>
                  </w:rPr>
                </w:pPr>
                <w:r>
                  <w:rPr>
                    <w:rFonts w:hint="eastAsia"/>
                    <w:sz w:val="18"/>
                    <w:szCs w:val="18"/>
                  </w:rPr>
                  <w:t>78,280.02</w:t>
                </w:r>
              </w:p>
            </w:tc>
            <w:tc>
              <w:tcPr>
                <w:tcW w:w="483" w:type="pct"/>
                <w:vAlign w:val="center"/>
              </w:tcPr>
              <w:p w14:paraId="08B73C7B">
                <w:pPr>
                  <w:jc w:val="right"/>
                  <w:rPr>
                    <w:sz w:val="18"/>
                    <w:szCs w:val="18"/>
                  </w:rPr>
                </w:pPr>
                <w:r>
                  <w:rPr>
                    <w:rFonts w:hint="eastAsia"/>
                    <w:sz w:val="18"/>
                    <w:szCs w:val="18"/>
                  </w:rPr>
                  <w:t>15,350,000.00</w:t>
                </w:r>
              </w:p>
            </w:tc>
            <w:tc>
              <w:tcPr>
                <w:tcW w:w="498" w:type="pct"/>
                <w:vAlign w:val="center"/>
              </w:tcPr>
              <w:p w14:paraId="4615E2B7">
                <w:pPr>
                  <w:jc w:val="right"/>
                  <w:rPr>
                    <w:sz w:val="18"/>
                    <w:szCs w:val="18"/>
                  </w:rPr>
                </w:pPr>
                <w:r>
                  <w:rPr>
                    <w:rFonts w:hint="eastAsia"/>
                    <w:sz w:val="18"/>
                    <w:szCs w:val="18"/>
                  </w:rPr>
                  <w:t>500,900,408.11</w:t>
                </w:r>
              </w:p>
            </w:tc>
            <w:sdt>
              <w:sdtPr>
                <w:rPr>
                  <w:color w:val="000000" w:themeColor="text1"/>
                  <w:sz w:val="18"/>
                  <w:szCs w:val="18"/>
                  <w14:textFill>
                    <w14:solidFill>
                      <w14:schemeClr w14:val="tx1"/>
                    </w14:solidFill>
                  </w14:textFill>
                </w:rPr>
                <w:alias w:val="应付债券是否违约"/>
                <w:tag w:val="_GBC_e670599a73ae46ebb80efcb8ec994898"/>
                <w:id w:val="-1730990355"/>
                <w:comboBox>
                  <w:listItem w:displayText="是" w:value="是"/>
                  <w:listItem w:displayText="否" w:value="否"/>
                </w:comboBox>
              </w:sdtPr>
              <w:sdtEndPr>
                <w:rPr>
                  <w:color w:val="000000" w:themeColor="text1"/>
                  <w:sz w:val="18"/>
                  <w:szCs w:val="18"/>
                  <w14:textFill>
                    <w14:solidFill>
                      <w14:schemeClr w14:val="tx1"/>
                    </w14:solidFill>
                  </w14:textFill>
                </w:rPr>
              </w:sdtEndPr>
              <w:sdtContent>
                <w:tc>
                  <w:tcPr>
                    <w:tcW w:w="290" w:type="pct"/>
                    <w:vAlign w:val="center"/>
                  </w:tcPr>
                  <w:p w14:paraId="6ED2AD2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否</w:t>
                    </w:r>
                  </w:p>
                </w:tc>
              </w:sdtContent>
            </w:sdt>
          </w:tr>
        </w:sdtContent>
      </w:sdt>
      <w:tr w14:paraId="20D6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266" w:hRule="atLeast"/>
        </w:trPr>
        <w:sdt>
          <w:sdtPr>
            <w:rPr>
              <w:sz w:val="18"/>
              <w:szCs w:val="18"/>
            </w:rPr>
            <w:tag w:val="_PLD_a136cc6a7a0f4072b7a5953d968c0810"/>
            <w:id w:val="1717314252"/>
          </w:sdtPr>
          <w:sdtEndPr>
            <w:rPr>
              <w:sz w:val="18"/>
              <w:szCs w:val="18"/>
            </w:rPr>
          </w:sdtEndPr>
          <w:sdtContent>
            <w:tc>
              <w:tcPr>
                <w:tcW w:w="445" w:type="pct"/>
                <w:vAlign w:val="center"/>
              </w:tcPr>
              <w:p w14:paraId="094342F3">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合计</w:t>
                </w:r>
              </w:p>
            </w:tc>
          </w:sdtContent>
        </w:sdt>
        <w:tc>
          <w:tcPr>
            <w:tcW w:w="339" w:type="pct"/>
            <w:vAlign w:val="center"/>
          </w:tcPr>
          <w:p w14:paraId="76CFE15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315" w:type="pct"/>
            <w:vAlign w:val="center"/>
          </w:tcPr>
          <w:p w14:paraId="236DD459">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442" w:type="pct"/>
            <w:vAlign w:val="center"/>
          </w:tcPr>
          <w:p w14:paraId="44B6DE07">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262" w:type="pct"/>
            <w:vAlign w:val="center"/>
          </w:tcPr>
          <w:p w14:paraId="7F399022">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607" w:type="pct"/>
            <w:vAlign w:val="center"/>
          </w:tcPr>
          <w:p w14:paraId="7C22E2AF">
            <w:pPr>
              <w:jc w:val="right"/>
              <w:rPr>
                <w:sz w:val="18"/>
                <w:szCs w:val="18"/>
              </w:rPr>
            </w:pPr>
            <w:r>
              <w:rPr>
                <w:rFonts w:hint="eastAsia"/>
                <w:sz w:val="18"/>
                <w:szCs w:val="18"/>
              </w:rPr>
              <w:t>2,000,000,000.00</w:t>
            </w:r>
          </w:p>
        </w:tc>
        <w:tc>
          <w:tcPr>
            <w:tcW w:w="485" w:type="pct"/>
            <w:vAlign w:val="center"/>
          </w:tcPr>
          <w:p w14:paraId="166139A4">
            <w:pPr>
              <w:jc w:val="right"/>
              <w:rPr>
                <w:sz w:val="18"/>
                <w:szCs w:val="18"/>
              </w:rPr>
            </w:pPr>
            <w:r>
              <w:rPr>
                <w:rFonts w:hint="eastAsia"/>
                <w:sz w:val="18"/>
                <w:szCs w:val="18"/>
              </w:rPr>
              <w:t>528,836,236.09</w:t>
            </w:r>
          </w:p>
        </w:tc>
        <w:tc>
          <w:tcPr>
            <w:tcW w:w="455" w:type="pct"/>
            <w:vAlign w:val="center"/>
          </w:tcPr>
          <w:p w14:paraId="72BBC640">
            <w:pPr>
              <w:jc w:val="right"/>
              <w:rPr>
                <w:sz w:val="18"/>
                <w:szCs w:val="18"/>
              </w:rPr>
            </w:pPr>
            <w:r>
              <w:rPr>
                <w:rFonts w:hint="eastAsia"/>
                <w:sz w:val="18"/>
                <w:szCs w:val="18"/>
              </w:rPr>
              <w:t>7,848,410.95</w:t>
            </w:r>
          </w:p>
        </w:tc>
        <w:tc>
          <w:tcPr>
            <w:tcW w:w="371" w:type="pct"/>
            <w:vAlign w:val="center"/>
          </w:tcPr>
          <w:p w14:paraId="30A33A26">
            <w:pPr>
              <w:jc w:val="right"/>
              <w:rPr>
                <w:sz w:val="18"/>
                <w:szCs w:val="18"/>
              </w:rPr>
            </w:pPr>
            <w:r>
              <w:rPr>
                <w:rFonts w:hint="eastAsia"/>
                <w:sz w:val="18"/>
                <w:szCs w:val="18"/>
              </w:rPr>
              <w:t>85,761.07</w:t>
            </w:r>
          </w:p>
        </w:tc>
        <w:tc>
          <w:tcPr>
            <w:tcW w:w="483" w:type="pct"/>
            <w:vAlign w:val="center"/>
          </w:tcPr>
          <w:p w14:paraId="6C648895">
            <w:pPr>
              <w:jc w:val="right"/>
              <w:rPr>
                <w:sz w:val="18"/>
                <w:szCs w:val="18"/>
              </w:rPr>
            </w:pPr>
            <w:r>
              <w:rPr>
                <w:rFonts w:hint="eastAsia"/>
                <w:sz w:val="18"/>
                <w:szCs w:val="18"/>
              </w:rPr>
              <w:t>35,870,000.00</w:t>
            </w:r>
          </w:p>
        </w:tc>
        <w:tc>
          <w:tcPr>
            <w:tcW w:w="498" w:type="pct"/>
            <w:vAlign w:val="center"/>
          </w:tcPr>
          <w:p w14:paraId="5E62434D">
            <w:pPr>
              <w:jc w:val="right"/>
              <w:rPr>
                <w:sz w:val="18"/>
                <w:szCs w:val="18"/>
              </w:rPr>
            </w:pPr>
            <w:r>
              <w:rPr>
                <w:rFonts w:hint="eastAsia"/>
                <w:sz w:val="18"/>
                <w:szCs w:val="18"/>
              </w:rPr>
              <w:t>500,900,408.11</w:t>
            </w:r>
          </w:p>
        </w:tc>
        <w:tc>
          <w:tcPr>
            <w:tcW w:w="290" w:type="pct"/>
            <w:vAlign w:val="center"/>
          </w:tcPr>
          <w:p w14:paraId="3BFD6973">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bl>
    <w:p w14:paraId="68876201">
      <w:pPr>
        <w:rPr>
          <w:rFonts w:cstheme="minorBidi"/>
          <w:color w:val="000000" w:themeColor="text1"/>
          <w14:textFill>
            <w14:solidFill>
              <w14:schemeClr w14:val="tx1"/>
            </w14:solidFill>
          </w14:textFill>
        </w:rPr>
      </w:pPr>
    </w:p>
    <w:p w14:paraId="6697668B">
      <w:pPr>
        <w:rPr>
          <w:rFonts w:cstheme="minorBidi"/>
          <w:color w:val="000000" w:themeColor="text1"/>
          <w14:textFill>
            <w14:solidFill>
              <w14:schemeClr w14:val="tx1"/>
            </w14:solidFill>
          </w14:textFill>
        </w:rPr>
      </w:pPr>
    </w:p>
    <w:p w14:paraId="6CAA0A5F">
      <w:pPr>
        <w:pStyle w:val="58"/>
        <w:numPr>
          <w:ilvl w:val="0"/>
          <w:numId w:val="85"/>
        </w:numPr>
        <w:tabs>
          <w:tab w:val="left" w:pos="67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可转换公司债券的说明</w:t>
      </w:r>
    </w:p>
    <w:sdt>
      <w:sdtPr>
        <w:rPr>
          <w:rFonts w:hint="eastAsia"/>
          <w:color w:val="000000" w:themeColor="text1"/>
          <w14:textFill>
            <w14:solidFill>
              <w14:schemeClr w14:val="tx1"/>
            </w14:solidFill>
          </w14:textFill>
        </w:rPr>
        <w:alias w:val="是否适用：可转换公司债券的转股条件、转股时间说明[双击切换]"/>
        <w:tag w:val="_GBC_ef63fc1297374c8b97a48c0c89422e8a"/>
        <w:id w:val="147463313"/>
        <w:placeholder>
          <w:docPart w:val="GBC22222222222222222222222222222"/>
        </w:placeholder>
      </w:sdtPr>
      <w:sdtEndPr>
        <w:rPr>
          <w:rFonts w:hint="eastAsia"/>
          <w:color w:val="000000" w:themeColor="text1"/>
          <w14:textFill>
            <w14:solidFill>
              <w14:schemeClr w14:val="tx1"/>
            </w14:solidFill>
          </w14:textFill>
        </w:rPr>
      </w:sdtEndPr>
      <w:sdtContent>
        <w:p w14:paraId="611A92C1">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F929B2">
      <w:pPr>
        <w:spacing w:before="60" w:after="60"/>
        <w:rPr>
          <w:color w:val="000000" w:themeColor="text1"/>
          <w14:textFill>
            <w14:solidFill>
              <w14:schemeClr w14:val="tx1"/>
            </w14:solidFill>
          </w14:textFill>
        </w:rPr>
      </w:pPr>
    </w:p>
    <w:p w14:paraId="481CF204">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转股权会计处理及判断依据</w:t>
      </w:r>
    </w:p>
    <w:sdt>
      <w:sdtPr>
        <w:rPr>
          <w:color w:val="000000" w:themeColor="text1"/>
          <w14:textFill>
            <w14:solidFill>
              <w14:schemeClr w14:val="tx1"/>
            </w14:solidFill>
          </w14:textFill>
        </w:rPr>
        <w:alias w:val="是否适用：转股权会计处理及判断依据[双击切换]"/>
        <w:tag w:val="_GBC_d91e0305ad39444cb4fea2f3671f7083"/>
        <w:id w:val="147457727"/>
        <w:placeholder>
          <w:docPart w:val="GBC22222222222222222222222222222"/>
        </w:placeholder>
      </w:sdtPr>
      <w:sdtEndPr>
        <w:rPr>
          <w:color w:val="000000" w:themeColor="text1"/>
          <w14:textFill>
            <w14:solidFill>
              <w14:schemeClr w14:val="tx1"/>
            </w14:solidFill>
          </w14:textFill>
        </w:rPr>
      </w:sdtEndPr>
      <w:sdtContent>
        <w:p w14:paraId="2B45F414">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151EB0">
      <w:pPr>
        <w:rPr>
          <w:color w:val="000000" w:themeColor="text1"/>
          <w14:textFill>
            <w14:solidFill>
              <w14:schemeClr w14:val="tx1"/>
            </w14:solidFill>
          </w14:textFill>
        </w:rPr>
      </w:pPr>
    </w:p>
    <w:bookmarkEnd w:id="363"/>
    <w:p w14:paraId="00628690">
      <w:pPr>
        <w:pStyle w:val="58"/>
        <w:numPr>
          <w:ilvl w:val="0"/>
          <w:numId w:val="85"/>
        </w:numPr>
        <w:tabs>
          <w:tab w:val="left" w:pos="67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划分为金融负债的其他金融工具说明</w:t>
      </w:r>
    </w:p>
    <w:p w14:paraId="02D93642">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划分为金融负债的其他金融工具说明[双击切换]"/>
        <w:tag w:val="_GBC_61542231aba54618ab4bd6d781bfab05"/>
        <w:id w:val="147463016"/>
        <w:placeholder>
          <w:docPart w:val="GBC22222222222222222222222222222"/>
        </w:placeholder>
      </w:sdtPr>
      <w:sdtEndPr>
        <w:rPr>
          <w:color w:val="000000" w:themeColor="text1"/>
          <w14:textFill>
            <w14:solidFill>
              <w14:schemeClr w14:val="tx1"/>
            </w14:solidFill>
          </w14:textFill>
        </w:rPr>
      </w:sdtEndPr>
      <w:sdtContent>
        <w:p w14:paraId="584201D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B1CB0A">
      <w:pPr>
        <w:rPr>
          <w:color w:val="000000" w:themeColor="text1"/>
          <w14:textFill>
            <w14:solidFill>
              <w14:schemeClr w14:val="tx1"/>
            </w14:solidFill>
          </w14:textFill>
        </w:rPr>
      </w:pPr>
    </w:p>
    <w:p w14:paraId="1FB19F40">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应付债券[双击切换]"/>
        <w:tag w:val="_GBC_4cf6ed9dc37d42fc946f2268e90eee97"/>
        <w:id w:val="147466592"/>
        <w:placeholder>
          <w:docPart w:val="GBC22222222222222222222222222222"/>
        </w:placeholder>
      </w:sdtPr>
      <w:sdtEndPr>
        <w:rPr>
          <w:color w:val="000000" w:themeColor="text1"/>
          <w14:textFill>
            <w14:solidFill>
              <w14:schemeClr w14:val="tx1"/>
            </w14:solidFill>
          </w14:textFill>
        </w:rPr>
      </w:sdtEndPr>
      <w:sdtContent>
        <w:p w14:paraId="73CF7AA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64"/>
    <w:bookmarkEnd w:id="365"/>
    <w:p w14:paraId="2C6969BA">
      <w:pPr>
        <w:rPr>
          <w:color w:val="000000" w:themeColor="text1"/>
          <w14:textFill>
            <w14:solidFill>
              <w14:schemeClr w14:val="tx1"/>
            </w14:solidFill>
          </w14:textFill>
        </w:rPr>
      </w:pPr>
    </w:p>
    <w:p w14:paraId="7CC5929D">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其他金融工具划分为金融负债的依据说明</w:t>
      </w:r>
    </w:p>
    <w:sdt>
      <w:sdtPr>
        <w:rPr>
          <w:color w:val="000000" w:themeColor="text1"/>
          <w14:textFill>
            <w14:solidFill>
              <w14:schemeClr w14:val="tx1"/>
            </w14:solidFill>
          </w14:textFill>
        </w:rPr>
        <w:alias w:val="是否适用：其他金融工具划分为金融负债的依据说明[双击切换]"/>
        <w:tag w:val="_GBC_aec0ba7f99624a559a5f92bcd8e57e4f"/>
        <w:id w:val="147458797"/>
        <w:placeholder>
          <w:docPart w:val="GBC22222222222222222222222222222"/>
        </w:placeholder>
      </w:sdtPr>
      <w:sdtEndPr>
        <w:rPr>
          <w:color w:val="000000" w:themeColor="text1"/>
          <w14:textFill>
            <w14:solidFill>
              <w14:schemeClr w14:val="tx1"/>
            </w14:solidFill>
          </w14:textFill>
        </w:rPr>
      </w:sdtEndPr>
      <w:sdtContent>
        <w:p w14:paraId="5755C41C">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751CB1">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42A4C41F">
      <w:pPr>
        <w:rPr>
          <w:color w:val="000000" w:themeColor="text1"/>
          <w14:textFill>
            <w14:solidFill>
              <w14:schemeClr w14:val="tx1"/>
            </w14:solidFill>
          </w14:textFill>
        </w:rPr>
      </w:pPr>
    </w:p>
    <w:p w14:paraId="3E7283A2">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债券的其他说明[双击切换]"/>
        <w:tag w:val="_GBC_34ea80305b6a4fafaf2943f684877d08"/>
        <w:id w:val="147469815"/>
        <w:placeholder>
          <w:docPart w:val="GBC22222222222222222222222222222"/>
        </w:placeholder>
      </w:sdtPr>
      <w:sdtEndPr>
        <w:rPr>
          <w:color w:val="000000" w:themeColor="text1"/>
          <w14:textFill>
            <w14:solidFill>
              <w14:schemeClr w14:val="tx1"/>
            </w14:solidFill>
          </w14:textFill>
        </w:rPr>
      </w:sdtEndPr>
      <w:sdtContent>
        <w:p w14:paraId="0BAF1853">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5FC0868">
      <w:pPr>
        <w:rPr>
          <w:color w:val="000000" w:themeColor="text1"/>
          <w14:textFill>
            <w14:solidFill>
              <w14:schemeClr w14:val="tx1"/>
            </w14:solidFill>
          </w14:textFill>
        </w:rPr>
      </w:pPr>
    </w:p>
    <w:p w14:paraId="379059C5">
      <w:pPr>
        <w:pStyle w:val="57"/>
        <w:numPr>
          <w:ilvl w:val="0"/>
          <w:numId w:val="54"/>
        </w:num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租赁负债</w:t>
      </w:r>
    </w:p>
    <w:sdt>
      <w:sdtPr>
        <w:rPr>
          <w:color w:val="000000" w:themeColor="text1"/>
          <w14:textFill>
            <w14:solidFill>
              <w14:schemeClr w14:val="tx1"/>
            </w14:solidFill>
          </w14:textFill>
        </w:rPr>
        <w:alias w:val="是否适用：租赁负债[双击切换]"/>
        <w:tag w:val="_GBC_cec9aedf0aa8427d9bd5dbf17e698298"/>
        <w:id w:val="900948049"/>
      </w:sdtPr>
      <w:sdtEndPr>
        <w:rPr>
          <w:color w:val="000000" w:themeColor="text1"/>
          <w14:textFill>
            <w14:solidFill>
              <w14:schemeClr w14:val="tx1"/>
            </w14:solidFill>
          </w14:textFill>
        </w:rPr>
      </w:sdtEndPr>
      <w:sdtContent>
        <w:p w14:paraId="2594BBB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04F621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租赁负债"/>
          <w:tag w:val="_GBC_3f1d18295bfb4156905ee3935811bc9f"/>
          <w:id w:val="1405020738"/>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租赁负债"/>
          <w:tag w:val="_GBC_1ce63c76adb74c2f8d53dbdb5d73a87c"/>
          <w:id w:val="1215005148"/>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836"/>
        <w:gridCol w:w="2628"/>
        <w:gridCol w:w="2429"/>
      </w:tblGrid>
      <w:tr w14:paraId="1901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307" w:hRule="atLeast"/>
        </w:trPr>
        <w:sdt>
          <w:sdtPr>
            <w:tag w:val="_PLD_27afd78cc4b04fa19a7adaa593b83cc4"/>
            <w:id w:val="663664807"/>
          </w:sdtPr>
          <w:sdtContent>
            <w:tc>
              <w:tcPr>
                <w:tcW w:w="2156" w:type="pct"/>
                <w:vAlign w:val="center"/>
              </w:tcPr>
              <w:p w14:paraId="2E60CB9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73fbb207ad34f58a8a0f0451332e555"/>
            <w:id w:val="1370181729"/>
          </w:sdtPr>
          <w:sdtContent>
            <w:tc>
              <w:tcPr>
                <w:tcW w:w="1477" w:type="pct"/>
                <w:vAlign w:val="center"/>
              </w:tcPr>
              <w:p w14:paraId="33833D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1cf17ce1aff4bad8deb2792f3b6570d"/>
            <w:id w:val="-419482464"/>
          </w:sdtPr>
          <w:sdtContent>
            <w:tc>
              <w:tcPr>
                <w:tcW w:w="1365" w:type="pct"/>
                <w:vAlign w:val="center"/>
              </w:tcPr>
              <w:p w14:paraId="0202FD1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sdt>
        <w:sdtPr>
          <w:rPr>
            <w:color w:val="000000" w:themeColor="text1"/>
            <w14:textFill>
              <w14:solidFill>
                <w14:schemeClr w14:val="tx1"/>
              </w14:solidFill>
            </w14:textFill>
          </w:rPr>
          <w:alias w:val="租赁负债明细"/>
          <w:tag w:val="_TUP_4f6c01aec10540a980fbed5fbec5a5f6"/>
          <w:id w:val="817996353"/>
          <w:placeholder>
            <w:docPart w:val="{db856ebd-6f6b-4365-b791-d5cd84a05f66}"/>
          </w:placeholder>
        </w:sdtPr>
        <w:sdtEndPr>
          <w:rPr>
            <w:rFonts w:cs="Times New Roman"/>
            <w:color w:val="000000" w:themeColor="text1"/>
            <w14:textFill>
              <w14:solidFill>
                <w14:schemeClr w14:val="tx1"/>
              </w14:solidFill>
            </w14:textFill>
          </w:rPr>
        </w:sdtEndPr>
        <w:sdtContent>
          <w:tr w14:paraId="6460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2156" w:type="pct"/>
              </w:tcPr>
              <w:p w14:paraId="3563B0BA">
                <w:r>
                  <w:rPr>
                    <w:rFonts w:hint="eastAsia"/>
                  </w:rPr>
                  <w:t>租赁付款额</w:t>
                </w:r>
              </w:p>
            </w:tc>
            <w:tc>
              <w:tcPr>
                <w:tcW w:w="1477" w:type="pct"/>
                <w:vAlign w:val="center"/>
              </w:tcPr>
              <w:p w14:paraId="63BD7F9D">
                <w:pPr>
                  <w:jc w:val="right"/>
                  <w:rPr>
                    <w:rFonts w:cs="Times New Roman"/>
                  </w:rPr>
                </w:pPr>
                <w:r>
                  <w:rPr>
                    <w:rFonts w:cs="Times New Roman"/>
                  </w:rPr>
                  <w:t>12,999,999.97</w:t>
                </w:r>
              </w:p>
            </w:tc>
            <w:tc>
              <w:tcPr>
                <w:tcW w:w="1365" w:type="pct"/>
                <w:vAlign w:val="center"/>
              </w:tcPr>
              <w:p w14:paraId="6B1684A0">
                <w:pPr>
                  <w:jc w:val="right"/>
                  <w:rPr>
                    <w:rFonts w:cs="Times New Roman"/>
                  </w:rPr>
                </w:pPr>
                <w:r>
                  <w:rPr>
                    <w:rFonts w:cs="Times New Roman"/>
                  </w:rPr>
                  <w:t>14,285,714.26</w:t>
                </w:r>
              </w:p>
            </w:tc>
          </w:tr>
        </w:sdtContent>
      </w:sdt>
      <w:sdt>
        <w:sdtPr>
          <w:rPr>
            <w:color w:val="000000" w:themeColor="text1"/>
            <w14:textFill>
              <w14:solidFill>
                <w14:schemeClr w14:val="tx1"/>
              </w14:solidFill>
            </w14:textFill>
          </w:rPr>
          <w:alias w:val="租赁负债明细"/>
          <w:tag w:val="_TUP_4f6c01aec10540a980fbed5fbec5a5f6"/>
          <w:id w:val="160444385"/>
          <w:placeholder>
            <w:docPart w:val="{db856ebd-6f6b-4365-b791-d5cd84a05f66}"/>
          </w:placeholder>
        </w:sdtPr>
        <w:sdtEndPr>
          <w:rPr>
            <w:rFonts w:cs="Times New Roman"/>
            <w:color w:val="000000" w:themeColor="text1"/>
            <w14:textFill>
              <w14:solidFill>
                <w14:schemeClr w14:val="tx1"/>
              </w14:solidFill>
            </w14:textFill>
          </w:rPr>
        </w:sdtEndPr>
        <w:sdtContent>
          <w:tr w14:paraId="602D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2156" w:type="pct"/>
              </w:tcPr>
              <w:p w14:paraId="229874AA">
                <w:r>
                  <w:rPr>
                    <w:rFonts w:hint="eastAsia"/>
                  </w:rPr>
                  <w:t>减：未确认融资费用</w:t>
                </w:r>
              </w:p>
            </w:tc>
            <w:tc>
              <w:tcPr>
                <w:tcW w:w="1477" w:type="pct"/>
                <w:vAlign w:val="center"/>
              </w:tcPr>
              <w:p w14:paraId="61EDDB87">
                <w:pPr>
                  <w:jc w:val="right"/>
                  <w:rPr>
                    <w:rFonts w:cs="Times New Roman"/>
                  </w:rPr>
                </w:pPr>
                <w:r>
                  <w:rPr>
                    <w:rFonts w:cs="Times New Roman"/>
                  </w:rPr>
                  <w:t>2,869,736.65</w:t>
                </w:r>
              </w:p>
            </w:tc>
            <w:tc>
              <w:tcPr>
                <w:tcW w:w="1365" w:type="pct"/>
                <w:vAlign w:val="center"/>
              </w:tcPr>
              <w:p w14:paraId="6C25FCE4">
                <w:pPr>
                  <w:jc w:val="right"/>
                  <w:rPr>
                    <w:rFonts w:cs="Times New Roman"/>
                  </w:rPr>
                </w:pPr>
                <w:r>
                  <w:rPr>
                    <w:rFonts w:cs="Times New Roman"/>
                  </w:rPr>
                  <w:t>3,142,739.53</w:t>
                </w:r>
              </w:p>
            </w:tc>
          </w:tr>
        </w:sdtContent>
      </w:sdt>
      <w:sdt>
        <w:sdtPr>
          <w:rPr>
            <w:color w:val="000000" w:themeColor="text1"/>
            <w14:textFill>
              <w14:solidFill>
                <w14:schemeClr w14:val="tx1"/>
              </w14:solidFill>
            </w14:textFill>
          </w:rPr>
          <w:alias w:val="租赁负债明细"/>
          <w:tag w:val="_TUP_4f6c01aec10540a980fbed5fbec5a5f6"/>
          <w:id w:val="201295772"/>
          <w:placeholder>
            <w:docPart w:val="{db856ebd-6f6b-4365-b791-d5cd84a05f66}"/>
          </w:placeholder>
        </w:sdtPr>
        <w:sdtEndPr>
          <w:rPr>
            <w:rFonts w:cs="Times New Roman"/>
            <w:color w:val="000000" w:themeColor="text1"/>
            <w14:textFill>
              <w14:solidFill>
                <w14:schemeClr w14:val="tx1"/>
              </w14:solidFill>
            </w14:textFill>
          </w:rPr>
        </w:sdtEndPr>
        <w:sdtContent>
          <w:tr w14:paraId="41FD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2156" w:type="pct"/>
              </w:tcPr>
              <w:p w14:paraId="14CEDD4D">
                <w:r>
                  <w:rPr>
                    <w:rFonts w:hint="eastAsia"/>
                  </w:rPr>
                  <w:t>减：重分类至一年内到期的非流动负债</w:t>
                </w:r>
              </w:p>
            </w:tc>
            <w:tc>
              <w:tcPr>
                <w:tcW w:w="1477" w:type="pct"/>
                <w:vAlign w:val="center"/>
              </w:tcPr>
              <w:p w14:paraId="462618B6">
                <w:pPr>
                  <w:jc w:val="right"/>
                  <w:rPr>
                    <w:rFonts w:cs="Times New Roman"/>
                  </w:rPr>
                </w:pPr>
                <w:r>
                  <w:rPr>
                    <w:rFonts w:cs="Times New Roman"/>
                  </w:rPr>
                  <w:t>865,881.50</w:t>
                </w:r>
              </w:p>
            </w:tc>
            <w:tc>
              <w:tcPr>
                <w:tcW w:w="1365" w:type="pct"/>
                <w:vAlign w:val="center"/>
              </w:tcPr>
              <w:p w14:paraId="691A900C">
                <w:pPr>
                  <w:jc w:val="right"/>
                  <w:rPr>
                    <w:rFonts w:cs="Times New Roman"/>
                  </w:rPr>
                </w:pPr>
                <w:r>
                  <w:rPr>
                    <w:rFonts w:cs="Times New Roman"/>
                  </w:rPr>
                  <w:t>845,174.42</w:t>
                </w:r>
              </w:p>
            </w:tc>
          </w:tr>
        </w:sdtContent>
      </w:sdt>
      <w:sdt>
        <w:sdtPr>
          <w:rPr>
            <w:color w:val="000000" w:themeColor="text1"/>
            <w14:textFill>
              <w14:solidFill>
                <w14:schemeClr w14:val="tx1"/>
              </w14:solidFill>
            </w14:textFill>
          </w:rPr>
          <w:alias w:val="租赁负债明细"/>
          <w:tag w:val="_TUP_4f6c01aec10540a980fbed5fbec5a5f6"/>
          <w:id w:val="-596862798"/>
          <w:placeholder>
            <w:docPart w:val="{db856ebd-6f6b-4365-b791-d5cd84a05f66}"/>
          </w:placeholder>
        </w:sdtPr>
        <w:sdtEndPr>
          <w:rPr>
            <w:rFonts w:cs="Times New Roman"/>
            <w:color w:val="000000" w:themeColor="text1"/>
            <w14:textFill>
              <w14:solidFill>
                <w14:schemeClr w14:val="tx1"/>
              </w14:solidFill>
            </w14:textFill>
          </w:rPr>
        </w:sdtEndPr>
        <w:sdtContent>
          <w:tr w14:paraId="20F8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2156" w:type="pct"/>
              </w:tcPr>
              <w:p w14:paraId="6D366F2B">
                <w:r>
                  <w:rPr>
                    <w:rFonts w:hint="eastAsia"/>
                  </w:rPr>
                  <w:t>租赁负债净额</w:t>
                </w:r>
              </w:p>
            </w:tc>
            <w:tc>
              <w:tcPr>
                <w:tcW w:w="1477" w:type="pct"/>
                <w:vAlign w:val="center"/>
              </w:tcPr>
              <w:p w14:paraId="0E5076E8">
                <w:pPr>
                  <w:jc w:val="right"/>
                  <w:rPr>
                    <w:rFonts w:cs="Times New Roman"/>
                  </w:rPr>
                </w:pPr>
                <w:r>
                  <w:rPr>
                    <w:rFonts w:cs="Times New Roman"/>
                  </w:rPr>
                  <w:t>9,264,381.82</w:t>
                </w:r>
              </w:p>
            </w:tc>
            <w:tc>
              <w:tcPr>
                <w:tcW w:w="1365" w:type="pct"/>
                <w:vAlign w:val="center"/>
              </w:tcPr>
              <w:p w14:paraId="6CACBE6A">
                <w:pPr>
                  <w:jc w:val="right"/>
                  <w:rPr>
                    <w:rFonts w:cs="Times New Roman"/>
                  </w:rPr>
                </w:pPr>
                <w:r>
                  <w:rPr>
                    <w:rFonts w:cs="Times New Roman"/>
                  </w:rPr>
                  <w:t>10,297,800.31</w:t>
                </w:r>
              </w:p>
            </w:tc>
          </w:tr>
        </w:sdtContent>
      </w:sdt>
      <w:tr w14:paraId="0F2D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sdt>
          <w:sdtPr>
            <w:tag w:val="_PLD_807a786371564fa194bf829b6d063d21"/>
            <w:id w:val="1363861986"/>
          </w:sdtPr>
          <w:sdtContent>
            <w:tc>
              <w:tcPr>
                <w:tcW w:w="2156" w:type="pct"/>
              </w:tcPr>
              <w:p w14:paraId="08B2252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1477" w:type="pct"/>
            <w:vAlign w:val="center"/>
          </w:tcPr>
          <w:p w14:paraId="4DC06266">
            <w:pPr>
              <w:jc w:val="right"/>
              <w:rPr>
                <w:rFonts w:cs="Times New Roman"/>
              </w:rPr>
            </w:pPr>
            <w:r>
              <w:rPr>
                <w:rFonts w:cs="Times New Roman"/>
              </w:rPr>
              <w:t>9,264,381.82</w:t>
            </w:r>
          </w:p>
        </w:tc>
        <w:tc>
          <w:tcPr>
            <w:tcW w:w="1365" w:type="pct"/>
            <w:vAlign w:val="center"/>
          </w:tcPr>
          <w:p w14:paraId="5B40E85A">
            <w:pPr>
              <w:jc w:val="right"/>
              <w:rPr>
                <w:rFonts w:cs="Times New Roman"/>
              </w:rPr>
            </w:pPr>
            <w:r>
              <w:rPr>
                <w:rFonts w:cs="Times New Roman"/>
              </w:rPr>
              <w:t>10,297,800.31</w:t>
            </w:r>
          </w:p>
        </w:tc>
      </w:tr>
    </w:tbl>
    <w:p w14:paraId="6E9386F3">
      <w:pPr>
        <w:snapToGrid w:val="0"/>
        <w:spacing w:before="60" w:after="60"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租赁负债其他说明"/>
        <w:tag w:val="_GBC_cbaaaf9b0adf45f6a0dd93d6de03a6ea"/>
        <w:id w:val="-149297158"/>
      </w:sdtPr>
      <w:sdtEndPr>
        <w:rPr>
          <w:color w:val="000000" w:themeColor="text1"/>
          <w14:textFill>
            <w14:solidFill>
              <w14:schemeClr w14:val="tx1"/>
            </w14:solidFill>
          </w14:textFill>
        </w:rPr>
      </w:sdtEndPr>
      <w:sdtContent>
        <w:p w14:paraId="11CE5EED">
          <w:pPr>
            <w:rPr>
              <w:color w:val="000000" w:themeColor="text1"/>
              <w14:textFill>
                <w14:solidFill>
                  <w14:schemeClr w14:val="tx1"/>
                </w14:solidFill>
              </w14:textFill>
            </w:rPr>
          </w:pPr>
          <w:r>
            <w:rPr>
              <w:color w:val="000000" w:themeColor="text1"/>
              <w14:textFill>
                <w14:solidFill>
                  <w14:schemeClr w14:val="tx1"/>
                </w14:solidFill>
              </w14:textFill>
            </w:rPr>
            <w:t>无</w:t>
          </w:r>
        </w:p>
      </w:sdtContent>
    </w:sdt>
    <w:p w14:paraId="4E11AE62">
      <w:pPr>
        <w:rPr>
          <w:color w:val="000000" w:themeColor="text1"/>
          <w14:textFill>
            <w14:solidFill>
              <w14:schemeClr w14:val="tx1"/>
            </w14:solidFill>
          </w14:textFill>
        </w:rPr>
      </w:pPr>
    </w:p>
    <w:p w14:paraId="1B1E285E">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长期应付款</w:t>
      </w:r>
    </w:p>
    <w:p w14:paraId="3C5F6007">
      <w:pPr>
        <w:pStyle w:val="58"/>
        <w:rPr>
          <w:rFonts w:ascii="宋体" w:hAnsi="宋体"/>
          <w:color w:val="000000" w:themeColor="text1"/>
          <w14:textFill>
            <w14:solidFill>
              <w14:schemeClr w14:val="tx1"/>
            </w14:solidFill>
          </w14:textFill>
        </w:rPr>
      </w:pPr>
      <w:bookmarkStart w:id="366" w:name="_Hlk10536746"/>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长期应付款分类列示[双击切换]"/>
        <w:tag w:val="_GBC_dc1496c33e4a4cabb259020dbf46be93"/>
        <w:id w:val="147468022"/>
        <w:placeholder>
          <w:docPart w:val="GBC22222222222222222222222222222"/>
        </w:placeholder>
      </w:sdtPr>
      <w:sdtEndPr>
        <w:rPr>
          <w:color w:val="000000" w:themeColor="text1"/>
          <w14:textFill>
            <w14:solidFill>
              <w14:schemeClr w14:val="tx1"/>
            </w14:solidFill>
          </w14:textFill>
        </w:rPr>
      </w:sdtEndPr>
      <w:sdtContent>
        <w:p w14:paraId="50DB608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68AABA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长期应付款分类列示"/>
          <w:tag w:val="_GBC_ebfc605e57a44e54b3e33ac2adbd49b3"/>
          <w:id w:val="1474803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长期应付款分类列示"/>
          <w:tag w:val="_GBC_3e0811a7722a450c98b76253621cc253"/>
          <w:id w:val="1474698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8"/>
        <w:gridCol w:w="2863"/>
        <w:gridCol w:w="2878"/>
      </w:tblGrid>
      <w:tr w14:paraId="69B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3a93bba75a94d61a6bb41116821520d"/>
            <w:id w:val="147469386"/>
          </w:sdtPr>
          <w:sdtContent>
            <w:tc>
              <w:tcPr>
                <w:tcW w:w="1828" w:type="pct"/>
                <w:vAlign w:val="center"/>
              </w:tcPr>
              <w:p w14:paraId="401AC747">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cef3b6e993d4efeab53c68db46274b8"/>
            <w:id w:val="147472706"/>
          </w:sdtPr>
          <w:sdtContent>
            <w:tc>
              <w:tcPr>
                <w:tcW w:w="1582" w:type="pct"/>
                <w:vAlign w:val="center"/>
              </w:tcPr>
              <w:p w14:paraId="209BDA1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7980fd6d7084f6bb108abf1cc53570a"/>
            <w:id w:val="147460562"/>
          </w:sdtPr>
          <w:sdtContent>
            <w:tc>
              <w:tcPr>
                <w:tcW w:w="1590" w:type="pct"/>
                <w:vAlign w:val="center"/>
              </w:tcPr>
              <w:p w14:paraId="7B8AD9A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76F3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102EBF3E">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1582" w:type="pct"/>
          </w:tcPr>
          <w:p w14:paraId="70A7505D">
            <w:pPr>
              <w:tabs>
                <w:tab w:val="right" w:pos="3690"/>
                <w:tab w:val="right" w:pos="5130"/>
                <w:tab w:val="right" w:pos="6030"/>
                <w:tab w:val="right" w:pos="7650"/>
                <w:tab w:val="right" w:pos="9270"/>
              </w:tabs>
              <w:adjustRightInd w:val="0"/>
              <w:snapToGrid w:val="0"/>
              <w:jc w:val="right"/>
              <w:rPr>
                <w:rFonts w:cs="Times New Roman"/>
              </w:rPr>
            </w:pPr>
          </w:p>
        </w:tc>
        <w:tc>
          <w:tcPr>
            <w:tcW w:w="1590" w:type="pct"/>
          </w:tcPr>
          <w:p w14:paraId="2A6C721A">
            <w:pPr>
              <w:tabs>
                <w:tab w:val="right" w:pos="3690"/>
                <w:tab w:val="right" w:pos="5130"/>
                <w:tab w:val="right" w:pos="6030"/>
                <w:tab w:val="right" w:pos="7650"/>
                <w:tab w:val="right" w:pos="9270"/>
              </w:tabs>
              <w:adjustRightInd w:val="0"/>
              <w:snapToGrid w:val="0"/>
              <w:jc w:val="right"/>
              <w:rPr>
                <w:rFonts w:cs="Times New Roman"/>
              </w:rPr>
            </w:pPr>
          </w:p>
        </w:tc>
      </w:tr>
      <w:tr w14:paraId="2F01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49656D05">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专项应付款</w:t>
            </w:r>
          </w:p>
        </w:tc>
        <w:tc>
          <w:tcPr>
            <w:tcW w:w="2863" w:type="dxa"/>
            <w:vAlign w:val="center"/>
          </w:tcPr>
          <w:p w14:paraId="4FA9D234">
            <w:pPr>
              <w:jc w:val="right"/>
              <w:textAlignment w:val="center"/>
              <w:rPr>
                <w:rFonts w:cs="Times New Roman"/>
              </w:rPr>
            </w:pPr>
            <w:r>
              <w:rPr>
                <w:rFonts w:eastAsia="Arial Narrow" w:cs="Times New Roman"/>
                <w:color w:val="000000"/>
                <w:lang w:bidi="ar"/>
              </w:rPr>
              <w:t>41,904,211.82</w:t>
            </w:r>
          </w:p>
        </w:tc>
        <w:tc>
          <w:tcPr>
            <w:tcW w:w="2878" w:type="dxa"/>
            <w:vAlign w:val="center"/>
          </w:tcPr>
          <w:p w14:paraId="6D598B1D">
            <w:pPr>
              <w:jc w:val="right"/>
              <w:textAlignment w:val="center"/>
              <w:rPr>
                <w:rFonts w:cs="Times New Roman"/>
              </w:rPr>
            </w:pPr>
            <w:r>
              <w:rPr>
                <w:rFonts w:eastAsia="Arial Narrow" w:cs="Times New Roman"/>
                <w:color w:val="000000"/>
                <w:lang w:bidi="ar"/>
              </w:rPr>
              <w:t>42,002,615.37</w:t>
            </w:r>
          </w:p>
        </w:tc>
      </w:tr>
      <w:tr w14:paraId="475C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14:paraId="3F989BD7">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863" w:type="dxa"/>
            <w:vAlign w:val="center"/>
          </w:tcPr>
          <w:p w14:paraId="6C0BA939">
            <w:pPr>
              <w:jc w:val="right"/>
              <w:textAlignment w:val="center"/>
              <w:rPr>
                <w:rFonts w:cs="Times New Roman"/>
              </w:rPr>
            </w:pPr>
            <w:r>
              <w:rPr>
                <w:rFonts w:eastAsia="Arial Narrow" w:cs="Times New Roman"/>
                <w:color w:val="000000"/>
                <w:lang w:bidi="ar"/>
              </w:rPr>
              <w:t>41,904,211.82</w:t>
            </w:r>
          </w:p>
        </w:tc>
        <w:tc>
          <w:tcPr>
            <w:tcW w:w="2878" w:type="dxa"/>
            <w:vAlign w:val="center"/>
          </w:tcPr>
          <w:p w14:paraId="5F55FC74">
            <w:pPr>
              <w:jc w:val="right"/>
              <w:textAlignment w:val="center"/>
              <w:rPr>
                <w:rFonts w:cs="Times New Roman"/>
              </w:rPr>
            </w:pPr>
            <w:r>
              <w:rPr>
                <w:rFonts w:eastAsia="Arial Narrow" w:cs="Times New Roman"/>
                <w:color w:val="000000"/>
                <w:lang w:bidi="ar"/>
              </w:rPr>
              <w:t>42,002,615.37</w:t>
            </w:r>
          </w:p>
        </w:tc>
      </w:tr>
    </w:tbl>
    <w:p w14:paraId="13A9D695">
      <w:pPr>
        <w:rPr>
          <w:color w:val="000000" w:themeColor="text1"/>
          <w14:textFill>
            <w14:solidFill>
              <w14:schemeClr w14:val="tx1"/>
            </w14:solidFill>
          </w14:textFill>
        </w:rPr>
      </w:pPr>
      <w:bookmarkStart w:id="367" w:name="_Hlk532911057"/>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长期应付款分类列示其他说明"/>
        <w:tag w:val="_GBC_431a8b84aeeb4e0fa07aef9d9af1a46d"/>
        <w:id w:val="147477321"/>
        <w:placeholder>
          <w:docPart w:val="GBC22222222222222222222222222222"/>
        </w:placeholder>
      </w:sdtPr>
      <w:sdtEndPr>
        <w:rPr>
          <w:rFonts w:hint="eastAsia"/>
          <w:color w:val="000000" w:themeColor="text1"/>
          <w14:textFill>
            <w14:solidFill>
              <w14:schemeClr w14:val="tx1"/>
            </w14:solidFill>
          </w14:textFill>
        </w:rPr>
      </w:sdtEndPr>
      <w:sdtContent>
        <w:p w14:paraId="7A0C897C">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177C6B24">
      <w:pPr>
        <w:rPr>
          <w:color w:val="000000" w:themeColor="text1"/>
          <w14:textFill>
            <w14:solidFill>
              <w14:schemeClr w14:val="tx1"/>
            </w14:solidFill>
          </w14:textFill>
        </w:rPr>
      </w:pPr>
    </w:p>
    <w:bookmarkEnd w:id="366"/>
    <w:bookmarkEnd w:id="367"/>
    <w:p w14:paraId="49FE0D60">
      <w:pPr>
        <w:pStyle w:val="58"/>
        <w:ind w:left="360" w:hanging="360"/>
        <w:rPr>
          <w:rFonts w:ascii="宋体" w:hAnsi="宋体"/>
          <w:color w:val="000000" w:themeColor="text1"/>
          <w14:textFill>
            <w14:solidFill>
              <w14:schemeClr w14:val="tx1"/>
            </w14:solidFill>
          </w14:textFill>
        </w:rPr>
      </w:pPr>
      <w:bookmarkStart w:id="368" w:name="_Hlk10536806"/>
      <w:bookmarkStart w:id="369" w:name="_Hlk10536877"/>
      <w:r>
        <w:rPr>
          <w:rFonts w:hint="eastAsia" w:ascii="宋体" w:hAnsi="宋体"/>
          <w:color w:val="000000" w:themeColor="text1"/>
          <w14:textFill>
            <w14:solidFill>
              <w14:schemeClr w14:val="tx1"/>
            </w14:solidFill>
          </w14:textFill>
        </w:rPr>
        <w:t>长期应付款</w:t>
      </w:r>
      <w:bookmarkEnd w:id="368"/>
    </w:p>
    <w:sdt>
      <w:sdtPr>
        <w:rPr>
          <w:color w:val="000000" w:themeColor="text1"/>
          <w14:textFill>
            <w14:solidFill>
              <w14:schemeClr w14:val="tx1"/>
            </w14:solidFill>
          </w14:textFill>
        </w:rPr>
        <w:alias w:val="是否适用：按款项性质列示长期应付款[双击切换]"/>
        <w:tag w:val="_GBC_a9fa9a5286484f4bb853b1eff824e621"/>
        <w:id w:val="147482822"/>
        <w:placeholder>
          <w:docPart w:val="GBC22222222222222222222222222222"/>
        </w:placeholder>
      </w:sdtPr>
      <w:sdtEndPr>
        <w:rPr>
          <w:color w:val="000000" w:themeColor="text1"/>
          <w14:textFill>
            <w14:solidFill>
              <w14:schemeClr w14:val="tx1"/>
            </w14:solidFill>
          </w14:textFill>
        </w:rPr>
      </w:sdtEndPr>
      <w:sdtContent>
        <w:p w14:paraId="7830B1AA">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D205436">
      <w:pPr>
        <w:rPr>
          <w:color w:val="000000" w:themeColor="text1"/>
          <w14:textFill>
            <w14:solidFill>
              <w14:schemeClr w14:val="tx1"/>
            </w14:solidFill>
          </w14:textFill>
        </w:rPr>
      </w:pPr>
    </w:p>
    <w:bookmarkEnd w:id="369"/>
    <w:p w14:paraId="585FA4EA">
      <w:pPr>
        <w:pStyle w:val="5"/>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专项应付款</w:t>
      </w:r>
    </w:p>
    <w:sdt>
      <w:sdtPr>
        <w:rPr>
          <w:color w:val="000000" w:themeColor="text1"/>
          <w14:textFill>
            <w14:solidFill>
              <w14:schemeClr w14:val="tx1"/>
            </w14:solidFill>
          </w14:textFill>
        </w:rPr>
        <w:alias w:val="是否适用：专项应付款[双击切换]"/>
        <w:tag w:val="_GBC_f70a824e87784429a75fa648d7634cf8"/>
        <w:id w:val="-886649234"/>
      </w:sdtPr>
      <w:sdtEndPr>
        <w:rPr>
          <w:color w:val="000000" w:themeColor="text1"/>
          <w14:textFill>
            <w14:solidFill>
              <w14:schemeClr w14:val="tx1"/>
            </w14:solidFill>
          </w14:textFill>
        </w:rPr>
      </w:sdtEndPr>
      <w:sdtContent>
        <w:p w14:paraId="09A5CD9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2427CB7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专项应付款"/>
          <w:tag w:val="_GBC_fbba1675963f41deb7db46c882d2bb66"/>
          <w:id w:val="-1210652800"/>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专项应付款"/>
          <w:tag w:val="_GBC_db6088dd197e44658d5eb4ad92eace1a"/>
          <w:id w:val="-2056075957"/>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445"/>
        <w:gridCol w:w="1445"/>
        <w:gridCol w:w="1410"/>
        <w:gridCol w:w="1476"/>
        <w:gridCol w:w="1461"/>
        <w:gridCol w:w="1658"/>
      </w:tblGrid>
      <w:tr w14:paraId="0B55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blHeader/>
        </w:trPr>
        <w:sdt>
          <w:sdtPr>
            <w:rPr>
              <w:rFonts w:cs="Times New Roman"/>
            </w:rPr>
            <w:tag w:val="_PLD_cd0bf128e15a4ba9af42624758d0f741"/>
            <w:id w:val="1052963418"/>
          </w:sdtPr>
          <w:sdtEndPr>
            <w:rPr>
              <w:rFonts w:cs="Times New Roman"/>
            </w:rPr>
          </w:sdtEndPr>
          <w:sdtContent>
            <w:tc>
              <w:tcPr>
                <w:tcW w:w="812" w:type="pct"/>
                <w:vAlign w:val="center"/>
              </w:tcPr>
              <w:p w14:paraId="5C9DC11C">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0273ec8ee2454cc3b513b4d9bc176584"/>
            <w:id w:val="-983315350"/>
          </w:sdtPr>
          <w:sdtEndPr>
            <w:rPr>
              <w:rFonts w:cs="Times New Roman"/>
            </w:rPr>
          </w:sdtEndPr>
          <w:sdtContent>
            <w:tc>
              <w:tcPr>
                <w:tcW w:w="812" w:type="pct"/>
              </w:tcPr>
              <w:p w14:paraId="4C5921B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8af6034e00f845329602a9fdcfc9b2dc"/>
            <w:id w:val="1544325084"/>
          </w:sdtPr>
          <w:sdtEndPr>
            <w:rPr>
              <w:rFonts w:cs="Times New Roman"/>
            </w:rPr>
          </w:sdtEndPr>
          <w:sdtContent>
            <w:tc>
              <w:tcPr>
                <w:tcW w:w="792" w:type="pct"/>
              </w:tcPr>
              <w:p w14:paraId="3B3F434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本期增加</w:t>
                </w:r>
              </w:p>
            </w:tc>
          </w:sdtContent>
        </w:sdt>
        <w:sdt>
          <w:sdtPr>
            <w:rPr>
              <w:rFonts w:cs="Times New Roman"/>
            </w:rPr>
            <w:tag w:val="_PLD_013b3bd484664b418b2949897aaba93a"/>
            <w:id w:val="1397088065"/>
          </w:sdtPr>
          <w:sdtEndPr>
            <w:rPr>
              <w:rFonts w:cs="Times New Roman"/>
            </w:rPr>
          </w:sdtEndPr>
          <w:sdtContent>
            <w:tc>
              <w:tcPr>
                <w:tcW w:w="829" w:type="pct"/>
              </w:tcPr>
              <w:p w14:paraId="6DE6072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本期减少</w:t>
                </w:r>
              </w:p>
            </w:tc>
          </w:sdtContent>
        </w:sdt>
        <w:sdt>
          <w:sdtPr>
            <w:rPr>
              <w:rFonts w:cs="Times New Roman"/>
            </w:rPr>
            <w:tag w:val="_PLD_99498b7622144415a46b3eb203e33536"/>
            <w:id w:val="535857393"/>
          </w:sdtPr>
          <w:sdtEndPr>
            <w:rPr>
              <w:rFonts w:cs="Times New Roman"/>
            </w:rPr>
          </w:sdtEndPr>
          <w:sdtContent>
            <w:tc>
              <w:tcPr>
                <w:tcW w:w="821" w:type="pct"/>
              </w:tcPr>
              <w:p w14:paraId="0C5EBE3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435f222fb1ac40efb8892f65ff2d7efe"/>
            <w:id w:val="-542357889"/>
          </w:sdtPr>
          <w:sdtEndPr>
            <w:rPr>
              <w:rFonts w:cs="Times New Roman"/>
            </w:rPr>
          </w:sdtEndPr>
          <w:sdtContent>
            <w:tc>
              <w:tcPr>
                <w:tcW w:w="931" w:type="pct"/>
                <w:vAlign w:val="center"/>
              </w:tcPr>
              <w:p w14:paraId="17FD7C9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形成原因</w:t>
                </w:r>
              </w:p>
            </w:tc>
          </w:sdtContent>
        </w:sdt>
      </w:tr>
      <w:sdt>
        <w:sdtPr>
          <w:rPr>
            <w:rFonts w:cs="Times New Roman"/>
            <w:color w:val="000000" w:themeColor="text1"/>
            <w14:textFill>
              <w14:solidFill>
                <w14:schemeClr w14:val="tx1"/>
              </w14:solidFill>
            </w14:textFill>
          </w:rPr>
          <w:alias w:val="专项应付款明细"/>
          <w:tag w:val="_GBC_cc0d870710d646f3adaaac92c6d0ce7e"/>
          <w:id w:val="-837309215"/>
          <w:placeholder>
            <w:docPart w:val="{cb4e2310-4ef5-44b4-9419-d1b794171c78}"/>
          </w:placeholder>
        </w:sdtPr>
        <w:sdtEndPr>
          <w:rPr>
            <w:rFonts w:cs="Times New Roman"/>
            <w:color w:val="000000" w:themeColor="text1"/>
            <w14:textFill>
              <w14:solidFill>
                <w14:schemeClr w14:val="tx1"/>
              </w14:solidFill>
            </w14:textFill>
          </w:rPr>
        </w:sdtEndPr>
        <w:sdtContent>
          <w:tr w14:paraId="74145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0644AE72">
                <w:pPr>
                  <w:ind w:right="105"/>
                  <w:rPr>
                    <w:rFonts w:cs="Times New Roman"/>
                  </w:rPr>
                </w:pPr>
                <w:r>
                  <w:rPr>
                    <w:rFonts w:cs="Times New Roman"/>
                  </w:rPr>
                  <w:t>临港3517公租房项目专项款</w:t>
                </w:r>
              </w:p>
            </w:tc>
            <w:tc>
              <w:tcPr>
                <w:tcW w:w="812" w:type="pct"/>
                <w:vAlign w:val="center"/>
              </w:tcPr>
              <w:p w14:paraId="519F8D4F">
                <w:pPr>
                  <w:ind w:right="73"/>
                  <w:jc w:val="right"/>
                  <w:rPr>
                    <w:rFonts w:cs="Times New Roman"/>
                  </w:rPr>
                </w:pPr>
                <w:r>
                  <w:rPr>
                    <w:rFonts w:hint="eastAsia" w:cs="Times New Roman"/>
                  </w:rPr>
                  <w:t>23,414,800.00</w:t>
                </w:r>
              </w:p>
            </w:tc>
            <w:tc>
              <w:tcPr>
                <w:tcW w:w="792" w:type="pct"/>
              </w:tcPr>
              <w:p w14:paraId="19EC91F1">
                <w:pPr>
                  <w:jc w:val="right"/>
                  <w:rPr>
                    <w:rFonts w:cs="Times New Roman"/>
                  </w:rPr>
                </w:pPr>
              </w:p>
            </w:tc>
            <w:tc>
              <w:tcPr>
                <w:tcW w:w="829" w:type="pct"/>
              </w:tcPr>
              <w:p w14:paraId="09DDCAD6">
                <w:pPr>
                  <w:jc w:val="right"/>
                  <w:rPr>
                    <w:rFonts w:cs="Times New Roman"/>
                  </w:rPr>
                </w:pPr>
              </w:p>
            </w:tc>
            <w:tc>
              <w:tcPr>
                <w:tcW w:w="821" w:type="pct"/>
                <w:vAlign w:val="center"/>
              </w:tcPr>
              <w:p w14:paraId="7564F9F6">
                <w:pPr>
                  <w:ind w:right="73"/>
                  <w:jc w:val="right"/>
                  <w:rPr>
                    <w:rFonts w:cs="Times New Roman"/>
                  </w:rPr>
                </w:pPr>
                <w:r>
                  <w:rPr>
                    <w:rFonts w:hint="eastAsia" w:cs="Times New Roman"/>
                  </w:rPr>
                  <w:t>23,414,800.00</w:t>
                </w:r>
              </w:p>
            </w:tc>
            <w:tc>
              <w:tcPr>
                <w:tcW w:w="931" w:type="pct"/>
                <w:vAlign w:val="center"/>
              </w:tcPr>
              <w:p w14:paraId="6C47E48C">
                <w:pPr>
                  <w:rPr>
                    <w:rFonts w:cs="Times New Roman"/>
                  </w:rPr>
                </w:pPr>
                <w:r>
                  <w:rPr>
                    <w:rFonts w:cs="Times New Roman"/>
                  </w:rPr>
                  <w:t>公租房专用款项</w:t>
                </w:r>
              </w:p>
            </w:tc>
          </w:tr>
        </w:sdtContent>
      </w:sdt>
      <w:sdt>
        <w:sdtPr>
          <w:rPr>
            <w:rFonts w:cs="Times New Roman"/>
            <w:color w:val="000000" w:themeColor="text1"/>
            <w14:textFill>
              <w14:solidFill>
                <w14:schemeClr w14:val="tx1"/>
              </w14:solidFill>
            </w14:textFill>
          </w:rPr>
          <w:alias w:val="专项应付款明细"/>
          <w:tag w:val="_GBC_cc0d870710d646f3adaaac92c6d0ce7e"/>
          <w:id w:val="-1771688750"/>
          <w:placeholder>
            <w:docPart w:val="{cb4e2310-4ef5-44b4-9419-d1b794171c78}"/>
          </w:placeholder>
        </w:sdtPr>
        <w:sdtEndPr>
          <w:rPr>
            <w:rFonts w:cs="Times New Roman"/>
            <w:color w:val="000000" w:themeColor="text1"/>
            <w14:textFill>
              <w14:solidFill>
                <w14:schemeClr w14:val="tx1"/>
              </w14:solidFill>
            </w14:textFill>
          </w:rPr>
        </w:sdtEndPr>
        <w:sdtContent>
          <w:tr w14:paraId="17D7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029B289C">
                <w:pPr>
                  <w:ind w:right="105"/>
                  <w:rPr>
                    <w:rFonts w:cs="Times New Roman"/>
                  </w:rPr>
                </w:pPr>
                <w:r>
                  <w:rPr>
                    <w:rFonts w:cs="Times New Roman"/>
                  </w:rPr>
                  <w:t>棚户区改造</w:t>
                </w:r>
              </w:p>
            </w:tc>
            <w:tc>
              <w:tcPr>
                <w:tcW w:w="812" w:type="pct"/>
                <w:vAlign w:val="center"/>
              </w:tcPr>
              <w:p w14:paraId="089E091B">
                <w:pPr>
                  <w:ind w:right="73"/>
                  <w:jc w:val="right"/>
                  <w:rPr>
                    <w:rFonts w:cs="Times New Roman"/>
                  </w:rPr>
                </w:pPr>
                <w:r>
                  <w:rPr>
                    <w:rFonts w:cs="Times New Roman"/>
                  </w:rPr>
                  <w:t>9,418,036.46</w:t>
                </w:r>
              </w:p>
            </w:tc>
            <w:tc>
              <w:tcPr>
                <w:tcW w:w="792" w:type="pct"/>
              </w:tcPr>
              <w:p w14:paraId="128FE95B">
                <w:pPr>
                  <w:jc w:val="right"/>
                  <w:rPr>
                    <w:rFonts w:cs="Times New Roman"/>
                  </w:rPr>
                </w:pPr>
              </w:p>
            </w:tc>
            <w:tc>
              <w:tcPr>
                <w:tcW w:w="829" w:type="pct"/>
              </w:tcPr>
              <w:p w14:paraId="6CEE2896">
                <w:pPr>
                  <w:jc w:val="right"/>
                  <w:rPr>
                    <w:rFonts w:cs="Times New Roman"/>
                  </w:rPr>
                </w:pPr>
              </w:p>
            </w:tc>
            <w:tc>
              <w:tcPr>
                <w:tcW w:w="821" w:type="pct"/>
                <w:vAlign w:val="center"/>
              </w:tcPr>
              <w:p w14:paraId="471728DC">
                <w:pPr>
                  <w:ind w:right="73"/>
                  <w:jc w:val="right"/>
                  <w:rPr>
                    <w:rFonts w:cs="Times New Roman"/>
                  </w:rPr>
                </w:pPr>
                <w:r>
                  <w:rPr>
                    <w:rFonts w:cs="Times New Roman"/>
                  </w:rPr>
                  <w:t>9,418,036.46</w:t>
                </w:r>
              </w:p>
            </w:tc>
            <w:tc>
              <w:tcPr>
                <w:tcW w:w="931" w:type="pct"/>
                <w:vAlign w:val="center"/>
              </w:tcPr>
              <w:p w14:paraId="2E090014">
                <w:pPr>
                  <w:rPr>
                    <w:rFonts w:cs="Times New Roman"/>
                  </w:rPr>
                </w:pPr>
                <w:r>
                  <w:rPr>
                    <w:rFonts w:cs="Times New Roman"/>
                  </w:rPr>
                  <w:t>矿棚户区改造</w:t>
                </w:r>
              </w:p>
            </w:tc>
          </w:tr>
        </w:sdtContent>
      </w:sdt>
      <w:sdt>
        <w:sdtPr>
          <w:rPr>
            <w:rFonts w:cs="Times New Roman"/>
            <w:color w:val="000000" w:themeColor="text1"/>
            <w14:textFill>
              <w14:solidFill>
                <w14:schemeClr w14:val="tx1"/>
              </w14:solidFill>
            </w14:textFill>
          </w:rPr>
          <w:alias w:val="专项应付款明细"/>
          <w:tag w:val="_GBC_cc0d870710d646f3adaaac92c6d0ce7e"/>
          <w:id w:val="-1016299612"/>
          <w:placeholder>
            <w:docPart w:val="{cb4e2310-4ef5-44b4-9419-d1b794171c78}"/>
          </w:placeholder>
        </w:sdtPr>
        <w:sdtEndPr>
          <w:rPr>
            <w:rFonts w:cs="Times New Roman"/>
            <w:color w:val="000000" w:themeColor="text1"/>
            <w14:textFill>
              <w14:solidFill>
                <w14:schemeClr w14:val="tx1"/>
              </w14:solidFill>
            </w14:textFill>
          </w:rPr>
        </w:sdtEndPr>
        <w:sdtContent>
          <w:tr w14:paraId="5921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4E2DD889">
                <w:pPr>
                  <w:ind w:right="105"/>
                  <w:rPr>
                    <w:rFonts w:cs="Times New Roman"/>
                  </w:rPr>
                </w:pPr>
                <w:r>
                  <w:rPr>
                    <w:rFonts w:cs="Times New Roman"/>
                  </w:rPr>
                  <w:t>政策性拆迁补贴</w:t>
                </w:r>
              </w:p>
            </w:tc>
            <w:tc>
              <w:tcPr>
                <w:tcW w:w="812" w:type="pct"/>
                <w:vAlign w:val="center"/>
              </w:tcPr>
              <w:p w14:paraId="0DAA7D3C">
                <w:pPr>
                  <w:ind w:right="73"/>
                  <w:jc w:val="right"/>
                  <w:rPr>
                    <w:rFonts w:cs="Times New Roman"/>
                  </w:rPr>
                </w:pPr>
                <w:r>
                  <w:rPr>
                    <w:rFonts w:cs="Times New Roman"/>
                  </w:rPr>
                  <w:t>84,194.12</w:t>
                </w:r>
              </w:p>
            </w:tc>
            <w:tc>
              <w:tcPr>
                <w:tcW w:w="792" w:type="pct"/>
              </w:tcPr>
              <w:p w14:paraId="76AC245C">
                <w:pPr>
                  <w:jc w:val="right"/>
                  <w:rPr>
                    <w:rFonts w:cs="Times New Roman"/>
                  </w:rPr>
                </w:pPr>
              </w:p>
            </w:tc>
            <w:tc>
              <w:tcPr>
                <w:tcW w:w="829" w:type="pct"/>
              </w:tcPr>
              <w:p w14:paraId="4CA0C0F9">
                <w:pPr>
                  <w:jc w:val="right"/>
                  <w:rPr>
                    <w:rFonts w:cs="Times New Roman"/>
                  </w:rPr>
                </w:pPr>
              </w:p>
            </w:tc>
            <w:tc>
              <w:tcPr>
                <w:tcW w:w="821" w:type="pct"/>
                <w:vAlign w:val="center"/>
              </w:tcPr>
              <w:p w14:paraId="0B1C8EDC">
                <w:pPr>
                  <w:ind w:right="73"/>
                  <w:jc w:val="right"/>
                  <w:rPr>
                    <w:rFonts w:cs="Times New Roman"/>
                  </w:rPr>
                </w:pPr>
                <w:r>
                  <w:rPr>
                    <w:rFonts w:cs="Times New Roman"/>
                  </w:rPr>
                  <w:t>84,194.12</w:t>
                </w:r>
              </w:p>
            </w:tc>
            <w:tc>
              <w:tcPr>
                <w:tcW w:w="931" w:type="pct"/>
                <w:vAlign w:val="center"/>
              </w:tcPr>
              <w:p w14:paraId="3AA5EC8A">
                <w:pPr>
                  <w:rPr>
                    <w:rFonts w:cs="Times New Roman"/>
                  </w:rPr>
                </w:pPr>
                <w:r>
                  <w:rPr>
                    <w:rFonts w:cs="Times New Roman"/>
                  </w:rPr>
                  <w:t>拆迁专项资金</w:t>
                </w:r>
              </w:p>
            </w:tc>
          </w:tr>
        </w:sdtContent>
      </w:sdt>
      <w:sdt>
        <w:sdtPr>
          <w:rPr>
            <w:rFonts w:cs="Times New Roman"/>
            <w:color w:val="000000" w:themeColor="text1"/>
            <w14:textFill>
              <w14:solidFill>
                <w14:schemeClr w14:val="tx1"/>
              </w14:solidFill>
            </w14:textFill>
          </w:rPr>
          <w:alias w:val="专项应付款明细"/>
          <w:tag w:val="_GBC_cc0d870710d646f3adaaac92c6d0ce7e"/>
          <w:id w:val="10339334"/>
          <w:placeholder>
            <w:docPart w:val="{cb4e2310-4ef5-44b4-9419-d1b794171c78}"/>
          </w:placeholder>
        </w:sdtPr>
        <w:sdtEndPr>
          <w:rPr>
            <w:rFonts w:cs="Times New Roman"/>
            <w:color w:val="000000" w:themeColor="text1"/>
            <w14:textFill>
              <w14:solidFill>
                <w14:schemeClr w14:val="tx1"/>
              </w14:solidFill>
            </w14:textFill>
          </w:rPr>
        </w:sdtEndPr>
        <w:sdtContent>
          <w:tr w14:paraId="4162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6EF50CEA">
                <w:pPr>
                  <w:ind w:right="105"/>
                  <w:rPr>
                    <w:rFonts w:cs="Times New Roman"/>
                  </w:rPr>
                </w:pPr>
                <w:r>
                  <w:rPr>
                    <w:rFonts w:cs="Times New Roman"/>
                  </w:rPr>
                  <w:t>新园区专项扶持资金</w:t>
                </w:r>
              </w:p>
            </w:tc>
            <w:tc>
              <w:tcPr>
                <w:tcW w:w="812" w:type="pct"/>
                <w:vAlign w:val="center"/>
              </w:tcPr>
              <w:p w14:paraId="36FDA6EE">
                <w:pPr>
                  <w:ind w:right="73"/>
                  <w:jc w:val="right"/>
                  <w:rPr>
                    <w:rFonts w:cs="Times New Roman"/>
                  </w:rPr>
                </w:pPr>
                <w:r>
                  <w:rPr>
                    <w:rFonts w:cs="Times New Roman"/>
                  </w:rPr>
                  <w:t>1,680,000.00</w:t>
                </w:r>
              </w:p>
            </w:tc>
            <w:tc>
              <w:tcPr>
                <w:tcW w:w="792" w:type="pct"/>
              </w:tcPr>
              <w:p w14:paraId="008407DD">
                <w:pPr>
                  <w:jc w:val="right"/>
                  <w:rPr>
                    <w:rFonts w:cs="Times New Roman"/>
                  </w:rPr>
                </w:pPr>
              </w:p>
            </w:tc>
            <w:tc>
              <w:tcPr>
                <w:tcW w:w="829" w:type="pct"/>
              </w:tcPr>
              <w:p w14:paraId="62D852B9">
                <w:pPr>
                  <w:jc w:val="right"/>
                  <w:rPr>
                    <w:rFonts w:cs="Times New Roman"/>
                  </w:rPr>
                </w:pPr>
              </w:p>
            </w:tc>
            <w:tc>
              <w:tcPr>
                <w:tcW w:w="821" w:type="pct"/>
                <w:vAlign w:val="center"/>
              </w:tcPr>
              <w:p w14:paraId="22619856">
                <w:pPr>
                  <w:ind w:right="73"/>
                  <w:jc w:val="right"/>
                  <w:rPr>
                    <w:rFonts w:cs="Times New Roman"/>
                  </w:rPr>
                </w:pPr>
                <w:r>
                  <w:rPr>
                    <w:rFonts w:cs="Times New Roman"/>
                  </w:rPr>
                  <w:t>1,680,000.00</w:t>
                </w:r>
              </w:p>
            </w:tc>
            <w:tc>
              <w:tcPr>
                <w:tcW w:w="931" w:type="pct"/>
                <w:vAlign w:val="center"/>
              </w:tcPr>
              <w:p w14:paraId="1D903C55">
                <w:pPr>
                  <w:rPr>
                    <w:rFonts w:cs="Times New Roman"/>
                  </w:rPr>
                </w:pPr>
                <w:r>
                  <w:rPr>
                    <w:rFonts w:cs="Times New Roman"/>
                  </w:rPr>
                  <w:t>新园区专用款</w:t>
                </w:r>
              </w:p>
            </w:tc>
          </w:tr>
        </w:sdtContent>
      </w:sdt>
      <w:sdt>
        <w:sdtPr>
          <w:rPr>
            <w:rFonts w:cs="Times New Roman"/>
            <w:color w:val="000000" w:themeColor="text1"/>
            <w14:textFill>
              <w14:solidFill>
                <w14:schemeClr w14:val="tx1"/>
              </w14:solidFill>
            </w14:textFill>
          </w:rPr>
          <w:alias w:val="专项应付款明细"/>
          <w:tag w:val="_GBC_cc0d870710d646f3adaaac92c6d0ce7e"/>
          <w:id w:val="2094576979"/>
          <w:placeholder>
            <w:docPart w:val="{cb4e2310-4ef5-44b4-9419-d1b794171c78}"/>
          </w:placeholder>
        </w:sdtPr>
        <w:sdtEndPr>
          <w:rPr>
            <w:rFonts w:cs="Times New Roman"/>
            <w:color w:val="000000" w:themeColor="text1"/>
            <w14:textFill>
              <w14:solidFill>
                <w14:schemeClr w14:val="tx1"/>
              </w14:solidFill>
            </w14:textFill>
          </w:rPr>
        </w:sdtEndPr>
        <w:sdtContent>
          <w:tr w14:paraId="5B0B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0D52F205">
                <w:pPr>
                  <w:ind w:right="105"/>
                  <w:rPr>
                    <w:rFonts w:cs="Times New Roman"/>
                  </w:rPr>
                </w:pPr>
                <w:r>
                  <w:rPr>
                    <w:rFonts w:cs="Times New Roman"/>
                  </w:rPr>
                  <w:t>其他科学支出</w:t>
                </w:r>
              </w:p>
            </w:tc>
            <w:tc>
              <w:tcPr>
                <w:tcW w:w="812" w:type="pct"/>
                <w:vAlign w:val="center"/>
              </w:tcPr>
              <w:p w14:paraId="402BBBD7">
                <w:pPr>
                  <w:ind w:right="73"/>
                  <w:jc w:val="right"/>
                  <w:rPr>
                    <w:rFonts w:cs="Times New Roman"/>
                  </w:rPr>
                </w:pPr>
                <w:r>
                  <w:rPr>
                    <w:rFonts w:cs="Times New Roman"/>
                  </w:rPr>
                  <w:t>1,000,000.00</w:t>
                </w:r>
              </w:p>
            </w:tc>
            <w:tc>
              <w:tcPr>
                <w:tcW w:w="792" w:type="pct"/>
              </w:tcPr>
              <w:p w14:paraId="3F411121">
                <w:pPr>
                  <w:jc w:val="right"/>
                  <w:rPr>
                    <w:rFonts w:cs="Times New Roman"/>
                  </w:rPr>
                </w:pPr>
              </w:p>
            </w:tc>
            <w:tc>
              <w:tcPr>
                <w:tcW w:w="829" w:type="pct"/>
              </w:tcPr>
              <w:p w14:paraId="68EBDE72">
                <w:pPr>
                  <w:jc w:val="right"/>
                  <w:rPr>
                    <w:rFonts w:cs="Times New Roman"/>
                  </w:rPr>
                </w:pPr>
              </w:p>
            </w:tc>
            <w:tc>
              <w:tcPr>
                <w:tcW w:w="821" w:type="pct"/>
                <w:vAlign w:val="center"/>
              </w:tcPr>
              <w:p w14:paraId="6D8707CB">
                <w:pPr>
                  <w:ind w:right="73"/>
                  <w:jc w:val="right"/>
                  <w:rPr>
                    <w:rFonts w:cs="Times New Roman"/>
                  </w:rPr>
                </w:pPr>
                <w:r>
                  <w:rPr>
                    <w:rFonts w:cs="Times New Roman"/>
                  </w:rPr>
                  <w:t>1,000,000.00</w:t>
                </w:r>
              </w:p>
            </w:tc>
            <w:tc>
              <w:tcPr>
                <w:tcW w:w="931" w:type="pct"/>
                <w:vAlign w:val="center"/>
              </w:tcPr>
              <w:p w14:paraId="0B7363DF">
                <w:pPr>
                  <w:rPr>
                    <w:rFonts w:cs="Times New Roman"/>
                  </w:rPr>
                </w:pPr>
                <w:r>
                  <w:rPr>
                    <w:rFonts w:cs="Times New Roman"/>
                  </w:rPr>
                  <w:t>科学研究款项</w:t>
                </w:r>
              </w:p>
            </w:tc>
          </w:tr>
        </w:sdtContent>
      </w:sdt>
      <w:sdt>
        <w:sdtPr>
          <w:rPr>
            <w:rFonts w:cs="Times New Roman"/>
            <w:color w:val="000000" w:themeColor="text1"/>
            <w14:textFill>
              <w14:solidFill>
                <w14:schemeClr w14:val="tx1"/>
              </w14:solidFill>
            </w14:textFill>
          </w:rPr>
          <w:alias w:val="专项应付款明细"/>
          <w:tag w:val="_GBC_cc0d870710d646f3adaaac92c6d0ce7e"/>
          <w:id w:val="-2080123513"/>
          <w:placeholder>
            <w:docPart w:val="{cb4e2310-4ef5-44b4-9419-d1b794171c78}"/>
          </w:placeholder>
        </w:sdtPr>
        <w:sdtEndPr>
          <w:rPr>
            <w:rFonts w:cs="Times New Roman"/>
            <w:color w:val="000000" w:themeColor="text1"/>
            <w14:textFill>
              <w14:solidFill>
                <w14:schemeClr w14:val="tx1"/>
              </w14:solidFill>
            </w14:textFill>
          </w:rPr>
        </w:sdtEndPr>
        <w:sdtContent>
          <w:tr w14:paraId="7508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2E5CF052">
                <w:pPr>
                  <w:ind w:right="105"/>
                  <w:rPr>
                    <w:rFonts w:cs="Times New Roman"/>
                  </w:rPr>
                </w:pPr>
                <w:r>
                  <w:rPr>
                    <w:rFonts w:cs="Times New Roman"/>
                  </w:rPr>
                  <w:t>研发专项资金</w:t>
                </w:r>
              </w:p>
            </w:tc>
            <w:tc>
              <w:tcPr>
                <w:tcW w:w="812" w:type="pct"/>
                <w:vAlign w:val="center"/>
              </w:tcPr>
              <w:p w14:paraId="44ED1B0F">
                <w:pPr>
                  <w:ind w:right="73"/>
                  <w:jc w:val="right"/>
                  <w:rPr>
                    <w:rFonts w:cs="Times New Roman"/>
                  </w:rPr>
                </w:pPr>
                <w:r>
                  <w:rPr>
                    <w:rFonts w:cs="Times New Roman"/>
                  </w:rPr>
                  <w:t>5,776,400.00</w:t>
                </w:r>
              </w:p>
            </w:tc>
            <w:tc>
              <w:tcPr>
                <w:tcW w:w="792" w:type="pct"/>
                <w:vAlign w:val="center"/>
              </w:tcPr>
              <w:p w14:paraId="60032BCD">
                <w:pPr>
                  <w:jc w:val="right"/>
                  <w:rPr>
                    <w:rFonts w:cs="Times New Roman"/>
                  </w:rPr>
                </w:pPr>
                <w:r>
                  <w:rPr>
                    <w:rFonts w:cs="Times New Roman"/>
                  </w:rPr>
                  <w:t>9,601,914.00</w:t>
                </w:r>
              </w:p>
            </w:tc>
            <w:tc>
              <w:tcPr>
                <w:tcW w:w="829" w:type="pct"/>
                <w:vAlign w:val="center"/>
              </w:tcPr>
              <w:p w14:paraId="101A532A">
                <w:pPr>
                  <w:jc w:val="right"/>
                  <w:rPr>
                    <w:rFonts w:cs="Times New Roman"/>
                  </w:rPr>
                </w:pPr>
                <w:r>
                  <w:rPr>
                    <w:rFonts w:cs="Times New Roman"/>
                  </w:rPr>
                  <w:t>9,652,861.09</w:t>
                </w:r>
              </w:p>
            </w:tc>
            <w:tc>
              <w:tcPr>
                <w:tcW w:w="821" w:type="pct"/>
                <w:vAlign w:val="center"/>
              </w:tcPr>
              <w:p w14:paraId="2086B0E2">
                <w:pPr>
                  <w:ind w:right="73"/>
                  <w:jc w:val="right"/>
                  <w:rPr>
                    <w:rFonts w:cs="Times New Roman"/>
                  </w:rPr>
                </w:pPr>
                <w:r>
                  <w:rPr>
                    <w:rFonts w:cs="Times New Roman"/>
                  </w:rPr>
                  <w:t>5,725,452.91</w:t>
                </w:r>
              </w:p>
            </w:tc>
            <w:tc>
              <w:tcPr>
                <w:tcW w:w="931" w:type="pct"/>
                <w:vAlign w:val="center"/>
              </w:tcPr>
              <w:p w14:paraId="6A564CB8">
                <w:pPr>
                  <w:rPr>
                    <w:rFonts w:cs="Times New Roman"/>
                  </w:rPr>
                </w:pPr>
                <w:r>
                  <w:rPr>
                    <w:rFonts w:cs="Times New Roman"/>
                  </w:rPr>
                  <w:t>专项研发项目</w:t>
                </w:r>
              </w:p>
            </w:tc>
          </w:tr>
        </w:sdtContent>
      </w:sdt>
      <w:sdt>
        <w:sdtPr>
          <w:rPr>
            <w:rFonts w:cs="Times New Roman"/>
            <w:color w:val="000000" w:themeColor="text1"/>
            <w14:textFill>
              <w14:solidFill>
                <w14:schemeClr w14:val="tx1"/>
              </w14:solidFill>
            </w14:textFill>
          </w:rPr>
          <w:alias w:val="专项应付款明细"/>
          <w:tag w:val="_GBC_cc0d870710d646f3adaaac92c6d0ce7e"/>
          <w:id w:val="-181436583"/>
          <w:placeholder>
            <w:docPart w:val="{cb4e2310-4ef5-44b4-9419-d1b794171c78}"/>
          </w:placeholder>
        </w:sdtPr>
        <w:sdtEndPr>
          <w:rPr>
            <w:rFonts w:cs="Times New Roman"/>
            <w:color w:val="000000" w:themeColor="text1"/>
            <w14:textFill>
              <w14:solidFill>
                <w14:schemeClr w14:val="tx1"/>
              </w14:solidFill>
            </w14:textFill>
          </w:rPr>
        </w:sdtEndPr>
        <w:sdtContent>
          <w:tr w14:paraId="227A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54711F7F">
                <w:pPr>
                  <w:ind w:right="105"/>
                  <w:rPr>
                    <w:rFonts w:cs="Times New Roman"/>
                  </w:rPr>
                </w:pPr>
                <w:r>
                  <w:rPr>
                    <w:rFonts w:cs="Times New Roman"/>
                  </w:rPr>
                  <w:t>功能性纺织产品研发关键技术研究应用</w:t>
                </w:r>
              </w:p>
            </w:tc>
            <w:tc>
              <w:tcPr>
                <w:tcW w:w="812" w:type="pct"/>
                <w:vAlign w:val="center"/>
              </w:tcPr>
              <w:p w14:paraId="1685AFE4">
                <w:pPr>
                  <w:ind w:right="73"/>
                  <w:jc w:val="right"/>
                  <w:rPr>
                    <w:rFonts w:cs="Times New Roman"/>
                  </w:rPr>
                </w:pPr>
                <w:r>
                  <w:rPr>
                    <w:rFonts w:cs="Times New Roman"/>
                  </w:rPr>
                  <w:t>328,600.00</w:t>
                </w:r>
              </w:p>
            </w:tc>
            <w:tc>
              <w:tcPr>
                <w:tcW w:w="792" w:type="pct"/>
                <w:vAlign w:val="center"/>
              </w:tcPr>
              <w:p w14:paraId="0A63A14B">
                <w:pPr>
                  <w:jc w:val="right"/>
                  <w:rPr>
                    <w:rFonts w:cs="Times New Roman"/>
                  </w:rPr>
                </w:pPr>
              </w:p>
            </w:tc>
            <w:tc>
              <w:tcPr>
                <w:tcW w:w="829" w:type="pct"/>
                <w:vAlign w:val="center"/>
              </w:tcPr>
              <w:p w14:paraId="57FA406C">
                <w:pPr>
                  <w:jc w:val="right"/>
                  <w:rPr>
                    <w:rFonts w:cs="Times New Roman"/>
                  </w:rPr>
                </w:pPr>
              </w:p>
            </w:tc>
            <w:tc>
              <w:tcPr>
                <w:tcW w:w="821" w:type="pct"/>
                <w:vAlign w:val="center"/>
              </w:tcPr>
              <w:p w14:paraId="02232CF7">
                <w:pPr>
                  <w:ind w:right="73"/>
                  <w:jc w:val="right"/>
                  <w:rPr>
                    <w:rFonts w:cs="Times New Roman"/>
                  </w:rPr>
                </w:pPr>
                <w:r>
                  <w:rPr>
                    <w:rFonts w:cs="Times New Roman"/>
                  </w:rPr>
                  <w:t>328,600.00</w:t>
                </w:r>
              </w:p>
            </w:tc>
            <w:tc>
              <w:tcPr>
                <w:tcW w:w="931" w:type="pct"/>
                <w:vAlign w:val="center"/>
              </w:tcPr>
              <w:p w14:paraId="02CB47E1">
                <w:pPr>
                  <w:rPr>
                    <w:rFonts w:cs="Times New Roman"/>
                  </w:rPr>
                </w:pPr>
                <w:r>
                  <w:rPr>
                    <w:rFonts w:cs="Times New Roman"/>
                  </w:rPr>
                  <w:t>功能性纺织产品研发关键技术研究运用专项资金</w:t>
                </w:r>
              </w:p>
            </w:tc>
          </w:tr>
        </w:sdtContent>
      </w:sdt>
      <w:sdt>
        <w:sdtPr>
          <w:rPr>
            <w:rFonts w:cs="Times New Roman"/>
            <w:color w:val="000000" w:themeColor="text1"/>
            <w14:textFill>
              <w14:solidFill>
                <w14:schemeClr w14:val="tx1"/>
              </w14:solidFill>
            </w14:textFill>
          </w:rPr>
          <w:alias w:val="专项应付款明细"/>
          <w:tag w:val="_GBC_cc0d870710d646f3adaaac92c6d0ce7e"/>
          <w:id w:val="-839766739"/>
          <w:placeholder>
            <w:docPart w:val="{cb4e2310-4ef5-44b4-9419-d1b794171c78}"/>
          </w:placeholder>
        </w:sdtPr>
        <w:sdtEndPr>
          <w:rPr>
            <w:rFonts w:cs="Times New Roman"/>
            <w:color w:val="000000" w:themeColor="text1"/>
            <w14:textFill>
              <w14:solidFill>
                <w14:schemeClr w14:val="tx1"/>
              </w14:solidFill>
            </w14:textFill>
          </w:rPr>
        </w:sdtEndPr>
        <w:sdtContent>
          <w:tr w14:paraId="5D66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768E14E5">
                <w:pPr>
                  <w:ind w:right="105"/>
                  <w:rPr>
                    <w:rFonts w:cs="Times New Roman"/>
                  </w:rPr>
                </w:pPr>
                <w:r>
                  <w:rPr>
                    <w:rFonts w:cs="Times New Roman"/>
                  </w:rPr>
                  <w:t>2024NC065冲击防护用保暖三维间隔织物面料产品开发</w:t>
                </w:r>
              </w:p>
            </w:tc>
            <w:tc>
              <w:tcPr>
                <w:tcW w:w="812" w:type="pct"/>
                <w:vAlign w:val="center"/>
              </w:tcPr>
              <w:p w14:paraId="6F265DF7">
                <w:pPr>
                  <w:ind w:right="73"/>
                  <w:jc w:val="right"/>
                  <w:rPr>
                    <w:rFonts w:cs="Times New Roman"/>
                  </w:rPr>
                </w:pPr>
                <w:r>
                  <w:rPr>
                    <w:rFonts w:cs="Times New Roman"/>
                  </w:rPr>
                  <w:t>260,000.00</w:t>
                </w:r>
              </w:p>
            </w:tc>
            <w:tc>
              <w:tcPr>
                <w:tcW w:w="792" w:type="pct"/>
                <w:vAlign w:val="center"/>
              </w:tcPr>
              <w:p w14:paraId="5E40CA69">
                <w:pPr>
                  <w:jc w:val="right"/>
                  <w:rPr>
                    <w:rFonts w:cs="Times New Roman"/>
                  </w:rPr>
                </w:pPr>
              </w:p>
            </w:tc>
            <w:tc>
              <w:tcPr>
                <w:tcW w:w="829" w:type="pct"/>
                <w:vAlign w:val="center"/>
              </w:tcPr>
              <w:p w14:paraId="5A181732">
                <w:pPr>
                  <w:jc w:val="right"/>
                  <w:rPr>
                    <w:rFonts w:cs="Times New Roman"/>
                  </w:rPr>
                </w:pPr>
                <w:r>
                  <w:rPr>
                    <w:rFonts w:cs="Times New Roman"/>
                  </w:rPr>
                  <w:t>168,141.50</w:t>
                </w:r>
              </w:p>
            </w:tc>
            <w:tc>
              <w:tcPr>
                <w:tcW w:w="821" w:type="pct"/>
                <w:vAlign w:val="center"/>
              </w:tcPr>
              <w:p w14:paraId="19A1BB74">
                <w:pPr>
                  <w:ind w:right="73"/>
                  <w:jc w:val="right"/>
                  <w:rPr>
                    <w:rFonts w:cs="Times New Roman"/>
                  </w:rPr>
                </w:pPr>
                <w:r>
                  <w:rPr>
                    <w:rFonts w:cs="Times New Roman"/>
                  </w:rPr>
                  <w:t>91,858.50</w:t>
                </w:r>
              </w:p>
            </w:tc>
            <w:tc>
              <w:tcPr>
                <w:tcW w:w="931" w:type="pct"/>
                <w:vAlign w:val="center"/>
              </w:tcPr>
              <w:p w14:paraId="79300542">
                <w:pPr>
                  <w:rPr>
                    <w:rFonts w:cs="Times New Roman"/>
                  </w:rPr>
                </w:pPr>
                <w:r>
                  <w:rPr>
                    <w:rFonts w:cs="Times New Roman"/>
                  </w:rPr>
                  <w:t>2024NC065冲击防护用保暖三维间隔织物面料产品开发专项资金</w:t>
                </w:r>
              </w:p>
            </w:tc>
          </w:tr>
        </w:sdtContent>
      </w:sdt>
      <w:sdt>
        <w:sdtPr>
          <w:rPr>
            <w:rFonts w:cs="Times New Roman"/>
            <w:color w:val="000000" w:themeColor="text1"/>
            <w14:textFill>
              <w14:solidFill>
                <w14:schemeClr w14:val="tx1"/>
              </w14:solidFill>
            </w14:textFill>
          </w:rPr>
          <w:alias w:val="专项应付款明细"/>
          <w:tag w:val="_GBC_cc0d870710d646f3adaaac92c6d0ce7e"/>
          <w:id w:val="1852601393"/>
          <w:placeholder>
            <w:docPart w:val="{cb4e2310-4ef5-44b4-9419-d1b794171c78}"/>
          </w:placeholder>
        </w:sdtPr>
        <w:sdtEndPr>
          <w:rPr>
            <w:rFonts w:cs="Times New Roman"/>
            <w:color w:val="000000" w:themeColor="text1"/>
            <w14:textFill>
              <w14:solidFill>
                <w14:schemeClr w14:val="tx1"/>
              </w14:solidFill>
            </w14:textFill>
          </w:rPr>
        </w:sdtEndPr>
        <w:sdtContent>
          <w:tr w14:paraId="32D9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12" w:type="pct"/>
                <w:vAlign w:val="center"/>
              </w:tcPr>
              <w:p w14:paraId="6942573A">
                <w:pPr>
                  <w:ind w:right="105"/>
                  <w:rPr>
                    <w:rFonts w:cs="Times New Roman"/>
                  </w:rPr>
                </w:pPr>
                <w:r>
                  <w:rPr>
                    <w:rFonts w:cs="Times New Roman"/>
                  </w:rPr>
                  <w:t>其他</w:t>
                </w:r>
              </w:p>
            </w:tc>
            <w:tc>
              <w:tcPr>
                <w:tcW w:w="812" w:type="pct"/>
                <w:vAlign w:val="center"/>
              </w:tcPr>
              <w:p w14:paraId="6CE03568">
                <w:pPr>
                  <w:ind w:right="73"/>
                  <w:jc w:val="right"/>
                  <w:rPr>
                    <w:rFonts w:cs="Times New Roman"/>
                  </w:rPr>
                </w:pPr>
                <w:r>
                  <w:rPr>
                    <w:rFonts w:cs="Times New Roman"/>
                  </w:rPr>
                  <w:t>40,584.79</w:t>
                </w:r>
              </w:p>
            </w:tc>
            <w:tc>
              <w:tcPr>
                <w:tcW w:w="792" w:type="pct"/>
                <w:vAlign w:val="center"/>
              </w:tcPr>
              <w:p w14:paraId="019D0075">
                <w:pPr>
                  <w:jc w:val="right"/>
                  <w:rPr>
                    <w:rFonts w:cs="Times New Roman"/>
                  </w:rPr>
                </w:pPr>
                <w:r>
                  <w:rPr>
                    <w:rFonts w:cs="Times New Roman"/>
                  </w:rPr>
                  <w:t>225,000.00</w:t>
                </w:r>
              </w:p>
            </w:tc>
            <w:tc>
              <w:tcPr>
                <w:tcW w:w="829" w:type="pct"/>
                <w:vAlign w:val="center"/>
              </w:tcPr>
              <w:p w14:paraId="5648DB77">
                <w:pPr>
                  <w:jc w:val="right"/>
                  <w:rPr>
                    <w:rFonts w:cs="Times New Roman"/>
                  </w:rPr>
                </w:pPr>
                <w:r>
                  <w:rPr>
                    <w:rFonts w:cs="Times New Roman"/>
                  </w:rPr>
                  <w:t>104,314.96</w:t>
                </w:r>
              </w:p>
            </w:tc>
            <w:tc>
              <w:tcPr>
                <w:tcW w:w="821" w:type="pct"/>
                <w:vAlign w:val="center"/>
              </w:tcPr>
              <w:p w14:paraId="7DD1A7BA">
                <w:pPr>
                  <w:ind w:right="73"/>
                  <w:jc w:val="right"/>
                  <w:rPr>
                    <w:rFonts w:cs="Times New Roman"/>
                  </w:rPr>
                </w:pPr>
                <w:r>
                  <w:rPr>
                    <w:rFonts w:cs="Times New Roman"/>
                  </w:rPr>
                  <w:t>161,269.83</w:t>
                </w:r>
              </w:p>
            </w:tc>
            <w:tc>
              <w:tcPr>
                <w:tcW w:w="931" w:type="pct"/>
                <w:vAlign w:val="center"/>
              </w:tcPr>
              <w:p w14:paraId="07BBB32B">
                <w:pPr>
                  <w:rPr>
                    <w:rFonts w:cs="Times New Roman"/>
                  </w:rPr>
                </w:pPr>
                <w:r>
                  <w:rPr>
                    <w:rFonts w:cs="Times New Roman"/>
                  </w:rPr>
                  <w:t>专项资金</w:t>
                </w:r>
              </w:p>
            </w:tc>
          </w:tr>
        </w:sdtContent>
      </w:sdt>
      <w:tr w14:paraId="3F5E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b9429a61eab944fab8cf1cb493279d7f"/>
            <w:id w:val="-1000734913"/>
          </w:sdtPr>
          <w:sdtEndPr>
            <w:rPr>
              <w:rFonts w:cs="Times New Roman"/>
            </w:rPr>
          </w:sdtEndPr>
          <w:sdtContent>
            <w:tc>
              <w:tcPr>
                <w:tcW w:w="812" w:type="pct"/>
                <w:vAlign w:val="center"/>
              </w:tcPr>
              <w:p w14:paraId="79C39B08">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812" w:type="pct"/>
            <w:vAlign w:val="center"/>
          </w:tcPr>
          <w:p w14:paraId="27CC48D2">
            <w:pPr>
              <w:ind w:right="73"/>
              <w:jc w:val="right"/>
              <w:rPr>
                <w:rFonts w:cs="Times New Roman"/>
              </w:rPr>
            </w:pPr>
            <w:r>
              <w:rPr>
                <w:rFonts w:cs="Times New Roman"/>
              </w:rPr>
              <w:t>42,002,615.37</w:t>
            </w:r>
          </w:p>
        </w:tc>
        <w:tc>
          <w:tcPr>
            <w:tcW w:w="792" w:type="pct"/>
            <w:vAlign w:val="center"/>
          </w:tcPr>
          <w:p w14:paraId="22F5903E">
            <w:pPr>
              <w:jc w:val="right"/>
              <w:rPr>
                <w:rFonts w:cs="Times New Roman"/>
              </w:rPr>
            </w:pPr>
            <w:r>
              <w:rPr>
                <w:rFonts w:cs="Times New Roman"/>
              </w:rPr>
              <w:t>9,826,914.00</w:t>
            </w:r>
          </w:p>
        </w:tc>
        <w:tc>
          <w:tcPr>
            <w:tcW w:w="829" w:type="pct"/>
            <w:vAlign w:val="center"/>
          </w:tcPr>
          <w:p w14:paraId="5FEF558C">
            <w:pPr>
              <w:jc w:val="right"/>
              <w:rPr>
                <w:rFonts w:cs="Times New Roman"/>
              </w:rPr>
            </w:pPr>
            <w:r>
              <w:rPr>
                <w:rFonts w:cs="Times New Roman"/>
              </w:rPr>
              <w:t>9,925,317.55</w:t>
            </w:r>
          </w:p>
        </w:tc>
        <w:tc>
          <w:tcPr>
            <w:tcW w:w="821" w:type="pct"/>
            <w:vAlign w:val="center"/>
          </w:tcPr>
          <w:p w14:paraId="4B612871">
            <w:pPr>
              <w:ind w:right="73"/>
              <w:jc w:val="right"/>
              <w:rPr>
                <w:rFonts w:cs="Times New Roman"/>
              </w:rPr>
            </w:pPr>
            <w:r>
              <w:rPr>
                <w:rFonts w:cs="Times New Roman"/>
              </w:rPr>
              <w:t>41,904,211.82</w:t>
            </w:r>
          </w:p>
        </w:tc>
        <w:tc>
          <w:tcPr>
            <w:tcW w:w="931" w:type="pct"/>
            <w:vAlign w:val="center"/>
          </w:tcPr>
          <w:p w14:paraId="1D5B602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5B859FD5">
      <w:pPr>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专项应付款的说明"/>
        <w:tag w:val="_GBC_f206cf7fcce64722bbdcfc85a058978b"/>
        <w:id w:val="2045632924"/>
      </w:sdtPr>
      <w:sdtEndPr>
        <w:rPr>
          <w:color w:val="000000" w:themeColor="text1"/>
          <w14:textFill>
            <w14:solidFill>
              <w14:schemeClr w14:val="tx1"/>
            </w14:solidFill>
          </w14:textFill>
        </w:rPr>
      </w:sdtEndPr>
      <w:sdtContent>
        <w:p w14:paraId="4746A7E8">
          <w:pPr>
            <w:snapToGrid w:val="0"/>
            <w:rPr>
              <w:color w:val="000000" w:themeColor="text1"/>
              <w14:textFill>
                <w14:solidFill>
                  <w14:schemeClr w14:val="tx1"/>
                </w14:solidFill>
              </w14:textFill>
            </w:rPr>
          </w:pPr>
          <w:r>
            <w:rPr>
              <w:color w:val="000000" w:themeColor="text1"/>
              <w14:textFill>
                <w14:solidFill>
                  <w14:schemeClr w14:val="tx1"/>
                </w14:solidFill>
              </w14:textFill>
            </w:rPr>
            <w:t>无</w:t>
          </w:r>
        </w:p>
      </w:sdtContent>
    </w:sdt>
    <w:p w14:paraId="114A3B89">
      <w:pPr>
        <w:rPr>
          <w:color w:val="000000" w:themeColor="text1"/>
          <w14:textFill>
            <w14:solidFill>
              <w14:schemeClr w14:val="tx1"/>
            </w14:solidFill>
          </w14:textFill>
        </w:rPr>
      </w:pPr>
    </w:p>
    <w:p w14:paraId="3C87DFC4">
      <w:pPr>
        <w:rPr>
          <w:color w:val="000000" w:themeColor="text1"/>
          <w14:textFill>
            <w14:solidFill>
              <w14:schemeClr w14:val="tx1"/>
            </w14:solidFill>
          </w14:textFill>
        </w:rPr>
      </w:pPr>
    </w:p>
    <w:p w14:paraId="711DC474">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长期应付职工薪酬</w:t>
      </w:r>
    </w:p>
    <w:sdt>
      <w:sdtPr>
        <w:rPr>
          <w:color w:val="000000" w:themeColor="text1"/>
          <w14:textFill>
            <w14:solidFill>
              <w14:schemeClr w14:val="tx1"/>
            </w14:solidFill>
          </w14:textFill>
        </w:rPr>
        <w:alias w:val="是否适用：长期应付职工薪酬[双击切换]"/>
        <w:tag w:val="_GBC_077559b601814bb38f16734f98e8c045"/>
        <w:id w:val="147473454"/>
        <w:placeholder>
          <w:docPart w:val="GBC22222222222222222222222222222"/>
        </w:placeholder>
      </w:sdtPr>
      <w:sdtEndPr>
        <w:rPr>
          <w:color w:val="000000" w:themeColor="text1"/>
          <w14:textFill>
            <w14:solidFill>
              <w14:schemeClr w14:val="tx1"/>
            </w14:solidFill>
          </w14:textFill>
        </w:rPr>
      </w:sdtEndPr>
      <w:sdtContent>
        <w:p w14:paraId="284683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0BD95D1">
      <w:pPr>
        <w:pStyle w:val="58"/>
        <w:numPr>
          <w:ilvl w:val="0"/>
          <w:numId w:val="8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长期应付职工薪酬表</w:t>
      </w:r>
    </w:p>
    <w:sdt>
      <w:sdtPr>
        <w:rPr>
          <w:color w:val="000000" w:themeColor="text1"/>
          <w14:textFill>
            <w14:solidFill>
              <w14:schemeClr w14:val="tx1"/>
            </w14:solidFill>
          </w14:textFill>
        </w:rPr>
        <w:alias w:val="是否适用：长期应付职工薪酬表[双击切换]"/>
        <w:tag w:val="_GBC_7391cd215aaf4a7595c44b639646aa7a"/>
        <w:id w:val="147475442"/>
        <w:placeholder>
          <w:docPart w:val="GBC22222222222222222222222222222"/>
        </w:placeholder>
      </w:sdtPr>
      <w:sdtEndPr>
        <w:rPr>
          <w:color w:val="000000" w:themeColor="text1"/>
          <w14:textFill>
            <w14:solidFill>
              <w14:schemeClr w14:val="tx1"/>
            </w14:solidFill>
          </w14:textFill>
        </w:rPr>
      </w:sdtEndPr>
      <w:sdtContent>
        <w:p w14:paraId="2CF902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8CA381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付职工薪酬"/>
          <w:tag w:val="_GBC_9da16ecedc40480a9563f61db11afc75"/>
          <w:id w:val="1474812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付职工薪酬"/>
          <w:tag w:val="_GBC_4b18e9847cbc49689b57ca163e3c5f6f"/>
          <w:id w:val="1474711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5"/>
        <w:gridCol w:w="2630"/>
        <w:gridCol w:w="2764"/>
      </w:tblGrid>
      <w:tr w14:paraId="2D05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d74fa482412415587e08c0e74b1531a"/>
            <w:id w:val="147479341"/>
          </w:sdtPr>
          <w:sdtContent>
            <w:tc>
              <w:tcPr>
                <w:tcW w:w="2020" w:type="pct"/>
                <w:vAlign w:val="center"/>
              </w:tcPr>
              <w:p w14:paraId="599D0C8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4b575d8eb6648c09575eeeca2ce8fae"/>
            <w:id w:val="147472824"/>
          </w:sdtPr>
          <w:sdtContent>
            <w:tc>
              <w:tcPr>
                <w:tcW w:w="1453" w:type="pct"/>
                <w:vAlign w:val="center"/>
              </w:tcPr>
              <w:p w14:paraId="469E114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686b97eea8314637bed99bbd2be9e3af"/>
            <w:id w:val="147468574"/>
          </w:sdtPr>
          <w:sdtContent>
            <w:tc>
              <w:tcPr>
                <w:tcW w:w="1527" w:type="pct"/>
                <w:vAlign w:val="center"/>
              </w:tcPr>
              <w:p w14:paraId="325A9C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14:paraId="0446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0" w:type="pct"/>
          </w:tcPr>
          <w:p w14:paraId="75F31436">
            <w:pPr>
              <w:rPr>
                <w:color w:val="000000" w:themeColor="text1"/>
                <w14:textFill>
                  <w14:solidFill>
                    <w14:schemeClr w14:val="tx1"/>
                  </w14:solidFill>
                </w14:textFill>
              </w:rPr>
            </w:pPr>
            <w:r>
              <w:rPr>
                <w:rFonts w:hint="eastAsia"/>
                <w:color w:val="000000" w:themeColor="text1"/>
                <w14:textFill>
                  <w14:solidFill>
                    <w14:schemeClr w14:val="tx1"/>
                  </w14:solidFill>
                </w14:textFill>
              </w:rPr>
              <w:t>一、离职后福利-设定受益计划净负债</w:t>
            </w:r>
          </w:p>
        </w:tc>
        <w:tc>
          <w:tcPr>
            <w:tcW w:w="1453" w:type="pct"/>
            <w:vAlign w:val="center"/>
          </w:tcPr>
          <w:p w14:paraId="43F0117D">
            <w:pPr>
              <w:jc w:val="right"/>
              <w:textAlignment w:val="center"/>
              <w:rPr>
                <w:rFonts w:cs="Times New Roman"/>
              </w:rPr>
            </w:pPr>
            <w:r>
              <w:rPr>
                <w:rFonts w:cs="Times New Roman"/>
                <w:color w:val="000000"/>
              </w:rPr>
              <w:t>329,144,420.44</w:t>
            </w:r>
          </w:p>
        </w:tc>
        <w:tc>
          <w:tcPr>
            <w:tcW w:w="1527" w:type="pct"/>
            <w:vAlign w:val="center"/>
          </w:tcPr>
          <w:p w14:paraId="5E278C57">
            <w:pPr>
              <w:jc w:val="right"/>
              <w:textAlignment w:val="center"/>
              <w:rPr>
                <w:rFonts w:cs="Times New Roman"/>
              </w:rPr>
            </w:pPr>
            <w:r>
              <w:rPr>
                <w:rFonts w:cs="Times New Roman"/>
                <w:color w:val="000000"/>
              </w:rPr>
              <w:t>343,793,614.00</w:t>
            </w:r>
          </w:p>
        </w:tc>
      </w:tr>
      <w:tr w14:paraId="7012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0" w:type="pct"/>
          </w:tcPr>
          <w:p w14:paraId="1B06C77D">
            <w:pPr>
              <w:rPr>
                <w:color w:val="000000" w:themeColor="text1"/>
                <w14:textFill>
                  <w14:solidFill>
                    <w14:schemeClr w14:val="tx1"/>
                  </w14:solidFill>
                </w14:textFill>
              </w:rPr>
            </w:pPr>
            <w:r>
              <w:rPr>
                <w:rFonts w:hint="eastAsia"/>
                <w:color w:val="000000" w:themeColor="text1"/>
                <w14:textFill>
                  <w14:solidFill>
                    <w14:schemeClr w14:val="tx1"/>
                  </w14:solidFill>
                </w14:textFill>
              </w:rPr>
              <w:t>二、辞退福利</w:t>
            </w:r>
          </w:p>
        </w:tc>
        <w:tc>
          <w:tcPr>
            <w:tcW w:w="1453" w:type="pct"/>
            <w:vAlign w:val="center"/>
          </w:tcPr>
          <w:p w14:paraId="5706801E">
            <w:pPr>
              <w:jc w:val="right"/>
              <w:textAlignment w:val="center"/>
              <w:rPr>
                <w:rFonts w:cs="Times New Roman"/>
              </w:rPr>
            </w:pPr>
            <w:r>
              <w:rPr>
                <w:rFonts w:cs="Times New Roman"/>
                <w:color w:val="000000"/>
              </w:rPr>
              <w:t>7,440,571.46</w:t>
            </w:r>
          </w:p>
        </w:tc>
        <w:tc>
          <w:tcPr>
            <w:tcW w:w="1527" w:type="pct"/>
            <w:vAlign w:val="center"/>
          </w:tcPr>
          <w:p w14:paraId="7863938E">
            <w:pPr>
              <w:jc w:val="right"/>
              <w:textAlignment w:val="center"/>
              <w:rPr>
                <w:rFonts w:cs="Times New Roman"/>
              </w:rPr>
            </w:pPr>
            <w:r>
              <w:rPr>
                <w:rFonts w:cs="Times New Roman"/>
                <w:color w:val="000000"/>
              </w:rPr>
              <w:t>7,624,000.00</w:t>
            </w:r>
          </w:p>
        </w:tc>
      </w:tr>
      <w:tr w14:paraId="1A4C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0" w:type="pct"/>
          </w:tcPr>
          <w:p w14:paraId="01454346">
            <w:pPr>
              <w:rPr>
                <w:color w:val="000000" w:themeColor="text1"/>
                <w14:textFill>
                  <w14:solidFill>
                    <w14:schemeClr w14:val="tx1"/>
                  </w14:solidFill>
                </w14:textFill>
              </w:rPr>
            </w:pPr>
            <w:r>
              <w:rPr>
                <w:rFonts w:hint="eastAsia"/>
                <w:color w:val="000000" w:themeColor="text1"/>
                <w14:textFill>
                  <w14:solidFill>
                    <w14:schemeClr w14:val="tx1"/>
                  </w14:solidFill>
                </w14:textFill>
              </w:rPr>
              <w:t>三、其他长期福利</w:t>
            </w:r>
          </w:p>
        </w:tc>
        <w:tc>
          <w:tcPr>
            <w:tcW w:w="1453" w:type="pct"/>
            <w:vAlign w:val="center"/>
          </w:tcPr>
          <w:p w14:paraId="2CDCAFBB">
            <w:pPr>
              <w:jc w:val="right"/>
              <w:textAlignment w:val="center"/>
              <w:rPr>
                <w:rFonts w:cs="Times New Roman"/>
              </w:rPr>
            </w:pPr>
            <w:r>
              <w:rPr>
                <w:rFonts w:cs="Times New Roman"/>
                <w:color w:val="000000"/>
              </w:rPr>
              <w:t>-13,973,099.16</w:t>
            </w:r>
          </w:p>
        </w:tc>
        <w:tc>
          <w:tcPr>
            <w:tcW w:w="1527" w:type="pct"/>
            <w:vAlign w:val="center"/>
          </w:tcPr>
          <w:p w14:paraId="6E9B880F">
            <w:pPr>
              <w:jc w:val="right"/>
              <w:textAlignment w:val="center"/>
              <w:rPr>
                <w:rFonts w:cs="Times New Roman"/>
              </w:rPr>
            </w:pPr>
            <w:r>
              <w:rPr>
                <w:rFonts w:cs="Times New Roman"/>
                <w:color w:val="000000"/>
              </w:rPr>
              <w:t>-31,369,567.00</w:t>
            </w:r>
          </w:p>
        </w:tc>
      </w:tr>
      <w:tr w14:paraId="6072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0" w:type="pct"/>
            <w:vAlign w:val="center"/>
          </w:tcPr>
          <w:p w14:paraId="4EE8465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53" w:type="pct"/>
            <w:vAlign w:val="center"/>
          </w:tcPr>
          <w:p w14:paraId="6A8CF088">
            <w:pPr>
              <w:jc w:val="right"/>
              <w:textAlignment w:val="center"/>
              <w:rPr>
                <w:rFonts w:cs="Times New Roman"/>
              </w:rPr>
            </w:pPr>
            <w:r>
              <w:rPr>
                <w:rFonts w:cs="Times New Roman"/>
                <w:color w:val="000000"/>
              </w:rPr>
              <w:t>322,611,892.74</w:t>
            </w:r>
          </w:p>
        </w:tc>
        <w:tc>
          <w:tcPr>
            <w:tcW w:w="1527" w:type="pct"/>
            <w:vAlign w:val="center"/>
          </w:tcPr>
          <w:p w14:paraId="0D0F6101">
            <w:pPr>
              <w:jc w:val="right"/>
              <w:textAlignment w:val="center"/>
              <w:rPr>
                <w:rFonts w:cs="Times New Roman"/>
              </w:rPr>
            </w:pPr>
            <w:r>
              <w:rPr>
                <w:rFonts w:cs="Times New Roman"/>
                <w:color w:val="000000"/>
              </w:rPr>
              <w:t>320,048,047.00</w:t>
            </w:r>
          </w:p>
        </w:tc>
      </w:tr>
    </w:tbl>
    <w:p w14:paraId="02337457">
      <w:pPr>
        <w:rPr>
          <w:color w:val="000000" w:themeColor="text1"/>
          <w14:textFill>
            <w14:solidFill>
              <w14:schemeClr w14:val="tx1"/>
            </w14:solidFill>
          </w14:textFill>
        </w:rPr>
      </w:pPr>
    </w:p>
    <w:p w14:paraId="444A6093">
      <w:pPr>
        <w:pStyle w:val="58"/>
        <w:numPr>
          <w:ilvl w:val="0"/>
          <w:numId w:val="8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设定受益计划变动情况</w:t>
      </w:r>
    </w:p>
    <w:p w14:paraId="245387A8">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设定受益计划义务现值：</w:t>
      </w:r>
    </w:p>
    <w:sdt>
      <w:sdtPr>
        <w:rPr>
          <w:color w:val="000000" w:themeColor="text1"/>
          <w14:textFill>
            <w14:solidFill>
              <w14:schemeClr w14:val="tx1"/>
            </w14:solidFill>
          </w14:textFill>
        </w:rPr>
        <w:alias w:val="是否适用：设定受益计划义务现值[双击切换]"/>
        <w:tag w:val="_GBC_c4bc86b406e44d69b9ab0374bad05246"/>
        <w:id w:val="2077167342"/>
      </w:sdtPr>
      <w:sdtEndPr>
        <w:rPr>
          <w:color w:val="000000" w:themeColor="text1"/>
          <w14:textFill>
            <w14:solidFill>
              <w14:schemeClr w14:val="tx1"/>
            </w14:solidFill>
          </w14:textFill>
        </w:rPr>
      </w:sdtEndPr>
      <w:sdtContent>
        <w:p w14:paraId="1DF8A45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271D04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设定受益计划义务现值"/>
          <w:tag w:val="_GBC_b0c9e6ca28a2421c9518371c2be78bd5"/>
          <w:id w:val="22896571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设定受益计划义务现值"/>
          <w:tag w:val="_GBC_7f65fb2b67b845e9afe96325d0d11808"/>
          <w:id w:val="3154513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1"/>
        <w:gridCol w:w="2785"/>
        <w:gridCol w:w="2783"/>
      </w:tblGrid>
      <w:tr w14:paraId="7D6B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84c74226f1574a22ae5617c1cc5d2a1e"/>
            <w:id w:val="-1819489365"/>
          </w:sdtPr>
          <w:sdtContent>
            <w:tc>
              <w:tcPr>
                <w:tcW w:w="1923" w:type="pct"/>
                <w:vAlign w:val="center"/>
              </w:tcPr>
              <w:p w14:paraId="5DB66BD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fe51f04c3fe45b7b35326132992646b"/>
            <w:id w:val="-716662374"/>
          </w:sdtPr>
          <w:sdtContent>
            <w:tc>
              <w:tcPr>
                <w:tcW w:w="1538" w:type="pct"/>
                <w:vAlign w:val="center"/>
              </w:tcPr>
              <w:p w14:paraId="438B69A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6fe47bc6584f4f9eb937a9db9062e226"/>
            <w:id w:val="-9998491"/>
          </w:sdtPr>
          <w:sdtContent>
            <w:tc>
              <w:tcPr>
                <w:tcW w:w="1537" w:type="pct"/>
                <w:vAlign w:val="center"/>
              </w:tcPr>
              <w:p w14:paraId="12E770C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7806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a962937a21d464a8d71bfbe0424670e"/>
            <w:id w:val="-571354881"/>
          </w:sdtPr>
          <w:sdtContent>
            <w:tc>
              <w:tcPr>
                <w:tcW w:w="1923" w:type="pct"/>
                <w:vAlign w:val="center"/>
              </w:tcPr>
              <w:p w14:paraId="4DFE87E7">
                <w:pPr>
                  <w:rPr>
                    <w:color w:val="000000" w:themeColor="text1"/>
                    <w14:textFill>
                      <w14:solidFill>
                        <w14:schemeClr w14:val="tx1"/>
                      </w14:solidFill>
                    </w14:textFill>
                  </w:rPr>
                </w:pPr>
                <w:r>
                  <w:rPr>
                    <w:rFonts w:hint="eastAsia"/>
                    <w:color w:val="000000" w:themeColor="text1"/>
                    <w14:textFill>
                      <w14:solidFill>
                        <w14:schemeClr w14:val="tx1"/>
                      </w14:solidFill>
                    </w14:textFill>
                  </w:rPr>
                  <w:t>一、期初余额</w:t>
                </w:r>
              </w:p>
            </w:tc>
          </w:sdtContent>
        </w:sdt>
        <w:tc>
          <w:tcPr>
            <w:tcW w:w="1538" w:type="pct"/>
            <w:vAlign w:val="center"/>
          </w:tcPr>
          <w:p w14:paraId="7E82BB8A">
            <w:pPr>
              <w:jc w:val="right"/>
              <w:rPr>
                <w:rFonts w:cs="Times New Roman"/>
              </w:rPr>
            </w:pPr>
            <w:r>
              <w:rPr>
                <w:rFonts w:cs="Times New Roman"/>
              </w:rPr>
              <w:t>351,417,614.00</w:t>
            </w:r>
          </w:p>
        </w:tc>
        <w:tc>
          <w:tcPr>
            <w:tcW w:w="1537" w:type="pct"/>
            <w:vAlign w:val="center"/>
          </w:tcPr>
          <w:p w14:paraId="421C7ABB">
            <w:pPr>
              <w:jc w:val="right"/>
              <w:rPr>
                <w:rFonts w:cs="Times New Roman"/>
              </w:rPr>
            </w:pPr>
            <w:r>
              <w:rPr>
                <w:rFonts w:cs="Times New Roman"/>
              </w:rPr>
              <w:t>360,571,254.00</w:t>
            </w:r>
          </w:p>
        </w:tc>
      </w:tr>
      <w:tr w14:paraId="2F1B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91694c54b6f44458ef39a8b33707c29"/>
            <w:id w:val="616414447"/>
          </w:sdtPr>
          <w:sdtContent>
            <w:tc>
              <w:tcPr>
                <w:tcW w:w="1923" w:type="pct"/>
              </w:tcPr>
              <w:p w14:paraId="16FC0623">
                <w:pPr>
                  <w:rPr>
                    <w:color w:val="000000" w:themeColor="text1"/>
                    <w14:textFill>
                      <w14:solidFill>
                        <w14:schemeClr w14:val="tx1"/>
                      </w14:solidFill>
                    </w14:textFill>
                  </w:rPr>
                </w:pPr>
                <w:r>
                  <w:rPr>
                    <w:rFonts w:hint="eastAsia"/>
                    <w:color w:val="000000" w:themeColor="text1"/>
                    <w14:textFill>
                      <w14:solidFill>
                        <w14:schemeClr w14:val="tx1"/>
                      </w14:solidFill>
                    </w14:textFill>
                  </w:rPr>
                  <w:t>二、计入当期损益的设定受益成本</w:t>
                </w:r>
              </w:p>
            </w:tc>
          </w:sdtContent>
        </w:sdt>
        <w:tc>
          <w:tcPr>
            <w:tcW w:w="1538" w:type="pct"/>
            <w:vAlign w:val="center"/>
          </w:tcPr>
          <w:p w14:paraId="25265D6A">
            <w:pPr>
              <w:jc w:val="right"/>
              <w:rPr>
                <w:rFonts w:cs="Times New Roman"/>
              </w:rPr>
            </w:pPr>
            <w:r>
              <w:rPr>
                <w:rFonts w:cs="Times New Roman"/>
              </w:rPr>
              <w:t>2,919,750.81</w:t>
            </w:r>
          </w:p>
        </w:tc>
        <w:tc>
          <w:tcPr>
            <w:tcW w:w="1537" w:type="pct"/>
            <w:vAlign w:val="center"/>
          </w:tcPr>
          <w:p w14:paraId="3310FC24">
            <w:pPr>
              <w:jc w:val="right"/>
              <w:rPr>
                <w:rFonts w:cs="Times New Roman"/>
              </w:rPr>
            </w:pPr>
            <w:r>
              <w:rPr>
                <w:rFonts w:cs="Times New Roman"/>
              </w:rPr>
              <w:t>4,288,147.13</w:t>
            </w:r>
          </w:p>
        </w:tc>
      </w:tr>
      <w:tr w14:paraId="40AB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1321571e94834eea82d242dbd1ffce8e"/>
            <w:id w:val="-1882931308"/>
          </w:sdtPr>
          <w:sdtContent>
            <w:tc>
              <w:tcPr>
                <w:tcW w:w="1923" w:type="pct"/>
              </w:tcPr>
              <w:p w14:paraId="1FFC3BD7">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当期服务成本</w:t>
                </w:r>
              </w:p>
            </w:tc>
          </w:sdtContent>
        </w:sdt>
        <w:tc>
          <w:tcPr>
            <w:tcW w:w="1538" w:type="pct"/>
          </w:tcPr>
          <w:p w14:paraId="402F297A">
            <w:pPr>
              <w:jc w:val="right"/>
              <w:rPr>
                <w:rFonts w:cs="Times New Roman"/>
              </w:rPr>
            </w:pPr>
          </w:p>
        </w:tc>
        <w:tc>
          <w:tcPr>
            <w:tcW w:w="1537" w:type="pct"/>
          </w:tcPr>
          <w:p w14:paraId="14E3E272">
            <w:pPr>
              <w:jc w:val="right"/>
              <w:rPr>
                <w:rFonts w:cs="Times New Roman"/>
              </w:rPr>
            </w:pPr>
          </w:p>
        </w:tc>
      </w:tr>
      <w:tr w14:paraId="5F84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3835dbae78f4139aa449bf2c3c3b8d3"/>
            <w:id w:val="-403915185"/>
          </w:sdtPr>
          <w:sdtContent>
            <w:tc>
              <w:tcPr>
                <w:tcW w:w="1923" w:type="pct"/>
              </w:tcPr>
              <w:p w14:paraId="62C073F6">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过去服务成本</w:t>
                </w:r>
              </w:p>
            </w:tc>
          </w:sdtContent>
        </w:sdt>
        <w:tc>
          <w:tcPr>
            <w:tcW w:w="1538" w:type="pct"/>
          </w:tcPr>
          <w:p w14:paraId="7A4EE0F9">
            <w:pPr>
              <w:jc w:val="right"/>
              <w:rPr>
                <w:rFonts w:cs="Times New Roman"/>
              </w:rPr>
            </w:pPr>
          </w:p>
        </w:tc>
        <w:tc>
          <w:tcPr>
            <w:tcW w:w="1537" w:type="pct"/>
          </w:tcPr>
          <w:p w14:paraId="603B33D3">
            <w:pPr>
              <w:jc w:val="right"/>
              <w:rPr>
                <w:rFonts w:cs="Times New Roman"/>
              </w:rPr>
            </w:pPr>
          </w:p>
        </w:tc>
      </w:tr>
      <w:tr w14:paraId="4200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ff0c1ee7da7435091d0797d53046881"/>
            <w:id w:val="957456341"/>
          </w:sdtPr>
          <w:sdtContent>
            <w:tc>
              <w:tcPr>
                <w:tcW w:w="1923" w:type="pct"/>
              </w:tcPr>
              <w:p w14:paraId="55A40215">
                <w:pPr>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结算利得（损失以“－”表示）</w:t>
                </w:r>
              </w:p>
            </w:tc>
          </w:sdtContent>
        </w:sdt>
        <w:tc>
          <w:tcPr>
            <w:tcW w:w="1538" w:type="pct"/>
          </w:tcPr>
          <w:p w14:paraId="65A931E4">
            <w:pPr>
              <w:jc w:val="right"/>
              <w:rPr>
                <w:rFonts w:cs="Times New Roman"/>
              </w:rPr>
            </w:pPr>
          </w:p>
        </w:tc>
        <w:tc>
          <w:tcPr>
            <w:tcW w:w="1537" w:type="pct"/>
          </w:tcPr>
          <w:p w14:paraId="12476EAF">
            <w:pPr>
              <w:jc w:val="right"/>
              <w:rPr>
                <w:rFonts w:cs="Times New Roman"/>
              </w:rPr>
            </w:pPr>
          </w:p>
        </w:tc>
      </w:tr>
      <w:tr w14:paraId="1E08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fd0a80267714436833bd7083e5853ee"/>
            <w:id w:val="536468823"/>
          </w:sdtPr>
          <w:sdtContent>
            <w:tc>
              <w:tcPr>
                <w:tcW w:w="1923" w:type="pct"/>
              </w:tcPr>
              <w:p w14:paraId="10188B92">
                <w:pPr>
                  <w:rPr>
                    <w:color w:val="000000" w:themeColor="text1"/>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14:textFill>
                      <w14:solidFill>
                        <w14:schemeClr w14:val="tx1"/>
                      </w14:solidFill>
                    </w14:textFill>
                  </w:rPr>
                  <w:t>.利息净额</w:t>
                </w:r>
              </w:p>
            </w:tc>
          </w:sdtContent>
        </w:sdt>
        <w:tc>
          <w:tcPr>
            <w:tcW w:w="1538" w:type="pct"/>
            <w:vAlign w:val="center"/>
          </w:tcPr>
          <w:p w14:paraId="5D1FC708">
            <w:pPr>
              <w:jc w:val="right"/>
              <w:rPr>
                <w:rFonts w:cs="Times New Roman"/>
              </w:rPr>
            </w:pPr>
            <w:r>
              <w:rPr>
                <w:rFonts w:cs="Times New Roman"/>
              </w:rPr>
              <w:t>2,919,750.81</w:t>
            </w:r>
          </w:p>
        </w:tc>
        <w:tc>
          <w:tcPr>
            <w:tcW w:w="1537" w:type="pct"/>
            <w:vAlign w:val="center"/>
          </w:tcPr>
          <w:p w14:paraId="5A6C0695">
            <w:pPr>
              <w:jc w:val="right"/>
              <w:rPr>
                <w:rFonts w:cs="Times New Roman"/>
              </w:rPr>
            </w:pPr>
            <w:r>
              <w:rPr>
                <w:rFonts w:cs="Times New Roman"/>
              </w:rPr>
              <w:t>4,288,147.13</w:t>
            </w:r>
          </w:p>
        </w:tc>
      </w:tr>
      <w:tr w14:paraId="6534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3f071c9dd794c1fb00470b92c79bef6"/>
            <w:id w:val="-1404827983"/>
          </w:sdtPr>
          <w:sdtContent>
            <w:tc>
              <w:tcPr>
                <w:tcW w:w="1923" w:type="pct"/>
              </w:tcPr>
              <w:p w14:paraId="0E36F0B2">
                <w:pPr>
                  <w:rPr>
                    <w:color w:val="000000" w:themeColor="text1"/>
                    <w14:textFill>
                      <w14:solidFill>
                        <w14:schemeClr w14:val="tx1"/>
                      </w14:solidFill>
                    </w14:textFill>
                  </w:rPr>
                </w:pPr>
                <w:r>
                  <w:rPr>
                    <w:rFonts w:hint="eastAsia"/>
                    <w:color w:val="000000" w:themeColor="text1"/>
                    <w14:textFill>
                      <w14:solidFill>
                        <w14:schemeClr w14:val="tx1"/>
                      </w14:solidFill>
                    </w14:textFill>
                  </w:rPr>
                  <w:t>三、计入其他综合收益的设定收益成本</w:t>
                </w:r>
              </w:p>
            </w:tc>
          </w:sdtContent>
        </w:sdt>
        <w:tc>
          <w:tcPr>
            <w:tcW w:w="1538" w:type="pct"/>
          </w:tcPr>
          <w:p w14:paraId="264973AD">
            <w:pPr>
              <w:jc w:val="right"/>
              <w:rPr>
                <w:rFonts w:cs="Times New Roman"/>
              </w:rPr>
            </w:pPr>
          </w:p>
        </w:tc>
        <w:tc>
          <w:tcPr>
            <w:tcW w:w="1537" w:type="pct"/>
          </w:tcPr>
          <w:p w14:paraId="1406C17B">
            <w:pPr>
              <w:jc w:val="right"/>
              <w:rPr>
                <w:rFonts w:cs="Times New Roman"/>
              </w:rPr>
            </w:pPr>
          </w:p>
        </w:tc>
      </w:tr>
      <w:sdt>
        <w:sdtPr>
          <w:alias w:val="设定受益计划义务现值-计入其他综合收益的设定收益成本明细"/>
          <w:tag w:val="_GBC_67c47024df97426aa5b7c5bd281f18d8"/>
          <w:id w:val="665065932"/>
          <w:placeholder>
            <w:docPart w:val="{679140ce-70d3-4061-be32-2aa1c211d7f2}"/>
          </w:placeholder>
        </w:sdtPr>
        <w:sdtEndPr>
          <w:rPr>
            <w:rFonts w:cs="Times New Roman"/>
          </w:rPr>
        </w:sdtEndPr>
        <w:sdtContent>
          <w:sdt>
            <w:sdtPr>
              <w:alias w:val="设定受益计划义务现值-计入其他综合收益的设定收益成本明细"/>
              <w:tag w:val="_GBC_67c47024df97426aa5b7c5bd281f18d8"/>
              <w:id w:val="-1946374586"/>
              <w:placeholder>
                <w:docPart w:val="{679140ce-70d3-4061-be32-2aa1c211d7f2}"/>
              </w:placeholder>
            </w:sdtPr>
            <w:sdtEndPr>
              <w:rPr>
                <w:rFonts w:cs="Times New Roman"/>
              </w:rPr>
            </w:sdtEndPr>
            <w:sdtContent>
              <w:tr w14:paraId="42BA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729a872b31940918796b9ddc8b3d264"/>
                    <w:id w:val="201609651"/>
                  </w:sdtPr>
                  <w:sdtContent>
                    <w:tc>
                      <w:tcPr>
                        <w:tcW w:w="1923" w:type="pct"/>
                      </w:tcPr>
                      <w:p w14:paraId="320918CD">
                        <w:pPr>
                          <w:rPr>
                            <w:color w:val="000000" w:themeColor="text1"/>
                            <w14:textFill>
                              <w14:solidFill>
                                <w14:schemeClr w14:val="tx1"/>
                              </w14:solidFill>
                            </w14:textFill>
                          </w:rPr>
                        </w:pPr>
                        <w:r>
                          <w:rPr>
                            <w:rFonts w:hint="eastAsia"/>
                            <w:color w:val="000000" w:themeColor="text1"/>
                            <w14:textFill>
                              <w14:solidFill>
                                <w14:schemeClr w14:val="tx1"/>
                              </w14:solidFill>
                            </w14:textFill>
                          </w:rPr>
                          <w:t>四、其他变动</w:t>
                        </w:r>
                      </w:p>
                    </w:tc>
                  </w:sdtContent>
                </w:sdt>
                <w:tc>
                  <w:tcPr>
                    <w:tcW w:w="1538" w:type="pct"/>
                    <w:vAlign w:val="center"/>
                  </w:tcPr>
                  <w:p w14:paraId="1F61B745">
                    <w:pPr>
                      <w:jc w:val="right"/>
                      <w:rPr>
                        <w:rFonts w:cs="Times New Roman"/>
                      </w:rPr>
                    </w:pPr>
                    <w:r>
                      <w:rPr>
                        <w:rFonts w:cs="Times New Roman"/>
                      </w:rPr>
                      <w:t>-17,752,372.91</w:t>
                    </w:r>
                  </w:p>
                </w:tc>
                <w:tc>
                  <w:tcPr>
                    <w:tcW w:w="1537" w:type="pct"/>
                    <w:vAlign w:val="center"/>
                  </w:tcPr>
                  <w:p w14:paraId="79833E9A">
                    <w:pPr>
                      <w:jc w:val="right"/>
                      <w:rPr>
                        <w:rFonts w:cs="Times New Roman"/>
                      </w:rPr>
                    </w:pPr>
                    <w:r>
                      <w:rPr>
                        <w:rFonts w:cs="Times New Roman"/>
                      </w:rPr>
                      <w:t>-20,466,382.49</w:t>
                    </w:r>
                  </w:p>
                </w:tc>
              </w:tr>
            </w:sdtContent>
          </w:sdt>
        </w:sdtContent>
      </w:sdt>
      <w:tr w14:paraId="59AB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62cb34fbb5f49ada8114d2fa0b2744b"/>
            <w:id w:val="-274636103"/>
          </w:sdtPr>
          <w:sdtContent>
            <w:tc>
              <w:tcPr>
                <w:tcW w:w="1923" w:type="pct"/>
              </w:tcPr>
              <w:p w14:paraId="29899F99">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结算时支付的对价</w:t>
                </w:r>
              </w:p>
            </w:tc>
          </w:sdtContent>
        </w:sdt>
        <w:tc>
          <w:tcPr>
            <w:tcW w:w="1538" w:type="pct"/>
          </w:tcPr>
          <w:p w14:paraId="5D98DEB4">
            <w:pPr>
              <w:jc w:val="right"/>
              <w:rPr>
                <w:rFonts w:cs="Times New Roman"/>
              </w:rPr>
            </w:pPr>
          </w:p>
        </w:tc>
        <w:tc>
          <w:tcPr>
            <w:tcW w:w="1537" w:type="pct"/>
          </w:tcPr>
          <w:p w14:paraId="18792B56">
            <w:pPr>
              <w:jc w:val="right"/>
              <w:rPr>
                <w:rFonts w:cs="Times New Roman"/>
              </w:rPr>
            </w:pPr>
          </w:p>
        </w:tc>
      </w:tr>
      <w:tr w14:paraId="4AF9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1f834174727463abc6e4576bb81dace"/>
            <w:id w:val="-1130704895"/>
          </w:sdtPr>
          <w:sdtContent>
            <w:tc>
              <w:tcPr>
                <w:tcW w:w="1923" w:type="pct"/>
              </w:tcPr>
              <w:p w14:paraId="28CF4C5B">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已支付的福利</w:t>
                </w:r>
              </w:p>
            </w:tc>
          </w:sdtContent>
        </w:sdt>
        <w:tc>
          <w:tcPr>
            <w:tcW w:w="1538" w:type="pct"/>
            <w:vAlign w:val="center"/>
          </w:tcPr>
          <w:p w14:paraId="59E2CA52">
            <w:pPr>
              <w:jc w:val="right"/>
              <w:rPr>
                <w:rFonts w:cs="Times New Roman"/>
              </w:rPr>
            </w:pPr>
            <w:r>
              <w:rPr>
                <w:rFonts w:cs="Times New Roman"/>
              </w:rPr>
              <w:t>-17,752,372.91</w:t>
            </w:r>
          </w:p>
        </w:tc>
        <w:tc>
          <w:tcPr>
            <w:tcW w:w="1537" w:type="pct"/>
            <w:vAlign w:val="center"/>
          </w:tcPr>
          <w:p w14:paraId="0CE857B3">
            <w:pPr>
              <w:jc w:val="right"/>
              <w:rPr>
                <w:rFonts w:cs="Times New Roman"/>
              </w:rPr>
            </w:pPr>
            <w:r>
              <w:rPr>
                <w:rFonts w:cs="Times New Roman"/>
              </w:rPr>
              <w:t>-20,466,382.49</w:t>
            </w:r>
          </w:p>
        </w:tc>
      </w:tr>
      <w:sdt>
        <w:sdtPr>
          <w:alias w:val="设定受益计划义务现值-其他变动明细"/>
          <w:tag w:val="_GBC_9822ec4b942b4732922c8717e4230169"/>
          <w:id w:val="497166913"/>
          <w:placeholder>
            <w:docPart w:val="{679140ce-70d3-4061-be32-2aa1c211d7f2}"/>
          </w:placeholder>
        </w:sdtPr>
        <w:sdtEndPr>
          <w:rPr>
            <w:rFonts w:cs="Times New Roman"/>
          </w:rPr>
        </w:sdtEndPr>
        <w:sdtContent>
          <w:sdt>
            <w:sdtPr>
              <w:alias w:val="设定受益计划义务现值-其他变动明细"/>
              <w:tag w:val="_GBC_9822ec4b942b4732922c8717e4230169"/>
              <w:id w:val="-1049528846"/>
              <w:placeholder>
                <w:docPart w:val="{679140ce-70d3-4061-be32-2aa1c211d7f2}"/>
              </w:placeholder>
            </w:sdtPr>
            <w:sdtEndPr>
              <w:rPr>
                <w:rFonts w:cs="Times New Roman"/>
              </w:rPr>
            </w:sdtEndPr>
            <w:sdtContent>
              <w:tr w14:paraId="6A03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e3f7fa86b304b8eb90c329578680944"/>
                    <w:id w:val="685017482"/>
                  </w:sdtPr>
                  <w:sdtContent>
                    <w:tc>
                      <w:tcPr>
                        <w:tcW w:w="1923" w:type="pct"/>
                      </w:tcPr>
                      <w:p w14:paraId="3DF5D6FE">
                        <w:pPr>
                          <w:rPr>
                            <w:color w:val="000000" w:themeColor="text1"/>
                            <w14:textFill>
                              <w14:solidFill>
                                <w14:schemeClr w14:val="tx1"/>
                              </w14:solidFill>
                            </w14:textFill>
                          </w:rPr>
                        </w:pPr>
                        <w:r>
                          <w:rPr>
                            <w:rFonts w:hint="eastAsia"/>
                            <w:color w:val="000000" w:themeColor="text1"/>
                            <w14:textFill>
                              <w14:solidFill>
                                <w14:schemeClr w14:val="tx1"/>
                              </w14:solidFill>
                            </w14:textFill>
                          </w:rPr>
                          <w:t>五、期末余额</w:t>
                        </w:r>
                      </w:p>
                    </w:tc>
                  </w:sdtContent>
                </w:sdt>
                <w:tc>
                  <w:tcPr>
                    <w:tcW w:w="1538" w:type="pct"/>
                    <w:vAlign w:val="center"/>
                  </w:tcPr>
                  <w:p w14:paraId="739CF5C2">
                    <w:pPr>
                      <w:jc w:val="right"/>
                      <w:rPr>
                        <w:rFonts w:cs="Times New Roman"/>
                      </w:rPr>
                    </w:pPr>
                    <w:r>
                      <w:rPr>
                        <w:rFonts w:cs="Times New Roman"/>
                      </w:rPr>
                      <w:t>336,584,991.90</w:t>
                    </w:r>
                  </w:p>
                </w:tc>
                <w:tc>
                  <w:tcPr>
                    <w:tcW w:w="1537" w:type="pct"/>
                    <w:vAlign w:val="center"/>
                  </w:tcPr>
                  <w:p w14:paraId="6E0D7768">
                    <w:pPr>
                      <w:jc w:val="right"/>
                      <w:rPr>
                        <w:rFonts w:cs="Times New Roman"/>
                      </w:rPr>
                    </w:pPr>
                    <w:r>
                      <w:rPr>
                        <w:rFonts w:cs="Times New Roman"/>
                      </w:rPr>
                      <w:t>344,393,018.64</w:t>
                    </w:r>
                  </w:p>
                </w:tc>
              </w:tr>
            </w:sdtContent>
          </w:sdt>
        </w:sdtContent>
      </w:sdt>
    </w:tbl>
    <w:p w14:paraId="4178179F">
      <w:pPr>
        <w:rPr>
          <w:color w:val="000000" w:themeColor="text1"/>
          <w14:textFill>
            <w14:solidFill>
              <w14:schemeClr w14:val="tx1"/>
            </w14:solidFill>
          </w14:textFill>
        </w:rPr>
      </w:pPr>
    </w:p>
    <w:p w14:paraId="5A52AFDD">
      <w:pPr>
        <w:rPr>
          <w:color w:val="000000" w:themeColor="text1"/>
          <w14:textFill>
            <w14:solidFill>
              <w14:schemeClr w14:val="tx1"/>
            </w14:solidFill>
          </w14:textFill>
        </w:rPr>
      </w:pPr>
      <w:r>
        <w:rPr>
          <w:rFonts w:hint="eastAsia"/>
          <w:color w:val="000000" w:themeColor="text1"/>
          <w14:textFill>
            <w14:solidFill>
              <w14:schemeClr w14:val="tx1"/>
            </w14:solidFill>
          </w14:textFill>
        </w:rPr>
        <w:t>计划资产：</w:t>
      </w:r>
    </w:p>
    <w:sdt>
      <w:sdtPr>
        <w:rPr>
          <w:color w:val="000000" w:themeColor="text1"/>
          <w14:textFill>
            <w14:solidFill>
              <w14:schemeClr w14:val="tx1"/>
            </w14:solidFill>
          </w14:textFill>
        </w:rPr>
        <w:alias w:val="是否适用：设定受益计划变动情况_计划资产[双击切换]"/>
        <w:tag w:val="_GBC_c2b590ce2cf24711a0d840605c251bba"/>
        <w:id w:val="1108465887"/>
      </w:sdtPr>
      <w:sdtEndPr>
        <w:rPr>
          <w:color w:val="000000" w:themeColor="text1"/>
          <w14:textFill>
            <w14:solidFill>
              <w14:schemeClr w14:val="tx1"/>
            </w14:solidFill>
          </w14:textFill>
        </w:rPr>
      </w:sdtEndPr>
      <w:sdtContent>
        <w:p w14:paraId="5095BF6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9AA1EC3">
      <w:pPr>
        <w:rPr>
          <w:color w:val="000000" w:themeColor="text1"/>
          <w14:textFill>
            <w14:solidFill>
              <w14:schemeClr w14:val="tx1"/>
            </w14:solidFill>
          </w14:textFill>
        </w:rPr>
      </w:pPr>
    </w:p>
    <w:p w14:paraId="20729CAA">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设定受益计划净负债（净资产）</w:t>
      </w:r>
    </w:p>
    <w:sdt>
      <w:sdtPr>
        <w:rPr>
          <w:color w:val="000000" w:themeColor="text1"/>
          <w14:textFill>
            <w14:solidFill>
              <w14:schemeClr w14:val="tx1"/>
            </w14:solidFill>
          </w14:textFill>
        </w:rPr>
        <w:alias w:val="是否适用：设定受益计划变动情况_设定受益计划净负债[双击切换]"/>
        <w:tag w:val="_GBC_c9a00f9cf02f40478b9c06d7ded58e74"/>
        <w:id w:val="1285002363"/>
      </w:sdtPr>
      <w:sdtEndPr>
        <w:rPr>
          <w:color w:val="000000" w:themeColor="text1"/>
          <w14:textFill>
            <w14:solidFill>
              <w14:schemeClr w14:val="tx1"/>
            </w14:solidFill>
          </w14:textFill>
        </w:rPr>
      </w:sdtEndPr>
      <w:sdtContent>
        <w:p w14:paraId="05249AB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2C400BB">
      <w:pPr>
        <w:rPr>
          <w:color w:val="000000" w:themeColor="text1"/>
          <w14:textFill>
            <w14:solidFill>
              <w14:schemeClr w14:val="tx1"/>
            </w14:solidFill>
          </w14:textFill>
        </w:rPr>
      </w:pPr>
    </w:p>
    <w:p w14:paraId="6C3424E2">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设定受益计划的内容及与之相关风险、对公司未来现金流量、时间和不确定性的影响说明：</w:t>
      </w:r>
    </w:p>
    <w:sdt>
      <w:sdtPr>
        <w:rPr>
          <w:color w:val="000000" w:themeColor="text1"/>
          <w14:textFill>
            <w14:solidFill>
              <w14:schemeClr w14:val="tx1"/>
            </w14:solidFill>
          </w14:textFill>
        </w:rPr>
        <w:alias w:val="是否适用：设定受益计划的内容及与之相关风险、对公司未来现金流量、时间和不确定性的影响说明[双击切换]"/>
        <w:tag w:val="_GBC_2e34365c15bf476d97ccb2c983bcb127"/>
        <w:id w:val="-1860115161"/>
      </w:sdtPr>
      <w:sdtEndPr>
        <w:rPr>
          <w:color w:val="000000" w:themeColor="text1"/>
          <w14:textFill>
            <w14:solidFill>
              <w14:schemeClr w14:val="tx1"/>
            </w14:solidFill>
          </w14:textFill>
        </w:rPr>
      </w:sdtEndPr>
      <w:sdtContent>
        <w:p w14:paraId="454FFDA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22D8AC3">
      <w:pPr>
        <w:rPr>
          <w:color w:val="000000" w:themeColor="text1"/>
          <w14:textFill>
            <w14:solidFill>
              <w14:schemeClr w14:val="tx1"/>
            </w14:solidFill>
          </w14:textFill>
        </w:rPr>
      </w:pPr>
    </w:p>
    <w:p w14:paraId="31F0FC47">
      <w:pPr>
        <w:rPr>
          <w:color w:val="000000" w:themeColor="text1"/>
          <w14:textFill>
            <w14:solidFill>
              <w14:schemeClr w14:val="tx1"/>
            </w14:solidFill>
          </w14:textFill>
        </w:rPr>
      </w:pPr>
      <w:r>
        <w:rPr>
          <w:rFonts w:hint="eastAsia"/>
          <w:color w:val="000000" w:themeColor="text1"/>
          <w14:textFill>
            <w14:solidFill>
              <w14:schemeClr w14:val="tx1"/>
            </w14:solidFill>
          </w14:textFill>
        </w:rPr>
        <w:t>设定受益计划重大精算假设及敏感性分析结果说明</w:t>
      </w:r>
    </w:p>
    <w:sdt>
      <w:sdtPr>
        <w:rPr>
          <w:color w:val="000000" w:themeColor="text1"/>
          <w14:textFill>
            <w14:solidFill>
              <w14:schemeClr w14:val="tx1"/>
            </w14:solidFill>
          </w14:textFill>
        </w:rPr>
        <w:alias w:val="是否适用：设定受益计划重大精算假设及敏感性分析结果说明[双击切换]"/>
        <w:tag w:val="_GBC_ca3d6135d7d142dba45a1fa5a5c4591a"/>
        <w:id w:val="1816606905"/>
      </w:sdtPr>
      <w:sdtEndPr>
        <w:rPr>
          <w:color w:val="000000" w:themeColor="text1"/>
          <w14:textFill>
            <w14:solidFill>
              <w14:schemeClr w14:val="tx1"/>
            </w14:solidFill>
          </w14:textFill>
        </w:rPr>
      </w:sdtEndPr>
      <w:sdtContent>
        <w:p w14:paraId="470FDC6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2025D815">
      <w:pPr>
        <w:rPr>
          <w:color w:val="000000" w:themeColor="text1"/>
          <w14:textFill>
            <w14:solidFill>
              <w14:schemeClr w14:val="tx1"/>
            </w14:solidFill>
          </w14:textFill>
        </w:rPr>
      </w:pPr>
    </w:p>
    <w:p w14:paraId="7A4C5B5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长期应付职工薪酬的其他说明[双击切换]"/>
        <w:tag w:val="_GBC_9621d9da5c12475c9b0ae742a1372566"/>
        <w:id w:val="147453933"/>
        <w:placeholder>
          <w:docPart w:val="GBC22222222222222222222222222222"/>
        </w:placeholder>
      </w:sdtPr>
      <w:sdtEndPr>
        <w:rPr>
          <w:color w:val="000000" w:themeColor="text1"/>
          <w14:textFill>
            <w14:solidFill>
              <w14:schemeClr w14:val="tx1"/>
            </w14:solidFill>
          </w14:textFill>
        </w:rPr>
      </w:sdtEndPr>
      <w:sdtContent>
        <w:p w14:paraId="705E0EC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62E4B8">
      <w:pPr>
        <w:rPr>
          <w:color w:val="000000" w:themeColor="text1"/>
          <w14:textFill>
            <w14:solidFill>
              <w14:schemeClr w14:val="tx1"/>
            </w14:solidFill>
          </w14:textFill>
        </w:rPr>
      </w:pPr>
    </w:p>
    <w:p w14:paraId="141E1492">
      <w:pPr>
        <w:pStyle w:val="57"/>
        <w:numPr>
          <w:ilvl w:val="0"/>
          <w:numId w:val="54"/>
        </w:numPr>
        <w:rPr>
          <w:color w:val="000000" w:themeColor="text1"/>
          <w:szCs w:val="21"/>
          <w14:textFill>
            <w14:solidFill>
              <w14:schemeClr w14:val="tx1"/>
            </w14:solidFill>
          </w14:textFill>
        </w:rPr>
      </w:pPr>
      <w:bookmarkStart w:id="370" w:name="_Hlk10537141"/>
      <w:r>
        <w:rPr>
          <w:color w:val="000000" w:themeColor="text1"/>
          <w:szCs w:val="21"/>
          <w14:textFill>
            <w14:solidFill>
              <w14:schemeClr w14:val="tx1"/>
            </w14:solidFill>
          </w14:textFill>
        </w:rPr>
        <w:t>预计负债</w:t>
      </w:r>
    </w:p>
    <w:sdt>
      <w:sdtPr>
        <w:rPr>
          <w:color w:val="000000" w:themeColor="text1"/>
          <w14:textFill>
            <w14:solidFill>
              <w14:schemeClr w14:val="tx1"/>
            </w14:solidFill>
          </w14:textFill>
        </w:rPr>
        <w:alias w:val="是否适用：预计负债[双击切换]"/>
        <w:tag w:val="_GBC_1687da235caf410f866f00240cee7fdb"/>
        <w:id w:val="147481146"/>
        <w:placeholder>
          <w:docPart w:val="GBC22222222222222222222222222222"/>
        </w:placeholder>
      </w:sdtPr>
      <w:sdtEndPr>
        <w:rPr>
          <w:color w:val="000000" w:themeColor="text1"/>
          <w14:textFill>
            <w14:solidFill>
              <w14:schemeClr w14:val="tx1"/>
            </w14:solidFill>
          </w14:textFill>
        </w:rPr>
      </w:sdtEndPr>
      <w:sdtContent>
        <w:p w14:paraId="3DA60BB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FCC47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计负债"/>
          <w:tag w:val="_GBC_cb4f52bf31e64f4c951a1d03c8737c2c"/>
          <w:id w:val="1474654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计负债"/>
          <w:tag w:val="_GBC_c1e0a0d54ae34f37b10682c1542f4496"/>
          <w:id w:val="1474588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3016"/>
        <w:gridCol w:w="3018"/>
      </w:tblGrid>
      <w:tr w14:paraId="145D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fc927e21b7894351850a5341390e71f1"/>
            <w:id w:val="147452916"/>
          </w:sdtPr>
          <w:sdtEndPr>
            <w:rPr>
              <w:rFonts w:cs="Times New Roman"/>
            </w:rPr>
          </w:sdtEndPr>
          <w:sdtContent>
            <w:tc>
              <w:tcPr>
                <w:tcW w:w="1665" w:type="pct"/>
                <w:vAlign w:val="center"/>
              </w:tcPr>
              <w:p w14:paraId="321CA21E">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5448bfd35d2348cfac66de5cdfbc78a4"/>
            <w:id w:val="147468841"/>
          </w:sdtPr>
          <w:sdtEndPr>
            <w:rPr>
              <w:rFonts w:cs="Times New Roman"/>
            </w:rPr>
          </w:sdtEndPr>
          <w:sdtContent>
            <w:tc>
              <w:tcPr>
                <w:tcW w:w="1666" w:type="pct"/>
              </w:tcPr>
              <w:p w14:paraId="0D7341C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6f816d98e70940cfbbbbb868b0aeb358"/>
            <w:id w:val="147483603"/>
          </w:sdtPr>
          <w:sdtEndPr>
            <w:rPr>
              <w:rFonts w:cs="Times New Roman"/>
            </w:rPr>
          </w:sdtEndPr>
          <w:sdtContent>
            <w:tc>
              <w:tcPr>
                <w:tcW w:w="1667" w:type="pct"/>
              </w:tcPr>
              <w:p w14:paraId="2940230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0F56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65" w:type="pct"/>
            <w:vAlign w:val="center"/>
          </w:tcPr>
          <w:p w14:paraId="1D0E8AA4">
            <w:pPr>
              <w:textAlignment w:val="center"/>
              <w:rPr>
                <w:rFonts w:cs="Times New Roman"/>
              </w:rPr>
            </w:pPr>
            <w:r>
              <w:rPr>
                <w:rFonts w:cs="Times New Roman"/>
                <w:color w:val="000000"/>
                <w:lang w:bidi="ar"/>
              </w:rPr>
              <w:t>环境污染整治</w:t>
            </w:r>
          </w:p>
        </w:tc>
        <w:tc>
          <w:tcPr>
            <w:tcW w:w="1666" w:type="pct"/>
            <w:vAlign w:val="center"/>
          </w:tcPr>
          <w:p w14:paraId="099E0986">
            <w:pPr>
              <w:jc w:val="right"/>
              <w:textAlignment w:val="center"/>
              <w:rPr>
                <w:rFonts w:cs="Times New Roman"/>
              </w:rPr>
            </w:pPr>
            <w:r>
              <w:rPr>
                <w:rFonts w:eastAsia="Arial Narrow" w:cs="Times New Roman"/>
                <w:color w:val="000000"/>
                <w:lang w:bidi="ar"/>
              </w:rPr>
              <w:t>200,000,000.00</w:t>
            </w:r>
          </w:p>
        </w:tc>
        <w:tc>
          <w:tcPr>
            <w:tcW w:w="1667" w:type="pct"/>
            <w:vAlign w:val="center"/>
          </w:tcPr>
          <w:p w14:paraId="537E9825">
            <w:pPr>
              <w:jc w:val="right"/>
              <w:textAlignment w:val="center"/>
              <w:rPr>
                <w:rFonts w:cs="Times New Roman"/>
              </w:rPr>
            </w:pPr>
            <w:r>
              <w:rPr>
                <w:rFonts w:eastAsia="Arial Narrow" w:cs="Times New Roman"/>
                <w:color w:val="000000"/>
                <w:lang w:bidi="ar"/>
              </w:rPr>
              <w:t>200,000,000.00</w:t>
            </w:r>
          </w:p>
        </w:tc>
      </w:tr>
      <w:tr w14:paraId="07E0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65" w:type="pct"/>
            <w:vAlign w:val="center"/>
          </w:tcPr>
          <w:p w14:paraId="2AFBD8D5">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66" w:type="pct"/>
            <w:vAlign w:val="center"/>
          </w:tcPr>
          <w:p w14:paraId="2584C14B">
            <w:pPr>
              <w:jc w:val="right"/>
              <w:textAlignment w:val="center"/>
              <w:rPr>
                <w:rFonts w:cs="Times New Roman"/>
              </w:rPr>
            </w:pPr>
            <w:r>
              <w:rPr>
                <w:rFonts w:eastAsia="Arial Narrow" w:cs="Times New Roman"/>
                <w:color w:val="000000"/>
                <w:lang w:bidi="ar"/>
              </w:rPr>
              <w:t>200,000,000.00</w:t>
            </w:r>
          </w:p>
        </w:tc>
        <w:tc>
          <w:tcPr>
            <w:tcW w:w="1667" w:type="pct"/>
            <w:vAlign w:val="center"/>
          </w:tcPr>
          <w:p w14:paraId="2051DE32">
            <w:pPr>
              <w:jc w:val="right"/>
              <w:textAlignment w:val="center"/>
              <w:rPr>
                <w:rFonts w:cs="Times New Roman"/>
              </w:rPr>
            </w:pPr>
            <w:r>
              <w:rPr>
                <w:rFonts w:eastAsia="Arial Narrow" w:cs="Times New Roman"/>
                <w:color w:val="000000"/>
                <w:lang w:bidi="ar"/>
              </w:rPr>
              <w:t>200,000,000.00</w:t>
            </w:r>
          </w:p>
        </w:tc>
      </w:tr>
    </w:tbl>
    <w:p w14:paraId="3DF4C18F">
      <w:pPr>
        <w:snapToGrid w:val="0"/>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其他说明，包括重要预计负债的相关重要假设、估计说明：</w:t>
      </w:r>
    </w:p>
    <w:sdt>
      <w:sdtPr>
        <w:rPr>
          <w:color w:val="000000" w:themeColor="text1"/>
          <w14:textFill>
            <w14:solidFill>
              <w14:schemeClr w14:val="tx1"/>
            </w14:solidFill>
          </w14:textFill>
        </w:rPr>
        <w:alias w:val="预计负债的说明"/>
        <w:tag w:val="_GBC_d674f22c00c1425092bd34d8a8834fad"/>
        <w:id w:val="147461556"/>
        <w:placeholder>
          <w:docPart w:val="GBC22222222222222222222222222222"/>
        </w:placeholder>
      </w:sdtPr>
      <w:sdtEndPr>
        <w:rPr>
          <w:color w:val="000000" w:themeColor="text1"/>
          <w14:textFill>
            <w14:solidFill>
              <w14:schemeClr w14:val="tx1"/>
            </w14:solidFill>
          </w14:textFill>
        </w:rPr>
      </w:sdtEndPr>
      <w:sdtContent>
        <w:p w14:paraId="02DCEBE9">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岳阳市自然资源和规划局对际华橡胶工业有限公司土地收储范围内的生产区域373.32亩土地进行检测，检测结果显示123.11亩为深度污染，预估治理费用约2亿元。</w:t>
          </w:r>
        </w:p>
      </w:sdtContent>
    </w:sdt>
    <w:p w14:paraId="7838F0F3">
      <w:pPr>
        <w:autoSpaceDE w:val="0"/>
        <w:autoSpaceDN w:val="0"/>
        <w:adjustRightInd w:val="0"/>
        <w:rPr>
          <w:color w:val="000000" w:themeColor="text1"/>
          <w14:textFill>
            <w14:solidFill>
              <w14:schemeClr w14:val="tx1"/>
            </w14:solidFill>
          </w14:textFill>
        </w:rPr>
      </w:pPr>
    </w:p>
    <w:bookmarkEnd w:id="370"/>
    <w:p w14:paraId="7726CF2E">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递延收益</w:t>
      </w:r>
    </w:p>
    <w:p w14:paraId="4E5717AC">
      <w:pPr>
        <w:pStyle w:val="50"/>
        <w:ind w:firstLine="0" w:firstLineChars="0"/>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递延收益情况</w:t>
      </w:r>
    </w:p>
    <w:sdt>
      <w:sdtPr>
        <w:rPr>
          <w:rFonts w:ascii="宋体" w:hAnsi="宋体" w:cs="宋体"/>
          <w:color w:val="000000" w:themeColor="text1"/>
          <w:kern w:val="0"/>
          <w:szCs w:val="21"/>
          <w14:textFill>
            <w14:solidFill>
              <w14:schemeClr w14:val="tx1"/>
            </w14:solidFill>
          </w14:textFill>
        </w:rPr>
        <w:alias w:val="是否适用：递延收益情况 [双击切换]"/>
        <w:tag w:val="_GBC_2c1393684e764245824b2390014e92f1"/>
        <w:id w:val="1834714844"/>
      </w:sdtPr>
      <w:sdtEndPr>
        <w:rPr>
          <w:rFonts w:ascii="宋体" w:hAnsi="宋体" w:cs="宋体"/>
          <w:color w:val="000000" w:themeColor="text1"/>
          <w:kern w:val="0"/>
          <w:szCs w:val="21"/>
          <w14:textFill>
            <w14:solidFill>
              <w14:schemeClr w14:val="tx1"/>
            </w14:solidFill>
          </w14:textFill>
        </w:rPr>
      </w:sdtEndPr>
      <w:sdtContent>
        <w:p w14:paraId="275BFB89">
          <w:pPr>
            <w:pStyle w:val="50"/>
            <w:ind w:firstLine="0" w:firstLineChars="0"/>
            <w:jc w:val="left"/>
            <w:rPr>
              <w:rFonts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fldChar w:fldCharType="begin"/>
          </w:r>
          <w:r>
            <w:rPr>
              <w:rFonts w:ascii="宋体" w:hAnsi="宋体" w:cs="宋体"/>
              <w:color w:val="000000" w:themeColor="text1"/>
              <w:kern w:val="0"/>
              <w:szCs w:val="21"/>
              <w14:textFill>
                <w14:solidFill>
                  <w14:schemeClr w14:val="tx1"/>
                </w14:solidFill>
              </w14:textFill>
            </w:rPr>
            <w:instrText xml:space="preserve"> MACROBUTTON SnrToggleCheckbox √适用 </w:instrText>
          </w:r>
          <w:r>
            <w:rPr>
              <w:rFonts w:ascii="宋体" w:hAnsi="宋体" w:cs="宋体"/>
              <w:color w:val="000000" w:themeColor="text1"/>
              <w:kern w:val="0"/>
              <w:szCs w:val="21"/>
              <w14:textFill>
                <w14:solidFill>
                  <w14:schemeClr w14:val="tx1"/>
                </w14:solidFill>
              </w14:textFill>
            </w:rPr>
            <w:fldChar w:fldCharType="end"/>
          </w:r>
          <w:r>
            <w:rPr>
              <w:rFonts w:ascii="宋体" w:hAnsi="宋体" w:cs="宋体"/>
              <w:color w:val="000000" w:themeColor="text1"/>
              <w:kern w:val="0"/>
              <w:szCs w:val="21"/>
              <w14:textFill>
                <w14:solidFill>
                  <w14:schemeClr w14:val="tx1"/>
                </w14:solidFill>
              </w14:textFill>
            </w:rPr>
            <w:fldChar w:fldCharType="begin"/>
          </w:r>
          <w:r>
            <w:rPr>
              <w:rFonts w:ascii="宋体" w:hAnsi="宋体" w:cs="宋体"/>
              <w:color w:val="000000" w:themeColor="text1"/>
              <w:kern w:val="0"/>
              <w:szCs w:val="21"/>
              <w14:textFill>
                <w14:solidFill>
                  <w14:schemeClr w14:val="tx1"/>
                </w14:solidFill>
              </w14:textFill>
            </w:rPr>
            <w:instrText xml:space="preserve">MACROBUTTON  SnrToggleCheckbox □不适用 </w:instrText>
          </w:r>
          <w:r>
            <w:rPr>
              <w:rFonts w:ascii="宋体" w:hAnsi="宋体" w:cs="宋体"/>
              <w:color w:val="000000" w:themeColor="text1"/>
              <w:kern w:val="0"/>
              <w:szCs w:val="21"/>
              <w14:textFill>
                <w14:solidFill>
                  <w14:schemeClr w14:val="tx1"/>
                </w14:solidFill>
              </w14:textFill>
            </w:rPr>
            <w:fldChar w:fldCharType="end"/>
          </w:r>
        </w:p>
      </w:sdtContent>
    </w:sdt>
    <w:p w14:paraId="038CE24E">
      <w:pPr>
        <w:pStyle w:val="50"/>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递延收益"/>
          <w:tag w:val="_GBC_cf9505178ef64cd8b1a42757a7aaf77d"/>
          <w:id w:val="265272217"/>
          <w:placeholder>
            <w:docPart w:val="{132e0bfd-13c2-41c6-85e5-32fdf9d45fc6}"/>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递延收益"/>
          <w:tag w:val="_GBC_b7ba9c3d835b413e83140a438bc5c413"/>
          <w:id w:val="865401964"/>
          <w:placeholder>
            <w:docPart w:val="{132e0bfd-13c2-41c6-85e5-32fdf9d45fc6}"/>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1469"/>
        <w:gridCol w:w="1481"/>
        <w:gridCol w:w="1467"/>
        <w:gridCol w:w="1510"/>
        <w:gridCol w:w="1595"/>
      </w:tblGrid>
      <w:tr w14:paraId="2774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5" w:hRule="atLeast"/>
        </w:trPr>
        <w:sdt>
          <w:sdtPr>
            <w:tag w:val="_PLD_eeb45564af314089916105a5217e0ff6"/>
            <w:id w:val="448594936"/>
          </w:sdtPr>
          <w:sdtContent>
            <w:tc>
              <w:tcPr>
                <w:tcW w:w="843" w:type="pct"/>
                <w:vAlign w:val="center"/>
              </w:tcPr>
              <w:p w14:paraId="505654F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0613743f99d4af58a75406a4e2ba5a1"/>
            <w:id w:val="-1820805449"/>
          </w:sdtPr>
          <w:sdtContent>
            <w:tc>
              <w:tcPr>
                <w:tcW w:w="811" w:type="pct"/>
                <w:vAlign w:val="center"/>
              </w:tcPr>
              <w:p w14:paraId="36A7C26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a27f928ad4574fe594e5f995d7a37059"/>
            <w:id w:val="-181675709"/>
          </w:sdtPr>
          <w:sdtContent>
            <w:tc>
              <w:tcPr>
                <w:tcW w:w="818" w:type="pct"/>
                <w:vAlign w:val="center"/>
              </w:tcPr>
              <w:p w14:paraId="68E85C8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ed95bef3663d40fb90dd15d113f7f2c1"/>
            <w:id w:val="1449200201"/>
          </w:sdtPr>
          <w:sdtContent>
            <w:tc>
              <w:tcPr>
                <w:tcW w:w="810" w:type="pct"/>
                <w:vAlign w:val="center"/>
              </w:tcPr>
              <w:p w14:paraId="0DA5121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367cd0591009413e93857494eaf8170a"/>
            <w:id w:val="-480082466"/>
          </w:sdtPr>
          <w:sdtContent>
            <w:tc>
              <w:tcPr>
                <w:tcW w:w="834" w:type="pct"/>
                <w:vAlign w:val="center"/>
              </w:tcPr>
              <w:p w14:paraId="1FC15ED3">
                <w:pPr>
                  <w:jc w:val="center"/>
                  <w:rPr>
                    <w:color w:val="000000" w:themeColor="text1"/>
                    <w14:textFill>
                      <w14:solidFill>
                        <w14:schemeClr w14:val="tx1"/>
                      </w14:solidFill>
                    </w14:textFill>
                  </w:rPr>
                </w:pPr>
                <w:bookmarkStart w:id="371" w:name="OLE_LINK66"/>
                <w:bookmarkStart w:id="372" w:name="OLE_LINK67"/>
                <w:r>
                  <w:rPr>
                    <w:rFonts w:hint="eastAsia"/>
                    <w:color w:val="000000" w:themeColor="text1"/>
                    <w14:textFill>
                      <w14:solidFill>
                        <w14:schemeClr w14:val="tx1"/>
                      </w14:solidFill>
                    </w14:textFill>
                  </w:rPr>
                  <w:t>期末余额</w:t>
                </w:r>
              </w:p>
              <w:bookmarkEnd w:id="371"/>
              <w:bookmarkEnd w:id="372"/>
            </w:tc>
          </w:sdtContent>
        </w:sdt>
        <w:sdt>
          <w:sdtPr>
            <w:tag w:val="_PLD_d61ffc61194047d79611cccd8488aece"/>
            <w:id w:val="-342630438"/>
          </w:sdtPr>
          <w:sdtContent>
            <w:tc>
              <w:tcPr>
                <w:tcW w:w="881" w:type="pct"/>
                <w:vAlign w:val="center"/>
              </w:tcPr>
              <w:p w14:paraId="2AFBFB8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形成原因</w:t>
                </w:r>
              </w:p>
            </w:tc>
          </w:sdtContent>
        </w:sdt>
      </w:tr>
      <w:tr w14:paraId="5AC2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c4ae7ac076814abda447ee2261fb9baa"/>
            <w:id w:val="186414202"/>
          </w:sdtPr>
          <w:sdtContent>
            <w:tc>
              <w:tcPr>
                <w:tcW w:w="843" w:type="pct"/>
                <w:vAlign w:val="center"/>
              </w:tcPr>
              <w:p w14:paraId="18A12A32">
                <w:pPr>
                  <w:rPr>
                    <w:color w:val="000000" w:themeColor="text1"/>
                    <w14:textFill>
                      <w14:solidFill>
                        <w14:schemeClr w14:val="tx1"/>
                      </w14:solidFill>
                    </w14:textFill>
                  </w:rPr>
                </w:pPr>
                <w:r>
                  <w:rPr>
                    <w:rFonts w:hint="eastAsia"/>
                    <w:color w:val="000000" w:themeColor="text1"/>
                    <w14:textFill>
                      <w14:solidFill>
                        <w14:schemeClr w14:val="tx1"/>
                      </w14:solidFill>
                    </w14:textFill>
                  </w:rPr>
                  <w:t>政府补助</w:t>
                </w:r>
              </w:p>
            </w:tc>
          </w:sdtContent>
        </w:sdt>
        <w:tc>
          <w:tcPr>
            <w:tcW w:w="811" w:type="pct"/>
            <w:vAlign w:val="center"/>
          </w:tcPr>
          <w:p w14:paraId="65412DF7">
            <w:pPr>
              <w:jc w:val="right"/>
              <w:rPr>
                <w:rFonts w:cs="Times New Roman"/>
              </w:rPr>
            </w:pPr>
            <w:r>
              <w:rPr>
                <w:rFonts w:cs="Times New Roman"/>
              </w:rPr>
              <w:t>89,442,952.48</w:t>
            </w:r>
          </w:p>
        </w:tc>
        <w:tc>
          <w:tcPr>
            <w:tcW w:w="818" w:type="pct"/>
            <w:vAlign w:val="center"/>
          </w:tcPr>
          <w:p w14:paraId="65E61EC3">
            <w:pPr>
              <w:jc w:val="right"/>
              <w:rPr>
                <w:rFonts w:cs="Times New Roman"/>
              </w:rPr>
            </w:pPr>
            <w:r>
              <w:rPr>
                <w:rFonts w:cs="Times New Roman"/>
              </w:rPr>
              <w:t>10,250,046.00</w:t>
            </w:r>
          </w:p>
        </w:tc>
        <w:tc>
          <w:tcPr>
            <w:tcW w:w="810" w:type="pct"/>
            <w:vAlign w:val="center"/>
          </w:tcPr>
          <w:p w14:paraId="02EC9C42">
            <w:pPr>
              <w:jc w:val="right"/>
              <w:rPr>
                <w:rFonts w:cs="Times New Roman"/>
              </w:rPr>
            </w:pPr>
            <w:r>
              <w:rPr>
                <w:rFonts w:cs="Times New Roman"/>
              </w:rPr>
              <w:t>13,090,034.68</w:t>
            </w:r>
          </w:p>
        </w:tc>
        <w:tc>
          <w:tcPr>
            <w:tcW w:w="834" w:type="pct"/>
            <w:vAlign w:val="center"/>
          </w:tcPr>
          <w:p w14:paraId="6B5772A3">
            <w:pPr>
              <w:jc w:val="right"/>
              <w:rPr>
                <w:rFonts w:cs="Times New Roman"/>
              </w:rPr>
            </w:pPr>
            <w:r>
              <w:rPr>
                <w:rFonts w:cs="Times New Roman"/>
              </w:rPr>
              <w:t>86,602,963.80</w:t>
            </w:r>
          </w:p>
        </w:tc>
        <w:tc>
          <w:tcPr>
            <w:tcW w:w="881" w:type="pct"/>
          </w:tcPr>
          <w:p w14:paraId="6CA0CF22">
            <w:r>
              <w:rPr>
                <w:rFonts w:hint="eastAsia"/>
              </w:rPr>
              <w:t>与资产相关/与收益相关</w:t>
            </w:r>
          </w:p>
        </w:tc>
      </w:tr>
      <w:sdt>
        <w:sdtPr>
          <w:alias w:val="递延收益明细"/>
          <w:tag w:val="_GBC_b0fa056469b546388c2961108a7e62c7"/>
          <w:id w:val="1078325111"/>
          <w:placeholder>
            <w:docPart w:val="{6acde759-3aab-4502-a12a-e432035249b0}"/>
          </w:placeholder>
        </w:sdtPr>
        <w:sdtContent>
          <w:sdt>
            <w:sdtPr>
              <w:alias w:val="递延收益明细"/>
              <w:tag w:val="_GBC_b0fa056469b546388c2961108a7e62c7"/>
              <w:id w:val="1718705149"/>
              <w:placeholder>
                <w:docPart w:val="{6acde759-3aab-4502-a12a-e432035249b0}"/>
              </w:placeholder>
            </w:sdtPr>
            <w:sdtContent>
              <w:tr w14:paraId="48F7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dc5eff4e97a943cb9b913ed360e42749"/>
                    <w:id w:val="-834535678"/>
                  </w:sdtPr>
                  <w:sdtContent>
                    <w:tc>
                      <w:tcPr>
                        <w:tcW w:w="843" w:type="pct"/>
                        <w:vAlign w:val="center"/>
                      </w:tcPr>
                      <w:p w14:paraId="6878FC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811" w:type="pct"/>
                    <w:vAlign w:val="center"/>
                  </w:tcPr>
                  <w:p w14:paraId="0AB01587">
                    <w:pPr>
                      <w:jc w:val="right"/>
                      <w:rPr>
                        <w:rFonts w:cs="Times New Roman"/>
                      </w:rPr>
                    </w:pPr>
                    <w:r>
                      <w:rPr>
                        <w:rFonts w:cs="Times New Roman"/>
                      </w:rPr>
                      <w:t>89,442,952.48</w:t>
                    </w:r>
                  </w:p>
                </w:tc>
                <w:tc>
                  <w:tcPr>
                    <w:tcW w:w="818" w:type="pct"/>
                    <w:vAlign w:val="center"/>
                  </w:tcPr>
                  <w:p w14:paraId="32622B79">
                    <w:pPr>
                      <w:jc w:val="right"/>
                      <w:rPr>
                        <w:rFonts w:cs="Times New Roman"/>
                      </w:rPr>
                    </w:pPr>
                    <w:r>
                      <w:rPr>
                        <w:rFonts w:cs="Times New Roman"/>
                      </w:rPr>
                      <w:t>10,250,046.00</w:t>
                    </w:r>
                  </w:p>
                </w:tc>
                <w:tc>
                  <w:tcPr>
                    <w:tcW w:w="810" w:type="pct"/>
                    <w:vAlign w:val="center"/>
                  </w:tcPr>
                  <w:p w14:paraId="3E081008">
                    <w:pPr>
                      <w:jc w:val="right"/>
                      <w:rPr>
                        <w:rFonts w:cs="Times New Roman"/>
                      </w:rPr>
                    </w:pPr>
                    <w:r>
                      <w:rPr>
                        <w:rFonts w:cs="Times New Roman"/>
                      </w:rPr>
                      <w:t>13,090,034.68</w:t>
                    </w:r>
                  </w:p>
                </w:tc>
                <w:tc>
                  <w:tcPr>
                    <w:tcW w:w="834" w:type="pct"/>
                    <w:vAlign w:val="center"/>
                  </w:tcPr>
                  <w:p w14:paraId="20520A01">
                    <w:pPr>
                      <w:jc w:val="right"/>
                      <w:rPr>
                        <w:rFonts w:cs="Times New Roman"/>
                      </w:rPr>
                    </w:pPr>
                    <w:r>
                      <w:rPr>
                        <w:rFonts w:cs="Times New Roman"/>
                      </w:rPr>
                      <w:t>86,602,963.80</w:t>
                    </w:r>
                  </w:p>
                </w:tc>
                <w:tc>
                  <w:tcPr>
                    <w:tcW w:w="881" w:type="pct"/>
                  </w:tcPr>
                  <w:p w14:paraId="660A3A5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sdtContent>
          </w:sdt>
        </w:sdtContent>
      </w:sdt>
    </w:tbl>
    <w:p w14:paraId="472DCC35">
      <w:pPr>
        <w:rPr>
          <w:color w:val="000000" w:themeColor="text1"/>
          <w14:textFill>
            <w14:solidFill>
              <w14:schemeClr w14:val="tx1"/>
            </w14:solidFill>
          </w14:textFill>
        </w:rPr>
      </w:pPr>
    </w:p>
    <w:p w14:paraId="2D008AA4">
      <w:pPr>
        <w:spacing w:before="60" w:after="60"/>
        <w:rPr>
          <w:color w:val="000000" w:themeColor="text1"/>
          <w14:textFill>
            <w14:solidFill>
              <w14:schemeClr w14:val="tx1"/>
            </w14:solidFill>
          </w14:textFill>
        </w:rPr>
      </w:pPr>
      <w:bookmarkStart w:id="373" w:name="_Hlk10537331"/>
      <w:bookmarkEnd w:id="373"/>
      <w:bookmarkStart w:id="374" w:name="OLE_LINK85"/>
      <w:bookmarkStart w:id="375" w:name="OLE_LINK84"/>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递延收益的其他说明[双击切换]"/>
        <w:tag w:val="_GBC_da5e8f76ba934c9e8efb4ab4d41c9f8c"/>
        <w:id w:val="147458909"/>
        <w:placeholder>
          <w:docPart w:val="GBC22222222222222222222222222222"/>
        </w:placeholder>
      </w:sdtPr>
      <w:sdtEndPr>
        <w:rPr>
          <w:color w:val="000000" w:themeColor="text1"/>
          <w14:textFill>
            <w14:solidFill>
              <w14:schemeClr w14:val="tx1"/>
            </w14:solidFill>
          </w14:textFill>
        </w:rPr>
      </w:sdtEndPr>
      <w:sdtContent>
        <w:p w14:paraId="69C16E5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74"/>
    <w:bookmarkEnd w:id="375"/>
    <w:p w14:paraId="5B39E861">
      <w:pPr>
        <w:snapToGrid w:val="0"/>
        <w:spacing w:line="240" w:lineRule="atLeast"/>
        <w:rPr>
          <w:color w:val="000000" w:themeColor="text1"/>
          <w14:textFill>
            <w14:solidFill>
              <w14:schemeClr w14:val="tx1"/>
            </w14:solidFill>
          </w14:textFill>
        </w:rPr>
      </w:pPr>
    </w:p>
    <w:p w14:paraId="421349A5">
      <w:pPr>
        <w:pStyle w:val="57"/>
        <w:numPr>
          <w:ilvl w:val="0"/>
          <w:numId w:val="54"/>
        </w:numPr>
        <w:rPr>
          <w:color w:val="000000" w:themeColor="text1"/>
          <w:szCs w:val="21"/>
          <w14:textFill>
            <w14:solidFill>
              <w14:schemeClr w14:val="tx1"/>
            </w14:solidFill>
          </w14:textFill>
        </w:rPr>
      </w:pPr>
      <w:bookmarkStart w:id="376" w:name="_Hlk10537430"/>
      <w:r>
        <w:rPr>
          <w:color w:val="000000" w:themeColor="text1"/>
          <w:szCs w:val="21"/>
          <w14:textFill>
            <w14:solidFill>
              <w14:schemeClr w14:val="tx1"/>
            </w14:solidFill>
          </w14:textFill>
        </w:rPr>
        <w:t>其他非流动负债</w:t>
      </w:r>
    </w:p>
    <w:p w14:paraId="1F51DFB8">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其他非流动负债[双击切换]"/>
          <w:tag w:val="_GBC_bb8a5c7236564ec0823cbced5ea78e62"/>
          <w:id w:val="147482649"/>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6BC47C1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非流动负债"/>
          <w:tag w:val="_GBC_56e598e0f2684388ba1e16051e8df70a"/>
          <w:id w:val="1474540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非流动负债"/>
          <w:tag w:val="_GBC_ae4dfd619eb84b209c018d043a83dfcf"/>
          <w:id w:val="1474518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7"/>
        <w:gridCol w:w="2896"/>
        <w:gridCol w:w="2896"/>
      </w:tblGrid>
      <w:tr w14:paraId="4F15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cs="Times New Roman"/>
            </w:rPr>
            <w:tag w:val="_PLD_a28f7f3041514231843ad3ee7ffea03b"/>
            <w:id w:val="147455296"/>
          </w:sdtPr>
          <w:sdtEndPr>
            <w:rPr>
              <w:rFonts w:cs="Times New Roman"/>
            </w:rPr>
          </w:sdtEndPr>
          <w:sdtContent>
            <w:tc>
              <w:tcPr>
                <w:tcW w:w="1799" w:type="pct"/>
                <w:tcBorders>
                  <w:top w:val="single" w:color="auto" w:sz="4" w:space="0"/>
                  <w:left w:val="single" w:color="auto" w:sz="4" w:space="0"/>
                  <w:bottom w:val="single" w:color="auto" w:sz="4" w:space="0"/>
                  <w:right w:val="single" w:color="auto" w:sz="4" w:space="0"/>
                </w:tcBorders>
                <w:vAlign w:val="bottom"/>
              </w:tcPr>
              <w:p w14:paraId="72965C5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57665fafbbe043c5bf52499c94bca1a1"/>
            <w:id w:val="147453941"/>
          </w:sdtPr>
          <w:sdtEndPr>
            <w:rPr>
              <w:rFonts w:cs="Times New Roman"/>
            </w:rPr>
          </w:sdtEndPr>
          <w:sdtContent>
            <w:tc>
              <w:tcPr>
                <w:tcW w:w="1600" w:type="pct"/>
                <w:tcBorders>
                  <w:top w:val="single" w:color="auto" w:sz="4" w:space="0"/>
                  <w:left w:val="single" w:color="auto" w:sz="4" w:space="0"/>
                  <w:bottom w:val="single" w:color="auto" w:sz="4" w:space="0"/>
                  <w:right w:val="single" w:color="auto" w:sz="4" w:space="0"/>
                </w:tcBorders>
              </w:tcPr>
              <w:p w14:paraId="5EFDBBE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dcebd4f9b4a649088465ddfef12fdcb8"/>
            <w:id w:val="147482394"/>
          </w:sdtPr>
          <w:sdtEndPr>
            <w:rPr>
              <w:rFonts w:cs="Times New Roman"/>
            </w:rPr>
          </w:sdtEndPr>
          <w:sdtContent>
            <w:tc>
              <w:tcPr>
                <w:tcW w:w="1600" w:type="pct"/>
                <w:tcBorders>
                  <w:top w:val="single" w:color="auto" w:sz="4" w:space="0"/>
                  <w:left w:val="single" w:color="auto" w:sz="4" w:space="0"/>
                  <w:bottom w:val="single" w:color="auto" w:sz="4" w:space="0"/>
                  <w:right w:val="single" w:color="auto" w:sz="4" w:space="0"/>
                </w:tcBorders>
              </w:tcPr>
              <w:p w14:paraId="193F0F3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4728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6" w:type="dxa"/>
            <w:tcBorders>
              <w:top w:val="single" w:color="auto" w:sz="4" w:space="0"/>
              <w:left w:val="single" w:color="auto" w:sz="4" w:space="0"/>
              <w:bottom w:val="single" w:color="auto" w:sz="4" w:space="0"/>
              <w:right w:val="single" w:color="auto" w:sz="4" w:space="0"/>
            </w:tcBorders>
            <w:vAlign w:val="bottom"/>
          </w:tcPr>
          <w:p w14:paraId="48AA9A88">
            <w:pPr>
              <w:textAlignment w:val="bottom"/>
              <w:rPr>
                <w:rFonts w:cs="Times New Roman"/>
              </w:rPr>
            </w:pPr>
            <w:r>
              <w:rPr>
                <w:rFonts w:cs="Times New Roman"/>
                <w:color w:val="000000"/>
                <w:lang w:bidi="ar"/>
              </w:rPr>
              <w:t>公租房建设资金</w:t>
            </w:r>
          </w:p>
        </w:tc>
        <w:tc>
          <w:tcPr>
            <w:tcW w:w="2897" w:type="dxa"/>
            <w:tcBorders>
              <w:top w:val="single" w:color="auto" w:sz="4" w:space="0"/>
              <w:left w:val="single" w:color="auto" w:sz="4" w:space="0"/>
              <w:bottom w:val="single" w:color="auto" w:sz="4" w:space="0"/>
              <w:right w:val="single" w:color="auto" w:sz="4" w:space="0"/>
            </w:tcBorders>
            <w:vAlign w:val="center"/>
          </w:tcPr>
          <w:p w14:paraId="4A5ABC9B">
            <w:pPr>
              <w:jc w:val="right"/>
              <w:rPr>
                <w:rFonts w:cs="Times New Roman"/>
              </w:rPr>
            </w:pPr>
          </w:p>
        </w:tc>
        <w:tc>
          <w:tcPr>
            <w:tcW w:w="2896" w:type="dxa"/>
            <w:tcBorders>
              <w:top w:val="single" w:color="auto" w:sz="4" w:space="0"/>
              <w:left w:val="single" w:color="auto" w:sz="4" w:space="0"/>
              <w:bottom w:val="single" w:color="auto" w:sz="4" w:space="0"/>
              <w:right w:val="single" w:color="auto" w:sz="4" w:space="0"/>
            </w:tcBorders>
            <w:vAlign w:val="center"/>
          </w:tcPr>
          <w:p w14:paraId="10AC2F7A">
            <w:pPr>
              <w:jc w:val="right"/>
              <w:textAlignment w:val="center"/>
              <w:rPr>
                <w:rFonts w:cs="Times New Roman"/>
              </w:rPr>
            </w:pPr>
            <w:r>
              <w:rPr>
                <w:rFonts w:eastAsia="Arial Narrow" w:cs="Times New Roman"/>
                <w:color w:val="000000"/>
                <w:lang w:bidi="ar"/>
              </w:rPr>
              <w:t>2,880,000.00</w:t>
            </w:r>
          </w:p>
        </w:tc>
      </w:tr>
      <w:tr w14:paraId="357D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9" w:type="pct"/>
            <w:tcBorders>
              <w:top w:val="single" w:color="auto" w:sz="4" w:space="0"/>
              <w:left w:val="single" w:color="auto" w:sz="4" w:space="0"/>
              <w:bottom w:val="single" w:color="auto" w:sz="4" w:space="0"/>
              <w:right w:val="single" w:color="auto" w:sz="4" w:space="0"/>
            </w:tcBorders>
          </w:tcPr>
          <w:p w14:paraId="1D86F19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00" w:type="pct"/>
            <w:tcBorders>
              <w:top w:val="single" w:color="auto" w:sz="4" w:space="0"/>
              <w:left w:val="single" w:color="auto" w:sz="4" w:space="0"/>
              <w:bottom w:val="single" w:color="auto" w:sz="4" w:space="0"/>
              <w:right w:val="single" w:color="auto" w:sz="4" w:space="0"/>
            </w:tcBorders>
          </w:tcPr>
          <w:p w14:paraId="4C5D230A">
            <w:pPr>
              <w:jc w:val="right"/>
              <w:rPr>
                <w:rFonts w:cs="Times New Roman"/>
              </w:rPr>
            </w:pPr>
          </w:p>
        </w:tc>
        <w:tc>
          <w:tcPr>
            <w:tcW w:w="2896" w:type="dxa"/>
            <w:tcBorders>
              <w:top w:val="single" w:color="auto" w:sz="4" w:space="0"/>
              <w:left w:val="single" w:color="auto" w:sz="4" w:space="0"/>
              <w:bottom w:val="single" w:color="auto" w:sz="4" w:space="0"/>
              <w:right w:val="single" w:color="auto" w:sz="4" w:space="0"/>
            </w:tcBorders>
            <w:vAlign w:val="center"/>
          </w:tcPr>
          <w:p w14:paraId="03D299DF">
            <w:pPr>
              <w:jc w:val="right"/>
              <w:textAlignment w:val="center"/>
              <w:rPr>
                <w:rFonts w:cs="Times New Roman"/>
              </w:rPr>
            </w:pPr>
            <w:r>
              <w:rPr>
                <w:rFonts w:eastAsia="Arial Narrow" w:cs="Times New Roman"/>
                <w:color w:val="000000"/>
                <w:lang w:bidi="ar"/>
              </w:rPr>
              <w:t>2,880,000.00</w:t>
            </w:r>
          </w:p>
        </w:tc>
      </w:tr>
    </w:tbl>
    <w:p w14:paraId="6EDF29FF">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其他非流动负债说明"/>
        <w:tag w:val="_GBC_8424078e59404c4a8aa6644833876098"/>
        <w:id w:val="147476098"/>
        <w:placeholder>
          <w:docPart w:val="GBC22222222222222222222222222222"/>
        </w:placeholder>
      </w:sdtPr>
      <w:sdtEndPr>
        <w:rPr>
          <w:color w:val="000000" w:themeColor="text1"/>
          <w14:textFill>
            <w14:solidFill>
              <w14:schemeClr w14:val="tx1"/>
            </w14:solidFill>
          </w14:textFill>
        </w:rPr>
      </w:sdtEndPr>
      <w:sdtContent>
        <w:p w14:paraId="7DC91B40">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76"/>
    <w:p w14:paraId="70D4D25B">
      <w:pPr>
        <w:rPr>
          <w:color w:val="000000" w:themeColor="text1"/>
          <w14:textFill>
            <w14:solidFill>
              <w14:schemeClr w14:val="tx1"/>
            </w14:solidFill>
          </w14:textFill>
        </w:rPr>
      </w:pPr>
    </w:p>
    <w:p w14:paraId="39430F95">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股本</w:t>
      </w:r>
    </w:p>
    <w:sdt>
      <w:sdtPr>
        <w:rPr>
          <w:color w:val="000000" w:themeColor="text1"/>
          <w14:textFill>
            <w14:solidFill>
              <w14:schemeClr w14:val="tx1"/>
            </w14:solidFill>
          </w14:textFill>
        </w:rPr>
        <w:alias w:val="是否适用：股本[双击切换]"/>
        <w:tag w:val="_GBC_a88b08589cbb4302b29839808faa8a3b"/>
        <w:id w:val="147483178"/>
        <w:placeholder>
          <w:docPart w:val="GBC22222222222222222222222222222"/>
        </w:placeholder>
      </w:sdtPr>
      <w:sdtEndPr>
        <w:rPr>
          <w:color w:val="000000" w:themeColor="text1"/>
          <w14:textFill>
            <w14:solidFill>
              <w14:schemeClr w14:val="tx1"/>
            </w14:solidFill>
          </w14:textFill>
        </w:rPr>
      </w:sdtEndPr>
      <w:sdtContent>
        <w:p w14:paraId="781A22E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EAD94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股本"/>
          <w:tag w:val="_GBC_cf915ea45a234de2a2455824dedc3c82"/>
          <w:id w:val="14747476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股本"/>
          <w:tag w:val="_GBC_2dcc7ff328cf480296bdddce64b88cf1"/>
          <w:id w:val="1474753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3355"/>
        <w:gridCol w:w="3357"/>
      </w:tblGrid>
      <w:tr w14:paraId="1EB4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290" w:type="pct"/>
            <w:vMerge w:val="restart"/>
          </w:tcPr>
          <w:p w14:paraId="57689347">
            <w:pPr>
              <w:jc w:val="center"/>
              <w:rPr>
                <w:rFonts w:cs="Times New Roman"/>
              </w:rPr>
            </w:pPr>
          </w:p>
        </w:tc>
        <w:sdt>
          <w:sdtPr>
            <w:rPr>
              <w:rFonts w:cs="Times New Roman"/>
              <w:color w:val="000000" w:themeColor="text1"/>
              <w14:textFill>
                <w14:solidFill>
                  <w14:schemeClr w14:val="tx1"/>
                </w14:solidFill>
              </w14:textFill>
            </w:rPr>
            <w:tag w:val="_PLD_7ad9a0911e364e48bc565dc3ed809692"/>
            <w:id w:val="147456728"/>
          </w:sdtPr>
          <w:sdtEndPr>
            <w:rPr>
              <w:rFonts w:cs="Times New Roman"/>
              <w:color w:val="000000" w:themeColor="text1"/>
              <w14:textFill>
                <w14:solidFill>
                  <w14:schemeClr w14:val="tx1"/>
                </w14:solidFill>
              </w14:textFill>
            </w:rPr>
          </w:sdtEndPr>
          <w:sdtContent>
            <w:tc>
              <w:tcPr>
                <w:tcW w:w="1854" w:type="pct"/>
                <w:vMerge w:val="restart"/>
                <w:vAlign w:val="center"/>
              </w:tcPr>
              <w:p w14:paraId="25AB1A7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color w:val="000000" w:themeColor="text1"/>
              <w14:textFill>
                <w14:solidFill>
                  <w14:schemeClr w14:val="tx1"/>
                </w14:solidFill>
              </w14:textFill>
            </w:rPr>
            <w:tag w:val="_PLD_a0390714e323429ab6e793f9a610df70"/>
            <w:id w:val="147456317"/>
          </w:sdtPr>
          <w:sdtEndPr>
            <w:rPr>
              <w:rFonts w:cs="Times New Roman"/>
              <w:color w:val="000000" w:themeColor="text1"/>
              <w14:textFill>
                <w14:solidFill>
                  <w14:schemeClr w14:val="tx1"/>
                </w14:solidFill>
              </w14:textFill>
            </w:rPr>
          </w:sdtEndPr>
          <w:sdtContent>
            <w:tc>
              <w:tcPr>
                <w:tcW w:w="1855" w:type="pct"/>
                <w:vMerge w:val="restart"/>
                <w:vAlign w:val="center"/>
              </w:tcPr>
              <w:p w14:paraId="695235A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0803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290" w:type="pct"/>
            <w:vMerge w:val="continue"/>
          </w:tcPr>
          <w:p w14:paraId="56E3FE68">
            <w:pPr>
              <w:rPr>
                <w:rFonts w:cs="Times New Roman"/>
                <w:color w:val="000000" w:themeColor="text1"/>
                <w14:textFill>
                  <w14:solidFill>
                    <w14:schemeClr w14:val="tx1"/>
                  </w14:solidFill>
                </w14:textFill>
              </w:rPr>
            </w:pPr>
          </w:p>
        </w:tc>
        <w:tc>
          <w:tcPr>
            <w:tcW w:w="1854" w:type="pct"/>
            <w:vMerge w:val="continue"/>
          </w:tcPr>
          <w:p w14:paraId="0C4776CB">
            <w:pPr>
              <w:ind w:left="-250" w:leftChars="-119" w:firstLine="249" w:firstLineChars="119"/>
              <w:rPr>
                <w:rFonts w:cs="Times New Roman"/>
                <w:color w:val="000000" w:themeColor="text1"/>
                <w14:textFill>
                  <w14:solidFill>
                    <w14:schemeClr w14:val="tx1"/>
                  </w14:solidFill>
                </w14:textFill>
              </w:rPr>
            </w:pPr>
          </w:p>
        </w:tc>
        <w:tc>
          <w:tcPr>
            <w:tcW w:w="1855" w:type="pct"/>
            <w:vMerge w:val="continue"/>
          </w:tcPr>
          <w:p w14:paraId="1142CC3D">
            <w:pPr>
              <w:rPr>
                <w:rFonts w:cs="Times New Roman"/>
                <w:color w:val="000000" w:themeColor="text1"/>
                <w14:textFill>
                  <w14:solidFill>
                    <w14:schemeClr w14:val="tx1"/>
                  </w14:solidFill>
                </w14:textFill>
              </w:rPr>
            </w:pPr>
          </w:p>
        </w:tc>
      </w:tr>
      <w:tr w14:paraId="719F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90" w:type="pct"/>
          </w:tcPr>
          <w:p w14:paraId="36C902A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股份总数</w:t>
            </w:r>
          </w:p>
        </w:tc>
        <w:tc>
          <w:tcPr>
            <w:tcW w:w="1854" w:type="pct"/>
            <w:vAlign w:val="center"/>
          </w:tcPr>
          <w:p w14:paraId="3E4366EE">
            <w:pPr>
              <w:jc w:val="right"/>
              <w:textAlignment w:val="center"/>
              <w:rPr>
                <w:rFonts w:cs="Times New Roman"/>
              </w:rPr>
            </w:pPr>
            <w:r>
              <w:rPr>
                <w:rFonts w:eastAsia="Arial Narrow" w:cs="Times New Roman"/>
                <w:color w:val="000000"/>
                <w:lang w:bidi="ar"/>
              </w:rPr>
              <w:t>4,391,629,404.00</w:t>
            </w:r>
          </w:p>
        </w:tc>
        <w:tc>
          <w:tcPr>
            <w:tcW w:w="1855" w:type="pct"/>
            <w:vAlign w:val="center"/>
          </w:tcPr>
          <w:p w14:paraId="0DCE2B1B">
            <w:pPr>
              <w:jc w:val="right"/>
              <w:textAlignment w:val="center"/>
              <w:rPr>
                <w:rFonts w:cs="Times New Roman"/>
              </w:rPr>
            </w:pPr>
            <w:r>
              <w:rPr>
                <w:rFonts w:eastAsia="Arial Narrow" w:cs="Times New Roman"/>
                <w:color w:val="000000"/>
                <w:lang w:bidi="ar"/>
              </w:rPr>
              <w:t>4,391,629,404.00</w:t>
            </w:r>
          </w:p>
        </w:tc>
      </w:tr>
    </w:tbl>
    <w:p w14:paraId="61F2A150">
      <w:pPr>
        <w:spacing w:before="60" w:after="60"/>
        <w:rPr>
          <w:color w:val="000000" w:themeColor="text1"/>
          <w14:textFill>
            <w14:solidFill>
              <w14:schemeClr w14:val="tx1"/>
            </w14:solidFill>
          </w14:textFill>
        </w:rPr>
      </w:pPr>
    </w:p>
    <w:p w14:paraId="59A9E6E2">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股本变动情况说明"/>
        <w:tag w:val="_GBC_752687f835754470ad7a125ef32391e4"/>
        <w:id w:val="147463042"/>
        <w:placeholder>
          <w:docPart w:val="GBC22222222222222222222222222222"/>
        </w:placeholder>
      </w:sdtPr>
      <w:sdtEndPr>
        <w:rPr>
          <w:color w:val="000000" w:themeColor="text1"/>
          <w14:textFill>
            <w14:solidFill>
              <w14:schemeClr w14:val="tx1"/>
            </w14:solidFill>
          </w14:textFill>
        </w:rPr>
      </w:sdtEndPr>
      <w:sdtContent>
        <w:p w14:paraId="7D7E04D7">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E35A939">
      <w:pPr>
        <w:rPr>
          <w:color w:val="000000" w:themeColor="text1"/>
          <w14:textFill>
            <w14:solidFill>
              <w14:schemeClr w14:val="tx1"/>
            </w14:solidFill>
          </w14:textFill>
        </w:rPr>
      </w:pPr>
    </w:p>
    <w:p w14:paraId="6A5943C0">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其他权益工具</w:t>
      </w:r>
    </w:p>
    <w:p w14:paraId="44C6ECFC">
      <w:pPr>
        <w:pStyle w:val="58"/>
        <w:numPr>
          <w:ilvl w:val="0"/>
          <w:numId w:val="8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期末发行在外的优先股、永续债等其他金融工具基本情况[双击切换]"/>
        <w:tag w:val="_GBC_54d54ac45fe745e1aad9be61a846261f"/>
        <w:id w:val="147461880"/>
        <w:placeholder>
          <w:docPart w:val="GBC22222222222222222222222222222"/>
        </w:placeholder>
      </w:sdtPr>
      <w:sdtEndPr>
        <w:rPr>
          <w:color w:val="000000" w:themeColor="text1"/>
          <w14:textFill>
            <w14:solidFill>
              <w14:schemeClr w14:val="tx1"/>
            </w14:solidFill>
          </w14:textFill>
        </w:rPr>
      </w:sdtEndPr>
      <w:sdtContent>
        <w:p w14:paraId="12F467B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2A36049">
      <w:pPr>
        <w:rPr>
          <w:color w:val="000000" w:themeColor="text1"/>
          <w14:textFill>
            <w14:solidFill>
              <w14:schemeClr w14:val="tx1"/>
            </w14:solidFill>
          </w14:textFill>
        </w:rPr>
      </w:pPr>
    </w:p>
    <w:p w14:paraId="5D20299D">
      <w:pPr>
        <w:pStyle w:val="58"/>
        <w:numPr>
          <w:ilvl w:val="0"/>
          <w:numId w:val="87"/>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其他权益工具[双击切换]"/>
        <w:tag w:val="_GBC_e8c53693e19e485cba80f7cd2a15ab4c"/>
        <w:id w:val="147478641"/>
        <w:placeholder>
          <w:docPart w:val="GBC22222222222222222222222222222"/>
        </w:placeholder>
      </w:sdtPr>
      <w:sdtEndPr>
        <w:rPr>
          <w:color w:val="000000" w:themeColor="text1"/>
          <w14:textFill>
            <w14:solidFill>
              <w14:schemeClr w14:val="tx1"/>
            </w14:solidFill>
          </w14:textFill>
        </w:rPr>
      </w:sdtEndPr>
      <w:sdtContent>
        <w:p w14:paraId="0C6D4B1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170F45">
      <w:pPr>
        <w:rPr>
          <w:color w:val="000000" w:themeColor="text1"/>
          <w14:textFill>
            <w14:solidFill>
              <w14:schemeClr w14:val="tx1"/>
            </w14:solidFill>
          </w14:textFill>
        </w:rPr>
      </w:pPr>
    </w:p>
    <w:p w14:paraId="6BD796DC">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其他权益工具本期增减变动情况、变动原因说明，以及相关会计处理的依据：</w:t>
      </w:r>
    </w:p>
    <w:sdt>
      <w:sdtPr>
        <w:rPr>
          <w:color w:val="000000" w:themeColor="text1"/>
          <w14:textFill>
            <w14:solidFill>
              <w14:schemeClr w14:val="tx1"/>
            </w14:solidFill>
          </w14:textFill>
        </w:rPr>
        <w:alias w:val="是否适用：其他权益工具本期增减变动情况、变动原因说明，以及相关会计处理的依据[双击切换]"/>
        <w:tag w:val="_GBC_6229f0070f0a4c838e1e39f678f8a7bb"/>
        <w:id w:val="147450938"/>
        <w:placeholder>
          <w:docPart w:val="GBC22222222222222222222222222222"/>
        </w:placeholder>
      </w:sdtPr>
      <w:sdtEndPr>
        <w:rPr>
          <w:color w:val="000000" w:themeColor="text1"/>
          <w14:textFill>
            <w14:solidFill>
              <w14:schemeClr w14:val="tx1"/>
            </w14:solidFill>
          </w14:textFill>
        </w:rPr>
      </w:sdtEndPr>
      <w:sdtContent>
        <w:p w14:paraId="401E09C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591FA8B">
      <w:pPr>
        <w:rPr>
          <w:color w:val="000000" w:themeColor="text1"/>
          <w14:textFill>
            <w14:solidFill>
              <w14:schemeClr w14:val="tx1"/>
            </w14:solidFill>
          </w14:textFill>
        </w:rPr>
      </w:pPr>
    </w:p>
    <w:p w14:paraId="7E2BC938">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权益工具的其他说明[双击切换]"/>
        <w:tag w:val="_GBC_297d299126b041159b18d012f9a18c2e"/>
        <w:id w:val="147460701"/>
        <w:placeholder>
          <w:docPart w:val="GBC22222222222222222222222222222"/>
        </w:placeholder>
      </w:sdtPr>
      <w:sdtEndPr>
        <w:rPr>
          <w:color w:val="000000" w:themeColor="text1"/>
          <w14:textFill>
            <w14:solidFill>
              <w14:schemeClr w14:val="tx1"/>
            </w14:solidFill>
          </w14:textFill>
        </w:rPr>
      </w:sdtEndPr>
      <w:sdtContent>
        <w:p w14:paraId="5D02CA7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AE7D76">
      <w:pPr>
        <w:rPr>
          <w:color w:val="000000" w:themeColor="text1"/>
          <w14:textFill>
            <w14:solidFill>
              <w14:schemeClr w14:val="tx1"/>
            </w14:solidFill>
          </w14:textFill>
        </w:rPr>
      </w:pPr>
    </w:p>
    <w:p w14:paraId="7157F757">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资本公积</w:t>
      </w:r>
    </w:p>
    <w:sdt>
      <w:sdtPr>
        <w:rPr>
          <w:color w:val="000000" w:themeColor="text1"/>
          <w14:textFill>
            <w14:solidFill>
              <w14:schemeClr w14:val="tx1"/>
            </w14:solidFill>
          </w14:textFill>
        </w:rPr>
        <w:alias w:val="是否适用：资本公积[双击切换]"/>
        <w:tag w:val="_GBC_70f32b67ce344a03adfc93d4ed72949a"/>
        <w:id w:val="147453452"/>
        <w:placeholder>
          <w:docPart w:val="GBC22222222222222222222222222222"/>
        </w:placeholder>
      </w:sdtPr>
      <w:sdtEndPr>
        <w:rPr>
          <w:color w:val="000000" w:themeColor="text1"/>
          <w14:textFill>
            <w14:solidFill>
              <w14:schemeClr w14:val="tx1"/>
            </w14:solidFill>
          </w14:textFill>
        </w:rPr>
      </w:sdtEndPr>
      <w:sdtContent>
        <w:p w14:paraId="012F55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D92FA7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资本公积"/>
          <w:tag w:val="_GBC_88633009fdc64f4e8238c38541b33615"/>
          <w:id w:val="1474624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资本公积"/>
          <w:tag w:val="_GBC_636aa96d47cb426abc64fc00b61c9353"/>
          <w:id w:val="1474613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3074"/>
        <w:gridCol w:w="3097"/>
      </w:tblGrid>
      <w:tr w14:paraId="1956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177c011500e64862903c4c16dbb2f31f"/>
            <w:id w:val="147473640"/>
          </w:sdtPr>
          <w:sdtEndPr>
            <w:rPr>
              <w:rFonts w:cs="Times New Roman"/>
            </w:rPr>
          </w:sdtEndPr>
          <w:sdtContent>
            <w:tc>
              <w:tcPr>
                <w:tcW w:w="1589" w:type="pct"/>
                <w:vAlign w:val="center"/>
              </w:tcPr>
              <w:p w14:paraId="5FE389B4">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1519f0add67f49df9173f37c00215eef"/>
            <w:id w:val="147460387"/>
          </w:sdtPr>
          <w:sdtEndPr>
            <w:rPr>
              <w:rFonts w:cs="Times New Roman"/>
            </w:rPr>
          </w:sdtEndPr>
          <w:sdtContent>
            <w:tc>
              <w:tcPr>
                <w:tcW w:w="1698" w:type="pct"/>
                <w:vAlign w:val="center"/>
              </w:tcPr>
              <w:p w14:paraId="4B66D74F">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4c3f2255a4a24c1cae63eb0cc7781f12"/>
            <w:id w:val="147477125"/>
          </w:sdtPr>
          <w:sdtEndPr>
            <w:rPr>
              <w:rFonts w:cs="Times New Roman"/>
            </w:rPr>
          </w:sdtEndPr>
          <w:sdtContent>
            <w:tc>
              <w:tcPr>
                <w:tcW w:w="1711" w:type="pct"/>
                <w:vAlign w:val="center"/>
              </w:tcPr>
              <w:p w14:paraId="370EA7F0">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1FB6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14052224">
            <w:pPr>
              <w:autoSpaceDE w:val="0"/>
              <w:autoSpaceDN w:val="0"/>
              <w:adjustRightInd w:val="0"/>
              <w:snapToGri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资本溢价（股本溢价）</w:t>
            </w:r>
          </w:p>
        </w:tc>
        <w:tc>
          <w:tcPr>
            <w:tcW w:w="1698" w:type="pct"/>
            <w:vAlign w:val="center"/>
          </w:tcPr>
          <w:p w14:paraId="11CE2687">
            <w:pPr>
              <w:jc w:val="right"/>
              <w:textAlignment w:val="center"/>
              <w:rPr>
                <w:rFonts w:cs="Times New Roman"/>
              </w:rPr>
            </w:pPr>
            <w:r>
              <w:rPr>
                <w:rFonts w:eastAsia="Arial Narrow" w:cs="Times New Roman"/>
                <w:color w:val="000000"/>
                <w:lang w:bidi="ar"/>
              </w:rPr>
              <w:t>7,986,597,677.86</w:t>
            </w:r>
          </w:p>
        </w:tc>
        <w:tc>
          <w:tcPr>
            <w:tcW w:w="1711" w:type="pct"/>
            <w:vAlign w:val="center"/>
          </w:tcPr>
          <w:p w14:paraId="6FDEE2BF">
            <w:pPr>
              <w:jc w:val="right"/>
              <w:textAlignment w:val="center"/>
              <w:rPr>
                <w:rFonts w:cs="Times New Roman"/>
              </w:rPr>
            </w:pPr>
            <w:r>
              <w:rPr>
                <w:rFonts w:eastAsia="Arial Narrow" w:cs="Times New Roman"/>
                <w:color w:val="000000"/>
                <w:lang w:bidi="ar"/>
              </w:rPr>
              <w:t>7,986,597,677.86</w:t>
            </w:r>
          </w:p>
        </w:tc>
      </w:tr>
      <w:tr w14:paraId="2F3A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tcPr>
          <w:p w14:paraId="375200F8">
            <w:pPr>
              <w:autoSpaceDE w:val="0"/>
              <w:autoSpaceDN w:val="0"/>
              <w:adjustRightInd w:val="0"/>
              <w:snapToGri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其他资本公积</w:t>
            </w:r>
          </w:p>
        </w:tc>
        <w:tc>
          <w:tcPr>
            <w:tcW w:w="1698" w:type="pct"/>
            <w:vAlign w:val="center"/>
          </w:tcPr>
          <w:p w14:paraId="04493212">
            <w:pPr>
              <w:jc w:val="right"/>
              <w:textAlignment w:val="center"/>
              <w:rPr>
                <w:rFonts w:cs="Times New Roman"/>
              </w:rPr>
            </w:pPr>
            <w:r>
              <w:rPr>
                <w:rFonts w:eastAsia="Arial Narrow" w:cs="Times New Roman"/>
                <w:color w:val="000000"/>
                <w:lang w:bidi="ar"/>
              </w:rPr>
              <w:t>81,168,459.22</w:t>
            </w:r>
          </w:p>
        </w:tc>
        <w:tc>
          <w:tcPr>
            <w:tcW w:w="1711" w:type="pct"/>
            <w:vAlign w:val="center"/>
          </w:tcPr>
          <w:p w14:paraId="4AA76A69">
            <w:pPr>
              <w:jc w:val="right"/>
              <w:textAlignment w:val="center"/>
              <w:rPr>
                <w:rFonts w:cs="Times New Roman"/>
              </w:rPr>
            </w:pPr>
            <w:r>
              <w:rPr>
                <w:rFonts w:eastAsia="Arial Narrow" w:cs="Times New Roman"/>
                <w:color w:val="000000"/>
                <w:lang w:bidi="ar"/>
              </w:rPr>
              <w:t>81,168,459.22</w:t>
            </w:r>
          </w:p>
        </w:tc>
      </w:tr>
      <w:tr w14:paraId="4EF2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9" w:type="pct"/>
            <w:vAlign w:val="center"/>
          </w:tcPr>
          <w:p w14:paraId="34D68E93">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98" w:type="pct"/>
            <w:vAlign w:val="center"/>
          </w:tcPr>
          <w:p w14:paraId="353C3D8B">
            <w:pPr>
              <w:jc w:val="right"/>
              <w:textAlignment w:val="center"/>
              <w:rPr>
                <w:rFonts w:cs="Times New Roman"/>
              </w:rPr>
            </w:pPr>
            <w:r>
              <w:rPr>
                <w:rFonts w:eastAsia="Arial Narrow" w:cs="Times New Roman"/>
                <w:color w:val="000000"/>
                <w:lang w:bidi="ar"/>
              </w:rPr>
              <w:t>8,067,766,137.08</w:t>
            </w:r>
          </w:p>
        </w:tc>
        <w:tc>
          <w:tcPr>
            <w:tcW w:w="1711" w:type="pct"/>
            <w:vAlign w:val="center"/>
          </w:tcPr>
          <w:p w14:paraId="66AEDCBF">
            <w:pPr>
              <w:jc w:val="right"/>
              <w:textAlignment w:val="center"/>
              <w:rPr>
                <w:rFonts w:cs="Times New Roman"/>
              </w:rPr>
            </w:pPr>
            <w:r>
              <w:rPr>
                <w:rFonts w:eastAsia="Arial Narrow" w:cs="Times New Roman"/>
                <w:color w:val="000000"/>
                <w:lang w:bidi="ar"/>
              </w:rPr>
              <w:t>8,067,766,137.08</w:t>
            </w:r>
          </w:p>
        </w:tc>
      </w:tr>
    </w:tbl>
    <w:p w14:paraId="39D7ECC9">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其他说明，包括本期增减变动情况、变动原因说明：</w:t>
      </w:r>
    </w:p>
    <w:p w14:paraId="6791D8BE">
      <w:pPr>
        <w:rPr>
          <w:color w:val="000000" w:themeColor="text1"/>
          <w14:textFill>
            <w14:solidFill>
              <w14:schemeClr w14:val="tx1"/>
            </w14:solidFill>
          </w14:textFill>
        </w:rPr>
      </w:pPr>
      <w:sdt>
        <w:sdtPr>
          <w:rPr>
            <w:color w:val="000000" w:themeColor="text1"/>
            <w14:textFill>
              <w14:solidFill>
                <w14:schemeClr w14:val="tx1"/>
              </w14:solidFill>
            </w14:textFill>
          </w:rPr>
          <w:alias w:val="资本公积说明"/>
          <w:tag w:val="_GBC_014f0762b4274266bec2aa5231aa0981"/>
          <w:id w:val="147458759"/>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6EE02E60">
      <w:pPr>
        <w:rPr>
          <w:color w:val="000000" w:themeColor="text1"/>
          <w14:textFill>
            <w14:solidFill>
              <w14:schemeClr w14:val="tx1"/>
            </w14:solidFill>
          </w14:textFill>
        </w:rPr>
      </w:pPr>
    </w:p>
    <w:p w14:paraId="528439FD">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库存股</w:t>
      </w:r>
    </w:p>
    <w:sdt>
      <w:sdtPr>
        <w:rPr>
          <w:color w:val="000000" w:themeColor="text1"/>
          <w14:textFill>
            <w14:solidFill>
              <w14:schemeClr w14:val="tx1"/>
            </w14:solidFill>
          </w14:textFill>
        </w:rPr>
        <w:alias w:val="是否适用：库存股[双击切换]"/>
        <w:tag w:val="_GBC_4aa47a6d9b1044aa8a049146d42c3e9c"/>
        <w:id w:val="147479744"/>
        <w:placeholder>
          <w:docPart w:val="GBC22222222222222222222222222222"/>
        </w:placeholder>
      </w:sdtPr>
      <w:sdtEndPr>
        <w:rPr>
          <w:color w:val="000000" w:themeColor="text1"/>
          <w14:textFill>
            <w14:solidFill>
              <w14:schemeClr w14:val="tx1"/>
            </w14:solidFill>
          </w14:textFill>
        </w:rPr>
      </w:sdtEndPr>
      <w:sdtContent>
        <w:p w14:paraId="35C3452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6DD559B">
      <w:pPr>
        <w:pStyle w:val="63"/>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库存股"/>
          <w:tag w:val="_GBC_2ec7280618184a6dbf8764020927134a"/>
          <w:id w:val="1474722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库存股"/>
          <w:tag w:val="_GBC_bcf1b0dc9f44435981af64b6d69d6045"/>
          <w:id w:val="1474522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2"/>
        <w:gridCol w:w="1483"/>
        <w:gridCol w:w="1484"/>
        <w:gridCol w:w="1484"/>
        <w:gridCol w:w="1486"/>
      </w:tblGrid>
      <w:tr w14:paraId="43CB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b46e14f0143b428d91ebe5e1885be6ac"/>
            <w:id w:val="147480307"/>
          </w:sdtPr>
          <w:sdtEndPr>
            <w:rPr>
              <w:rFonts w:cs="Times New Roman"/>
            </w:rPr>
          </w:sdtEndPr>
          <w:sdtContent>
            <w:tc>
              <w:tcPr>
                <w:tcW w:w="1719" w:type="pct"/>
                <w:vAlign w:val="center"/>
              </w:tcPr>
              <w:p w14:paraId="0901A46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6db0262d3f8842b4a7eba04e09be9d8a"/>
            <w:id w:val="147462562"/>
          </w:sdtPr>
          <w:sdtEndPr>
            <w:rPr>
              <w:rFonts w:cs="Times New Roman"/>
            </w:rPr>
          </w:sdtEndPr>
          <w:sdtContent>
            <w:tc>
              <w:tcPr>
                <w:tcW w:w="819" w:type="pct"/>
                <w:vAlign w:val="center"/>
              </w:tcPr>
              <w:p w14:paraId="2FDE5D8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6f585f2d8d254ed6a108b145b56ff7cc"/>
            <w:id w:val="147455124"/>
          </w:sdtPr>
          <w:sdtEndPr>
            <w:rPr>
              <w:rFonts w:cs="Times New Roman"/>
            </w:rPr>
          </w:sdtEndPr>
          <w:sdtContent>
            <w:tc>
              <w:tcPr>
                <w:tcW w:w="819" w:type="pct"/>
                <w:vAlign w:val="center"/>
              </w:tcPr>
              <w:p w14:paraId="21BC3CA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本期增加</w:t>
                </w:r>
              </w:p>
            </w:tc>
          </w:sdtContent>
        </w:sdt>
        <w:sdt>
          <w:sdtPr>
            <w:rPr>
              <w:rFonts w:cs="Times New Roman"/>
            </w:rPr>
            <w:tag w:val="_PLD_20354e1f567449a9b9021901b2252d15"/>
            <w:id w:val="147456145"/>
          </w:sdtPr>
          <w:sdtEndPr>
            <w:rPr>
              <w:rFonts w:cs="Times New Roman"/>
            </w:rPr>
          </w:sdtEndPr>
          <w:sdtContent>
            <w:tc>
              <w:tcPr>
                <w:tcW w:w="819" w:type="pct"/>
                <w:vAlign w:val="center"/>
              </w:tcPr>
              <w:p w14:paraId="4BDB278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本期减少</w:t>
                </w:r>
              </w:p>
            </w:tc>
          </w:sdtContent>
        </w:sdt>
        <w:sdt>
          <w:sdtPr>
            <w:rPr>
              <w:rFonts w:cs="Times New Roman"/>
            </w:rPr>
            <w:tag w:val="_PLD_94daf05bbefc4d829f1bc3b83d11b6ca"/>
            <w:id w:val="147455154"/>
          </w:sdtPr>
          <w:sdtEndPr>
            <w:rPr>
              <w:rFonts w:cs="Times New Roman"/>
            </w:rPr>
          </w:sdtEndPr>
          <w:sdtContent>
            <w:tc>
              <w:tcPr>
                <w:tcW w:w="820" w:type="pct"/>
                <w:vAlign w:val="center"/>
              </w:tcPr>
              <w:p w14:paraId="2BC8040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7279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9" w:type="pct"/>
          </w:tcPr>
          <w:p w14:paraId="0725510F">
            <w:pPr>
              <w:textAlignment w:val="top"/>
              <w:rPr>
                <w:rFonts w:cs="Times New Roman"/>
              </w:rPr>
            </w:pPr>
            <w:r>
              <w:rPr>
                <w:rFonts w:cs="Times New Roman"/>
                <w:color w:val="000000"/>
                <w:lang w:bidi="ar"/>
              </w:rPr>
              <w:t>回购股份将用于注销并减少公司注册资本</w:t>
            </w:r>
          </w:p>
        </w:tc>
        <w:tc>
          <w:tcPr>
            <w:tcW w:w="819" w:type="pct"/>
            <w:vAlign w:val="center"/>
          </w:tcPr>
          <w:p w14:paraId="482CDF36">
            <w:pPr>
              <w:jc w:val="right"/>
              <w:rPr>
                <w:rFonts w:cs="Times New Roman"/>
              </w:rPr>
            </w:pPr>
          </w:p>
        </w:tc>
        <w:tc>
          <w:tcPr>
            <w:tcW w:w="819" w:type="pct"/>
            <w:vAlign w:val="center"/>
          </w:tcPr>
          <w:p w14:paraId="59F334CD">
            <w:pPr>
              <w:jc w:val="right"/>
              <w:textAlignment w:val="center"/>
              <w:rPr>
                <w:rFonts w:cs="Times New Roman"/>
              </w:rPr>
            </w:pPr>
            <w:r>
              <w:rPr>
                <w:rFonts w:eastAsia="Arial Narrow" w:cs="Times New Roman"/>
                <w:color w:val="000000"/>
                <w:lang w:bidi="ar"/>
              </w:rPr>
              <w:t>39,938,040.72</w:t>
            </w:r>
          </w:p>
        </w:tc>
        <w:tc>
          <w:tcPr>
            <w:tcW w:w="819" w:type="pct"/>
            <w:vAlign w:val="center"/>
          </w:tcPr>
          <w:p w14:paraId="583E622E">
            <w:pPr>
              <w:jc w:val="right"/>
              <w:rPr>
                <w:rFonts w:cs="Times New Roman"/>
              </w:rPr>
            </w:pPr>
          </w:p>
        </w:tc>
        <w:tc>
          <w:tcPr>
            <w:tcW w:w="820" w:type="pct"/>
            <w:vAlign w:val="center"/>
          </w:tcPr>
          <w:p w14:paraId="60F41F2A">
            <w:pPr>
              <w:jc w:val="right"/>
              <w:textAlignment w:val="center"/>
              <w:rPr>
                <w:rFonts w:cs="Times New Roman"/>
              </w:rPr>
            </w:pPr>
            <w:r>
              <w:rPr>
                <w:rFonts w:eastAsia="Arial Narrow" w:cs="Times New Roman"/>
                <w:color w:val="000000"/>
                <w:lang w:bidi="ar"/>
              </w:rPr>
              <w:t>39,938,040.72</w:t>
            </w:r>
          </w:p>
        </w:tc>
      </w:tr>
      <w:tr w14:paraId="798D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719" w:type="pct"/>
            <w:vAlign w:val="center"/>
          </w:tcPr>
          <w:p w14:paraId="59D193C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19" w:type="pct"/>
          </w:tcPr>
          <w:p w14:paraId="2F3CD997">
            <w:pPr>
              <w:jc w:val="right"/>
              <w:rPr>
                <w:rFonts w:cs="Times New Roman"/>
              </w:rPr>
            </w:pPr>
          </w:p>
        </w:tc>
        <w:tc>
          <w:tcPr>
            <w:tcW w:w="819" w:type="pct"/>
            <w:vAlign w:val="center"/>
          </w:tcPr>
          <w:p w14:paraId="6D27536A">
            <w:pPr>
              <w:jc w:val="right"/>
              <w:textAlignment w:val="center"/>
              <w:rPr>
                <w:rFonts w:cs="Times New Roman"/>
              </w:rPr>
            </w:pPr>
            <w:r>
              <w:rPr>
                <w:rFonts w:eastAsia="Arial Narrow" w:cs="Times New Roman"/>
                <w:color w:val="000000"/>
                <w:lang w:bidi="ar"/>
              </w:rPr>
              <w:t>39,938,040.72</w:t>
            </w:r>
          </w:p>
        </w:tc>
        <w:tc>
          <w:tcPr>
            <w:tcW w:w="819" w:type="pct"/>
            <w:vAlign w:val="center"/>
          </w:tcPr>
          <w:p w14:paraId="7380B598">
            <w:pPr>
              <w:jc w:val="right"/>
              <w:rPr>
                <w:rFonts w:cs="Times New Roman"/>
              </w:rPr>
            </w:pPr>
          </w:p>
        </w:tc>
        <w:tc>
          <w:tcPr>
            <w:tcW w:w="820" w:type="pct"/>
            <w:vAlign w:val="center"/>
          </w:tcPr>
          <w:p w14:paraId="657458F6">
            <w:pPr>
              <w:jc w:val="right"/>
              <w:textAlignment w:val="center"/>
              <w:rPr>
                <w:rFonts w:cs="Times New Roman"/>
              </w:rPr>
            </w:pPr>
            <w:r>
              <w:rPr>
                <w:rFonts w:eastAsia="Arial Narrow" w:cs="Times New Roman"/>
                <w:color w:val="000000"/>
                <w:lang w:bidi="ar"/>
              </w:rPr>
              <w:t>39,938,040.72</w:t>
            </w:r>
          </w:p>
        </w:tc>
      </w:tr>
    </w:tbl>
    <w:p w14:paraId="7AFE09BF">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其他说明，包括本期增减变动情况、变动原因说明：</w:t>
      </w:r>
    </w:p>
    <w:p w14:paraId="7D3E07DD">
      <w:pPr>
        <w:jc w:val="both"/>
        <w:rPr>
          <w:rFonts w:cs="Times New Roman"/>
          <w:b/>
          <w:color w:val="000000" w:themeColor="text1"/>
          <w14:textFill>
            <w14:solidFill>
              <w14:schemeClr w14:val="tx1"/>
            </w14:solidFill>
          </w14:textFill>
        </w:rPr>
      </w:pPr>
      <w:sdt>
        <w:sdtPr>
          <w:rPr>
            <w:rFonts w:cs="Times New Roman"/>
            <w:color w:val="000000" w:themeColor="text1"/>
            <w14:textFill>
              <w14:solidFill>
                <w14:schemeClr w14:val="tx1"/>
              </w14:solidFill>
            </w14:textFill>
          </w:rPr>
          <w:alias w:val="库存股情况说明"/>
          <w:tag w:val="_GBC_aeb361adcbde44daaa852df07259812c"/>
          <w:id w:val="147457109"/>
          <w:placeholder>
            <w:docPart w:val="GBC22222222222222222222222222222"/>
          </w:placeholder>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本公司于2024年12月6日召开的第六届董事会第七次会议、2024年12月23日召开的2024年第二次临时股东大会，审议通过了关于《以集中竞价交易方式回购公司股份的预案》的议案，拟以自有资金及自筹资金通过集中竞价交易方式回购公司部分A股股份，回购的股份将用于注销并减少公司注册资本。拟回购资金总额不低于人民币1亿元（含），不超过人民币2亿元（含）。 截至2025年6月30日，公司通过上海证券交易所交易系统以集中竞价交易方式回购股份数量15,240,401股，占公司当前总股本的比例为0.3470%，回购成交的最高价为人民币2.73元/股，最低价为人民币2.51元/股。</w:t>
          </w:r>
        </w:sdtContent>
      </w:sdt>
    </w:p>
    <w:p w14:paraId="31FC22B1">
      <w:pPr>
        <w:jc w:val="both"/>
        <w:rPr>
          <w:rFonts w:cs="Times New Roman"/>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53AF3844">
      <w:pPr>
        <w:rPr>
          <w:color w:val="000000" w:themeColor="text1"/>
          <w14:textFill>
            <w14:solidFill>
              <w14:schemeClr w14:val="tx1"/>
            </w14:solidFill>
          </w14:textFill>
        </w:rPr>
      </w:pPr>
    </w:p>
    <w:p w14:paraId="4F47CABC">
      <w:pPr>
        <w:pStyle w:val="57"/>
        <w:numPr>
          <w:ilvl w:val="0"/>
          <w:numId w:val="54"/>
        </w:numPr>
        <w:rPr>
          <w:color w:val="000000" w:themeColor="text1"/>
          <w:szCs w:val="21"/>
          <w14:textFill>
            <w14:solidFill>
              <w14:schemeClr w14:val="tx1"/>
            </w14:solidFill>
          </w14:textFill>
        </w:rPr>
      </w:pPr>
      <w:bookmarkStart w:id="377" w:name="_Hlk10537776"/>
      <w:r>
        <w:rPr>
          <w:color w:val="000000" w:themeColor="text1"/>
          <w:szCs w:val="21"/>
          <w14:textFill>
            <w14:solidFill>
              <w14:schemeClr w14:val="tx1"/>
            </w14:solidFill>
          </w14:textFill>
        </w:rPr>
        <w:t>其他综合收益</w:t>
      </w:r>
    </w:p>
    <w:sdt>
      <w:sdtPr>
        <w:rPr>
          <w:color w:val="000000" w:themeColor="text1"/>
          <w14:textFill>
            <w14:solidFill>
              <w14:schemeClr w14:val="tx1"/>
            </w14:solidFill>
          </w14:textFill>
        </w:rPr>
        <w:alias w:val="是否适用：其他综合收益[双击切换]"/>
        <w:tag w:val="_GBC_a53cc67f2be24dfbbe3af1b633d9bd6d"/>
        <w:id w:val="147455082"/>
        <w:placeholder>
          <w:docPart w:val="GBC22222222222222222222222222222"/>
        </w:placeholder>
      </w:sdtPr>
      <w:sdtEndPr>
        <w:rPr>
          <w:color w:val="000000" w:themeColor="text1"/>
          <w14:textFill>
            <w14:solidFill>
              <w14:schemeClr w14:val="tx1"/>
            </w14:solidFill>
          </w14:textFill>
        </w:rPr>
      </w:sdtEndPr>
      <w:sdtContent>
        <w:p w14:paraId="52BA37E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3B7DC7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综合收益情况"/>
          <w:tag w:val="_GBC_3fcad98da74248809a759048ca194814"/>
          <w:id w:val="1474636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综合收益情况"/>
          <w:tag w:val="_GBC_3909f37aa0cc4eda82ff1503a6abe503"/>
          <w:id w:val="1474701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1"/>
        <w:gridCol w:w="2049"/>
        <w:gridCol w:w="1759"/>
        <w:gridCol w:w="1835"/>
        <w:gridCol w:w="1646"/>
        <w:gridCol w:w="2027"/>
        <w:gridCol w:w="2002"/>
      </w:tblGrid>
      <w:tr w14:paraId="67B5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sdt>
          <w:sdtPr>
            <w:rPr>
              <w:rFonts w:cs="Times New Roman"/>
            </w:rPr>
            <w:tag w:val="_PLD_965475dfd86e41c29d1b9f1fdff70ee0"/>
            <w:id w:val="147480130"/>
          </w:sdtPr>
          <w:sdtEndPr>
            <w:rPr>
              <w:rFonts w:cs="Times New Roman"/>
            </w:rPr>
          </w:sdtEndPr>
          <w:sdtContent>
            <w:tc>
              <w:tcPr>
                <w:tcW w:w="983" w:type="pct"/>
                <w:vMerge w:val="restart"/>
                <w:vAlign w:val="center"/>
              </w:tcPr>
              <w:p w14:paraId="26C8B0B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8a675a3cac5041d29cfb92203b87e9a6"/>
            <w:id w:val="147458211"/>
          </w:sdtPr>
          <w:sdtEndPr>
            <w:rPr>
              <w:rFonts w:cs="Times New Roman"/>
            </w:rPr>
          </w:sdtEndPr>
          <w:sdtContent>
            <w:tc>
              <w:tcPr>
                <w:tcW w:w="727" w:type="pct"/>
                <w:vMerge w:val="restart"/>
                <w:vAlign w:val="center"/>
              </w:tcPr>
              <w:p w14:paraId="257E752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w:t>
                </w:r>
              </w:p>
              <w:p w14:paraId="646CCCF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余额</w:t>
                </w:r>
              </w:p>
            </w:tc>
          </w:sdtContent>
        </w:sdt>
        <w:sdt>
          <w:sdtPr>
            <w:rPr>
              <w:rFonts w:cs="Times New Roman"/>
            </w:rPr>
            <w:tag w:val="_PLD_5ff455f3c2164019b5e694c1e00e4104"/>
            <w:id w:val="147457044"/>
          </w:sdtPr>
          <w:sdtEndPr>
            <w:rPr>
              <w:rFonts w:cs="Times New Roman"/>
            </w:rPr>
          </w:sdtEndPr>
          <w:sdtContent>
            <w:tc>
              <w:tcPr>
                <w:tcW w:w="2578" w:type="pct"/>
                <w:gridSpan w:val="4"/>
                <w:vAlign w:val="center"/>
              </w:tcPr>
              <w:p w14:paraId="5A7E955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本期发生金额</w:t>
                </w:r>
              </w:p>
            </w:tc>
          </w:sdtContent>
        </w:sdt>
        <w:sdt>
          <w:sdtPr>
            <w:rPr>
              <w:rFonts w:cs="Times New Roman"/>
            </w:rPr>
            <w:tag w:val="_PLD_e74e1b8e6f7d453b8d88ebfc65c302f4"/>
            <w:id w:val="147479186"/>
          </w:sdtPr>
          <w:sdtEndPr>
            <w:rPr>
              <w:rFonts w:cs="Times New Roman"/>
            </w:rPr>
          </w:sdtEndPr>
          <w:sdtContent>
            <w:tc>
              <w:tcPr>
                <w:tcW w:w="710" w:type="pct"/>
                <w:vMerge w:val="restart"/>
                <w:vAlign w:val="center"/>
              </w:tcPr>
              <w:p w14:paraId="0DC4D6F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w:t>
                </w:r>
              </w:p>
              <w:p w14:paraId="6FF8367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余额</w:t>
                </w:r>
              </w:p>
            </w:tc>
          </w:sdtContent>
        </w:sdt>
      </w:tr>
      <w:tr w14:paraId="311A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vMerge w:val="continue"/>
          </w:tcPr>
          <w:p w14:paraId="5EE04C66">
            <w:pPr>
              <w:jc w:val="center"/>
              <w:rPr>
                <w:rFonts w:cs="Times New Roman"/>
                <w:color w:val="000000" w:themeColor="text1"/>
                <w14:textFill>
                  <w14:solidFill>
                    <w14:schemeClr w14:val="tx1"/>
                  </w14:solidFill>
                </w14:textFill>
              </w:rPr>
            </w:pPr>
          </w:p>
        </w:tc>
        <w:tc>
          <w:tcPr>
            <w:tcW w:w="727" w:type="pct"/>
            <w:vMerge w:val="continue"/>
          </w:tcPr>
          <w:p w14:paraId="57D3A9D8">
            <w:pPr>
              <w:jc w:val="center"/>
              <w:rPr>
                <w:rFonts w:cs="Times New Roman"/>
                <w:color w:val="000000" w:themeColor="text1"/>
                <w14:textFill>
                  <w14:solidFill>
                    <w14:schemeClr w14:val="tx1"/>
                  </w14:solidFill>
                </w14:textFill>
              </w:rPr>
            </w:pPr>
          </w:p>
        </w:tc>
        <w:sdt>
          <w:sdtPr>
            <w:rPr>
              <w:rFonts w:cs="Times New Roman"/>
            </w:rPr>
            <w:tag w:val="_PLD_17c016c4311444368218ab16d2bc7a4c"/>
            <w:id w:val="147460853"/>
          </w:sdtPr>
          <w:sdtEndPr>
            <w:rPr>
              <w:rFonts w:cs="Times New Roman"/>
            </w:rPr>
          </w:sdtEndPr>
          <w:sdtContent>
            <w:tc>
              <w:tcPr>
                <w:tcW w:w="624" w:type="pct"/>
                <w:vAlign w:val="center"/>
              </w:tcPr>
              <w:p w14:paraId="74691BB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本期所得税前发生额</w:t>
                </w:r>
              </w:p>
            </w:tc>
          </w:sdtContent>
        </w:sdt>
        <w:sdt>
          <w:sdtPr>
            <w:rPr>
              <w:rFonts w:cs="Times New Roman"/>
            </w:rPr>
            <w:tag w:val="_PLD_6ee499a1144a462687fb064cc4588343"/>
            <w:id w:val="147469128"/>
          </w:sdtPr>
          <w:sdtEndPr>
            <w:rPr>
              <w:rFonts w:cs="Times New Roman"/>
            </w:rPr>
          </w:sdtEndPr>
          <w:sdtContent>
            <w:tc>
              <w:tcPr>
                <w:tcW w:w="651" w:type="pct"/>
                <w:vAlign w:val="center"/>
              </w:tcPr>
              <w:p w14:paraId="192C63C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减：所得税费用</w:t>
                </w:r>
              </w:p>
            </w:tc>
          </w:sdtContent>
        </w:sdt>
        <w:sdt>
          <w:sdtPr>
            <w:rPr>
              <w:rFonts w:cs="Times New Roman"/>
            </w:rPr>
            <w:tag w:val="_PLD_97d686c5a0f042d49d097afc52b9ab56"/>
            <w:id w:val="147472044"/>
          </w:sdtPr>
          <w:sdtEndPr>
            <w:rPr>
              <w:rFonts w:cs="Times New Roman"/>
            </w:rPr>
          </w:sdtEndPr>
          <w:sdtContent>
            <w:tc>
              <w:tcPr>
                <w:tcW w:w="584" w:type="pct"/>
                <w:vAlign w:val="center"/>
              </w:tcPr>
              <w:p w14:paraId="2D2F9EA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税后归属于母公司</w:t>
                </w:r>
              </w:p>
            </w:tc>
          </w:sdtContent>
        </w:sdt>
        <w:sdt>
          <w:sdtPr>
            <w:rPr>
              <w:rFonts w:cs="Times New Roman"/>
            </w:rPr>
            <w:tag w:val="_PLD_dc8c642f883f4ca1b1bbacf56198209b"/>
            <w:id w:val="147471610"/>
          </w:sdtPr>
          <w:sdtEndPr>
            <w:rPr>
              <w:rFonts w:cs="Times New Roman"/>
            </w:rPr>
          </w:sdtEndPr>
          <w:sdtContent>
            <w:tc>
              <w:tcPr>
                <w:tcW w:w="719" w:type="pct"/>
                <w:vAlign w:val="center"/>
              </w:tcPr>
              <w:p w14:paraId="35ACAC7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税后归属于少数股东</w:t>
                </w:r>
              </w:p>
            </w:tc>
          </w:sdtContent>
        </w:sdt>
        <w:tc>
          <w:tcPr>
            <w:tcW w:w="710" w:type="pct"/>
            <w:vMerge w:val="continue"/>
          </w:tcPr>
          <w:p w14:paraId="49CCC734">
            <w:pPr>
              <w:jc w:val="center"/>
              <w:rPr>
                <w:rFonts w:cs="Times New Roman"/>
                <w:color w:val="000000" w:themeColor="text1"/>
                <w14:textFill>
                  <w14:solidFill>
                    <w14:schemeClr w14:val="tx1"/>
                  </w14:solidFill>
                </w14:textFill>
              </w:rPr>
            </w:pPr>
          </w:p>
        </w:tc>
      </w:tr>
      <w:tr w14:paraId="7D18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243E178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一、不能重分类进损益的其他综合收益</w:t>
            </w:r>
          </w:p>
        </w:tc>
        <w:tc>
          <w:tcPr>
            <w:tcW w:w="727" w:type="pct"/>
            <w:vAlign w:val="center"/>
          </w:tcPr>
          <w:p w14:paraId="4C13E548">
            <w:pPr>
              <w:jc w:val="right"/>
              <w:textAlignment w:val="center"/>
              <w:rPr>
                <w:rFonts w:cs="Times New Roman"/>
              </w:rPr>
            </w:pPr>
            <w:r>
              <w:rPr>
                <w:rFonts w:cs="Times New Roman"/>
                <w:color w:val="000000"/>
              </w:rPr>
              <w:t>-313,643,867.95</w:t>
            </w:r>
          </w:p>
        </w:tc>
        <w:tc>
          <w:tcPr>
            <w:tcW w:w="624" w:type="pct"/>
            <w:vAlign w:val="center"/>
          </w:tcPr>
          <w:p w14:paraId="5126DDF5">
            <w:pPr>
              <w:jc w:val="right"/>
              <w:rPr>
                <w:rFonts w:cs="Times New Roman"/>
              </w:rPr>
            </w:pPr>
          </w:p>
        </w:tc>
        <w:tc>
          <w:tcPr>
            <w:tcW w:w="651" w:type="pct"/>
            <w:vAlign w:val="center"/>
          </w:tcPr>
          <w:p w14:paraId="605F75D3">
            <w:pPr>
              <w:jc w:val="right"/>
              <w:rPr>
                <w:rFonts w:cs="Times New Roman"/>
              </w:rPr>
            </w:pPr>
          </w:p>
        </w:tc>
        <w:tc>
          <w:tcPr>
            <w:tcW w:w="584" w:type="pct"/>
            <w:vAlign w:val="center"/>
          </w:tcPr>
          <w:p w14:paraId="57F8688A">
            <w:pPr>
              <w:jc w:val="right"/>
              <w:rPr>
                <w:rFonts w:cs="Times New Roman"/>
              </w:rPr>
            </w:pPr>
          </w:p>
        </w:tc>
        <w:tc>
          <w:tcPr>
            <w:tcW w:w="719" w:type="pct"/>
            <w:vAlign w:val="center"/>
          </w:tcPr>
          <w:p w14:paraId="775A14F1">
            <w:pPr>
              <w:jc w:val="right"/>
              <w:rPr>
                <w:rFonts w:cs="Times New Roman"/>
              </w:rPr>
            </w:pPr>
          </w:p>
        </w:tc>
        <w:tc>
          <w:tcPr>
            <w:tcW w:w="710" w:type="pct"/>
            <w:vAlign w:val="center"/>
          </w:tcPr>
          <w:p w14:paraId="5C4031D1">
            <w:pPr>
              <w:jc w:val="right"/>
              <w:textAlignment w:val="center"/>
              <w:rPr>
                <w:rFonts w:cs="Times New Roman"/>
              </w:rPr>
            </w:pPr>
            <w:r>
              <w:rPr>
                <w:rFonts w:cs="Times New Roman"/>
                <w:color w:val="000000"/>
              </w:rPr>
              <w:t>-313,643,867.95</w:t>
            </w:r>
          </w:p>
        </w:tc>
      </w:tr>
      <w:tr w14:paraId="7011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49C59E6B">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其中：重新计量设定受益计划变动额</w:t>
            </w:r>
          </w:p>
        </w:tc>
        <w:tc>
          <w:tcPr>
            <w:tcW w:w="727" w:type="pct"/>
            <w:vAlign w:val="center"/>
          </w:tcPr>
          <w:p w14:paraId="500C5467">
            <w:pPr>
              <w:jc w:val="right"/>
              <w:textAlignment w:val="center"/>
              <w:rPr>
                <w:rFonts w:cs="Times New Roman"/>
              </w:rPr>
            </w:pPr>
            <w:r>
              <w:rPr>
                <w:rFonts w:cs="Times New Roman"/>
                <w:color w:val="000000"/>
              </w:rPr>
              <w:t>-87,643,899.12</w:t>
            </w:r>
          </w:p>
        </w:tc>
        <w:tc>
          <w:tcPr>
            <w:tcW w:w="624" w:type="pct"/>
            <w:vAlign w:val="center"/>
          </w:tcPr>
          <w:p w14:paraId="1A0AEB58">
            <w:pPr>
              <w:jc w:val="right"/>
              <w:rPr>
                <w:rFonts w:cs="Times New Roman"/>
              </w:rPr>
            </w:pPr>
          </w:p>
        </w:tc>
        <w:tc>
          <w:tcPr>
            <w:tcW w:w="651" w:type="pct"/>
            <w:vAlign w:val="center"/>
          </w:tcPr>
          <w:p w14:paraId="7CFC6960">
            <w:pPr>
              <w:jc w:val="right"/>
              <w:rPr>
                <w:rFonts w:cs="Times New Roman"/>
              </w:rPr>
            </w:pPr>
          </w:p>
        </w:tc>
        <w:tc>
          <w:tcPr>
            <w:tcW w:w="584" w:type="pct"/>
            <w:vAlign w:val="center"/>
          </w:tcPr>
          <w:p w14:paraId="2F3E90F3">
            <w:pPr>
              <w:jc w:val="right"/>
              <w:rPr>
                <w:rFonts w:cs="Times New Roman"/>
              </w:rPr>
            </w:pPr>
          </w:p>
        </w:tc>
        <w:tc>
          <w:tcPr>
            <w:tcW w:w="719" w:type="pct"/>
            <w:vAlign w:val="center"/>
          </w:tcPr>
          <w:p w14:paraId="00EDA5B1">
            <w:pPr>
              <w:jc w:val="right"/>
              <w:rPr>
                <w:rFonts w:cs="Times New Roman"/>
              </w:rPr>
            </w:pPr>
          </w:p>
        </w:tc>
        <w:tc>
          <w:tcPr>
            <w:tcW w:w="710" w:type="pct"/>
            <w:vAlign w:val="center"/>
          </w:tcPr>
          <w:p w14:paraId="2BF42073">
            <w:pPr>
              <w:jc w:val="right"/>
              <w:textAlignment w:val="center"/>
              <w:rPr>
                <w:rFonts w:cs="Times New Roman"/>
              </w:rPr>
            </w:pPr>
            <w:r>
              <w:rPr>
                <w:rFonts w:cs="Times New Roman"/>
                <w:color w:val="000000"/>
              </w:rPr>
              <w:t>-87,643,899.12</w:t>
            </w:r>
          </w:p>
        </w:tc>
      </w:tr>
      <w:tr w14:paraId="6B23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070D512D">
            <w:pPr>
              <w:ind w:firstLine="210" w:firstLineChars="1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其他权益工具投资公允价值变动</w:t>
            </w:r>
          </w:p>
        </w:tc>
        <w:tc>
          <w:tcPr>
            <w:tcW w:w="727" w:type="pct"/>
            <w:vAlign w:val="center"/>
          </w:tcPr>
          <w:p w14:paraId="258EB844">
            <w:pPr>
              <w:jc w:val="right"/>
              <w:textAlignment w:val="center"/>
              <w:rPr>
                <w:rFonts w:cs="Times New Roman"/>
              </w:rPr>
            </w:pPr>
            <w:r>
              <w:rPr>
                <w:rFonts w:cs="Times New Roman"/>
                <w:color w:val="000000"/>
              </w:rPr>
              <w:t>-225,999,968.83</w:t>
            </w:r>
          </w:p>
        </w:tc>
        <w:tc>
          <w:tcPr>
            <w:tcW w:w="624" w:type="pct"/>
            <w:vAlign w:val="center"/>
          </w:tcPr>
          <w:p w14:paraId="2646D130">
            <w:pPr>
              <w:jc w:val="right"/>
              <w:rPr>
                <w:rFonts w:cs="Times New Roman"/>
              </w:rPr>
            </w:pPr>
          </w:p>
        </w:tc>
        <w:tc>
          <w:tcPr>
            <w:tcW w:w="651" w:type="pct"/>
            <w:vAlign w:val="center"/>
          </w:tcPr>
          <w:p w14:paraId="74B502F1">
            <w:pPr>
              <w:jc w:val="right"/>
              <w:rPr>
                <w:rFonts w:cs="Times New Roman"/>
              </w:rPr>
            </w:pPr>
          </w:p>
        </w:tc>
        <w:tc>
          <w:tcPr>
            <w:tcW w:w="584" w:type="pct"/>
            <w:vAlign w:val="center"/>
          </w:tcPr>
          <w:p w14:paraId="4685D34D">
            <w:pPr>
              <w:jc w:val="right"/>
              <w:rPr>
                <w:rFonts w:cs="Times New Roman"/>
              </w:rPr>
            </w:pPr>
          </w:p>
        </w:tc>
        <w:tc>
          <w:tcPr>
            <w:tcW w:w="719" w:type="pct"/>
            <w:vAlign w:val="center"/>
          </w:tcPr>
          <w:p w14:paraId="3EB0FE7D">
            <w:pPr>
              <w:jc w:val="right"/>
              <w:rPr>
                <w:rFonts w:cs="Times New Roman"/>
              </w:rPr>
            </w:pPr>
          </w:p>
        </w:tc>
        <w:tc>
          <w:tcPr>
            <w:tcW w:w="710" w:type="pct"/>
            <w:vAlign w:val="center"/>
          </w:tcPr>
          <w:p w14:paraId="5CAABA01">
            <w:pPr>
              <w:jc w:val="right"/>
              <w:textAlignment w:val="center"/>
              <w:rPr>
                <w:rFonts w:cs="Times New Roman"/>
              </w:rPr>
            </w:pPr>
            <w:r>
              <w:rPr>
                <w:rFonts w:cs="Times New Roman"/>
                <w:color w:val="000000"/>
              </w:rPr>
              <w:t>-225,999,968.83</w:t>
            </w:r>
          </w:p>
        </w:tc>
      </w:tr>
      <w:tr w14:paraId="429A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tcPr>
          <w:p w14:paraId="6F35326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二、将重分类进损益的其他综合收益</w:t>
            </w:r>
          </w:p>
        </w:tc>
        <w:tc>
          <w:tcPr>
            <w:tcW w:w="727" w:type="pct"/>
            <w:vAlign w:val="center"/>
          </w:tcPr>
          <w:p w14:paraId="7ACAFB45">
            <w:pPr>
              <w:jc w:val="right"/>
              <w:textAlignment w:val="center"/>
              <w:rPr>
                <w:rFonts w:cs="Times New Roman"/>
              </w:rPr>
            </w:pPr>
            <w:r>
              <w:rPr>
                <w:rFonts w:cs="Times New Roman"/>
                <w:color w:val="000000"/>
              </w:rPr>
              <w:t>-4,990,821.48</w:t>
            </w:r>
          </w:p>
        </w:tc>
        <w:tc>
          <w:tcPr>
            <w:tcW w:w="624" w:type="pct"/>
            <w:vAlign w:val="center"/>
          </w:tcPr>
          <w:p w14:paraId="720AD0D3">
            <w:pPr>
              <w:jc w:val="right"/>
              <w:textAlignment w:val="center"/>
              <w:rPr>
                <w:rFonts w:cs="Times New Roman"/>
              </w:rPr>
            </w:pPr>
            <w:r>
              <w:rPr>
                <w:rFonts w:cs="Times New Roman"/>
                <w:color w:val="000000"/>
              </w:rPr>
              <w:t>-628,649.05</w:t>
            </w:r>
          </w:p>
        </w:tc>
        <w:tc>
          <w:tcPr>
            <w:tcW w:w="651" w:type="pct"/>
            <w:vAlign w:val="center"/>
          </w:tcPr>
          <w:p w14:paraId="14765397">
            <w:pPr>
              <w:jc w:val="right"/>
              <w:rPr>
                <w:rFonts w:cs="Times New Roman"/>
              </w:rPr>
            </w:pPr>
          </w:p>
        </w:tc>
        <w:tc>
          <w:tcPr>
            <w:tcW w:w="584" w:type="pct"/>
            <w:vAlign w:val="center"/>
          </w:tcPr>
          <w:p w14:paraId="1FE10738">
            <w:pPr>
              <w:jc w:val="right"/>
              <w:rPr>
                <w:rFonts w:cs="Times New Roman"/>
              </w:rPr>
            </w:pPr>
            <w:r>
              <w:rPr>
                <w:rFonts w:cs="Times New Roman"/>
                <w:color w:val="000000"/>
              </w:rPr>
              <w:t>-628,649.05</w:t>
            </w:r>
          </w:p>
        </w:tc>
        <w:tc>
          <w:tcPr>
            <w:tcW w:w="719" w:type="pct"/>
            <w:vAlign w:val="center"/>
          </w:tcPr>
          <w:p w14:paraId="3795B554">
            <w:pPr>
              <w:jc w:val="right"/>
              <w:rPr>
                <w:rFonts w:cs="Times New Roman"/>
              </w:rPr>
            </w:pPr>
          </w:p>
        </w:tc>
        <w:tc>
          <w:tcPr>
            <w:tcW w:w="710" w:type="pct"/>
            <w:vAlign w:val="center"/>
          </w:tcPr>
          <w:p w14:paraId="4E7BCF67">
            <w:pPr>
              <w:jc w:val="right"/>
              <w:textAlignment w:val="center"/>
              <w:rPr>
                <w:rFonts w:cs="Times New Roman"/>
              </w:rPr>
            </w:pPr>
            <w:r>
              <w:rPr>
                <w:rFonts w:cs="Times New Roman"/>
                <w:color w:val="000000"/>
              </w:rPr>
              <w:t>-5,619,470.53</w:t>
            </w:r>
          </w:p>
        </w:tc>
      </w:tr>
      <w:tr w14:paraId="3002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tcPr>
          <w:p w14:paraId="5CA721E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其中：权益法下可转损益的其他综合收益</w:t>
            </w:r>
          </w:p>
        </w:tc>
        <w:tc>
          <w:tcPr>
            <w:tcW w:w="727" w:type="pct"/>
            <w:vAlign w:val="center"/>
          </w:tcPr>
          <w:p w14:paraId="7DAB26C8">
            <w:pPr>
              <w:jc w:val="right"/>
              <w:rPr>
                <w:rFonts w:cs="Times New Roman"/>
              </w:rPr>
            </w:pPr>
          </w:p>
        </w:tc>
        <w:tc>
          <w:tcPr>
            <w:tcW w:w="624" w:type="pct"/>
            <w:vAlign w:val="center"/>
          </w:tcPr>
          <w:p w14:paraId="003D9450">
            <w:pPr>
              <w:jc w:val="right"/>
              <w:rPr>
                <w:rFonts w:cs="Times New Roman"/>
              </w:rPr>
            </w:pPr>
          </w:p>
        </w:tc>
        <w:tc>
          <w:tcPr>
            <w:tcW w:w="651" w:type="pct"/>
            <w:vAlign w:val="center"/>
          </w:tcPr>
          <w:p w14:paraId="5821E505">
            <w:pPr>
              <w:jc w:val="right"/>
              <w:rPr>
                <w:rFonts w:cs="Times New Roman"/>
              </w:rPr>
            </w:pPr>
          </w:p>
        </w:tc>
        <w:tc>
          <w:tcPr>
            <w:tcW w:w="584" w:type="pct"/>
            <w:vAlign w:val="center"/>
          </w:tcPr>
          <w:p w14:paraId="79B9F974">
            <w:pPr>
              <w:jc w:val="right"/>
              <w:rPr>
                <w:rFonts w:cs="Times New Roman"/>
              </w:rPr>
            </w:pPr>
          </w:p>
        </w:tc>
        <w:tc>
          <w:tcPr>
            <w:tcW w:w="719" w:type="pct"/>
            <w:vAlign w:val="center"/>
          </w:tcPr>
          <w:p w14:paraId="1B5508C1">
            <w:pPr>
              <w:jc w:val="right"/>
              <w:rPr>
                <w:rFonts w:cs="Times New Roman"/>
              </w:rPr>
            </w:pPr>
          </w:p>
        </w:tc>
        <w:tc>
          <w:tcPr>
            <w:tcW w:w="710" w:type="pct"/>
            <w:vAlign w:val="center"/>
          </w:tcPr>
          <w:p w14:paraId="26AAD100">
            <w:pPr>
              <w:jc w:val="right"/>
              <w:rPr>
                <w:rFonts w:cs="Times New Roman"/>
              </w:rPr>
            </w:pPr>
          </w:p>
        </w:tc>
      </w:tr>
      <w:tr w14:paraId="4CFA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tcPr>
          <w:p w14:paraId="791CFD8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  外币财务报表折算差额</w:t>
            </w:r>
          </w:p>
        </w:tc>
        <w:tc>
          <w:tcPr>
            <w:tcW w:w="727" w:type="pct"/>
            <w:vAlign w:val="center"/>
          </w:tcPr>
          <w:p w14:paraId="2CCAC324">
            <w:pPr>
              <w:jc w:val="right"/>
              <w:textAlignment w:val="center"/>
              <w:rPr>
                <w:rFonts w:cs="Times New Roman"/>
              </w:rPr>
            </w:pPr>
            <w:r>
              <w:rPr>
                <w:rFonts w:cs="Times New Roman"/>
                <w:color w:val="000000"/>
              </w:rPr>
              <w:t>-4,990,821.48</w:t>
            </w:r>
          </w:p>
        </w:tc>
        <w:tc>
          <w:tcPr>
            <w:tcW w:w="624" w:type="pct"/>
            <w:vAlign w:val="center"/>
          </w:tcPr>
          <w:p w14:paraId="0451F292">
            <w:pPr>
              <w:jc w:val="right"/>
              <w:textAlignment w:val="center"/>
              <w:rPr>
                <w:rFonts w:cs="Times New Roman"/>
              </w:rPr>
            </w:pPr>
            <w:r>
              <w:rPr>
                <w:rFonts w:cs="Times New Roman"/>
                <w:color w:val="000000"/>
              </w:rPr>
              <w:t>-628,649.05</w:t>
            </w:r>
          </w:p>
        </w:tc>
        <w:tc>
          <w:tcPr>
            <w:tcW w:w="651" w:type="pct"/>
            <w:vAlign w:val="center"/>
          </w:tcPr>
          <w:p w14:paraId="3E1C4448">
            <w:pPr>
              <w:jc w:val="right"/>
              <w:rPr>
                <w:rFonts w:cs="Times New Roman"/>
              </w:rPr>
            </w:pPr>
          </w:p>
        </w:tc>
        <w:tc>
          <w:tcPr>
            <w:tcW w:w="584" w:type="pct"/>
            <w:vAlign w:val="center"/>
          </w:tcPr>
          <w:p w14:paraId="43665112">
            <w:pPr>
              <w:jc w:val="right"/>
              <w:rPr>
                <w:rFonts w:cs="Times New Roman"/>
              </w:rPr>
            </w:pPr>
            <w:r>
              <w:rPr>
                <w:rFonts w:cs="Times New Roman"/>
                <w:color w:val="000000"/>
              </w:rPr>
              <w:t>-628,649.05</w:t>
            </w:r>
          </w:p>
        </w:tc>
        <w:tc>
          <w:tcPr>
            <w:tcW w:w="719" w:type="pct"/>
            <w:vAlign w:val="center"/>
          </w:tcPr>
          <w:p w14:paraId="31E443BC">
            <w:pPr>
              <w:jc w:val="right"/>
              <w:rPr>
                <w:rFonts w:cs="Times New Roman"/>
              </w:rPr>
            </w:pPr>
          </w:p>
        </w:tc>
        <w:tc>
          <w:tcPr>
            <w:tcW w:w="710" w:type="pct"/>
            <w:vAlign w:val="center"/>
          </w:tcPr>
          <w:p w14:paraId="5347E06D">
            <w:pPr>
              <w:jc w:val="right"/>
              <w:textAlignment w:val="center"/>
              <w:rPr>
                <w:rFonts w:cs="Times New Roman"/>
              </w:rPr>
            </w:pPr>
            <w:r>
              <w:rPr>
                <w:rFonts w:cs="Times New Roman"/>
                <w:color w:val="000000"/>
              </w:rPr>
              <w:t>-5,619,470.53</w:t>
            </w:r>
          </w:p>
        </w:tc>
      </w:tr>
      <w:tr w14:paraId="1A6E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36D0AE6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其他综合收益合计</w:t>
            </w:r>
          </w:p>
        </w:tc>
        <w:tc>
          <w:tcPr>
            <w:tcW w:w="727" w:type="pct"/>
            <w:vAlign w:val="center"/>
          </w:tcPr>
          <w:p w14:paraId="5C73992A">
            <w:pPr>
              <w:jc w:val="right"/>
              <w:textAlignment w:val="center"/>
              <w:rPr>
                <w:rFonts w:cs="Times New Roman"/>
              </w:rPr>
            </w:pPr>
            <w:r>
              <w:rPr>
                <w:rFonts w:cs="Times New Roman"/>
                <w:color w:val="000000"/>
              </w:rPr>
              <w:t>-318,634,689.43</w:t>
            </w:r>
          </w:p>
        </w:tc>
        <w:tc>
          <w:tcPr>
            <w:tcW w:w="624" w:type="pct"/>
            <w:vAlign w:val="center"/>
          </w:tcPr>
          <w:p w14:paraId="3192A222">
            <w:pPr>
              <w:jc w:val="right"/>
              <w:textAlignment w:val="center"/>
              <w:rPr>
                <w:rFonts w:cs="Times New Roman"/>
              </w:rPr>
            </w:pPr>
            <w:r>
              <w:rPr>
                <w:rFonts w:cs="Times New Roman"/>
                <w:color w:val="000000"/>
              </w:rPr>
              <w:t>-628,649.05</w:t>
            </w:r>
          </w:p>
        </w:tc>
        <w:tc>
          <w:tcPr>
            <w:tcW w:w="651" w:type="pct"/>
            <w:vAlign w:val="center"/>
          </w:tcPr>
          <w:p w14:paraId="441D1530">
            <w:pPr>
              <w:jc w:val="right"/>
              <w:rPr>
                <w:rFonts w:cs="Times New Roman"/>
              </w:rPr>
            </w:pPr>
          </w:p>
        </w:tc>
        <w:tc>
          <w:tcPr>
            <w:tcW w:w="584" w:type="pct"/>
            <w:vAlign w:val="center"/>
          </w:tcPr>
          <w:p w14:paraId="57ECCFA2">
            <w:pPr>
              <w:jc w:val="right"/>
              <w:rPr>
                <w:rFonts w:cs="Times New Roman"/>
              </w:rPr>
            </w:pPr>
            <w:r>
              <w:rPr>
                <w:rFonts w:cs="Times New Roman"/>
                <w:color w:val="000000"/>
              </w:rPr>
              <w:t>-628,649.05</w:t>
            </w:r>
          </w:p>
        </w:tc>
        <w:tc>
          <w:tcPr>
            <w:tcW w:w="719" w:type="pct"/>
            <w:vAlign w:val="center"/>
          </w:tcPr>
          <w:p w14:paraId="192F8771">
            <w:pPr>
              <w:jc w:val="right"/>
              <w:rPr>
                <w:rFonts w:cs="Times New Roman"/>
              </w:rPr>
            </w:pPr>
          </w:p>
        </w:tc>
        <w:tc>
          <w:tcPr>
            <w:tcW w:w="710" w:type="pct"/>
            <w:vAlign w:val="center"/>
          </w:tcPr>
          <w:p w14:paraId="4893DE15">
            <w:pPr>
              <w:jc w:val="right"/>
              <w:textAlignment w:val="center"/>
              <w:rPr>
                <w:rFonts w:cs="Times New Roman"/>
              </w:rPr>
            </w:pPr>
            <w:r>
              <w:rPr>
                <w:rFonts w:cs="Times New Roman"/>
                <w:color w:val="000000"/>
              </w:rPr>
              <w:t>-319,263,338.48</w:t>
            </w:r>
          </w:p>
        </w:tc>
      </w:tr>
    </w:tbl>
    <w:p w14:paraId="6497F900"/>
    <w:p w14:paraId="4CB53155">
      <w:pPr>
        <w:spacing w:before="60" w:after="60"/>
        <w:rPr>
          <w:b/>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其他说明，包括对现金流量套期损益的有效部分转为被套期项目初始确认金额调整：</w:t>
      </w:r>
    </w:p>
    <w:sdt>
      <w:sdtPr>
        <w:rPr>
          <w:rFonts w:hint="eastAsia"/>
          <w:color w:val="000000" w:themeColor="text1"/>
          <w14:textFill>
            <w14:solidFill>
              <w14:schemeClr w14:val="tx1"/>
            </w14:solidFill>
          </w14:textFill>
        </w:rPr>
        <w:alias w:val="综合收益情况"/>
        <w:tag w:val="_GBC_c389c92b3ef04746a88c157ed2e05698"/>
        <w:id w:val="147451886"/>
        <w:placeholder>
          <w:docPart w:val="GBC22222222222222222222222222222"/>
        </w:placeholder>
      </w:sdtPr>
      <w:sdtEndPr>
        <w:rPr>
          <w:rFonts w:hint="eastAsia"/>
          <w:color w:val="000000" w:themeColor="text1"/>
          <w14:textFill>
            <w14:solidFill>
              <w14:schemeClr w14:val="tx1"/>
            </w14:solidFill>
          </w14:textFill>
        </w:rPr>
      </w:sdtEndPr>
      <w:sdtContent>
        <w:p w14:paraId="190990D4">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77"/>
    <w:p w14:paraId="41968EC2">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0150E533">
      <w:pPr>
        <w:rPr>
          <w:color w:val="000000" w:themeColor="text1"/>
          <w14:textFill>
            <w14:solidFill>
              <w14:schemeClr w14:val="tx1"/>
            </w14:solidFill>
          </w14:textFill>
        </w:rPr>
      </w:pPr>
    </w:p>
    <w:p w14:paraId="6416468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专项储备</w:t>
      </w:r>
    </w:p>
    <w:sdt>
      <w:sdtPr>
        <w:rPr>
          <w:color w:val="000000" w:themeColor="text1"/>
          <w14:textFill>
            <w14:solidFill>
              <w14:schemeClr w14:val="tx1"/>
            </w14:solidFill>
          </w14:textFill>
        </w:rPr>
        <w:alias w:val="是否适用：专项储备[双击切换]"/>
        <w:tag w:val="_GBC_291ec3c1c38144a3ac0bde67edb318cc"/>
        <w:id w:val="147480458"/>
        <w:placeholder>
          <w:docPart w:val="GBC22222222222222222222222222222"/>
        </w:placeholder>
      </w:sdtPr>
      <w:sdtEndPr>
        <w:rPr>
          <w:color w:val="000000" w:themeColor="text1"/>
          <w14:textFill>
            <w14:solidFill>
              <w14:schemeClr w14:val="tx1"/>
            </w14:solidFill>
          </w14:textFill>
        </w:rPr>
      </w:sdtEndPr>
      <w:sdtContent>
        <w:p w14:paraId="02BF603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90B859">
      <w:pPr>
        <w:rPr>
          <w:color w:val="000000" w:themeColor="text1"/>
          <w14:textFill>
            <w14:solidFill>
              <w14:schemeClr w14:val="tx1"/>
            </w14:solidFill>
          </w14:textFill>
        </w:rPr>
      </w:pPr>
    </w:p>
    <w:p w14:paraId="471975D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盈余公积</w:t>
      </w:r>
    </w:p>
    <w:sdt>
      <w:sdtPr>
        <w:rPr>
          <w:color w:val="000000" w:themeColor="text1"/>
          <w14:textFill>
            <w14:solidFill>
              <w14:schemeClr w14:val="tx1"/>
            </w14:solidFill>
          </w14:textFill>
        </w:rPr>
        <w:alias w:val="是否适用：盈余公积[双击切换]"/>
        <w:tag w:val="_GBC_52b9917fb423490bb32a9d6648a07db9"/>
        <w:id w:val="147456287"/>
        <w:placeholder>
          <w:docPart w:val="GBC22222222222222222222222222222"/>
        </w:placeholder>
      </w:sdtPr>
      <w:sdtEndPr>
        <w:rPr>
          <w:color w:val="000000" w:themeColor="text1"/>
          <w14:textFill>
            <w14:solidFill>
              <w14:schemeClr w14:val="tx1"/>
            </w14:solidFill>
          </w14:textFill>
        </w:rPr>
      </w:sdtEndPr>
      <w:sdtContent>
        <w:p w14:paraId="41D04C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6FDB60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盈余公积"/>
          <w:tag w:val="_GBC_ea3204141ce3498eaccd14c833f64973"/>
          <w:id w:val="1474513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盈余公积"/>
          <w:tag w:val="_GBC_f5c6664d47b9454d919a38095dd3c48d"/>
          <w:id w:val="1474711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817"/>
        <w:gridCol w:w="3031"/>
        <w:gridCol w:w="3043"/>
      </w:tblGrid>
      <w:tr w14:paraId="1B57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70f0cea3df9b4646bf8f9454719b4599"/>
            <w:id w:val="147466799"/>
          </w:sdtPr>
          <w:sdtEndPr>
            <w:rPr>
              <w:rFonts w:cs="Times New Roman"/>
            </w:rPr>
          </w:sdtEndPr>
          <w:sdtContent>
            <w:tc>
              <w:tcPr>
                <w:tcW w:w="1584" w:type="pct"/>
              </w:tcPr>
              <w:p w14:paraId="43A00806">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5466d5e3c2b64aeb9abc2e1a21f2e6c0"/>
            <w:id w:val="147478709"/>
          </w:sdtPr>
          <w:sdtEndPr>
            <w:rPr>
              <w:rFonts w:cs="Times New Roman"/>
            </w:rPr>
          </w:sdtEndPr>
          <w:sdtContent>
            <w:tc>
              <w:tcPr>
                <w:tcW w:w="1704" w:type="pct"/>
              </w:tcPr>
              <w:p w14:paraId="053FC757">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e6d9dff1341d44c99d9c3f51d8fd2c2f"/>
            <w:id w:val="147472827"/>
          </w:sdtPr>
          <w:sdtEndPr>
            <w:rPr>
              <w:rFonts w:cs="Times New Roman"/>
            </w:rPr>
          </w:sdtEndPr>
          <w:sdtContent>
            <w:tc>
              <w:tcPr>
                <w:tcW w:w="1711" w:type="pct"/>
              </w:tcPr>
              <w:p w14:paraId="4D5291AC">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74B7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584" w:type="pct"/>
            <w:vAlign w:val="center"/>
          </w:tcPr>
          <w:p w14:paraId="72940F2F">
            <w:pPr>
              <w:autoSpaceDE w:val="0"/>
              <w:autoSpaceDN w:val="0"/>
              <w:adjustRightInd w:val="0"/>
              <w:snapToGrid w:val="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法定盈余公积</w:t>
            </w:r>
          </w:p>
        </w:tc>
        <w:tc>
          <w:tcPr>
            <w:tcW w:w="1704" w:type="pct"/>
            <w:vAlign w:val="center"/>
          </w:tcPr>
          <w:p w14:paraId="7BF8298F">
            <w:pPr>
              <w:jc w:val="right"/>
              <w:textAlignment w:val="center"/>
              <w:rPr>
                <w:rFonts w:cs="Times New Roman"/>
              </w:rPr>
            </w:pPr>
            <w:r>
              <w:rPr>
                <w:rFonts w:eastAsia="Arial Narrow" w:cs="Times New Roman"/>
                <w:color w:val="000000"/>
                <w:lang w:bidi="ar"/>
              </w:rPr>
              <w:t>369,677,423.82</w:t>
            </w:r>
          </w:p>
        </w:tc>
        <w:tc>
          <w:tcPr>
            <w:tcW w:w="1711" w:type="pct"/>
            <w:vAlign w:val="center"/>
          </w:tcPr>
          <w:p w14:paraId="6C03E259">
            <w:pPr>
              <w:jc w:val="right"/>
              <w:textAlignment w:val="center"/>
              <w:rPr>
                <w:rFonts w:cs="Times New Roman"/>
              </w:rPr>
            </w:pPr>
            <w:r>
              <w:rPr>
                <w:rFonts w:eastAsia="Arial Narrow" w:cs="Times New Roman"/>
                <w:color w:val="000000"/>
                <w:lang w:bidi="ar"/>
              </w:rPr>
              <w:t>369,677,423.82</w:t>
            </w:r>
          </w:p>
        </w:tc>
      </w:tr>
      <w:tr w14:paraId="26A4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584" w:type="pct"/>
          </w:tcPr>
          <w:p w14:paraId="254C8487">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704" w:type="pct"/>
            <w:vAlign w:val="center"/>
          </w:tcPr>
          <w:p w14:paraId="619C65E4">
            <w:pPr>
              <w:jc w:val="right"/>
              <w:textAlignment w:val="center"/>
              <w:rPr>
                <w:rFonts w:cs="Times New Roman"/>
              </w:rPr>
            </w:pPr>
            <w:r>
              <w:rPr>
                <w:rFonts w:eastAsia="Arial Narrow" w:cs="Times New Roman"/>
                <w:color w:val="000000"/>
                <w:lang w:bidi="ar"/>
              </w:rPr>
              <w:t>369,677,423.82</w:t>
            </w:r>
          </w:p>
        </w:tc>
        <w:tc>
          <w:tcPr>
            <w:tcW w:w="1711" w:type="pct"/>
            <w:vAlign w:val="center"/>
          </w:tcPr>
          <w:p w14:paraId="69CEFCBF">
            <w:pPr>
              <w:jc w:val="right"/>
              <w:textAlignment w:val="center"/>
              <w:rPr>
                <w:rFonts w:cs="Times New Roman"/>
              </w:rPr>
            </w:pPr>
            <w:r>
              <w:rPr>
                <w:rFonts w:eastAsia="Arial Narrow" w:cs="Times New Roman"/>
                <w:color w:val="000000"/>
                <w:lang w:bidi="ar"/>
              </w:rPr>
              <w:t>369,677,423.82</w:t>
            </w:r>
          </w:p>
        </w:tc>
      </w:tr>
    </w:tbl>
    <w:p w14:paraId="7FE2AA09">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盈余公积说明，包括本期增减变动情况、变动原因说明：</w:t>
      </w:r>
    </w:p>
    <w:sdt>
      <w:sdtPr>
        <w:rPr>
          <w:color w:val="000000" w:themeColor="text1"/>
          <w14:textFill>
            <w14:solidFill>
              <w14:schemeClr w14:val="tx1"/>
            </w14:solidFill>
          </w14:textFill>
        </w:rPr>
        <w:alias w:val="盈余公积说明"/>
        <w:tag w:val="_GBC_33c5d1ed862f4b36950b5ea2188f5b09"/>
        <w:id w:val="147455368"/>
        <w:placeholder>
          <w:docPart w:val="GBC22222222222222222222222222222"/>
        </w:placeholder>
      </w:sdtPr>
      <w:sdtEndPr>
        <w:rPr>
          <w:color w:val="000000" w:themeColor="text1"/>
          <w14:textFill>
            <w14:solidFill>
              <w14:schemeClr w14:val="tx1"/>
            </w14:solidFill>
          </w14:textFill>
        </w:rPr>
      </w:sdtEndPr>
      <w:sdtContent>
        <w:p w14:paraId="00598EAD">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3ECA0158">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未分配利润</w:t>
      </w:r>
    </w:p>
    <w:p w14:paraId="13BF5BE5">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未分配利润[双击切换]"/>
          <w:tag w:val="_GBC_32c558bdbb77445cabeee783e5ff910e"/>
          <w:id w:val="147466586"/>
          <w:lock w:val="contentLocked"/>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481EB5E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分配利润"/>
          <w:tag w:val="_GBC_cfb07ff3eded4b49916cfc42d821bab6"/>
          <w:id w:val="14747066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分配利润"/>
          <w:tag w:val="_GBC_55c70fe731be4b84be72ea88afd989b8"/>
          <w:id w:val="14745500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19"/>
        <w:gridCol w:w="2392"/>
        <w:gridCol w:w="2738"/>
      </w:tblGrid>
      <w:tr w14:paraId="1D70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b6dc2bd7eebb4e6d9f1ccea8d86e6f47"/>
            <w:id w:val="147461442"/>
          </w:sdtPr>
          <w:sdtEndPr>
            <w:rPr>
              <w:rFonts w:cs="Times New Roman"/>
            </w:rPr>
          </w:sdtEndPr>
          <w:sdtContent>
            <w:tc>
              <w:tcPr>
                <w:tcW w:w="2165" w:type="pct"/>
                <w:vAlign w:val="center"/>
              </w:tcPr>
              <w:p w14:paraId="7622434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6e60054e3c3747d1a0ffc87edacae2b6"/>
            <w:id w:val="147458724"/>
          </w:sdtPr>
          <w:sdtEndPr>
            <w:rPr>
              <w:rFonts w:cs="Times New Roman"/>
            </w:rPr>
          </w:sdtEndPr>
          <w:sdtContent>
            <w:tc>
              <w:tcPr>
                <w:tcW w:w="1321" w:type="pct"/>
                <w:vAlign w:val="center"/>
              </w:tcPr>
              <w:p w14:paraId="63AA166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w:t>
                </w:r>
              </w:p>
            </w:tc>
          </w:sdtContent>
        </w:sdt>
        <w:sdt>
          <w:sdtPr>
            <w:rPr>
              <w:rFonts w:cs="Times New Roman"/>
            </w:rPr>
            <w:tag w:val="_PLD_9afd54e9959d4b22b00bfe92596a2a16"/>
            <w:id w:val="147459953"/>
          </w:sdtPr>
          <w:sdtEndPr>
            <w:rPr>
              <w:rFonts w:cs="Times New Roman"/>
            </w:rPr>
          </w:sdtEndPr>
          <w:sdtContent>
            <w:tc>
              <w:tcPr>
                <w:tcW w:w="1512" w:type="pct"/>
                <w:vAlign w:val="center"/>
              </w:tcPr>
              <w:p w14:paraId="5C1C10B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上年度</w:t>
                </w:r>
              </w:p>
            </w:tc>
          </w:sdtContent>
        </w:sdt>
      </w:tr>
      <w:tr w14:paraId="502F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40DECC8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调整前上期末未分配利润</w:t>
            </w:r>
          </w:p>
        </w:tc>
        <w:tc>
          <w:tcPr>
            <w:tcW w:w="1321" w:type="pct"/>
            <w:vAlign w:val="center"/>
          </w:tcPr>
          <w:p w14:paraId="49F18787">
            <w:pPr>
              <w:jc w:val="right"/>
              <w:textAlignment w:val="center"/>
              <w:rPr>
                <w:rFonts w:cs="Times New Roman"/>
              </w:rPr>
            </w:pPr>
            <w:r>
              <w:rPr>
                <w:rFonts w:eastAsia="Arial Narrow" w:cs="Times New Roman"/>
                <w:color w:val="000000"/>
                <w:lang w:bidi="ar"/>
              </w:rPr>
              <w:t>103,250,332.59</w:t>
            </w:r>
          </w:p>
        </w:tc>
        <w:tc>
          <w:tcPr>
            <w:tcW w:w="1512" w:type="pct"/>
            <w:vAlign w:val="center"/>
          </w:tcPr>
          <w:p w14:paraId="18E10CCC">
            <w:pPr>
              <w:jc w:val="right"/>
              <w:textAlignment w:val="center"/>
              <w:rPr>
                <w:rFonts w:cs="Times New Roman"/>
              </w:rPr>
            </w:pPr>
            <w:r>
              <w:rPr>
                <w:rFonts w:cs="Times New Roman"/>
                <w:color w:val="000000"/>
              </w:rPr>
              <w:t>4,463,369,702.05</w:t>
            </w:r>
          </w:p>
        </w:tc>
      </w:tr>
      <w:tr w14:paraId="6EB1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5031025B">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调整后期初未分配利润</w:t>
            </w:r>
          </w:p>
        </w:tc>
        <w:tc>
          <w:tcPr>
            <w:tcW w:w="1321" w:type="pct"/>
            <w:vAlign w:val="center"/>
          </w:tcPr>
          <w:p w14:paraId="6A714C55">
            <w:pPr>
              <w:jc w:val="right"/>
              <w:textAlignment w:val="center"/>
              <w:rPr>
                <w:rFonts w:cs="Times New Roman"/>
              </w:rPr>
            </w:pPr>
            <w:r>
              <w:rPr>
                <w:rFonts w:eastAsia="Arial Narrow" w:cs="Times New Roman"/>
                <w:color w:val="000000"/>
                <w:lang w:bidi="ar"/>
              </w:rPr>
              <w:t>103,250,332.59</w:t>
            </w:r>
          </w:p>
        </w:tc>
        <w:tc>
          <w:tcPr>
            <w:tcW w:w="1512" w:type="pct"/>
            <w:vAlign w:val="center"/>
          </w:tcPr>
          <w:p w14:paraId="02D35BAC">
            <w:pPr>
              <w:jc w:val="right"/>
              <w:textAlignment w:val="center"/>
              <w:rPr>
                <w:rFonts w:cs="Times New Roman"/>
              </w:rPr>
            </w:pPr>
            <w:r>
              <w:rPr>
                <w:rFonts w:cs="Times New Roman"/>
                <w:color w:val="000000"/>
              </w:rPr>
              <w:t>4,463,369,702.05</w:t>
            </w:r>
          </w:p>
        </w:tc>
      </w:tr>
      <w:tr w14:paraId="2B47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7024FB29">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加：本期归属于母公司所有者的净利润</w:t>
            </w:r>
          </w:p>
        </w:tc>
        <w:tc>
          <w:tcPr>
            <w:tcW w:w="1321" w:type="pct"/>
            <w:vAlign w:val="center"/>
          </w:tcPr>
          <w:p w14:paraId="336732BF">
            <w:pPr>
              <w:jc w:val="right"/>
              <w:textAlignment w:val="center"/>
              <w:rPr>
                <w:rFonts w:cs="Times New Roman"/>
              </w:rPr>
            </w:pPr>
            <w:r>
              <w:rPr>
                <w:rFonts w:eastAsia="Arial Narrow" w:cs="Times New Roman"/>
                <w:color w:val="000000"/>
                <w:lang w:bidi="ar"/>
              </w:rPr>
              <w:t>-79,031,846.24</w:t>
            </w:r>
          </w:p>
        </w:tc>
        <w:tc>
          <w:tcPr>
            <w:tcW w:w="1512" w:type="pct"/>
            <w:vAlign w:val="center"/>
          </w:tcPr>
          <w:p w14:paraId="204F791F">
            <w:pPr>
              <w:jc w:val="right"/>
              <w:textAlignment w:val="center"/>
              <w:rPr>
                <w:rFonts w:cs="Times New Roman"/>
              </w:rPr>
            </w:pPr>
            <w:r>
              <w:rPr>
                <w:rFonts w:cs="Times New Roman"/>
                <w:color w:val="000000"/>
              </w:rPr>
              <w:t>-4,228,257,792.02</w:t>
            </w:r>
          </w:p>
        </w:tc>
      </w:tr>
      <w:tr w14:paraId="35BC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245AC608">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减：提取法定盈余公积</w:t>
            </w:r>
          </w:p>
        </w:tc>
        <w:tc>
          <w:tcPr>
            <w:tcW w:w="1321" w:type="pct"/>
            <w:vAlign w:val="center"/>
          </w:tcPr>
          <w:p w14:paraId="52A33BF5">
            <w:pPr>
              <w:jc w:val="right"/>
              <w:rPr>
                <w:rFonts w:cs="Times New Roman"/>
              </w:rPr>
            </w:pPr>
          </w:p>
        </w:tc>
        <w:tc>
          <w:tcPr>
            <w:tcW w:w="1512" w:type="pct"/>
            <w:vAlign w:val="center"/>
          </w:tcPr>
          <w:p w14:paraId="5B7116AA">
            <w:pPr>
              <w:jc w:val="right"/>
              <w:textAlignment w:val="center"/>
              <w:rPr>
                <w:rFonts w:cs="Times New Roman"/>
              </w:rPr>
            </w:pPr>
            <w:r>
              <w:rPr>
                <w:rFonts w:cs="Times New Roman"/>
                <w:color w:val="000000"/>
              </w:rPr>
              <w:t>20,224.92</w:t>
            </w:r>
          </w:p>
        </w:tc>
      </w:tr>
      <w:tr w14:paraId="7094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6F9D0EF3">
            <w:pPr>
              <w:autoSpaceDE w:val="0"/>
              <w:autoSpaceDN w:val="0"/>
              <w:adjustRightInd w:val="0"/>
              <w:ind w:firstLine="42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应付普通股股利</w:t>
            </w:r>
          </w:p>
        </w:tc>
        <w:tc>
          <w:tcPr>
            <w:tcW w:w="1321" w:type="pct"/>
            <w:vAlign w:val="center"/>
          </w:tcPr>
          <w:p w14:paraId="6B452F39">
            <w:pPr>
              <w:jc w:val="right"/>
              <w:rPr>
                <w:rFonts w:cs="Times New Roman"/>
              </w:rPr>
            </w:pPr>
          </w:p>
        </w:tc>
        <w:tc>
          <w:tcPr>
            <w:tcW w:w="1512" w:type="pct"/>
            <w:vAlign w:val="center"/>
          </w:tcPr>
          <w:p w14:paraId="4A2DFA3D">
            <w:pPr>
              <w:jc w:val="right"/>
              <w:textAlignment w:val="center"/>
              <w:rPr>
                <w:rFonts w:cs="Times New Roman"/>
              </w:rPr>
            </w:pPr>
            <w:r>
              <w:rPr>
                <w:rFonts w:cs="Times New Roman"/>
                <w:color w:val="000000"/>
              </w:rPr>
              <w:t>131,748,882.12</w:t>
            </w:r>
          </w:p>
        </w:tc>
      </w:tr>
      <w:tr w14:paraId="3AA9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364BFECC">
            <w:pPr>
              <w:textAlignment w:val="top"/>
              <w:rPr>
                <w:rFonts w:cs="Times New Roman"/>
              </w:rPr>
            </w:pPr>
            <w:r>
              <w:rPr>
                <w:rFonts w:cs="Times New Roman"/>
                <w:color w:val="000000"/>
                <w:lang w:bidi="ar"/>
              </w:rPr>
              <w:t>其他综合收益结转留存收益</w:t>
            </w:r>
          </w:p>
        </w:tc>
        <w:tc>
          <w:tcPr>
            <w:tcW w:w="1321" w:type="pct"/>
            <w:vAlign w:val="center"/>
          </w:tcPr>
          <w:p w14:paraId="0C5C51C0">
            <w:pPr>
              <w:jc w:val="right"/>
              <w:rPr>
                <w:rFonts w:cs="Times New Roman"/>
              </w:rPr>
            </w:pPr>
          </w:p>
        </w:tc>
        <w:tc>
          <w:tcPr>
            <w:tcW w:w="1512" w:type="pct"/>
            <w:vAlign w:val="center"/>
          </w:tcPr>
          <w:p w14:paraId="3A8E2FB5">
            <w:pPr>
              <w:jc w:val="right"/>
              <w:textAlignment w:val="center"/>
              <w:rPr>
                <w:rFonts w:cs="Times New Roman"/>
              </w:rPr>
            </w:pPr>
            <w:r>
              <w:rPr>
                <w:rFonts w:cs="Times New Roman"/>
                <w:color w:val="000000"/>
              </w:rPr>
              <w:t>-78,599.84</w:t>
            </w:r>
          </w:p>
        </w:tc>
      </w:tr>
      <w:tr w14:paraId="341A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43C8DFF1">
            <w:pPr>
              <w:textAlignment w:val="top"/>
              <w:rPr>
                <w:rFonts w:cs="Times New Roman"/>
              </w:rPr>
            </w:pPr>
            <w:r>
              <w:rPr>
                <w:rFonts w:cs="Times New Roman"/>
                <w:color w:val="000000"/>
                <w:lang w:bidi="ar"/>
              </w:rPr>
              <w:t>其他</w:t>
            </w:r>
          </w:p>
        </w:tc>
        <w:tc>
          <w:tcPr>
            <w:tcW w:w="1321" w:type="pct"/>
            <w:vAlign w:val="center"/>
          </w:tcPr>
          <w:p w14:paraId="3B7075C0">
            <w:pPr>
              <w:jc w:val="right"/>
              <w:rPr>
                <w:rFonts w:cs="Times New Roman"/>
              </w:rPr>
            </w:pPr>
          </w:p>
        </w:tc>
        <w:tc>
          <w:tcPr>
            <w:tcW w:w="1512" w:type="pct"/>
            <w:vAlign w:val="center"/>
          </w:tcPr>
          <w:p w14:paraId="7539B5B4">
            <w:pPr>
              <w:jc w:val="right"/>
              <w:textAlignment w:val="center"/>
              <w:rPr>
                <w:rFonts w:cs="Times New Roman"/>
              </w:rPr>
            </w:pPr>
            <w:r>
              <w:rPr>
                <w:rFonts w:cs="Times New Roman"/>
                <w:color w:val="000000"/>
              </w:rPr>
              <w:t>-13,870.56</w:t>
            </w:r>
          </w:p>
        </w:tc>
      </w:tr>
      <w:tr w14:paraId="47B4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65" w:type="pct"/>
          </w:tcPr>
          <w:p w14:paraId="464300CF">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期末未分配利润</w:t>
            </w:r>
          </w:p>
        </w:tc>
        <w:tc>
          <w:tcPr>
            <w:tcW w:w="1321" w:type="pct"/>
            <w:vAlign w:val="center"/>
          </w:tcPr>
          <w:p w14:paraId="4630F4C1">
            <w:pPr>
              <w:jc w:val="right"/>
              <w:textAlignment w:val="center"/>
              <w:rPr>
                <w:rFonts w:cs="Times New Roman"/>
              </w:rPr>
            </w:pPr>
            <w:r>
              <w:rPr>
                <w:rFonts w:eastAsia="Arial Narrow" w:cs="Times New Roman"/>
                <w:color w:val="000000"/>
                <w:lang w:bidi="ar"/>
              </w:rPr>
              <w:t>24,218,486.35</w:t>
            </w:r>
          </w:p>
        </w:tc>
        <w:tc>
          <w:tcPr>
            <w:tcW w:w="1512" w:type="pct"/>
            <w:vAlign w:val="center"/>
          </w:tcPr>
          <w:p w14:paraId="6AA1DA81">
            <w:pPr>
              <w:jc w:val="right"/>
              <w:textAlignment w:val="center"/>
              <w:rPr>
                <w:rFonts w:cs="Times New Roman"/>
              </w:rPr>
            </w:pPr>
            <w:r>
              <w:rPr>
                <w:rFonts w:cs="Times New Roman"/>
                <w:color w:val="000000"/>
              </w:rPr>
              <w:t>103,250,332.59</w:t>
            </w:r>
          </w:p>
        </w:tc>
      </w:tr>
    </w:tbl>
    <w:p w14:paraId="4329AA06">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调整期初未分配利润明细：</w:t>
      </w:r>
    </w:p>
    <w:p w14:paraId="36D41D0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1、由于《企业会计准则》及其相关新规定进行追溯调整，影响期初未分配利润</w:t>
      </w:r>
      <w:sdt>
        <w:sdtPr>
          <w:rPr>
            <w:rFonts w:cs="Times New Roman"/>
            <w:color w:val="000000" w:themeColor="text1"/>
            <w14:textFill>
              <w14:solidFill>
                <w14:schemeClr w14:val="tx1"/>
              </w14:solidFill>
            </w14:textFill>
          </w:rPr>
          <w:alias w:val="依据《企业会计准则》及其相关规定进行追溯调整影响年初未分配利润合计"/>
          <w:tag w:val="_GBC_a54a245e74754754a6239606b5ebbb06"/>
          <w:id w:val="147473125"/>
          <w:placeholder>
            <w:docPart w:val="GBC22222222222222222222222222222"/>
          </w:placeholder>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0</w:t>
          </w:r>
        </w:sdtContent>
      </w:sdt>
      <w:r>
        <w:rPr>
          <w:rFonts w:cs="Times New Roman"/>
          <w:color w:val="000000" w:themeColor="text1"/>
          <w14:textFill>
            <w14:solidFill>
              <w14:schemeClr w14:val="tx1"/>
            </w14:solidFill>
          </w14:textFill>
        </w:rPr>
        <w:t xml:space="preserve"> 元。</w:t>
      </w:r>
    </w:p>
    <w:p w14:paraId="37A594E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2、由于会计政策变更，影响期初未分配利润</w:t>
      </w:r>
      <w:sdt>
        <w:sdtPr>
          <w:rPr>
            <w:rFonts w:cs="Times New Roman"/>
            <w:color w:val="000000" w:themeColor="text1"/>
            <w14:textFill>
              <w14:solidFill>
                <w14:schemeClr w14:val="tx1"/>
              </w14:solidFill>
            </w14:textFill>
          </w:rPr>
          <w:alias w:val="由于会计政策变更影响年初未分配利润"/>
          <w:tag w:val="_GBC_8295d6891c8842f58b58e4223b4e1700"/>
          <w:id w:val="147455816"/>
          <w:placeholder>
            <w:docPart w:val="GBC22222222222222222222222222222"/>
          </w:placeholder>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0</w:t>
          </w:r>
        </w:sdtContent>
      </w:sdt>
      <w:r>
        <w:rPr>
          <w:rFonts w:cs="Times New Roman"/>
          <w:color w:val="000000" w:themeColor="text1"/>
          <w14:textFill>
            <w14:solidFill>
              <w14:schemeClr w14:val="tx1"/>
            </w14:solidFill>
          </w14:textFill>
        </w:rPr>
        <w:t xml:space="preserve"> 元。</w:t>
      </w:r>
    </w:p>
    <w:p w14:paraId="1D9216C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3、由于重大会计差错更正，影响期初未分配利润</w:t>
      </w:r>
      <w:sdt>
        <w:sdtPr>
          <w:rPr>
            <w:rFonts w:cs="Times New Roman"/>
            <w:color w:val="000000" w:themeColor="text1"/>
            <w14:textFill>
              <w14:solidFill>
                <w14:schemeClr w14:val="tx1"/>
              </w14:solidFill>
            </w14:textFill>
          </w:rPr>
          <w:alias w:val="由于重大会计差错更正影响年初未分配利润"/>
          <w:tag w:val="_GBC_34728ea6faff41218abab9b8fede268c"/>
          <w:id w:val="147468527"/>
          <w:placeholder>
            <w:docPart w:val="GBC22222222222222222222222222222"/>
          </w:placeholder>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0</w:t>
          </w:r>
        </w:sdtContent>
      </w:sdt>
      <w:r>
        <w:rPr>
          <w:rFonts w:cs="Times New Roman"/>
          <w:color w:val="000000" w:themeColor="text1"/>
          <w14:textFill>
            <w14:solidFill>
              <w14:schemeClr w14:val="tx1"/>
            </w14:solidFill>
          </w14:textFill>
        </w:rPr>
        <w:t xml:space="preserve"> 元。</w:t>
      </w:r>
    </w:p>
    <w:p w14:paraId="48D366C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4、由于同一控制导致的合并范围变更，影响期初未分配利润</w:t>
      </w:r>
      <w:sdt>
        <w:sdtPr>
          <w:rPr>
            <w:rFonts w:cs="Times New Roman"/>
            <w:color w:val="000000" w:themeColor="text1"/>
            <w14:textFill>
              <w14:solidFill>
                <w14:schemeClr w14:val="tx1"/>
              </w14:solidFill>
            </w14:textFill>
          </w:rPr>
          <w:alias w:val="同一控制导致的合并范围变更影响年初未分配利润"/>
          <w:tag w:val="_GBC_4d9b7a873cb94aba9044210a45f81108"/>
          <w:id w:val="147482198"/>
          <w:placeholder>
            <w:docPart w:val="GBC22222222222222222222222222222"/>
          </w:placeholder>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0</w:t>
          </w:r>
        </w:sdtContent>
      </w:sdt>
      <w:r>
        <w:rPr>
          <w:rFonts w:cs="Times New Roman"/>
          <w:color w:val="000000" w:themeColor="text1"/>
          <w14:textFill>
            <w14:solidFill>
              <w14:schemeClr w14:val="tx1"/>
            </w14:solidFill>
          </w14:textFill>
        </w:rPr>
        <w:t xml:space="preserve"> 元。</w:t>
      </w:r>
    </w:p>
    <w:p w14:paraId="6E6CBCB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5、其他调整合计影响期初未分配利润</w:t>
      </w:r>
      <w:sdt>
        <w:sdtPr>
          <w:rPr>
            <w:rFonts w:cs="Times New Roman"/>
            <w:color w:val="000000" w:themeColor="text1"/>
            <w14:textFill>
              <w14:solidFill>
                <w14:schemeClr w14:val="tx1"/>
              </w14:solidFill>
            </w14:textFill>
          </w:rPr>
          <w:alias w:val="其他调整合计影响年初未分配利润"/>
          <w:tag w:val="_GBC_ccd86b3788e04a70a2e6a2167027d7cb"/>
          <w:id w:val="147466911"/>
          <w:placeholder>
            <w:docPart w:val="GBC22222222222222222222222222222"/>
          </w:placeholder>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0</w:t>
          </w:r>
        </w:sdtContent>
      </w:sdt>
      <w:r>
        <w:rPr>
          <w:rFonts w:cs="Times New Roman"/>
          <w:color w:val="000000" w:themeColor="text1"/>
          <w14:textFill>
            <w14:solidFill>
              <w14:schemeClr w14:val="tx1"/>
            </w14:solidFill>
          </w14:textFill>
        </w:rPr>
        <w:t xml:space="preserve"> 元。</w:t>
      </w:r>
    </w:p>
    <w:p w14:paraId="4539F2AC">
      <w:pPr>
        <w:rPr>
          <w:color w:val="000000" w:themeColor="text1"/>
          <w14:textFill>
            <w14:solidFill>
              <w14:schemeClr w14:val="tx1"/>
            </w14:solidFill>
          </w14:textFill>
        </w:rPr>
      </w:pPr>
    </w:p>
    <w:p w14:paraId="4A2670E3">
      <w:pPr>
        <w:rPr>
          <w:color w:val="000000" w:themeColor="text1"/>
          <w14:textFill>
            <w14:solidFill>
              <w14:schemeClr w14:val="tx1"/>
            </w14:solidFill>
          </w14:textFill>
        </w:rPr>
      </w:pPr>
    </w:p>
    <w:p w14:paraId="0A72DA54">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营业收入和营业成本</w:t>
      </w:r>
    </w:p>
    <w:p w14:paraId="50E75401">
      <w:pPr>
        <w:pStyle w:val="58"/>
        <w:numPr>
          <w:ilvl w:val="0"/>
          <w:numId w:val="88"/>
        </w:numPr>
        <w:ind w:left="426" w:hanging="426"/>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营业收入和营业成本情况</w:t>
      </w:r>
    </w:p>
    <w:sdt>
      <w:sdtPr>
        <w:rPr>
          <w:color w:val="000000" w:themeColor="text1"/>
          <w14:textFill>
            <w14:solidFill>
              <w14:schemeClr w14:val="tx1"/>
            </w14:solidFill>
          </w14:textFill>
        </w:rPr>
        <w:alias w:val="是否适用：营业收入和营业成本[双击切换]"/>
        <w:tag w:val="_GBC_876680c4ba6b433896b625efff84d599"/>
        <w:id w:val="147459015"/>
        <w:placeholder>
          <w:docPart w:val="GBC22222222222222222222222222222"/>
        </w:placeholder>
      </w:sdtPr>
      <w:sdtEndPr>
        <w:rPr>
          <w:color w:val="000000" w:themeColor="text1"/>
          <w14:textFill>
            <w14:solidFill>
              <w14:schemeClr w14:val="tx1"/>
            </w14:solidFill>
          </w14:textFill>
        </w:rPr>
      </w:sdtEndPr>
      <w:sdtContent>
        <w:p w14:paraId="5D7116B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DE49C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bCs w:val="0"/>
            <w:color w:val="000000" w:themeColor="text1"/>
            <w14:textFill>
              <w14:solidFill>
                <w14:schemeClr w14:val="tx1"/>
              </w14:solidFill>
            </w14:textFill>
          </w:rPr>
          <w:alias w:val="单位：财务附注：营业收入"/>
          <w:tag w:val="_GBC_611ed6dd25a247cf86a0fb98cd86e68f"/>
          <w:id w:val="1474610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bCs w:val="0"/>
            <w:color w:val="000000" w:themeColor="text1"/>
            <w14:textFill>
              <w14:solidFill>
                <w14:schemeClr w14:val="tx1"/>
              </w14:solidFill>
            </w14:textFill>
          </w:rPr>
          <w:alias w:val="币种：财务附注：营业收入"/>
          <w:tag w:val="_GBC_ba5cd3776b804cc291ae4c216c605f02"/>
          <w:id w:val="1474730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889"/>
        <w:gridCol w:w="1902"/>
        <w:gridCol w:w="1900"/>
        <w:gridCol w:w="1901"/>
      </w:tblGrid>
      <w:tr w14:paraId="0BFA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41752618c6a4ee08ca01f5944b34b81"/>
            <w:id w:val="147452512"/>
          </w:sdtPr>
          <w:sdtContent>
            <w:tc>
              <w:tcPr>
                <w:tcW w:w="805" w:type="pct"/>
                <w:vMerge w:val="restart"/>
                <w:tcBorders>
                  <w:top w:val="single" w:color="auto" w:sz="4" w:space="0"/>
                  <w:left w:val="single" w:color="auto" w:sz="4" w:space="0"/>
                  <w:right w:val="single" w:color="auto" w:sz="4" w:space="0"/>
                </w:tcBorders>
                <w:vAlign w:val="center"/>
              </w:tcPr>
              <w:p w14:paraId="3E4752C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88658ae6cb94ea390736e112b0d5ffc"/>
            <w:id w:val="147470745"/>
          </w:sdtPr>
          <w:sdtContent>
            <w:tc>
              <w:tcPr>
                <w:tcW w:w="2095" w:type="pct"/>
                <w:gridSpan w:val="2"/>
                <w:tcBorders>
                  <w:top w:val="single" w:color="auto" w:sz="4" w:space="0"/>
                  <w:left w:val="single" w:color="auto" w:sz="4" w:space="0"/>
                  <w:bottom w:val="single" w:color="auto" w:sz="4" w:space="0"/>
                  <w:right w:val="single" w:color="auto" w:sz="4" w:space="0"/>
                </w:tcBorders>
                <w:vAlign w:val="center"/>
              </w:tcPr>
              <w:p w14:paraId="1A8BF2D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0840d72efce94f22bdf4d566046b2e87"/>
            <w:id w:val="147454182"/>
          </w:sdtPr>
          <w:sdtContent>
            <w:tc>
              <w:tcPr>
                <w:tcW w:w="2100" w:type="pct"/>
                <w:gridSpan w:val="2"/>
                <w:tcBorders>
                  <w:top w:val="single" w:color="auto" w:sz="4" w:space="0"/>
                  <w:left w:val="single" w:color="auto" w:sz="4" w:space="0"/>
                  <w:bottom w:val="single" w:color="auto" w:sz="4" w:space="0"/>
                  <w:right w:val="single" w:color="auto" w:sz="4" w:space="0"/>
                </w:tcBorders>
                <w:vAlign w:val="center"/>
              </w:tcPr>
              <w:p w14:paraId="5B78DB1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14:paraId="6215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vMerge w:val="continue"/>
            <w:tcBorders>
              <w:left w:val="single" w:color="auto" w:sz="4" w:space="0"/>
              <w:bottom w:val="single" w:color="auto" w:sz="4" w:space="0"/>
              <w:right w:val="single" w:color="auto" w:sz="4" w:space="0"/>
            </w:tcBorders>
          </w:tcPr>
          <w:p w14:paraId="35AF704F">
            <w:pPr>
              <w:jc w:val="center"/>
              <w:rPr>
                <w:color w:val="000000" w:themeColor="text1"/>
                <w14:textFill>
                  <w14:solidFill>
                    <w14:schemeClr w14:val="tx1"/>
                  </w14:solidFill>
                </w14:textFill>
              </w:rPr>
            </w:pPr>
          </w:p>
        </w:tc>
        <w:sdt>
          <w:sdtPr>
            <w:tag w:val="_PLD_39942ac1f2654fa6bda80d7116d83859"/>
            <w:id w:val="147453480"/>
          </w:sdtPr>
          <w:sdtContent>
            <w:tc>
              <w:tcPr>
                <w:tcW w:w="1044" w:type="pct"/>
                <w:tcBorders>
                  <w:top w:val="single" w:color="auto" w:sz="4" w:space="0"/>
                  <w:left w:val="single" w:color="auto" w:sz="4" w:space="0"/>
                  <w:bottom w:val="single" w:color="auto" w:sz="4" w:space="0"/>
                  <w:right w:val="single" w:color="auto" w:sz="4" w:space="0"/>
                </w:tcBorders>
                <w:vAlign w:val="center"/>
              </w:tcPr>
              <w:p w14:paraId="1A78260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5075262c52564bf09f90a67ee6a84b17"/>
            <w:id w:val="147463858"/>
          </w:sdtPr>
          <w:sdtContent>
            <w:tc>
              <w:tcPr>
                <w:tcW w:w="1051" w:type="pct"/>
                <w:tcBorders>
                  <w:top w:val="single" w:color="auto" w:sz="4" w:space="0"/>
                  <w:left w:val="single" w:color="auto" w:sz="4" w:space="0"/>
                  <w:bottom w:val="single" w:color="auto" w:sz="4" w:space="0"/>
                  <w:right w:val="single" w:color="auto" w:sz="4" w:space="0"/>
                </w:tcBorders>
                <w:vAlign w:val="center"/>
              </w:tcPr>
              <w:p w14:paraId="7E8682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sdt>
          <w:sdtPr>
            <w:tag w:val="_PLD_33a1015c666d49cba108bce6aafea1f7"/>
            <w:id w:val="147459760"/>
          </w:sdtPr>
          <w:sdtContent>
            <w:tc>
              <w:tcPr>
                <w:tcW w:w="1050" w:type="pct"/>
                <w:tcBorders>
                  <w:top w:val="single" w:color="auto" w:sz="4" w:space="0"/>
                  <w:left w:val="single" w:color="auto" w:sz="4" w:space="0"/>
                  <w:bottom w:val="single" w:color="auto" w:sz="4" w:space="0"/>
                  <w:right w:val="single" w:color="auto" w:sz="4" w:space="0"/>
                </w:tcBorders>
                <w:vAlign w:val="center"/>
              </w:tcPr>
              <w:p w14:paraId="076F876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d09deaa2e4d443459a3584a1d7e92203"/>
            <w:id w:val="147481139"/>
          </w:sdtPr>
          <w:sdtContent>
            <w:tc>
              <w:tcPr>
                <w:tcW w:w="1050" w:type="pct"/>
                <w:tcBorders>
                  <w:top w:val="single" w:color="auto" w:sz="4" w:space="0"/>
                  <w:left w:val="single" w:color="auto" w:sz="4" w:space="0"/>
                  <w:bottom w:val="single" w:color="auto" w:sz="4" w:space="0"/>
                  <w:right w:val="single" w:color="auto" w:sz="4" w:space="0"/>
                </w:tcBorders>
                <w:vAlign w:val="center"/>
              </w:tcPr>
              <w:p w14:paraId="1DEBAF1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tr>
      <w:tr w14:paraId="1DCC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tcPr>
          <w:p w14:paraId="66294D13">
            <w:pPr>
              <w:rPr>
                <w:color w:val="000000" w:themeColor="text1"/>
                <w14:textFill>
                  <w14:solidFill>
                    <w14:schemeClr w14:val="tx1"/>
                  </w14:solidFill>
                </w14:textFill>
              </w:rPr>
            </w:pPr>
            <w:r>
              <w:rPr>
                <w:rFonts w:hint="eastAsia"/>
                <w:color w:val="000000" w:themeColor="text1"/>
                <w14:textFill>
                  <w14:solidFill>
                    <w14:schemeClr w14:val="tx1"/>
                  </w14:solidFill>
                </w14:textFill>
              </w:rPr>
              <w:t>主营业务</w:t>
            </w:r>
          </w:p>
        </w:tc>
        <w:tc>
          <w:tcPr>
            <w:tcW w:w="1842" w:type="dxa"/>
            <w:tcBorders>
              <w:top w:val="single" w:color="auto" w:sz="4" w:space="0"/>
              <w:left w:val="single" w:color="auto" w:sz="4" w:space="0"/>
              <w:bottom w:val="single" w:color="auto" w:sz="4" w:space="0"/>
              <w:right w:val="single" w:color="auto" w:sz="4" w:space="0"/>
            </w:tcBorders>
            <w:vAlign w:val="center"/>
          </w:tcPr>
          <w:p w14:paraId="677B3710">
            <w:pPr>
              <w:jc w:val="right"/>
              <w:textAlignment w:val="center"/>
              <w:rPr>
                <w:rFonts w:cs="Times New Roman"/>
              </w:rPr>
            </w:pPr>
            <w:r>
              <w:rPr>
                <w:rFonts w:eastAsia="Arial Narrow" w:cs="Times New Roman"/>
                <w:color w:val="000000"/>
                <w:lang w:bidi="ar"/>
              </w:rPr>
              <w:t>3,066,567,878.89</w:t>
            </w:r>
          </w:p>
        </w:tc>
        <w:tc>
          <w:tcPr>
            <w:tcW w:w="1855" w:type="dxa"/>
            <w:tcBorders>
              <w:top w:val="single" w:color="auto" w:sz="4" w:space="0"/>
              <w:left w:val="single" w:color="auto" w:sz="4" w:space="0"/>
              <w:bottom w:val="single" w:color="auto" w:sz="4" w:space="0"/>
              <w:right w:val="single" w:color="auto" w:sz="4" w:space="0"/>
            </w:tcBorders>
            <w:vAlign w:val="center"/>
          </w:tcPr>
          <w:p w14:paraId="1049F5D9">
            <w:pPr>
              <w:jc w:val="right"/>
              <w:textAlignment w:val="center"/>
              <w:rPr>
                <w:rFonts w:cs="Times New Roman"/>
              </w:rPr>
            </w:pPr>
            <w:r>
              <w:rPr>
                <w:rFonts w:eastAsia="Arial Narrow" w:cs="Times New Roman"/>
                <w:color w:val="000000"/>
                <w:lang w:bidi="ar"/>
              </w:rPr>
              <w:t>2,680,781,676.85</w:t>
            </w:r>
          </w:p>
        </w:tc>
        <w:tc>
          <w:tcPr>
            <w:tcW w:w="1050" w:type="pct"/>
            <w:tcBorders>
              <w:top w:val="single" w:color="auto" w:sz="4" w:space="0"/>
              <w:left w:val="single" w:color="auto" w:sz="4" w:space="0"/>
              <w:bottom w:val="single" w:color="auto" w:sz="4" w:space="0"/>
              <w:right w:val="single" w:color="auto" w:sz="4" w:space="0"/>
            </w:tcBorders>
            <w:vAlign w:val="center"/>
          </w:tcPr>
          <w:p w14:paraId="7DC3E16C">
            <w:pPr>
              <w:jc w:val="right"/>
              <w:textAlignment w:val="center"/>
              <w:rPr>
                <w:rFonts w:cs="Times New Roman"/>
              </w:rPr>
            </w:pPr>
            <w:r>
              <w:rPr>
                <w:rFonts w:cs="Times New Roman"/>
                <w:color w:val="000000"/>
              </w:rPr>
              <w:t>5,077,698,937.82</w:t>
            </w:r>
          </w:p>
        </w:tc>
        <w:tc>
          <w:tcPr>
            <w:tcW w:w="1050" w:type="pct"/>
            <w:tcBorders>
              <w:top w:val="single" w:color="auto" w:sz="4" w:space="0"/>
              <w:left w:val="single" w:color="auto" w:sz="4" w:space="0"/>
              <w:bottom w:val="single" w:color="auto" w:sz="4" w:space="0"/>
              <w:right w:val="single" w:color="auto" w:sz="4" w:space="0"/>
            </w:tcBorders>
            <w:vAlign w:val="center"/>
          </w:tcPr>
          <w:p w14:paraId="03AFE164">
            <w:pPr>
              <w:jc w:val="right"/>
              <w:textAlignment w:val="center"/>
              <w:rPr>
                <w:rFonts w:cs="Times New Roman"/>
              </w:rPr>
            </w:pPr>
            <w:r>
              <w:rPr>
                <w:rFonts w:cs="Times New Roman"/>
                <w:color w:val="000000"/>
              </w:rPr>
              <w:t>4,440,214,040.38</w:t>
            </w:r>
          </w:p>
        </w:tc>
      </w:tr>
      <w:tr w14:paraId="140B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tcPr>
          <w:p w14:paraId="41249B44">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其他业务</w:t>
            </w:r>
          </w:p>
        </w:tc>
        <w:tc>
          <w:tcPr>
            <w:tcW w:w="1842" w:type="dxa"/>
            <w:tcBorders>
              <w:top w:val="single" w:color="auto" w:sz="4" w:space="0"/>
              <w:left w:val="single" w:color="auto" w:sz="4" w:space="0"/>
              <w:bottom w:val="single" w:color="auto" w:sz="4" w:space="0"/>
              <w:right w:val="single" w:color="auto" w:sz="4" w:space="0"/>
            </w:tcBorders>
            <w:vAlign w:val="center"/>
          </w:tcPr>
          <w:p w14:paraId="1EE94CFD">
            <w:pPr>
              <w:jc w:val="right"/>
              <w:textAlignment w:val="center"/>
              <w:rPr>
                <w:rFonts w:cs="Times New Roman"/>
              </w:rPr>
            </w:pPr>
            <w:r>
              <w:rPr>
                <w:rFonts w:eastAsia="Arial Narrow" w:cs="Times New Roman"/>
                <w:color w:val="000000"/>
                <w:lang w:bidi="ar"/>
              </w:rPr>
              <w:t>141,164,063.96</w:t>
            </w:r>
          </w:p>
        </w:tc>
        <w:tc>
          <w:tcPr>
            <w:tcW w:w="1855" w:type="dxa"/>
            <w:tcBorders>
              <w:top w:val="single" w:color="auto" w:sz="4" w:space="0"/>
              <w:left w:val="single" w:color="auto" w:sz="4" w:space="0"/>
              <w:bottom w:val="single" w:color="auto" w:sz="4" w:space="0"/>
              <w:right w:val="single" w:color="auto" w:sz="4" w:space="0"/>
            </w:tcBorders>
            <w:vAlign w:val="center"/>
          </w:tcPr>
          <w:p w14:paraId="74039C54">
            <w:pPr>
              <w:jc w:val="right"/>
              <w:textAlignment w:val="center"/>
              <w:rPr>
                <w:rFonts w:cs="Times New Roman"/>
              </w:rPr>
            </w:pPr>
            <w:r>
              <w:rPr>
                <w:rFonts w:eastAsia="Arial Narrow" w:cs="Times New Roman"/>
                <w:color w:val="000000"/>
                <w:lang w:bidi="ar"/>
              </w:rPr>
              <w:t>77,384,458.71</w:t>
            </w:r>
          </w:p>
        </w:tc>
        <w:tc>
          <w:tcPr>
            <w:tcW w:w="1050" w:type="pct"/>
            <w:tcBorders>
              <w:top w:val="single" w:color="auto" w:sz="4" w:space="0"/>
              <w:left w:val="single" w:color="auto" w:sz="4" w:space="0"/>
              <w:bottom w:val="single" w:color="auto" w:sz="4" w:space="0"/>
              <w:right w:val="single" w:color="auto" w:sz="4" w:space="0"/>
            </w:tcBorders>
            <w:vAlign w:val="center"/>
          </w:tcPr>
          <w:p w14:paraId="265FFBF5">
            <w:pPr>
              <w:jc w:val="right"/>
              <w:textAlignment w:val="center"/>
              <w:rPr>
                <w:rFonts w:cs="Times New Roman"/>
              </w:rPr>
            </w:pPr>
            <w:r>
              <w:rPr>
                <w:rFonts w:cs="Times New Roman"/>
                <w:color w:val="000000"/>
              </w:rPr>
              <w:t>126,530,446.94</w:t>
            </w:r>
          </w:p>
        </w:tc>
        <w:tc>
          <w:tcPr>
            <w:tcW w:w="1050" w:type="pct"/>
            <w:tcBorders>
              <w:top w:val="single" w:color="auto" w:sz="4" w:space="0"/>
              <w:left w:val="single" w:color="auto" w:sz="4" w:space="0"/>
              <w:bottom w:val="single" w:color="auto" w:sz="4" w:space="0"/>
              <w:right w:val="single" w:color="auto" w:sz="4" w:space="0"/>
            </w:tcBorders>
            <w:vAlign w:val="center"/>
          </w:tcPr>
          <w:p w14:paraId="21A0B1B8">
            <w:pPr>
              <w:jc w:val="right"/>
              <w:textAlignment w:val="center"/>
              <w:rPr>
                <w:rFonts w:cs="Times New Roman"/>
              </w:rPr>
            </w:pPr>
            <w:r>
              <w:rPr>
                <w:rFonts w:cs="Times New Roman"/>
                <w:color w:val="000000"/>
              </w:rPr>
              <w:t>79,491,678.51</w:t>
            </w:r>
          </w:p>
        </w:tc>
      </w:tr>
      <w:tr w14:paraId="68A8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vAlign w:val="center"/>
          </w:tcPr>
          <w:p w14:paraId="224338A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42" w:type="dxa"/>
            <w:tcBorders>
              <w:top w:val="single" w:color="auto" w:sz="4" w:space="0"/>
              <w:left w:val="single" w:color="auto" w:sz="4" w:space="0"/>
              <w:bottom w:val="single" w:color="auto" w:sz="4" w:space="0"/>
              <w:right w:val="single" w:color="auto" w:sz="4" w:space="0"/>
            </w:tcBorders>
            <w:vAlign w:val="center"/>
          </w:tcPr>
          <w:p w14:paraId="034C571D">
            <w:pPr>
              <w:jc w:val="right"/>
              <w:textAlignment w:val="center"/>
              <w:rPr>
                <w:rFonts w:cs="Times New Roman"/>
              </w:rPr>
            </w:pPr>
            <w:r>
              <w:rPr>
                <w:rFonts w:eastAsia="Arial Narrow" w:cs="Times New Roman"/>
                <w:color w:val="000000"/>
                <w:lang w:bidi="ar"/>
              </w:rPr>
              <w:t>3,207,731,942.85</w:t>
            </w:r>
          </w:p>
        </w:tc>
        <w:tc>
          <w:tcPr>
            <w:tcW w:w="1855" w:type="dxa"/>
            <w:tcBorders>
              <w:top w:val="single" w:color="auto" w:sz="4" w:space="0"/>
              <w:left w:val="single" w:color="auto" w:sz="4" w:space="0"/>
              <w:bottom w:val="single" w:color="auto" w:sz="4" w:space="0"/>
              <w:right w:val="single" w:color="auto" w:sz="4" w:space="0"/>
            </w:tcBorders>
            <w:vAlign w:val="center"/>
          </w:tcPr>
          <w:p w14:paraId="71E096B1">
            <w:pPr>
              <w:jc w:val="right"/>
              <w:textAlignment w:val="center"/>
              <w:rPr>
                <w:rFonts w:cs="Times New Roman"/>
              </w:rPr>
            </w:pPr>
            <w:r>
              <w:rPr>
                <w:rFonts w:eastAsia="Arial Narrow" w:cs="Times New Roman"/>
                <w:color w:val="000000"/>
                <w:lang w:bidi="ar"/>
              </w:rPr>
              <w:t>2,758,166,135.56</w:t>
            </w:r>
          </w:p>
        </w:tc>
        <w:tc>
          <w:tcPr>
            <w:tcW w:w="1050" w:type="pct"/>
            <w:tcBorders>
              <w:top w:val="single" w:color="auto" w:sz="4" w:space="0"/>
              <w:left w:val="single" w:color="auto" w:sz="4" w:space="0"/>
              <w:bottom w:val="single" w:color="auto" w:sz="4" w:space="0"/>
              <w:right w:val="single" w:color="auto" w:sz="4" w:space="0"/>
            </w:tcBorders>
            <w:vAlign w:val="center"/>
          </w:tcPr>
          <w:p w14:paraId="291D49C2">
            <w:pPr>
              <w:jc w:val="right"/>
              <w:textAlignment w:val="center"/>
              <w:rPr>
                <w:rFonts w:cs="Times New Roman"/>
              </w:rPr>
            </w:pPr>
            <w:r>
              <w:rPr>
                <w:rFonts w:cs="Times New Roman"/>
                <w:color w:val="000000"/>
              </w:rPr>
              <w:t>5,204,229,384.76</w:t>
            </w:r>
          </w:p>
        </w:tc>
        <w:tc>
          <w:tcPr>
            <w:tcW w:w="1050" w:type="pct"/>
            <w:tcBorders>
              <w:top w:val="single" w:color="auto" w:sz="4" w:space="0"/>
              <w:left w:val="single" w:color="auto" w:sz="4" w:space="0"/>
              <w:bottom w:val="single" w:color="auto" w:sz="4" w:space="0"/>
              <w:right w:val="single" w:color="auto" w:sz="4" w:space="0"/>
            </w:tcBorders>
            <w:vAlign w:val="center"/>
          </w:tcPr>
          <w:p w14:paraId="6453AB9A">
            <w:pPr>
              <w:jc w:val="right"/>
              <w:textAlignment w:val="center"/>
              <w:rPr>
                <w:rFonts w:cs="Times New Roman"/>
              </w:rPr>
            </w:pPr>
            <w:r>
              <w:rPr>
                <w:rFonts w:cs="Times New Roman"/>
                <w:color w:val="000000"/>
              </w:rPr>
              <w:t>4,519,705,718.89</w:t>
            </w:r>
          </w:p>
        </w:tc>
      </w:tr>
    </w:tbl>
    <w:p w14:paraId="74F05D49">
      <w:pPr>
        <w:rPr>
          <w:color w:val="000000" w:themeColor="text1"/>
          <w14:textFill>
            <w14:solidFill>
              <w14:schemeClr w14:val="tx1"/>
            </w14:solidFill>
          </w14:textFill>
        </w:rPr>
      </w:pPr>
    </w:p>
    <w:p w14:paraId="4AE6F7A0">
      <w:pPr>
        <w:rPr>
          <w:color w:val="000000" w:themeColor="text1"/>
          <w14:textFill>
            <w14:solidFill>
              <w14:schemeClr w14:val="tx1"/>
            </w14:solidFill>
          </w14:textFill>
        </w:rPr>
      </w:pPr>
    </w:p>
    <w:p w14:paraId="0B1836D2">
      <w:pPr>
        <w:rPr>
          <w:color w:val="000000" w:themeColor="text1"/>
          <w14:textFill>
            <w14:solidFill>
              <w14:schemeClr w14:val="tx1"/>
            </w14:solidFill>
          </w14:textFill>
        </w:rPr>
      </w:pPr>
    </w:p>
    <w:sdt>
      <w:sdtPr>
        <w:rPr>
          <w:rFonts w:hint="eastAsia" w:ascii="宋体" w:hAnsi="宋体" w:cs="宋体"/>
          <w:b w:val="0"/>
          <w:bCs/>
          <w:color w:val="000000" w:themeColor="text1"/>
          <w:kern w:val="0"/>
          <w:sz w:val="21"/>
          <w:szCs w:val="24"/>
          <w14:textFill>
            <w14:solidFill>
              <w14:schemeClr w14:val="tx1"/>
            </w14:solidFill>
          </w14:textFill>
        </w:rPr>
        <w:alias w:val="模块:合同产生的收入的情况"/>
        <w:tag w:val="_SEC_c4e8c6d213eb4da9850e04355e0aa292"/>
        <w:id w:val="147474895"/>
        <w:placeholder>
          <w:docPart w:val="GBC22222222222222222222222222222"/>
        </w:placeholder>
      </w:sdtPr>
      <w:sdtEndPr>
        <w:rPr>
          <w:rFonts w:hint="default" w:ascii="Times New Roman" w:hAnsi="Times New Roman" w:cs="宋体"/>
          <w:b w:val="0"/>
          <w:bCs/>
          <w:color w:val="000000" w:themeColor="text1"/>
          <w:kern w:val="0"/>
          <w:sz w:val="21"/>
          <w:szCs w:val="21"/>
          <w14:textFill>
            <w14:solidFill>
              <w14:schemeClr w14:val="tx1"/>
            </w14:solidFill>
          </w14:textFill>
        </w:rPr>
      </w:sdtEndPr>
      <w:sdtContent>
        <w:p w14:paraId="0E2890B3">
          <w:pPr>
            <w:pStyle w:val="58"/>
            <w:numPr>
              <w:ilvl w:val="0"/>
              <w:numId w:val="88"/>
            </w:numPr>
            <w:ind w:left="426" w:hanging="426"/>
            <w:rPr>
              <w:rFonts w:ascii="宋体" w:hAnsi="宋体"/>
              <w:color w:val="000000" w:themeColor="text1"/>
              <w14:textFill>
                <w14:solidFill>
                  <w14:schemeClr w14:val="tx1"/>
                </w14:solidFill>
              </w14:textFill>
            </w:rPr>
          </w:pPr>
          <w:bookmarkStart w:id="378" w:name="_Hlk533756233"/>
          <w:bookmarkStart w:id="379" w:name="_Hlk167969685"/>
          <w:r>
            <w:rPr>
              <w:rFonts w:hint="eastAsia" w:ascii="宋体" w:hAnsi="宋体"/>
              <w:color w:val="000000" w:themeColor="text1"/>
              <w14:textFill>
                <w14:solidFill>
                  <w14:schemeClr w14:val="tx1"/>
                </w14:solidFill>
              </w14:textFill>
            </w:rPr>
            <w:t>营业收入、营业成本的分解信息</w:t>
          </w:r>
        </w:p>
        <w:sdt>
          <w:sdtPr>
            <w:rPr>
              <w:rFonts w:ascii="宋体" w:hAnsi="宋体"/>
              <w:color w:val="000000" w:themeColor="text1"/>
              <w:szCs w:val="21"/>
              <w14:textFill>
                <w14:solidFill>
                  <w14:schemeClr w14:val="tx1"/>
                </w14:solidFill>
              </w14:textFill>
            </w:rPr>
            <w:alias w:val="是否适用：营业收入、营业成本的分解信息 [双击切换]"/>
            <w:tag w:val="_GBC_efc78032c33b40119a8d8db1511a7505"/>
            <w:id w:val="147463238"/>
            <w:placeholder>
              <w:docPart w:val="GBC22222222222222222222222222222"/>
            </w:placeholder>
          </w:sdtPr>
          <w:sdtEndPr>
            <w:rPr>
              <w:rFonts w:ascii="宋体" w:hAnsi="宋体"/>
              <w:color w:val="000000" w:themeColor="text1"/>
              <w:szCs w:val="21"/>
              <w14:textFill>
                <w14:solidFill>
                  <w14:schemeClr w14:val="tx1"/>
                </w14:solidFill>
              </w14:textFill>
            </w:rPr>
          </w:sdtEndPr>
          <w:sdtContent>
            <w:p w14:paraId="1896FE6F">
              <w:pPr>
                <w:pStyle w:val="63"/>
                <w:ind w:firstLine="0" w:firstLineChars="0"/>
                <w:jc w:val="left"/>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√适用 </w:instrText>
              </w:r>
              <w:r>
                <w:rPr>
                  <w:rFonts w:ascii="宋体" w:hAnsi="宋体"/>
                  <w:color w:val="000000" w:themeColor="text1"/>
                  <w:szCs w:val="21"/>
                  <w14:textFill>
                    <w14:solidFill>
                      <w14:schemeClr w14:val="tx1"/>
                    </w14:solidFill>
                  </w14:textFill>
                </w:rPr>
                <w:fldChar w:fldCharType="end"/>
              </w: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□不适用 </w:instrText>
              </w:r>
              <w:r>
                <w:rPr>
                  <w:rFonts w:ascii="宋体" w:hAnsi="宋体"/>
                  <w:color w:val="000000" w:themeColor="text1"/>
                  <w:szCs w:val="21"/>
                  <w14:textFill>
                    <w14:solidFill>
                      <w14:schemeClr w14:val="tx1"/>
                    </w14:solidFill>
                  </w14:textFill>
                </w:rPr>
                <w:fldChar w:fldCharType="end"/>
              </w:r>
            </w:p>
          </w:sdtContent>
        </w:sdt>
        <w:p w14:paraId="17A1CF9B">
          <w:pPr>
            <w:pStyle w:val="63"/>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营业收入、营业成本的分解信息 "/>
              <w:tag w:val="_GBC_3ccd36a6a17f4de6846b5579f456e2eb"/>
              <w:id w:val="1474690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营业收入、营业成本的分解信息 "/>
              <w:tag w:val="_GBC_4476d84f223c43caad2810c5a30db364"/>
              <w:id w:val="1474701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1"/>
            <w:gridCol w:w="1686"/>
            <w:gridCol w:w="1696"/>
            <w:gridCol w:w="1696"/>
            <w:gridCol w:w="1690"/>
          </w:tblGrid>
          <w:tr w14:paraId="17C9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c4e262a708374d868aa4623ec11e26b7"/>
                <w:id w:val="147475005"/>
              </w:sdtPr>
              <w:sdtEndPr>
                <w:rPr>
                  <w:rFonts w:cs="Times New Roman"/>
                </w:rPr>
              </w:sdtEndPr>
              <w:sdtContent>
                <w:tc>
                  <w:tcPr>
                    <w:tcW w:w="1273" w:type="pct"/>
                    <w:vMerge w:val="restart"/>
                    <w:tcBorders>
                      <w:top w:val="single" w:color="auto" w:sz="4" w:space="0"/>
                      <w:left w:val="single" w:color="auto" w:sz="4" w:space="0"/>
                      <w:right w:val="single" w:color="auto" w:sz="4" w:space="0"/>
                    </w:tcBorders>
                    <w:vAlign w:val="center"/>
                  </w:tcPr>
                  <w:p w14:paraId="77AA734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合同分类</w:t>
                    </w:r>
                  </w:p>
                </w:tc>
              </w:sdtContent>
            </w:sdt>
            <w:sdt>
              <w:sdtPr>
                <w:rPr>
                  <w:rFonts w:cs="Times New Roman"/>
                  <w:color w:val="000000" w:themeColor="text1"/>
                  <w14:textFill>
                    <w14:solidFill>
                      <w14:schemeClr w14:val="tx1"/>
                    </w14:solidFill>
                  </w14:textFill>
                </w:rPr>
                <w:alias w:val="合同产生的收入分部名称"/>
                <w:tag w:val="_GBC_7df3bc31c2b74e979c5b3e4de1f79f5e"/>
                <w:id w:val="147469881"/>
              </w:sdtPr>
              <w:sdtEndPr>
                <w:rPr>
                  <w:rFonts w:cs="Times New Roman"/>
                  <w:color w:val="000000" w:themeColor="text1"/>
                  <w14:textFill>
                    <w14:solidFill>
                      <w14:schemeClr w14:val="tx1"/>
                    </w14:solidFill>
                  </w14:textFill>
                </w:rPr>
              </w:sdtEndPr>
              <w:sdtContent>
                <w:tc>
                  <w:tcPr>
                    <w:tcW w:w="1832" w:type="pct"/>
                    <w:gridSpan w:val="2"/>
                    <w:tcBorders>
                      <w:top w:val="single" w:color="auto" w:sz="4" w:space="0"/>
                      <w:left w:val="single" w:color="auto" w:sz="4" w:space="0"/>
                      <w:bottom w:val="single" w:color="auto" w:sz="4" w:space="0"/>
                      <w:right w:val="single" w:color="auto" w:sz="4" w:space="0"/>
                    </w:tcBorders>
                    <w:vAlign w:val="center"/>
                  </w:tcPr>
                  <w:p w14:paraId="2D4A9E7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分部</w:t>
                    </w:r>
                  </w:p>
                </w:tc>
              </w:sdtContent>
            </w:sdt>
            <w:sdt>
              <w:sdtPr>
                <w:rPr>
                  <w:rFonts w:cs="Times New Roman"/>
                </w:rPr>
                <w:tag w:val="_PLD_2383d04a4c7d404b94d983ebd7656098"/>
                <w:id w:val="147477248"/>
              </w:sdtPr>
              <w:sdtEndPr>
                <w:rPr>
                  <w:rFonts w:cs="Times New Roman"/>
                </w:rPr>
              </w:sdtEndPr>
              <w:sdtContent>
                <w:tc>
                  <w:tcPr>
                    <w:tcW w:w="1896" w:type="pct"/>
                    <w:gridSpan w:val="2"/>
                    <w:tcBorders>
                      <w:top w:val="single" w:color="auto" w:sz="4" w:space="0"/>
                      <w:left w:val="single" w:color="auto" w:sz="4" w:space="0"/>
                      <w:bottom w:val="single" w:color="auto" w:sz="4" w:space="0"/>
                      <w:right w:val="single" w:color="auto" w:sz="4" w:space="0"/>
                    </w:tcBorders>
                    <w:vAlign w:val="center"/>
                  </w:tcPr>
                  <w:p w14:paraId="76AD011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r>
          <w:tr w14:paraId="0540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vMerge w:val="continue"/>
                <w:tcBorders>
                  <w:left w:val="single" w:color="auto" w:sz="4" w:space="0"/>
                  <w:bottom w:val="single" w:color="auto" w:sz="4" w:space="0"/>
                  <w:right w:val="single" w:color="auto" w:sz="4" w:space="0"/>
                </w:tcBorders>
              </w:tcPr>
              <w:p w14:paraId="48B49E7E">
                <w:pPr>
                  <w:jc w:val="center"/>
                  <w:rPr>
                    <w:rFonts w:cs="Times New Roman"/>
                    <w:color w:val="000000" w:themeColor="text1"/>
                    <w14:textFill>
                      <w14:solidFill>
                        <w14:schemeClr w14:val="tx1"/>
                      </w14:solidFill>
                    </w14:textFill>
                  </w:rPr>
                </w:pPr>
              </w:p>
            </w:tc>
            <w:sdt>
              <w:sdtPr>
                <w:rPr>
                  <w:rFonts w:cs="Times New Roman"/>
                </w:rPr>
                <w:tag w:val="_PLD_4711bdc80818489d98e7ea5c86d37301"/>
                <w:id w:val="147462019"/>
              </w:sdtPr>
              <w:sdtEndPr>
                <w:rPr>
                  <w:rFonts w:cs="Times New Roman"/>
                </w:rPr>
              </w:sdtEndPr>
              <w:sdtContent>
                <w:tc>
                  <w:tcPr>
                    <w:tcW w:w="882" w:type="pct"/>
                    <w:tcBorders>
                      <w:top w:val="single" w:color="auto" w:sz="4" w:space="0"/>
                      <w:left w:val="single" w:color="auto" w:sz="4" w:space="0"/>
                      <w:bottom w:val="single" w:color="auto" w:sz="4" w:space="0"/>
                      <w:right w:val="single" w:color="auto" w:sz="4" w:space="0"/>
                    </w:tcBorders>
                    <w:vAlign w:val="center"/>
                  </w:tcPr>
                  <w:p w14:paraId="0A7FA72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营业收入</w:t>
                    </w:r>
                  </w:p>
                </w:tc>
              </w:sdtContent>
            </w:sdt>
            <w:sdt>
              <w:sdtPr>
                <w:rPr>
                  <w:rFonts w:cs="Times New Roman"/>
                </w:rPr>
                <w:tag w:val="_PLD_4fa9a0416b22463b91b8e9af73e6832a"/>
                <w:id w:val="147482085"/>
              </w:sdtPr>
              <w:sdtEndPr>
                <w:rPr>
                  <w:rFonts w:cs="Times New Roman"/>
                </w:rPr>
              </w:sdtEndPr>
              <w:sdtContent>
                <w:tc>
                  <w:tcPr>
                    <w:tcW w:w="949" w:type="pct"/>
                    <w:tcBorders>
                      <w:top w:val="single" w:color="auto" w:sz="4" w:space="0"/>
                      <w:left w:val="single" w:color="auto" w:sz="4" w:space="0"/>
                      <w:bottom w:val="single" w:color="auto" w:sz="4" w:space="0"/>
                      <w:right w:val="single" w:color="auto" w:sz="4" w:space="0"/>
                    </w:tcBorders>
                    <w:vAlign w:val="center"/>
                  </w:tcPr>
                  <w:p w14:paraId="20988C8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营业成本</w:t>
                    </w:r>
                  </w:p>
                </w:tc>
              </w:sdtContent>
            </w:sdt>
            <w:sdt>
              <w:sdtPr>
                <w:rPr>
                  <w:rFonts w:cs="Times New Roman"/>
                </w:rPr>
                <w:tag w:val="_PLD_58de911da1324e8586f84ab9937bcdeb"/>
                <w:id w:val="147458190"/>
              </w:sdtPr>
              <w:sdtEndPr>
                <w:rPr>
                  <w:rFonts w:cs="Times New Roman"/>
                </w:rPr>
              </w:sdtEndPr>
              <w:sdtContent>
                <w:tc>
                  <w:tcPr>
                    <w:tcW w:w="949" w:type="pct"/>
                    <w:tcBorders>
                      <w:top w:val="single" w:color="auto" w:sz="4" w:space="0"/>
                      <w:left w:val="single" w:color="auto" w:sz="4" w:space="0"/>
                      <w:bottom w:val="single" w:color="auto" w:sz="4" w:space="0"/>
                      <w:right w:val="single" w:color="auto" w:sz="4" w:space="0"/>
                    </w:tcBorders>
                    <w:vAlign w:val="center"/>
                  </w:tcPr>
                  <w:p w14:paraId="686B8FA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营业收入</w:t>
                    </w:r>
                  </w:p>
                </w:tc>
              </w:sdtContent>
            </w:sdt>
            <w:sdt>
              <w:sdtPr>
                <w:rPr>
                  <w:rFonts w:cs="Times New Roman"/>
                </w:rPr>
                <w:tag w:val="_PLD_b60d678e181949d998ae7d21f7dd9556"/>
                <w:id w:val="147460727"/>
              </w:sdtPr>
              <w:sdtEndPr>
                <w:rPr>
                  <w:rFonts w:cs="Times New Roman"/>
                </w:rPr>
              </w:sdtEndPr>
              <w:sdtContent>
                <w:tc>
                  <w:tcPr>
                    <w:tcW w:w="946" w:type="pct"/>
                    <w:tcBorders>
                      <w:top w:val="single" w:color="auto" w:sz="4" w:space="0"/>
                      <w:left w:val="single" w:color="auto" w:sz="4" w:space="0"/>
                      <w:bottom w:val="single" w:color="auto" w:sz="4" w:space="0"/>
                      <w:right w:val="single" w:color="auto" w:sz="4" w:space="0"/>
                    </w:tcBorders>
                    <w:vAlign w:val="center"/>
                  </w:tcPr>
                  <w:p w14:paraId="3709139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营业成本</w:t>
                    </w:r>
                  </w:p>
                </w:tc>
              </w:sdtContent>
            </w:sdt>
          </w:tr>
          <w:tr w14:paraId="7ABD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57C87D8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按经营地区分类</w:t>
                </w:r>
              </w:p>
            </w:tc>
            <w:tc>
              <w:tcPr>
                <w:tcW w:w="882" w:type="pct"/>
                <w:tcBorders>
                  <w:top w:val="single" w:color="auto" w:sz="4" w:space="0"/>
                  <w:left w:val="single" w:color="auto" w:sz="4" w:space="0"/>
                  <w:bottom w:val="single" w:color="auto" w:sz="4" w:space="0"/>
                  <w:right w:val="single" w:color="auto" w:sz="4" w:space="0"/>
                </w:tcBorders>
              </w:tcPr>
              <w:p w14:paraId="29594391">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c>
              <w:tcPr>
                <w:tcW w:w="949" w:type="pct"/>
                <w:tcBorders>
                  <w:top w:val="single" w:color="auto" w:sz="4" w:space="0"/>
                  <w:left w:val="single" w:color="auto" w:sz="4" w:space="0"/>
                  <w:bottom w:val="single" w:color="auto" w:sz="4" w:space="0"/>
                  <w:right w:val="single" w:color="auto" w:sz="4" w:space="0"/>
                </w:tcBorders>
              </w:tcPr>
              <w:p w14:paraId="25D47E20">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c>
              <w:tcPr>
                <w:tcW w:w="949" w:type="pct"/>
                <w:tcBorders>
                  <w:top w:val="single" w:color="auto" w:sz="4" w:space="0"/>
                  <w:left w:val="single" w:color="auto" w:sz="4" w:space="0"/>
                  <w:bottom w:val="single" w:color="auto" w:sz="4" w:space="0"/>
                  <w:right w:val="single" w:color="auto" w:sz="4" w:space="0"/>
                </w:tcBorders>
              </w:tcPr>
              <w:p w14:paraId="0B3AA78E">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c>
              <w:tcPr>
                <w:tcW w:w="946" w:type="pct"/>
                <w:tcBorders>
                  <w:top w:val="single" w:color="auto" w:sz="4" w:space="0"/>
                  <w:left w:val="single" w:color="auto" w:sz="4" w:space="0"/>
                  <w:bottom w:val="single" w:color="auto" w:sz="4" w:space="0"/>
                  <w:right w:val="single" w:color="auto" w:sz="4" w:space="0"/>
                </w:tcBorders>
              </w:tcPr>
              <w:p w14:paraId="2EAD92FD">
                <w:pPr>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w:t>
                </w:r>
              </w:p>
            </w:tc>
          </w:tr>
          <w:tr w14:paraId="6EED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26E6C196">
                <w:pPr>
                  <w:ind w:firstLine="420" w:firstLineChars="200"/>
                  <w:textAlignment w:val="top"/>
                  <w:rPr>
                    <w:rFonts w:cs="Times New Roman"/>
                  </w:rPr>
                </w:pPr>
                <w:r>
                  <w:rPr>
                    <w:rFonts w:cs="Times New Roman"/>
                    <w:color w:val="000000"/>
                    <w:lang w:bidi="ar"/>
                  </w:rPr>
                  <w:t>境内</w:t>
                </w:r>
              </w:p>
            </w:tc>
            <w:tc>
              <w:tcPr>
                <w:tcW w:w="1557" w:type="dxa"/>
                <w:tcBorders>
                  <w:top w:val="single" w:color="auto" w:sz="4" w:space="0"/>
                  <w:left w:val="single" w:color="auto" w:sz="4" w:space="0"/>
                  <w:bottom w:val="single" w:color="auto" w:sz="4" w:space="0"/>
                  <w:right w:val="single" w:color="auto" w:sz="4" w:space="0"/>
                </w:tcBorders>
                <w:vAlign w:val="center"/>
              </w:tcPr>
              <w:p w14:paraId="4D9B30BC">
                <w:pPr>
                  <w:jc w:val="right"/>
                  <w:textAlignment w:val="center"/>
                  <w:rPr>
                    <w:rFonts w:cs="Times New Roman"/>
                  </w:rPr>
                </w:pPr>
                <w:r>
                  <w:rPr>
                    <w:rFonts w:eastAsia="Arial Narrow" w:cs="Times New Roman"/>
                    <w:color w:val="000000"/>
                    <w:lang w:bidi="ar"/>
                  </w:rPr>
                  <w:t>2,964,928,120.28</w:t>
                </w:r>
              </w:p>
            </w:tc>
            <w:tc>
              <w:tcPr>
                <w:tcW w:w="1676" w:type="dxa"/>
                <w:tcBorders>
                  <w:top w:val="single" w:color="auto" w:sz="4" w:space="0"/>
                  <w:left w:val="single" w:color="auto" w:sz="4" w:space="0"/>
                  <w:bottom w:val="single" w:color="auto" w:sz="4" w:space="0"/>
                  <w:right w:val="single" w:color="auto" w:sz="4" w:space="0"/>
                </w:tcBorders>
                <w:vAlign w:val="center"/>
              </w:tcPr>
              <w:p w14:paraId="23C09AFB">
                <w:pPr>
                  <w:jc w:val="right"/>
                  <w:textAlignment w:val="center"/>
                  <w:rPr>
                    <w:rFonts w:cs="Times New Roman"/>
                  </w:rPr>
                </w:pPr>
                <w:r>
                  <w:rPr>
                    <w:rFonts w:eastAsia="Arial Narrow" w:cs="Times New Roman"/>
                    <w:color w:val="000000"/>
                    <w:lang w:bidi="ar"/>
                  </w:rPr>
                  <w:t>2,542,613,208.37</w:t>
                </w:r>
              </w:p>
            </w:tc>
            <w:tc>
              <w:tcPr>
                <w:tcW w:w="1675" w:type="dxa"/>
                <w:tcBorders>
                  <w:top w:val="single" w:color="auto" w:sz="4" w:space="0"/>
                  <w:left w:val="single" w:color="auto" w:sz="4" w:space="0"/>
                  <w:bottom w:val="single" w:color="auto" w:sz="4" w:space="0"/>
                  <w:right w:val="single" w:color="auto" w:sz="4" w:space="0"/>
                </w:tcBorders>
                <w:vAlign w:val="center"/>
              </w:tcPr>
              <w:p w14:paraId="60B16664">
                <w:pPr>
                  <w:jc w:val="right"/>
                  <w:textAlignment w:val="center"/>
                  <w:rPr>
                    <w:rFonts w:cs="Times New Roman"/>
                  </w:rPr>
                </w:pPr>
                <w:r>
                  <w:rPr>
                    <w:rFonts w:eastAsia="Arial Narrow" w:cs="Times New Roman"/>
                    <w:color w:val="000000"/>
                    <w:lang w:bidi="ar"/>
                  </w:rPr>
                  <w:t>2,964,928,120.28</w:t>
                </w:r>
              </w:p>
            </w:tc>
            <w:tc>
              <w:tcPr>
                <w:tcW w:w="1669" w:type="dxa"/>
                <w:tcBorders>
                  <w:top w:val="single" w:color="auto" w:sz="4" w:space="0"/>
                  <w:left w:val="single" w:color="auto" w:sz="4" w:space="0"/>
                  <w:bottom w:val="single" w:color="auto" w:sz="4" w:space="0"/>
                  <w:right w:val="single" w:color="auto" w:sz="4" w:space="0"/>
                </w:tcBorders>
                <w:vAlign w:val="center"/>
              </w:tcPr>
              <w:p w14:paraId="66D17029">
                <w:pPr>
                  <w:jc w:val="right"/>
                  <w:textAlignment w:val="center"/>
                  <w:rPr>
                    <w:rFonts w:cs="Times New Roman"/>
                  </w:rPr>
                </w:pPr>
                <w:r>
                  <w:rPr>
                    <w:rFonts w:eastAsia="Arial Narrow" w:cs="Times New Roman"/>
                    <w:color w:val="000000"/>
                    <w:lang w:bidi="ar"/>
                  </w:rPr>
                  <w:t>2,542,613,208.37</w:t>
                </w:r>
              </w:p>
            </w:tc>
          </w:tr>
          <w:tr w14:paraId="61C7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0B75F827">
                <w:pPr>
                  <w:ind w:firstLine="420" w:firstLineChars="200"/>
                  <w:textAlignment w:val="top"/>
                  <w:rPr>
                    <w:rFonts w:cs="Times New Roman"/>
                    <w:color w:val="000000" w:themeColor="text1"/>
                    <w14:textFill>
                      <w14:solidFill>
                        <w14:schemeClr w14:val="tx1"/>
                      </w14:solidFill>
                    </w14:textFill>
                  </w:rPr>
                </w:pPr>
                <w:r>
                  <w:rPr>
                    <w:rFonts w:cs="Times New Roman"/>
                    <w:color w:val="000000"/>
                    <w:lang w:bidi="ar"/>
                  </w:rPr>
                  <w:t>境外</w:t>
                </w:r>
              </w:p>
            </w:tc>
            <w:tc>
              <w:tcPr>
                <w:tcW w:w="1557" w:type="dxa"/>
                <w:tcBorders>
                  <w:top w:val="single" w:color="auto" w:sz="4" w:space="0"/>
                  <w:left w:val="single" w:color="auto" w:sz="4" w:space="0"/>
                  <w:bottom w:val="single" w:color="auto" w:sz="4" w:space="0"/>
                  <w:right w:val="single" w:color="auto" w:sz="4" w:space="0"/>
                </w:tcBorders>
                <w:vAlign w:val="center"/>
              </w:tcPr>
              <w:p w14:paraId="114F162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242,803,822.57</w:t>
                </w:r>
              </w:p>
            </w:tc>
            <w:tc>
              <w:tcPr>
                <w:tcW w:w="1676" w:type="dxa"/>
                <w:tcBorders>
                  <w:top w:val="single" w:color="auto" w:sz="4" w:space="0"/>
                  <w:left w:val="single" w:color="auto" w:sz="4" w:space="0"/>
                  <w:bottom w:val="single" w:color="auto" w:sz="4" w:space="0"/>
                  <w:right w:val="single" w:color="auto" w:sz="4" w:space="0"/>
                </w:tcBorders>
                <w:vAlign w:val="center"/>
              </w:tcPr>
              <w:p w14:paraId="0D7B7211">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215,552,927.19</w:t>
                </w:r>
              </w:p>
            </w:tc>
            <w:tc>
              <w:tcPr>
                <w:tcW w:w="1675" w:type="dxa"/>
                <w:tcBorders>
                  <w:top w:val="single" w:color="auto" w:sz="4" w:space="0"/>
                  <w:left w:val="single" w:color="auto" w:sz="4" w:space="0"/>
                  <w:bottom w:val="single" w:color="auto" w:sz="4" w:space="0"/>
                  <w:right w:val="single" w:color="auto" w:sz="4" w:space="0"/>
                </w:tcBorders>
                <w:vAlign w:val="center"/>
              </w:tcPr>
              <w:p w14:paraId="4D12B9B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242,803,822.57</w:t>
                </w:r>
              </w:p>
            </w:tc>
            <w:tc>
              <w:tcPr>
                <w:tcW w:w="1669" w:type="dxa"/>
                <w:tcBorders>
                  <w:top w:val="single" w:color="auto" w:sz="4" w:space="0"/>
                  <w:left w:val="single" w:color="auto" w:sz="4" w:space="0"/>
                  <w:bottom w:val="single" w:color="auto" w:sz="4" w:space="0"/>
                  <w:right w:val="single" w:color="auto" w:sz="4" w:space="0"/>
                </w:tcBorders>
                <w:vAlign w:val="center"/>
              </w:tcPr>
              <w:p w14:paraId="56B6B96A">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215,552,927.19</w:t>
                </w:r>
              </w:p>
            </w:tc>
          </w:tr>
          <w:tr w14:paraId="1DC9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497ED16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市场或客户类型</w:t>
                </w:r>
              </w:p>
            </w:tc>
            <w:tc>
              <w:tcPr>
                <w:tcW w:w="1557" w:type="dxa"/>
                <w:tcBorders>
                  <w:top w:val="single" w:color="auto" w:sz="4" w:space="0"/>
                  <w:left w:val="single" w:color="auto" w:sz="4" w:space="0"/>
                  <w:bottom w:val="single" w:color="auto" w:sz="4" w:space="0"/>
                  <w:right w:val="single" w:color="auto" w:sz="4" w:space="0"/>
                </w:tcBorders>
                <w:vAlign w:val="center"/>
              </w:tcPr>
              <w:p w14:paraId="0F41F884">
                <w:pPr>
                  <w:jc w:val="right"/>
                  <w:rPr>
                    <w:rFonts w:cs="Times New Roman"/>
                    <w:color w:val="000000" w:themeColor="text1"/>
                    <w14:textFill>
                      <w14:solidFill>
                        <w14:schemeClr w14:val="tx1"/>
                      </w14:solidFill>
                    </w14:textFill>
                  </w:rPr>
                </w:pPr>
              </w:p>
            </w:tc>
            <w:tc>
              <w:tcPr>
                <w:tcW w:w="1676" w:type="dxa"/>
                <w:tcBorders>
                  <w:top w:val="single" w:color="auto" w:sz="4" w:space="0"/>
                  <w:left w:val="single" w:color="auto" w:sz="4" w:space="0"/>
                  <w:bottom w:val="single" w:color="auto" w:sz="4" w:space="0"/>
                  <w:right w:val="single" w:color="auto" w:sz="4" w:space="0"/>
                </w:tcBorders>
                <w:vAlign w:val="center"/>
              </w:tcPr>
              <w:p w14:paraId="364FD17A">
                <w:pPr>
                  <w:jc w:val="right"/>
                  <w:rPr>
                    <w:rFonts w:cs="Times New Roman"/>
                    <w:color w:val="000000" w:themeColor="text1"/>
                    <w14:textFill>
                      <w14:solidFill>
                        <w14:schemeClr w14:val="tx1"/>
                      </w14:solidFill>
                    </w14:textFill>
                  </w:rPr>
                </w:pPr>
              </w:p>
            </w:tc>
            <w:tc>
              <w:tcPr>
                <w:tcW w:w="1675" w:type="dxa"/>
                <w:tcBorders>
                  <w:top w:val="single" w:color="auto" w:sz="4" w:space="0"/>
                  <w:left w:val="single" w:color="auto" w:sz="4" w:space="0"/>
                  <w:bottom w:val="single" w:color="auto" w:sz="4" w:space="0"/>
                  <w:right w:val="single" w:color="auto" w:sz="4" w:space="0"/>
                </w:tcBorders>
                <w:vAlign w:val="center"/>
              </w:tcPr>
              <w:p w14:paraId="7CF00CF3">
                <w:pPr>
                  <w:jc w:val="right"/>
                  <w:rPr>
                    <w:rFonts w:cs="Times New Roman"/>
                    <w:color w:val="000000" w:themeColor="text1"/>
                    <w14:textFill>
                      <w14:solidFill>
                        <w14:schemeClr w14:val="tx1"/>
                      </w14:solidFill>
                    </w14:textFill>
                  </w:rPr>
                </w:pPr>
              </w:p>
            </w:tc>
            <w:tc>
              <w:tcPr>
                <w:tcW w:w="1669" w:type="dxa"/>
                <w:tcBorders>
                  <w:top w:val="single" w:color="auto" w:sz="4" w:space="0"/>
                  <w:left w:val="single" w:color="auto" w:sz="4" w:space="0"/>
                  <w:bottom w:val="single" w:color="auto" w:sz="4" w:space="0"/>
                  <w:right w:val="single" w:color="auto" w:sz="4" w:space="0"/>
                </w:tcBorders>
                <w:vAlign w:val="center"/>
              </w:tcPr>
              <w:p w14:paraId="6792DF82">
                <w:pPr>
                  <w:jc w:val="right"/>
                  <w:rPr>
                    <w:rFonts w:cs="Times New Roman"/>
                    <w:color w:val="000000" w:themeColor="text1"/>
                    <w14:textFill>
                      <w14:solidFill>
                        <w14:schemeClr w14:val="tx1"/>
                      </w14:solidFill>
                    </w14:textFill>
                  </w:rPr>
                </w:pPr>
              </w:p>
            </w:tc>
          </w:tr>
          <w:tr w14:paraId="4C25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371282D0">
                <w:pPr>
                  <w:ind w:firstLine="420" w:firstLineChars="200"/>
                  <w:textAlignment w:val="top"/>
                  <w:rPr>
                    <w:rFonts w:cs="Times New Roman"/>
                  </w:rPr>
                </w:pPr>
                <w:r>
                  <w:rPr>
                    <w:rFonts w:cs="Times New Roman"/>
                    <w:color w:val="000000"/>
                    <w:lang w:bidi="ar"/>
                  </w:rPr>
                  <w:t>军品</w:t>
                </w:r>
              </w:p>
            </w:tc>
            <w:tc>
              <w:tcPr>
                <w:tcW w:w="1557" w:type="dxa"/>
                <w:tcBorders>
                  <w:top w:val="single" w:color="auto" w:sz="4" w:space="0"/>
                  <w:left w:val="single" w:color="auto" w:sz="4" w:space="0"/>
                  <w:bottom w:val="single" w:color="auto" w:sz="4" w:space="0"/>
                  <w:right w:val="single" w:color="auto" w:sz="4" w:space="0"/>
                </w:tcBorders>
                <w:vAlign w:val="center"/>
              </w:tcPr>
              <w:p w14:paraId="28DBDD53">
                <w:pPr>
                  <w:jc w:val="right"/>
                  <w:textAlignment w:val="center"/>
                  <w:rPr>
                    <w:rFonts w:cs="Times New Roman"/>
                  </w:rPr>
                </w:pPr>
                <w:r>
                  <w:rPr>
                    <w:rFonts w:eastAsia="Arial Narrow" w:cs="Times New Roman"/>
                    <w:color w:val="000000"/>
                    <w:lang w:bidi="ar"/>
                  </w:rPr>
                  <w:t>658,602,305.93</w:t>
                </w:r>
              </w:p>
            </w:tc>
            <w:tc>
              <w:tcPr>
                <w:tcW w:w="1676" w:type="dxa"/>
                <w:tcBorders>
                  <w:top w:val="single" w:color="auto" w:sz="4" w:space="0"/>
                  <w:left w:val="single" w:color="auto" w:sz="4" w:space="0"/>
                  <w:bottom w:val="single" w:color="auto" w:sz="4" w:space="0"/>
                  <w:right w:val="single" w:color="auto" w:sz="4" w:space="0"/>
                </w:tcBorders>
                <w:vAlign w:val="center"/>
              </w:tcPr>
              <w:p w14:paraId="77DE924B">
                <w:pPr>
                  <w:jc w:val="right"/>
                  <w:textAlignment w:val="center"/>
                  <w:rPr>
                    <w:rFonts w:cs="Times New Roman"/>
                  </w:rPr>
                </w:pPr>
                <w:r>
                  <w:rPr>
                    <w:rFonts w:eastAsia="Arial Narrow" w:cs="Times New Roman"/>
                    <w:color w:val="000000"/>
                    <w:lang w:bidi="ar"/>
                  </w:rPr>
                  <w:t>553,655,836.05</w:t>
                </w:r>
              </w:p>
            </w:tc>
            <w:tc>
              <w:tcPr>
                <w:tcW w:w="1675" w:type="dxa"/>
                <w:tcBorders>
                  <w:top w:val="single" w:color="auto" w:sz="4" w:space="0"/>
                  <w:left w:val="single" w:color="auto" w:sz="4" w:space="0"/>
                  <w:bottom w:val="single" w:color="auto" w:sz="4" w:space="0"/>
                  <w:right w:val="single" w:color="auto" w:sz="4" w:space="0"/>
                </w:tcBorders>
                <w:vAlign w:val="center"/>
              </w:tcPr>
              <w:p w14:paraId="23072DA3">
                <w:pPr>
                  <w:jc w:val="right"/>
                  <w:textAlignment w:val="center"/>
                  <w:rPr>
                    <w:rFonts w:cs="Times New Roman"/>
                  </w:rPr>
                </w:pPr>
                <w:r>
                  <w:rPr>
                    <w:rFonts w:eastAsia="Arial Narrow" w:cs="Times New Roman"/>
                    <w:color w:val="000000"/>
                    <w:lang w:bidi="ar"/>
                  </w:rPr>
                  <w:t>658,602,305.93</w:t>
                </w:r>
              </w:p>
            </w:tc>
            <w:tc>
              <w:tcPr>
                <w:tcW w:w="1669" w:type="dxa"/>
                <w:tcBorders>
                  <w:top w:val="single" w:color="auto" w:sz="4" w:space="0"/>
                  <w:left w:val="single" w:color="auto" w:sz="4" w:space="0"/>
                  <w:bottom w:val="single" w:color="auto" w:sz="4" w:space="0"/>
                  <w:right w:val="single" w:color="auto" w:sz="4" w:space="0"/>
                </w:tcBorders>
                <w:vAlign w:val="center"/>
              </w:tcPr>
              <w:p w14:paraId="768B058A">
                <w:pPr>
                  <w:jc w:val="right"/>
                  <w:textAlignment w:val="center"/>
                  <w:rPr>
                    <w:rFonts w:cs="Times New Roman"/>
                  </w:rPr>
                </w:pPr>
                <w:r>
                  <w:rPr>
                    <w:rFonts w:eastAsia="Arial Narrow" w:cs="Times New Roman"/>
                    <w:color w:val="000000"/>
                    <w:lang w:bidi="ar"/>
                  </w:rPr>
                  <w:t>553,655,836.05</w:t>
                </w:r>
              </w:p>
            </w:tc>
          </w:tr>
          <w:tr w14:paraId="3BDB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0C96BE4A">
                <w:pPr>
                  <w:ind w:firstLine="420" w:firstLineChars="200"/>
                  <w:textAlignment w:val="top"/>
                  <w:rPr>
                    <w:rFonts w:cs="Times New Roman"/>
                    <w:color w:val="000000" w:themeColor="text1"/>
                    <w14:textFill>
                      <w14:solidFill>
                        <w14:schemeClr w14:val="tx1"/>
                      </w14:solidFill>
                    </w14:textFill>
                  </w:rPr>
                </w:pPr>
                <w:r>
                  <w:rPr>
                    <w:rFonts w:cs="Times New Roman"/>
                    <w:color w:val="000000"/>
                    <w:lang w:bidi="ar"/>
                  </w:rPr>
                  <w:t>民品</w:t>
                </w:r>
              </w:p>
            </w:tc>
            <w:tc>
              <w:tcPr>
                <w:tcW w:w="1557" w:type="dxa"/>
                <w:tcBorders>
                  <w:top w:val="single" w:color="auto" w:sz="4" w:space="0"/>
                  <w:left w:val="single" w:color="auto" w:sz="4" w:space="0"/>
                  <w:bottom w:val="single" w:color="auto" w:sz="4" w:space="0"/>
                  <w:right w:val="single" w:color="auto" w:sz="4" w:space="0"/>
                </w:tcBorders>
                <w:vAlign w:val="center"/>
              </w:tcPr>
              <w:p w14:paraId="38BC53B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2,277,462,031.42</w:t>
                </w:r>
              </w:p>
            </w:tc>
            <w:tc>
              <w:tcPr>
                <w:tcW w:w="1676" w:type="dxa"/>
                <w:tcBorders>
                  <w:top w:val="single" w:color="auto" w:sz="4" w:space="0"/>
                  <w:left w:val="single" w:color="auto" w:sz="4" w:space="0"/>
                  <w:bottom w:val="single" w:color="auto" w:sz="4" w:space="0"/>
                  <w:right w:val="single" w:color="auto" w:sz="4" w:space="0"/>
                </w:tcBorders>
                <w:vAlign w:val="center"/>
              </w:tcPr>
              <w:p w14:paraId="035FFB3C">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2,034,947,330.31</w:t>
                </w:r>
              </w:p>
            </w:tc>
            <w:tc>
              <w:tcPr>
                <w:tcW w:w="1675" w:type="dxa"/>
                <w:tcBorders>
                  <w:top w:val="single" w:color="auto" w:sz="4" w:space="0"/>
                  <w:left w:val="single" w:color="auto" w:sz="4" w:space="0"/>
                  <w:bottom w:val="single" w:color="auto" w:sz="4" w:space="0"/>
                  <w:right w:val="single" w:color="auto" w:sz="4" w:space="0"/>
                </w:tcBorders>
                <w:vAlign w:val="center"/>
              </w:tcPr>
              <w:p w14:paraId="7CADEF2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2,277,462,031.42</w:t>
                </w:r>
              </w:p>
            </w:tc>
            <w:tc>
              <w:tcPr>
                <w:tcW w:w="1669" w:type="dxa"/>
                <w:tcBorders>
                  <w:top w:val="single" w:color="auto" w:sz="4" w:space="0"/>
                  <w:left w:val="single" w:color="auto" w:sz="4" w:space="0"/>
                  <w:bottom w:val="single" w:color="auto" w:sz="4" w:space="0"/>
                  <w:right w:val="single" w:color="auto" w:sz="4" w:space="0"/>
                </w:tcBorders>
                <w:vAlign w:val="center"/>
              </w:tcPr>
              <w:p w14:paraId="76A5C34F">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2,034,947,330.31</w:t>
                </w:r>
              </w:p>
            </w:tc>
          </w:tr>
          <w:tr w14:paraId="35DF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683C1BD1">
                <w:pPr>
                  <w:ind w:firstLine="420" w:firstLineChars="200"/>
                  <w:textAlignment w:val="top"/>
                  <w:rPr>
                    <w:rFonts w:cs="Times New Roman"/>
                    <w:color w:val="000000" w:themeColor="text1"/>
                    <w14:textFill>
                      <w14:solidFill>
                        <w14:schemeClr w14:val="tx1"/>
                      </w14:solidFill>
                    </w14:textFill>
                  </w:rPr>
                </w:pPr>
                <w:r>
                  <w:rPr>
                    <w:rFonts w:cs="Times New Roman"/>
                    <w:color w:val="000000"/>
                    <w:lang w:bidi="ar"/>
                  </w:rPr>
                  <w:t>贸易及其他</w:t>
                </w:r>
              </w:p>
            </w:tc>
            <w:tc>
              <w:tcPr>
                <w:tcW w:w="1557" w:type="dxa"/>
                <w:tcBorders>
                  <w:top w:val="single" w:color="auto" w:sz="4" w:space="0"/>
                  <w:left w:val="single" w:color="auto" w:sz="4" w:space="0"/>
                  <w:bottom w:val="single" w:color="auto" w:sz="4" w:space="0"/>
                  <w:right w:val="single" w:color="auto" w:sz="4" w:space="0"/>
                </w:tcBorders>
                <w:vAlign w:val="center"/>
              </w:tcPr>
              <w:p w14:paraId="5389BB54">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271,667,605.50</w:t>
                </w:r>
              </w:p>
            </w:tc>
            <w:tc>
              <w:tcPr>
                <w:tcW w:w="1676" w:type="dxa"/>
                <w:tcBorders>
                  <w:top w:val="single" w:color="auto" w:sz="4" w:space="0"/>
                  <w:left w:val="single" w:color="auto" w:sz="4" w:space="0"/>
                  <w:bottom w:val="single" w:color="auto" w:sz="4" w:space="0"/>
                  <w:right w:val="single" w:color="auto" w:sz="4" w:space="0"/>
                </w:tcBorders>
                <w:vAlign w:val="center"/>
              </w:tcPr>
              <w:p w14:paraId="4271A5BA">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169,562,969.20</w:t>
                </w:r>
              </w:p>
            </w:tc>
            <w:tc>
              <w:tcPr>
                <w:tcW w:w="1675" w:type="dxa"/>
                <w:tcBorders>
                  <w:top w:val="single" w:color="auto" w:sz="4" w:space="0"/>
                  <w:left w:val="single" w:color="auto" w:sz="4" w:space="0"/>
                  <w:bottom w:val="single" w:color="auto" w:sz="4" w:space="0"/>
                  <w:right w:val="single" w:color="auto" w:sz="4" w:space="0"/>
                </w:tcBorders>
                <w:vAlign w:val="center"/>
              </w:tcPr>
              <w:p w14:paraId="7DF400F8">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271,667,605.50</w:t>
                </w:r>
              </w:p>
            </w:tc>
            <w:tc>
              <w:tcPr>
                <w:tcW w:w="1669" w:type="dxa"/>
                <w:tcBorders>
                  <w:top w:val="single" w:color="auto" w:sz="4" w:space="0"/>
                  <w:left w:val="single" w:color="auto" w:sz="4" w:space="0"/>
                  <w:bottom w:val="single" w:color="auto" w:sz="4" w:space="0"/>
                  <w:right w:val="single" w:color="auto" w:sz="4" w:space="0"/>
                </w:tcBorders>
                <w:vAlign w:val="center"/>
              </w:tcPr>
              <w:p w14:paraId="7CDA8A9B">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169,562,969.20</w:t>
                </w:r>
              </w:p>
            </w:tc>
          </w:tr>
          <w:tr w14:paraId="45E7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pct"/>
                <w:tcBorders>
                  <w:top w:val="single" w:color="auto" w:sz="4" w:space="0"/>
                  <w:left w:val="single" w:color="auto" w:sz="4" w:space="0"/>
                  <w:bottom w:val="single" w:color="auto" w:sz="4" w:space="0"/>
                  <w:right w:val="single" w:color="auto" w:sz="4" w:space="0"/>
                </w:tcBorders>
              </w:tcPr>
              <w:p w14:paraId="0616C9B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557" w:type="dxa"/>
                <w:tcBorders>
                  <w:top w:val="single" w:color="auto" w:sz="4" w:space="0"/>
                  <w:left w:val="single" w:color="auto" w:sz="4" w:space="0"/>
                  <w:bottom w:val="single" w:color="auto" w:sz="4" w:space="0"/>
                  <w:right w:val="single" w:color="auto" w:sz="4" w:space="0"/>
                </w:tcBorders>
                <w:vAlign w:val="center"/>
              </w:tcPr>
              <w:p w14:paraId="59D8D966">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3,207,731,942.85</w:t>
                </w:r>
              </w:p>
            </w:tc>
            <w:tc>
              <w:tcPr>
                <w:tcW w:w="1676" w:type="dxa"/>
                <w:tcBorders>
                  <w:top w:val="single" w:color="auto" w:sz="4" w:space="0"/>
                  <w:left w:val="single" w:color="auto" w:sz="4" w:space="0"/>
                  <w:bottom w:val="single" w:color="auto" w:sz="4" w:space="0"/>
                  <w:right w:val="single" w:color="auto" w:sz="4" w:space="0"/>
                </w:tcBorders>
                <w:vAlign w:val="center"/>
              </w:tcPr>
              <w:p w14:paraId="787ABC35">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2,758,166,135.56</w:t>
                </w:r>
              </w:p>
            </w:tc>
            <w:tc>
              <w:tcPr>
                <w:tcW w:w="1675" w:type="dxa"/>
                <w:tcBorders>
                  <w:top w:val="single" w:color="auto" w:sz="4" w:space="0"/>
                  <w:left w:val="single" w:color="auto" w:sz="4" w:space="0"/>
                  <w:bottom w:val="single" w:color="auto" w:sz="4" w:space="0"/>
                  <w:right w:val="single" w:color="auto" w:sz="4" w:space="0"/>
                </w:tcBorders>
                <w:vAlign w:val="center"/>
              </w:tcPr>
              <w:p w14:paraId="5AF2F02E">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3,207,731,942.85</w:t>
                </w:r>
              </w:p>
            </w:tc>
            <w:tc>
              <w:tcPr>
                <w:tcW w:w="1669" w:type="dxa"/>
                <w:tcBorders>
                  <w:top w:val="single" w:color="auto" w:sz="4" w:space="0"/>
                  <w:left w:val="single" w:color="auto" w:sz="4" w:space="0"/>
                  <w:bottom w:val="single" w:color="auto" w:sz="4" w:space="0"/>
                  <w:right w:val="single" w:color="auto" w:sz="4" w:space="0"/>
                </w:tcBorders>
                <w:vAlign w:val="center"/>
              </w:tcPr>
              <w:p w14:paraId="4D61798D">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2,758,166,135.56</w:t>
                </w:r>
              </w:p>
            </w:tc>
          </w:tr>
        </w:tbl>
        <w:p w14:paraId="567B1AF4"/>
        <w:p w14:paraId="02ACCC94">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营业收入、营业成本的分解信息说明 [双击切换]"/>
            <w:tag w:val="_GBC_04602e125f9d4f519cbc5efd2f4ee0ea"/>
            <w:id w:val="147459359"/>
            <w:placeholder>
              <w:docPart w:val="GBC22222222222222222222222222222"/>
            </w:placeholder>
          </w:sdtPr>
          <w:sdtEndPr>
            <w:rPr>
              <w:color w:val="000000" w:themeColor="text1"/>
              <w14:textFill>
                <w14:solidFill>
                  <w14:schemeClr w14:val="tx1"/>
                </w14:solidFill>
              </w14:textFill>
            </w:rPr>
          </w:sdtEndPr>
          <w:sdtContent>
            <w:p w14:paraId="6CF7115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F0F36F0">
          <w:pPr>
            <w:rPr>
              <w:color w:val="000000" w:themeColor="text1"/>
              <w14:textFill>
                <w14:solidFill>
                  <w14:schemeClr w14:val="tx1"/>
                </w14:solidFill>
              </w14:textFill>
            </w:rPr>
          </w:pPr>
        </w:p>
      </w:sdtContent>
    </w:sdt>
    <w:bookmarkEnd w:id="378"/>
    <w:p w14:paraId="07A96520">
      <w:pPr>
        <w:pStyle w:val="58"/>
        <w:numPr>
          <w:ilvl w:val="0"/>
          <w:numId w:val="88"/>
        </w:numPr>
        <w:ind w:left="426" w:hanging="426"/>
        <w:rPr>
          <w:rFonts w:ascii="宋体" w:hAnsi="宋体"/>
          <w:color w:val="000000" w:themeColor="text1"/>
          <w14:textFill>
            <w14:solidFill>
              <w14:schemeClr w14:val="tx1"/>
            </w14:solidFill>
          </w14:textFill>
        </w:rPr>
      </w:pPr>
      <w:bookmarkStart w:id="380" w:name="_Hlk533670431"/>
      <w:r>
        <w:rPr>
          <w:rFonts w:hint="eastAsia" w:ascii="宋体" w:hAnsi="宋体"/>
          <w:color w:val="000000" w:themeColor="text1"/>
          <w14:textFill>
            <w14:solidFill>
              <w14:schemeClr w14:val="tx1"/>
            </w14:solidFill>
          </w14:textFill>
        </w:rPr>
        <w:t>履约义务的说明</w:t>
      </w:r>
    </w:p>
    <w:sdt>
      <w:sdtPr>
        <w:rPr>
          <w:color w:val="000000" w:themeColor="text1"/>
          <w14:textFill>
            <w14:solidFill>
              <w14:schemeClr w14:val="tx1"/>
            </w14:solidFill>
          </w14:textFill>
        </w:rPr>
        <w:alias w:val="是否适用：履约义务的说明[双击切换]"/>
        <w:tag w:val="_GBC_ec22242632ae490ba6bc8afe3b2e35bc"/>
        <w:id w:val="147450972"/>
        <w:placeholder>
          <w:docPart w:val="GBC22222222222222222222222222222"/>
        </w:placeholder>
      </w:sdtPr>
      <w:sdtEndPr>
        <w:rPr>
          <w:color w:val="000000" w:themeColor="text1"/>
          <w14:textFill>
            <w14:solidFill>
              <w14:schemeClr w14:val="tx1"/>
            </w14:solidFill>
          </w14:textFill>
        </w:rPr>
      </w:sdtEndPr>
      <w:sdtContent>
        <w:p w14:paraId="767240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C654DC">
      <w:pPr>
        <w:rPr>
          <w:color w:val="000000" w:themeColor="text1"/>
          <w14:textFill>
            <w14:solidFill>
              <w14:schemeClr w14:val="tx1"/>
            </w14:solidFill>
          </w14:textFill>
        </w:rPr>
      </w:pPr>
    </w:p>
    <w:bookmarkEnd w:id="379"/>
    <w:bookmarkEnd w:id="380"/>
    <w:p w14:paraId="620599C5">
      <w:pPr>
        <w:pStyle w:val="58"/>
        <w:numPr>
          <w:ilvl w:val="0"/>
          <w:numId w:val="88"/>
        </w:numPr>
        <w:ind w:left="426" w:hanging="426"/>
        <w:rPr>
          <w:rFonts w:ascii="宋体" w:hAnsi="宋体"/>
          <w:color w:val="000000" w:themeColor="text1"/>
          <w14:textFill>
            <w14:solidFill>
              <w14:schemeClr w14:val="tx1"/>
            </w14:solidFill>
          </w14:textFill>
        </w:rPr>
      </w:pPr>
      <w:bookmarkStart w:id="381" w:name="_Hlk10538107"/>
      <w:bookmarkStart w:id="382" w:name="_Hlk10538117"/>
      <w:r>
        <w:rPr>
          <w:rFonts w:hint="eastAsia" w:ascii="宋体" w:hAnsi="宋体"/>
          <w:color w:val="000000" w:themeColor="text1"/>
          <w14:textFill>
            <w14:solidFill>
              <w14:schemeClr w14:val="tx1"/>
            </w14:solidFill>
          </w14:textFill>
        </w:rPr>
        <w:t>分摊至剩余履约义务的说明</w:t>
      </w:r>
      <w:bookmarkEnd w:id="381"/>
    </w:p>
    <w:sdt>
      <w:sdtPr>
        <w:rPr>
          <w:color w:val="000000" w:themeColor="text1"/>
          <w14:textFill>
            <w14:solidFill>
              <w14:schemeClr w14:val="tx1"/>
            </w14:solidFill>
          </w14:textFill>
        </w:rPr>
        <w:alias w:val="是否适用：分摊至剩余履约义务的说明[双击切换]"/>
        <w:tag w:val="_GBC_3e12eb65fc9e4c7b80815a7392be58f2"/>
        <w:id w:val="147463981"/>
        <w:placeholder>
          <w:docPart w:val="GBC22222222222222222222222222222"/>
        </w:placeholder>
      </w:sdtPr>
      <w:sdtEndPr>
        <w:rPr>
          <w:color w:val="000000" w:themeColor="text1"/>
          <w14:textFill>
            <w14:solidFill>
              <w14:schemeClr w14:val="tx1"/>
            </w14:solidFill>
          </w14:textFill>
        </w:rPr>
      </w:sdtEndPr>
      <w:sdtContent>
        <w:p w14:paraId="214E77D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2"/>
    <w:p w14:paraId="07BB65D5">
      <w:pPr>
        <w:rPr>
          <w:color w:val="000000" w:themeColor="text1"/>
          <w14:textFill>
            <w14:solidFill>
              <w14:schemeClr w14:val="tx1"/>
            </w14:solidFill>
          </w14:textFill>
        </w:rPr>
      </w:pPr>
    </w:p>
    <w:p w14:paraId="4DEEF9D5">
      <w:pPr>
        <w:pStyle w:val="58"/>
        <w:numPr>
          <w:ilvl w:val="0"/>
          <w:numId w:val="88"/>
        </w:numPr>
        <w:ind w:left="426" w:hanging="426"/>
        <w:rPr>
          <w:rFonts w:ascii="宋体" w:hAnsi="宋体"/>
          <w:color w:val="000000" w:themeColor="text1"/>
          <w14:textFill>
            <w14:solidFill>
              <w14:schemeClr w14:val="tx1"/>
            </w14:solidFill>
          </w14:textFill>
        </w:rPr>
      </w:pPr>
      <w:bookmarkStart w:id="383" w:name="_Hlk167969793"/>
      <w:r>
        <w:rPr>
          <w:rFonts w:hint="eastAsia" w:ascii="宋体" w:hAnsi="宋体"/>
          <w:color w:val="000000" w:themeColor="text1"/>
          <w14:textFill>
            <w14:solidFill>
              <w14:schemeClr w14:val="tx1"/>
            </w14:solidFill>
          </w14:textFill>
        </w:rPr>
        <w:t>重大合同变更或重大交易价格调整</w:t>
      </w:r>
    </w:p>
    <w:sdt>
      <w:sdtPr>
        <w:rPr>
          <w:color w:val="000000" w:themeColor="text1"/>
          <w14:textFill>
            <w14:solidFill>
              <w14:schemeClr w14:val="tx1"/>
            </w14:solidFill>
          </w14:textFill>
        </w:rPr>
        <w:alias w:val="是否适用：重大合同变更或重大交易价格调整[双击切换]"/>
        <w:tag w:val="_GBC_4ff195f785f7474ba9def45795b4e11c"/>
        <w:id w:val="147458655"/>
        <w:placeholder>
          <w:docPart w:val="GBC22222222222222222222222222222"/>
        </w:placeholder>
      </w:sdtPr>
      <w:sdtEndPr>
        <w:rPr>
          <w:color w:val="000000" w:themeColor="text1"/>
          <w14:textFill>
            <w14:solidFill>
              <w14:schemeClr w14:val="tx1"/>
            </w14:solidFill>
          </w14:textFill>
        </w:rPr>
      </w:sdtEndPr>
      <w:sdtContent>
        <w:p w14:paraId="7E759A6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C85629">
      <w:pPr>
        <w:rPr>
          <w:color w:val="000000" w:themeColor="text1"/>
          <w14:textFill>
            <w14:solidFill>
              <w14:schemeClr w14:val="tx1"/>
            </w14:solidFill>
          </w14:textFill>
        </w:rPr>
      </w:pPr>
    </w:p>
    <w:bookmarkEnd w:id="383"/>
    <w:p w14:paraId="0C8FC2A4">
      <w:pPr>
        <w:spacing w:before="60" w:after="60"/>
        <w:rPr>
          <w:color w:val="000000" w:themeColor="text1"/>
          <w14:textFill>
            <w14:solidFill>
              <w14:schemeClr w14:val="tx1"/>
            </w14:solidFill>
          </w14:textFill>
        </w:rPr>
      </w:pPr>
      <w:bookmarkStart w:id="384" w:name="_Hlk26364697"/>
      <w:bookmarkStart w:id="385" w:name="_Hlk41487523"/>
      <w:r>
        <w:rPr>
          <w:rFonts w:hint="eastAsia"/>
          <w:color w:val="000000" w:themeColor="text1"/>
          <w14:textFill>
            <w14:solidFill>
              <w14:schemeClr w14:val="tx1"/>
            </w14:solidFill>
          </w14:textFill>
        </w:rPr>
        <w:t>其他说明：</w:t>
      </w:r>
    </w:p>
    <w:p w14:paraId="145AD1E0">
      <w:pPr>
        <w:rPr>
          <w:color w:val="000000" w:themeColor="text1"/>
          <w14:textFill>
            <w14:solidFill>
              <w14:schemeClr w14:val="tx1"/>
            </w14:solidFill>
          </w14:textFill>
        </w:rPr>
      </w:pPr>
      <w:sdt>
        <w:sdtPr>
          <w:rPr>
            <w:color w:val="000000" w:themeColor="text1"/>
            <w14:textFill>
              <w14:solidFill>
                <w14:schemeClr w14:val="tx1"/>
              </w14:solidFill>
            </w14:textFill>
          </w:rPr>
          <w:alias w:val="主营业务说明"/>
          <w:tag w:val="_GBC_72a96250960e4e188d2fa1097869655e"/>
          <w:id w:val="147457199"/>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bookmarkEnd w:id="384"/>
    </w:p>
    <w:p w14:paraId="15E46B9F">
      <w:pPr>
        <w:rPr>
          <w:color w:val="000000" w:themeColor="text1"/>
          <w14:textFill>
            <w14:solidFill>
              <w14:schemeClr w14:val="tx1"/>
            </w14:solidFill>
          </w14:textFill>
        </w:rPr>
      </w:pPr>
    </w:p>
    <w:p w14:paraId="6D13B768">
      <w:pPr>
        <w:rPr>
          <w:color w:val="000000" w:themeColor="text1"/>
          <w14:textFill>
            <w14:solidFill>
              <w14:schemeClr w14:val="tx1"/>
            </w14:solidFill>
          </w14:textFill>
        </w:rPr>
      </w:pPr>
    </w:p>
    <w:bookmarkEnd w:id="385"/>
    <w:p w14:paraId="3CE65817">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税金及附加</w:t>
      </w:r>
    </w:p>
    <w:sdt>
      <w:sdtPr>
        <w:rPr>
          <w:color w:val="000000" w:themeColor="text1"/>
          <w14:textFill>
            <w14:solidFill>
              <w14:schemeClr w14:val="tx1"/>
            </w14:solidFill>
          </w14:textFill>
        </w:rPr>
        <w:alias w:val="是否适用：税金及附加[双击切换]"/>
        <w:tag w:val="_GBC_e6e37ca7fd2a435e8e042586945bb4d2"/>
        <w:id w:val="147475869"/>
        <w:placeholder>
          <w:docPart w:val="GBC22222222222222222222222222222"/>
        </w:placeholder>
      </w:sdtPr>
      <w:sdtEndPr>
        <w:rPr>
          <w:color w:val="000000" w:themeColor="text1"/>
          <w14:textFill>
            <w14:solidFill>
              <w14:schemeClr w14:val="tx1"/>
            </w14:solidFill>
          </w14:textFill>
        </w:rPr>
      </w:sdtEndPr>
      <w:sdtContent>
        <w:p w14:paraId="5584D10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28E4674">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税金及附加"/>
          <w:tag w:val="_GBC_bdd382ceb0b74413bcc8ce354afae4a8"/>
          <w:id w:val="1474745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税金及附加"/>
          <w:tag w:val="_GBC_ecf8b53c11ec4336b91007df3f6b5f78"/>
          <w:id w:val="1474638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3071"/>
        <w:gridCol w:w="3070"/>
      </w:tblGrid>
      <w:tr w14:paraId="3C50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444bcf5500dc4f7f9041afd20c147408"/>
            <w:id w:val="147468007"/>
          </w:sdtPr>
          <w:sdtEndPr>
            <w:rPr>
              <w:rFonts w:cs="Times New Roman"/>
            </w:rPr>
          </w:sdtEndPr>
          <w:sdtContent>
            <w:tc>
              <w:tcPr>
                <w:tcW w:w="1607" w:type="pct"/>
                <w:vAlign w:val="center"/>
              </w:tcPr>
              <w:p w14:paraId="7A0830E0">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986496e04f5841889074687e953bf8a9"/>
            <w:id w:val="147476062"/>
          </w:sdtPr>
          <w:sdtEndPr>
            <w:rPr>
              <w:rFonts w:cs="Times New Roman"/>
            </w:rPr>
          </w:sdtEndPr>
          <w:sdtContent>
            <w:tc>
              <w:tcPr>
                <w:tcW w:w="1697" w:type="pct"/>
              </w:tcPr>
              <w:p w14:paraId="34A3E15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4ab1376344dc484195a5459c78069a64"/>
            <w:id w:val="147465927"/>
          </w:sdtPr>
          <w:sdtEndPr>
            <w:rPr>
              <w:rFonts w:cs="Times New Roman"/>
            </w:rPr>
          </w:sdtEndPr>
          <w:sdtContent>
            <w:tc>
              <w:tcPr>
                <w:tcW w:w="1697" w:type="pct"/>
                <w:vAlign w:val="center"/>
              </w:tcPr>
              <w:p w14:paraId="7F08F64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29AE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7AE8437E">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城市维护建设税</w:t>
            </w:r>
          </w:p>
        </w:tc>
        <w:tc>
          <w:tcPr>
            <w:tcW w:w="1697" w:type="pct"/>
            <w:vAlign w:val="center"/>
          </w:tcPr>
          <w:p w14:paraId="237A0976">
            <w:pPr>
              <w:jc w:val="right"/>
              <w:textAlignment w:val="center"/>
              <w:rPr>
                <w:rFonts w:cs="Times New Roman"/>
              </w:rPr>
            </w:pPr>
            <w:r>
              <w:rPr>
                <w:rFonts w:cs="Times New Roman"/>
                <w:color w:val="000000"/>
              </w:rPr>
              <w:t>3,873,317.74</w:t>
            </w:r>
          </w:p>
        </w:tc>
        <w:tc>
          <w:tcPr>
            <w:tcW w:w="1697" w:type="pct"/>
            <w:vAlign w:val="center"/>
          </w:tcPr>
          <w:p w14:paraId="5CA82913">
            <w:pPr>
              <w:jc w:val="right"/>
              <w:textAlignment w:val="center"/>
              <w:rPr>
                <w:rFonts w:cs="Times New Roman"/>
              </w:rPr>
            </w:pPr>
            <w:r>
              <w:rPr>
                <w:rFonts w:cs="Times New Roman"/>
                <w:color w:val="000000"/>
              </w:rPr>
              <w:t>2,309,344.87</w:t>
            </w:r>
          </w:p>
        </w:tc>
      </w:tr>
      <w:tr w14:paraId="1ECD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0D85C94A">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教育费附加</w:t>
            </w:r>
          </w:p>
        </w:tc>
        <w:tc>
          <w:tcPr>
            <w:tcW w:w="1697" w:type="pct"/>
            <w:vAlign w:val="center"/>
          </w:tcPr>
          <w:p w14:paraId="0B07F6CE">
            <w:pPr>
              <w:jc w:val="right"/>
              <w:textAlignment w:val="center"/>
              <w:rPr>
                <w:rFonts w:cs="Times New Roman"/>
              </w:rPr>
            </w:pPr>
            <w:r>
              <w:rPr>
                <w:rFonts w:cs="Times New Roman"/>
                <w:color w:val="000000"/>
              </w:rPr>
              <w:t>3,178,605.29</w:t>
            </w:r>
          </w:p>
        </w:tc>
        <w:tc>
          <w:tcPr>
            <w:tcW w:w="1697" w:type="pct"/>
            <w:vAlign w:val="center"/>
          </w:tcPr>
          <w:p w14:paraId="3285F362">
            <w:pPr>
              <w:jc w:val="right"/>
              <w:textAlignment w:val="center"/>
              <w:rPr>
                <w:rFonts w:cs="Times New Roman"/>
              </w:rPr>
            </w:pPr>
            <w:r>
              <w:rPr>
                <w:rFonts w:cs="Times New Roman"/>
                <w:color w:val="000000"/>
              </w:rPr>
              <w:t>1,982,201.28</w:t>
            </w:r>
          </w:p>
        </w:tc>
      </w:tr>
      <w:tr w14:paraId="6C4B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7C3B25A8">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房产税</w:t>
            </w:r>
          </w:p>
        </w:tc>
        <w:tc>
          <w:tcPr>
            <w:tcW w:w="1697" w:type="pct"/>
            <w:vAlign w:val="center"/>
          </w:tcPr>
          <w:p w14:paraId="0C0C9A3B">
            <w:pPr>
              <w:jc w:val="right"/>
              <w:textAlignment w:val="center"/>
              <w:rPr>
                <w:rFonts w:cs="Times New Roman"/>
              </w:rPr>
            </w:pPr>
            <w:r>
              <w:rPr>
                <w:rFonts w:cs="Times New Roman"/>
                <w:color w:val="000000"/>
              </w:rPr>
              <w:t>24,705,122.62</w:t>
            </w:r>
          </w:p>
        </w:tc>
        <w:tc>
          <w:tcPr>
            <w:tcW w:w="1697" w:type="pct"/>
            <w:vAlign w:val="center"/>
          </w:tcPr>
          <w:p w14:paraId="0A5DB0C4">
            <w:pPr>
              <w:jc w:val="right"/>
              <w:textAlignment w:val="center"/>
              <w:rPr>
                <w:rFonts w:cs="Times New Roman"/>
              </w:rPr>
            </w:pPr>
            <w:r>
              <w:rPr>
                <w:rFonts w:cs="Times New Roman"/>
                <w:color w:val="000000"/>
              </w:rPr>
              <w:t>21,518,123.56</w:t>
            </w:r>
          </w:p>
        </w:tc>
      </w:tr>
      <w:tr w14:paraId="6DC9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2F11A0F3">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土地使用税</w:t>
            </w:r>
          </w:p>
        </w:tc>
        <w:tc>
          <w:tcPr>
            <w:tcW w:w="1697" w:type="pct"/>
            <w:vAlign w:val="center"/>
          </w:tcPr>
          <w:p w14:paraId="1BBFBDE2">
            <w:pPr>
              <w:jc w:val="right"/>
              <w:textAlignment w:val="center"/>
              <w:rPr>
                <w:rFonts w:cs="Times New Roman"/>
              </w:rPr>
            </w:pPr>
            <w:r>
              <w:rPr>
                <w:rFonts w:cs="Times New Roman"/>
                <w:color w:val="000000"/>
              </w:rPr>
              <w:t>15,670,669.93</w:t>
            </w:r>
          </w:p>
        </w:tc>
        <w:tc>
          <w:tcPr>
            <w:tcW w:w="1697" w:type="pct"/>
            <w:vAlign w:val="center"/>
          </w:tcPr>
          <w:p w14:paraId="25884C84">
            <w:pPr>
              <w:jc w:val="right"/>
              <w:textAlignment w:val="center"/>
              <w:rPr>
                <w:rFonts w:cs="Times New Roman"/>
              </w:rPr>
            </w:pPr>
            <w:r>
              <w:rPr>
                <w:rFonts w:cs="Times New Roman"/>
                <w:color w:val="000000"/>
              </w:rPr>
              <w:t>15,107,680.91</w:t>
            </w:r>
          </w:p>
        </w:tc>
      </w:tr>
      <w:tr w14:paraId="58CD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496443C1">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车船使用税</w:t>
            </w:r>
          </w:p>
        </w:tc>
        <w:tc>
          <w:tcPr>
            <w:tcW w:w="1697" w:type="pct"/>
            <w:vAlign w:val="center"/>
          </w:tcPr>
          <w:p w14:paraId="6E57977F">
            <w:pPr>
              <w:jc w:val="right"/>
              <w:textAlignment w:val="center"/>
              <w:rPr>
                <w:rFonts w:cs="Times New Roman"/>
              </w:rPr>
            </w:pPr>
            <w:r>
              <w:rPr>
                <w:rFonts w:cs="Times New Roman"/>
                <w:color w:val="000000"/>
              </w:rPr>
              <w:t>27,382.00</w:t>
            </w:r>
          </w:p>
        </w:tc>
        <w:tc>
          <w:tcPr>
            <w:tcW w:w="1697" w:type="pct"/>
            <w:vAlign w:val="center"/>
          </w:tcPr>
          <w:p w14:paraId="35C91C07">
            <w:pPr>
              <w:jc w:val="right"/>
              <w:textAlignment w:val="center"/>
              <w:rPr>
                <w:rFonts w:cs="Times New Roman"/>
              </w:rPr>
            </w:pPr>
            <w:r>
              <w:rPr>
                <w:rFonts w:cs="Times New Roman"/>
                <w:color w:val="000000"/>
              </w:rPr>
              <w:t>56,896.82</w:t>
            </w:r>
          </w:p>
        </w:tc>
      </w:tr>
      <w:tr w14:paraId="1412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11BDA46E">
            <w:pPr>
              <w:autoSpaceDE w:val="0"/>
              <w:autoSpaceDN w:val="0"/>
              <w:adjustRightInd w:val="0"/>
              <w:snapToGrid w:val="0"/>
              <w:spacing w:line="240" w:lineRule="atLeas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印花税</w:t>
            </w:r>
          </w:p>
        </w:tc>
        <w:tc>
          <w:tcPr>
            <w:tcW w:w="1697" w:type="pct"/>
            <w:vAlign w:val="center"/>
          </w:tcPr>
          <w:p w14:paraId="3275F662">
            <w:pPr>
              <w:jc w:val="right"/>
              <w:textAlignment w:val="center"/>
              <w:rPr>
                <w:rFonts w:cs="Times New Roman"/>
              </w:rPr>
            </w:pPr>
            <w:r>
              <w:rPr>
                <w:rFonts w:cs="Times New Roman"/>
                <w:color w:val="000000"/>
              </w:rPr>
              <w:t>2,565,085.31</w:t>
            </w:r>
          </w:p>
        </w:tc>
        <w:tc>
          <w:tcPr>
            <w:tcW w:w="1697" w:type="pct"/>
            <w:vAlign w:val="center"/>
          </w:tcPr>
          <w:p w14:paraId="58A9CC1F">
            <w:pPr>
              <w:jc w:val="right"/>
              <w:textAlignment w:val="center"/>
              <w:rPr>
                <w:rFonts w:cs="Times New Roman"/>
              </w:rPr>
            </w:pPr>
            <w:r>
              <w:rPr>
                <w:rFonts w:cs="Times New Roman"/>
                <w:color w:val="000000"/>
              </w:rPr>
              <w:t>4,011,566.94</w:t>
            </w:r>
          </w:p>
        </w:tc>
      </w:tr>
      <w:tr w14:paraId="56D4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3D354A1B">
            <w:pPr>
              <w:autoSpaceDE w:val="0"/>
              <w:autoSpaceDN w:val="0"/>
              <w:adjustRightInd w:val="0"/>
              <w:snapToGrid w:val="0"/>
              <w:spacing w:line="240" w:lineRule="atLeast"/>
              <w:rPr>
                <w:rFonts w:cs="Times New Roman"/>
              </w:rPr>
            </w:pPr>
            <w:r>
              <w:rPr>
                <w:rFonts w:cs="Times New Roman"/>
              </w:rPr>
              <w:t>其他</w:t>
            </w:r>
          </w:p>
        </w:tc>
        <w:tc>
          <w:tcPr>
            <w:tcW w:w="1697" w:type="pct"/>
            <w:vAlign w:val="center"/>
          </w:tcPr>
          <w:p w14:paraId="6C40CA80">
            <w:pPr>
              <w:jc w:val="right"/>
              <w:textAlignment w:val="center"/>
              <w:rPr>
                <w:rFonts w:cs="Times New Roman"/>
              </w:rPr>
            </w:pPr>
            <w:r>
              <w:rPr>
                <w:rFonts w:cs="Times New Roman"/>
                <w:color w:val="000000"/>
              </w:rPr>
              <w:t>1,240,659.69</w:t>
            </w:r>
          </w:p>
        </w:tc>
        <w:tc>
          <w:tcPr>
            <w:tcW w:w="1697" w:type="pct"/>
            <w:vAlign w:val="center"/>
          </w:tcPr>
          <w:p w14:paraId="576B242E">
            <w:pPr>
              <w:jc w:val="right"/>
              <w:textAlignment w:val="center"/>
              <w:rPr>
                <w:rFonts w:cs="Times New Roman"/>
              </w:rPr>
            </w:pPr>
            <w:r>
              <w:rPr>
                <w:rFonts w:cs="Times New Roman"/>
                <w:color w:val="000000"/>
              </w:rPr>
              <w:t>2,176,361.78</w:t>
            </w:r>
          </w:p>
        </w:tc>
      </w:tr>
      <w:tr w14:paraId="686B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vAlign w:val="center"/>
          </w:tcPr>
          <w:p w14:paraId="5FB973F6">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97" w:type="pct"/>
            <w:vAlign w:val="center"/>
          </w:tcPr>
          <w:p w14:paraId="098E89B7">
            <w:pPr>
              <w:jc w:val="right"/>
              <w:textAlignment w:val="center"/>
              <w:rPr>
                <w:rFonts w:cs="Times New Roman"/>
              </w:rPr>
            </w:pPr>
            <w:r>
              <w:rPr>
                <w:rFonts w:cs="Times New Roman"/>
                <w:color w:val="000000"/>
              </w:rPr>
              <w:t>51,260,842.58</w:t>
            </w:r>
          </w:p>
        </w:tc>
        <w:tc>
          <w:tcPr>
            <w:tcW w:w="1697" w:type="pct"/>
            <w:vAlign w:val="center"/>
          </w:tcPr>
          <w:p w14:paraId="419181BB">
            <w:pPr>
              <w:jc w:val="right"/>
              <w:textAlignment w:val="center"/>
              <w:rPr>
                <w:rFonts w:cs="Times New Roman"/>
              </w:rPr>
            </w:pPr>
            <w:r>
              <w:rPr>
                <w:rFonts w:cs="Times New Roman"/>
                <w:color w:val="000000"/>
              </w:rPr>
              <w:t>47,162,176.16</w:t>
            </w:r>
          </w:p>
        </w:tc>
      </w:tr>
    </w:tbl>
    <w:p w14:paraId="3111C519">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税金及附加说明"/>
        <w:tag w:val="_GBC_f78e413320ad4d20a3dab91dff935491"/>
        <w:id w:val="147473965"/>
        <w:placeholder>
          <w:docPart w:val="GBC22222222222222222222222222222"/>
        </w:placeholder>
      </w:sdtPr>
      <w:sdtEndPr>
        <w:rPr>
          <w:rFonts w:hint="eastAsia"/>
          <w:color w:val="000000" w:themeColor="text1"/>
          <w14:textFill>
            <w14:solidFill>
              <w14:schemeClr w14:val="tx1"/>
            </w14:solidFill>
          </w14:textFill>
        </w:rPr>
      </w:sdtEndPr>
      <w:sdtContent>
        <w:p w14:paraId="3A05A647">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6B12FD94">
      <w:pPr>
        <w:rPr>
          <w:color w:val="000000" w:themeColor="text1"/>
          <w14:textFill>
            <w14:solidFill>
              <w14:schemeClr w14:val="tx1"/>
            </w14:solidFill>
          </w14:textFill>
        </w:rPr>
      </w:pPr>
    </w:p>
    <w:p w14:paraId="5ECBABB2">
      <w:pPr>
        <w:rPr>
          <w:color w:val="000000" w:themeColor="text1"/>
          <w14:textFill>
            <w14:solidFill>
              <w14:schemeClr w14:val="tx1"/>
            </w14:solidFill>
          </w14:textFill>
        </w:rPr>
      </w:pPr>
    </w:p>
    <w:p w14:paraId="58995541">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销售费用</w:t>
      </w:r>
    </w:p>
    <w:sdt>
      <w:sdtPr>
        <w:rPr>
          <w:color w:val="000000" w:themeColor="text1"/>
          <w14:textFill>
            <w14:solidFill>
              <w14:schemeClr w14:val="tx1"/>
            </w14:solidFill>
          </w14:textFill>
        </w:rPr>
        <w:alias w:val="是否适用：销售费用[双击切换]"/>
        <w:tag w:val="_GBC_5302d6af48674660a2279c7c8a87bb8c"/>
        <w:id w:val="147474155"/>
        <w:placeholder>
          <w:docPart w:val="GBC22222222222222222222222222222"/>
        </w:placeholder>
      </w:sdtPr>
      <w:sdtEndPr>
        <w:rPr>
          <w:color w:val="000000" w:themeColor="text1"/>
          <w14:textFill>
            <w14:solidFill>
              <w14:schemeClr w14:val="tx1"/>
            </w14:solidFill>
          </w14:textFill>
        </w:rPr>
      </w:sdtEndPr>
      <w:sdtContent>
        <w:p w14:paraId="494ED14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2E8777">
      <w:pPr>
        <w:pStyle w:val="63"/>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销售费用"/>
          <w:tag w:val="_GBC_893203a5a3df44649aef388407d22c68"/>
          <w:id w:val="1474799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销售费用"/>
          <w:tag w:val="_GBC_4954a9fca98d4f279270fb28f987aa6f"/>
          <w:id w:val="1474516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6"/>
        <w:gridCol w:w="2693"/>
        <w:gridCol w:w="2420"/>
      </w:tblGrid>
      <w:tr w14:paraId="3866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16c47970a3b145c98f438f3cb34ff636"/>
            <w:id w:val="147463502"/>
          </w:sdtPr>
          <w:sdtEndPr>
            <w:rPr>
              <w:rFonts w:cs="Times New Roman"/>
            </w:rPr>
          </w:sdtEndPr>
          <w:sdtContent>
            <w:tc>
              <w:tcPr>
                <w:tcW w:w="2175" w:type="pct"/>
                <w:tcBorders>
                  <w:top w:val="single" w:color="auto" w:sz="4" w:space="0"/>
                  <w:left w:val="single" w:color="auto" w:sz="4" w:space="0"/>
                  <w:bottom w:val="single" w:color="auto" w:sz="4" w:space="0"/>
                  <w:right w:val="single" w:color="auto" w:sz="4" w:space="0"/>
                </w:tcBorders>
                <w:vAlign w:val="center"/>
              </w:tcPr>
              <w:p w14:paraId="0BA0A4B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b3ce435531054240b373e649bc9ae7a1"/>
            <w:id w:val="147456880"/>
          </w:sdtPr>
          <w:sdtEndPr>
            <w:rPr>
              <w:rFonts w:cs="Times New Roman"/>
            </w:rPr>
          </w:sdtEndPr>
          <w:sdtContent>
            <w:tc>
              <w:tcPr>
                <w:tcW w:w="1488" w:type="pct"/>
                <w:tcBorders>
                  <w:top w:val="single" w:color="auto" w:sz="4" w:space="0"/>
                  <w:left w:val="single" w:color="auto" w:sz="4" w:space="0"/>
                  <w:bottom w:val="single" w:color="auto" w:sz="4" w:space="0"/>
                  <w:right w:val="single" w:color="auto" w:sz="4" w:space="0"/>
                </w:tcBorders>
                <w:vAlign w:val="center"/>
              </w:tcPr>
              <w:p w14:paraId="7F2F126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9480cd5806624557b975b5d0ce06575b"/>
            <w:id w:val="147451879"/>
          </w:sdtPr>
          <w:sdtEndPr>
            <w:rPr>
              <w:rFonts w:cs="Times New Roman"/>
            </w:rPr>
          </w:sdtEndPr>
          <w:sdtContent>
            <w:tc>
              <w:tcPr>
                <w:tcW w:w="1337" w:type="pct"/>
                <w:tcBorders>
                  <w:top w:val="single" w:color="auto" w:sz="4" w:space="0"/>
                  <w:left w:val="single" w:color="auto" w:sz="4" w:space="0"/>
                  <w:bottom w:val="single" w:color="auto" w:sz="4" w:space="0"/>
                  <w:right w:val="single" w:color="auto" w:sz="4" w:space="0"/>
                </w:tcBorders>
                <w:vAlign w:val="center"/>
              </w:tcPr>
              <w:p w14:paraId="7B103BA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0774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5E6BCA11">
            <w:pPr>
              <w:textAlignment w:val="center"/>
              <w:rPr>
                <w:rFonts w:cs="Times New Roman"/>
              </w:rPr>
            </w:pPr>
            <w:r>
              <w:rPr>
                <w:rFonts w:cs="Times New Roman"/>
              </w:rPr>
              <w:t>职工薪酬</w:t>
            </w:r>
          </w:p>
        </w:tc>
        <w:tc>
          <w:tcPr>
            <w:tcW w:w="2693" w:type="dxa"/>
            <w:tcBorders>
              <w:top w:val="single" w:color="auto" w:sz="4" w:space="0"/>
              <w:left w:val="single" w:color="auto" w:sz="4" w:space="0"/>
              <w:bottom w:val="single" w:color="auto" w:sz="4" w:space="0"/>
              <w:right w:val="single" w:color="auto" w:sz="4" w:space="0"/>
            </w:tcBorders>
            <w:vAlign w:val="center"/>
          </w:tcPr>
          <w:p w14:paraId="1CFAF53E">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62,678,751.29</w:t>
            </w:r>
          </w:p>
        </w:tc>
        <w:tc>
          <w:tcPr>
            <w:tcW w:w="1337" w:type="pct"/>
            <w:tcBorders>
              <w:top w:val="single" w:color="auto" w:sz="4" w:space="0"/>
              <w:left w:val="single" w:color="auto" w:sz="4" w:space="0"/>
              <w:bottom w:val="single" w:color="auto" w:sz="4" w:space="0"/>
              <w:right w:val="single" w:color="auto" w:sz="4" w:space="0"/>
            </w:tcBorders>
            <w:vAlign w:val="center"/>
          </w:tcPr>
          <w:p w14:paraId="2D1E40ED">
            <w:pPr>
              <w:jc w:val="right"/>
              <w:textAlignment w:val="center"/>
              <w:rPr>
                <w:rFonts w:cs="Times New Roman"/>
              </w:rPr>
            </w:pPr>
            <w:r>
              <w:rPr>
                <w:rFonts w:cs="Times New Roman"/>
              </w:rPr>
              <w:t>101,714,712.04</w:t>
            </w:r>
          </w:p>
        </w:tc>
      </w:tr>
      <w:tr w14:paraId="3B2D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76F1A9E0">
            <w:pPr>
              <w:textAlignment w:val="center"/>
              <w:rPr>
                <w:rFonts w:cs="Times New Roman"/>
              </w:rPr>
            </w:pPr>
            <w:r>
              <w:rPr>
                <w:rFonts w:cs="Times New Roman"/>
              </w:rPr>
              <w:t>咨询费</w:t>
            </w:r>
          </w:p>
        </w:tc>
        <w:tc>
          <w:tcPr>
            <w:tcW w:w="2693" w:type="dxa"/>
            <w:tcBorders>
              <w:top w:val="single" w:color="auto" w:sz="4" w:space="0"/>
              <w:left w:val="single" w:color="auto" w:sz="4" w:space="0"/>
              <w:bottom w:val="single" w:color="auto" w:sz="4" w:space="0"/>
              <w:right w:val="single" w:color="auto" w:sz="4" w:space="0"/>
            </w:tcBorders>
            <w:vAlign w:val="center"/>
          </w:tcPr>
          <w:p w14:paraId="38125F0F">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14,561,604.62</w:t>
            </w:r>
          </w:p>
        </w:tc>
        <w:tc>
          <w:tcPr>
            <w:tcW w:w="1337" w:type="pct"/>
            <w:tcBorders>
              <w:top w:val="single" w:color="auto" w:sz="4" w:space="0"/>
              <w:left w:val="single" w:color="auto" w:sz="4" w:space="0"/>
              <w:bottom w:val="single" w:color="auto" w:sz="4" w:space="0"/>
              <w:right w:val="single" w:color="auto" w:sz="4" w:space="0"/>
            </w:tcBorders>
            <w:vAlign w:val="center"/>
          </w:tcPr>
          <w:p w14:paraId="1EAF05D1">
            <w:pPr>
              <w:jc w:val="right"/>
              <w:textAlignment w:val="center"/>
              <w:rPr>
                <w:rFonts w:cs="Times New Roman"/>
              </w:rPr>
            </w:pPr>
            <w:r>
              <w:rPr>
                <w:rFonts w:cs="Times New Roman"/>
              </w:rPr>
              <w:t>17,215,263.30</w:t>
            </w:r>
          </w:p>
        </w:tc>
      </w:tr>
      <w:tr w14:paraId="4080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42559328">
            <w:pPr>
              <w:textAlignment w:val="center"/>
              <w:rPr>
                <w:rFonts w:cs="Times New Roman"/>
              </w:rPr>
            </w:pPr>
            <w:r>
              <w:rPr>
                <w:rFonts w:cs="Times New Roman"/>
              </w:rPr>
              <w:t>差旅费</w:t>
            </w:r>
          </w:p>
        </w:tc>
        <w:tc>
          <w:tcPr>
            <w:tcW w:w="2693" w:type="dxa"/>
            <w:tcBorders>
              <w:top w:val="single" w:color="auto" w:sz="4" w:space="0"/>
              <w:left w:val="single" w:color="auto" w:sz="4" w:space="0"/>
              <w:bottom w:val="single" w:color="auto" w:sz="4" w:space="0"/>
              <w:right w:val="single" w:color="auto" w:sz="4" w:space="0"/>
            </w:tcBorders>
            <w:vAlign w:val="center"/>
          </w:tcPr>
          <w:p w14:paraId="30598F8C">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9,715,544.68</w:t>
            </w:r>
          </w:p>
        </w:tc>
        <w:tc>
          <w:tcPr>
            <w:tcW w:w="1337" w:type="pct"/>
            <w:tcBorders>
              <w:top w:val="single" w:color="auto" w:sz="4" w:space="0"/>
              <w:left w:val="single" w:color="auto" w:sz="4" w:space="0"/>
              <w:bottom w:val="single" w:color="auto" w:sz="4" w:space="0"/>
              <w:right w:val="single" w:color="auto" w:sz="4" w:space="0"/>
            </w:tcBorders>
            <w:vAlign w:val="center"/>
          </w:tcPr>
          <w:p w14:paraId="20CE96CF">
            <w:pPr>
              <w:jc w:val="right"/>
              <w:textAlignment w:val="center"/>
              <w:rPr>
                <w:rFonts w:cs="Times New Roman"/>
              </w:rPr>
            </w:pPr>
            <w:r>
              <w:rPr>
                <w:rFonts w:cs="Times New Roman"/>
              </w:rPr>
              <w:t>10,831,729.78</w:t>
            </w:r>
          </w:p>
        </w:tc>
      </w:tr>
      <w:tr w14:paraId="7433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0AF4F47B">
            <w:pPr>
              <w:textAlignment w:val="center"/>
              <w:rPr>
                <w:rFonts w:cs="Times New Roman"/>
              </w:rPr>
            </w:pPr>
            <w:r>
              <w:rPr>
                <w:rFonts w:cs="Times New Roman"/>
              </w:rPr>
              <w:t>出口费用</w:t>
            </w:r>
          </w:p>
        </w:tc>
        <w:tc>
          <w:tcPr>
            <w:tcW w:w="2693" w:type="dxa"/>
            <w:tcBorders>
              <w:top w:val="single" w:color="auto" w:sz="4" w:space="0"/>
              <w:left w:val="single" w:color="auto" w:sz="4" w:space="0"/>
              <w:bottom w:val="single" w:color="auto" w:sz="4" w:space="0"/>
              <w:right w:val="single" w:color="auto" w:sz="4" w:space="0"/>
            </w:tcBorders>
            <w:vAlign w:val="center"/>
          </w:tcPr>
          <w:p w14:paraId="03FF3A11">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377,251.43</w:t>
            </w:r>
          </w:p>
        </w:tc>
        <w:tc>
          <w:tcPr>
            <w:tcW w:w="1337" w:type="pct"/>
            <w:tcBorders>
              <w:top w:val="single" w:color="auto" w:sz="4" w:space="0"/>
              <w:left w:val="single" w:color="auto" w:sz="4" w:space="0"/>
              <w:bottom w:val="single" w:color="auto" w:sz="4" w:space="0"/>
              <w:right w:val="single" w:color="auto" w:sz="4" w:space="0"/>
            </w:tcBorders>
            <w:vAlign w:val="center"/>
          </w:tcPr>
          <w:p w14:paraId="5A8EBBE0">
            <w:pPr>
              <w:jc w:val="right"/>
              <w:textAlignment w:val="center"/>
              <w:rPr>
                <w:rFonts w:cs="Times New Roman"/>
              </w:rPr>
            </w:pPr>
            <w:r>
              <w:rPr>
                <w:rFonts w:cs="Times New Roman"/>
              </w:rPr>
              <w:t>3,821,915.00</w:t>
            </w:r>
          </w:p>
        </w:tc>
      </w:tr>
      <w:tr w14:paraId="6ADA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59384267">
            <w:pPr>
              <w:textAlignment w:val="center"/>
              <w:rPr>
                <w:rFonts w:cs="Times New Roman"/>
              </w:rPr>
            </w:pPr>
            <w:r>
              <w:rPr>
                <w:rFonts w:cs="Times New Roman"/>
              </w:rPr>
              <w:t>业务招待费</w:t>
            </w:r>
          </w:p>
        </w:tc>
        <w:tc>
          <w:tcPr>
            <w:tcW w:w="2693" w:type="dxa"/>
            <w:tcBorders>
              <w:top w:val="single" w:color="auto" w:sz="4" w:space="0"/>
              <w:left w:val="single" w:color="auto" w:sz="4" w:space="0"/>
              <w:bottom w:val="single" w:color="auto" w:sz="4" w:space="0"/>
              <w:right w:val="single" w:color="auto" w:sz="4" w:space="0"/>
            </w:tcBorders>
            <w:vAlign w:val="center"/>
          </w:tcPr>
          <w:p w14:paraId="0413CEEF">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3,851,871.52</w:t>
            </w:r>
          </w:p>
        </w:tc>
        <w:tc>
          <w:tcPr>
            <w:tcW w:w="1337" w:type="pct"/>
            <w:tcBorders>
              <w:top w:val="single" w:color="auto" w:sz="4" w:space="0"/>
              <w:left w:val="single" w:color="auto" w:sz="4" w:space="0"/>
              <w:bottom w:val="single" w:color="auto" w:sz="4" w:space="0"/>
              <w:right w:val="single" w:color="auto" w:sz="4" w:space="0"/>
            </w:tcBorders>
            <w:vAlign w:val="center"/>
          </w:tcPr>
          <w:p w14:paraId="53D143C0">
            <w:pPr>
              <w:jc w:val="right"/>
              <w:textAlignment w:val="center"/>
              <w:rPr>
                <w:rFonts w:cs="Times New Roman"/>
              </w:rPr>
            </w:pPr>
            <w:r>
              <w:rPr>
                <w:rFonts w:cs="Times New Roman"/>
              </w:rPr>
              <w:t>6,292,892.45</w:t>
            </w:r>
          </w:p>
        </w:tc>
      </w:tr>
      <w:tr w14:paraId="31DF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1328BF12">
            <w:pPr>
              <w:textAlignment w:val="center"/>
              <w:rPr>
                <w:rFonts w:cs="Times New Roman"/>
              </w:rPr>
            </w:pPr>
            <w:r>
              <w:rPr>
                <w:rFonts w:cs="Times New Roman"/>
              </w:rPr>
              <w:t>招标费</w:t>
            </w:r>
          </w:p>
        </w:tc>
        <w:tc>
          <w:tcPr>
            <w:tcW w:w="2693" w:type="dxa"/>
            <w:tcBorders>
              <w:top w:val="single" w:color="auto" w:sz="4" w:space="0"/>
              <w:left w:val="single" w:color="auto" w:sz="4" w:space="0"/>
              <w:bottom w:val="single" w:color="auto" w:sz="4" w:space="0"/>
              <w:right w:val="single" w:color="auto" w:sz="4" w:space="0"/>
            </w:tcBorders>
            <w:vAlign w:val="center"/>
          </w:tcPr>
          <w:p w14:paraId="661AE3B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2,943,735.51</w:t>
            </w:r>
          </w:p>
        </w:tc>
        <w:tc>
          <w:tcPr>
            <w:tcW w:w="1337" w:type="pct"/>
            <w:tcBorders>
              <w:top w:val="single" w:color="auto" w:sz="4" w:space="0"/>
              <w:left w:val="single" w:color="auto" w:sz="4" w:space="0"/>
              <w:bottom w:val="single" w:color="auto" w:sz="4" w:space="0"/>
              <w:right w:val="single" w:color="auto" w:sz="4" w:space="0"/>
            </w:tcBorders>
            <w:vAlign w:val="center"/>
          </w:tcPr>
          <w:p w14:paraId="05EFD0D8">
            <w:pPr>
              <w:jc w:val="right"/>
              <w:textAlignment w:val="center"/>
              <w:rPr>
                <w:rFonts w:cs="Times New Roman"/>
              </w:rPr>
            </w:pPr>
            <w:r>
              <w:rPr>
                <w:rFonts w:cs="Times New Roman"/>
              </w:rPr>
              <w:t>6,865,077.67</w:t>
            </w:r>
          </w:p>
        </w:tc>
      </w:tr>
      <w:tr w14:paraId="560E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7C92CA1E">
            <w:pPr>
              <w:textAlignment w:val="center"/>
              <w:rPr>
                <w:rFonts w:cs="Times New Roman"/>
              </w:rPr>
            </w:pPr>
            <w:r>
              <w:rPr>
                <w:rFonts w:cs="Times New Roman"/>
              </w:rPr>
              <w:t>展览费</w:t>
            </w:r>
          </w:p>
        </w:tc>
        <w:tc>
          <w:tcPr>
            <w:tcW w:w="2693" w:type="dxa"/>
            <w:tcBorders>
              <w:top w:val="single" w:color="auto" w:sz="4" w:space="0"/>
              <w:left w:val="single" w:color="auto" w:sz="4" w:space="0"/>
              <w:bottom w:val="single" w:color="auto" w:sz="4" w:space="0"/>
              <w:right w:val="single" w:color="auto" w:sz="4" w:space="0"/>
            </w:tcBorders>
            <w:vAlign w:val="center"/>
          </w:tcPr>
          <w:p w14:paraId="56962E9A">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3,456,567.21</w:t>
            </w:r>
          </w:p>
        </w:tc>
        <w:tc>
          <w:tcPr>
            <w:tcW w:w="1337" w:type="pct"/>
            <w:tcBorders>
              <w:top w:val="single" w:color="auto" w:sz="4" w:space="0"/>
              <w:left w:val="single" w:color="auto" w:sz="4" w:space="0"/>
              <w:bottom w:val="single" w:color="auto" w:sz="4" w:space="0"/>
              <w:right w:val="single" w:color="auto" w:sz="4" w:space="0"/>
            </w:tcBorders>
            <w:vAlign w:val="center"/>
          </w:tcPr>
          <w:p w14:paraId="30A94B2E">
            <w:pPr>
              <w:jc w:val="right"/>
              <w:textAlignment w:val="center"/>
              <w:rPr>
                <w:rFonts w:cs="Times New Roman"/>
              </w:rPr>
            </w:pPr>
            <w:r>
              <w:rPr>
                <w:rFonts w:cs="Times New Roman"/>
              </w:rPr>
              <w:t>4,573,509.99</w:t>
            </w:r>
          </w:p>
        </w:tc>
      </w:tr>
      <w:tr w14:paraId="6305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1E8EB8AB">
            <w:pPr>
              <w:textAlignment w:val="center"/>
              <w:rPr>
                <w:rFonts w:cs="Times New Roman"/>
              </w:rPr>
            </w:pPr>
            <w:r>
              <w:rPr>
                <w:rFonts w:cs="Times New Roman"/>
              </w:rPr>
              <w:t>广告及宣传费</w:t>
            </w:r>
          </w:p>
        </w:tc>
        <w:tc>
          <w:tcPr>
            <w:tcW w:w="2693" w:type="dxa"/>
            <w:tcBorders>
              <w:top w:val="single" w:color="auto" w:sz="4" w:space="0"/>
              <w:left w:val="single" w:color="auto" w:sz="4" w:space="0"/>
              <w:bottom w:val="single" w:color="auto" w:sz="4" w:space="0"/>
              <w:right w:val="single" w:color="auto" w:sz="4" w:space="0"/>
            </w:tcBorders>
            <w:vAlign w:val="center"/>
          </w:tcPr>
          <w:p w14:paraId="0A26E319">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1,295,793.43</w:t>
            </w:r>
          </w:p>
        </w:tc>
        <w:tc>
          <w:tcPr>
            <w:tcW w:w="1337" w:type="pct"/>
            <w:tcBorders>
              <w:top w:val="single" w:color="auto" w:sz="4" w:space="0"/>
              <w:left w:val="single" w:color="auto" w:sz="4" w:space="0"/>
              <w:bottom w:val="single" w:color="auto" w:sz="4" w:space="0"/>
              <w:right w:val="single" w:color="auto" w:sz="4" w:space="0"/>
            </w:tcBorders>
            <w:vAlign w:val="center"/>
          </w:tcPr>
          <w:p w14:paraId="2CFFC4AF">
            <w:pPr>
              <w:jc w:val="right"/>
              <w:textAlignment w:val="center"/>
              <w:rPr>
                <w:rFonts w:cs="Times New Roman"/>
              </w:rPr>
            </w:pPr>
            <w:r>
              <w:rPr>
                <w:rFonts w:cs="Times New Roman"/>
              </w:rPr>
              <w:t>5,682,813.06</w:t>
            </w:r>
          </w:p>
        </w:tc>
      </w:tr>
      <w:tr w14:paraId="590C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234B1B85">
            <w:pPr>
              <w:textAlignment w:val="center"/>
              <w:rPr>
                <w:rFonts w:cs="Times New Roman"/>
              </w:rPr>
            </w:pPr>
            <w:r>
              <w:rPr>
                <w:rFonts w:cs="Times New Roman"/>
              </w:rPr>
              <w:t>租赁费</w:t>
            </w:r>
          </w:p>
        </w:tc>
        <w:tc>
          <w:tcPr>
            <w:tcW w:w="2693" w:type="dxa"/>
            <w:tcBorders>
              <w:top w:val="single" w:color="auto" w:sz="4" w:space="0"/>
              <w:left w:val="single" w:color="auto" w:sz="4" w:space="0"/>
              <w:bottom w:val="single" w:color="auto" w:sz="4" w:space="0"/>
              <w:right w:val="single" w:color="auto" w:sz="4" w:space="0"/>
            </w:tcBorders>
            <w:vAlign w:val="center"/>
          </w:tcPr>
          <w:p w14:paraId="5398E642">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1,828,256.54</w:t>
            </w:r>
          </w:p>
        </w:tc>
        <w:tc>
          <w:tcPr>
            <w:tcW w:w="1337" w:type="pct"/>
            <w:tcBorders>
              <w:top w:val="single" w:color="auto" w:sz="4" w:space="0"/>
              <w:left w:val="single" w:color="auto" w:sz="4" w:space="0"/>
              <w:bottom w:val="single" w:color="auto" w:sz="4" w:space="0"/>
              <w:right w:val="single" w:color="auto" w:sz="4" w:space="0"/>
            </w:tcBorders>
            <w:vAlign w:val="center"/>
          </w:tcPr>
          <w:p w14:paraId="4384E495">
            <w:pPr>
              <w:jc w:val="right"/>
              <w:textAlignment w:val="center"/>
              <w:rPr>
                <w:rFonts w:cs="Times New Roman"/>
              </w:rPr>
            </w:pPr>
            <w:r>
              <w:rPr>
                <w:rFonts w:cs="Times New Roman"/>
              </w:rPr>
              <w:t>2,117,195.20</w:t>
            </w:r>
          </w:p>
        </w:tc>
      </w:tr>
      <w:tr w14:paraId="69F4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1A4EB3D8">
            <w:pPr>
              <w:textAlignment w:val="center"/>
              <w:rPr>
                <w:rFonts w:cs="Times New Roman"/>
              </w:rPr>
            </w:pPr>
            <w:r>
              <w:rPr>
                <w:rFonts w:cs="Times New Roman"/>
              </w:rPr>
              <w:t>其他</w:t>
            </w:r>
          </w:p>
        </w:tc>
        <w:tc>
          <w:tcPr>
            <w:tcW w:w="2693" w:type="dxa"/>
            <w:tcBorders>
              <w:top w:val="single" w:color="auto" w:sz="4" w:space="0"/>
              <w:left w:val="single" w:color="auto" w:sz="4" w:space="0"/>
              <w:bottom w:val="single" w:color="auto" w:sz="4" w:space="0"/>
              <w:right w:val="single" w:color="auto" w:sz="4" w:space="0"/>
            </w:tcBorders>
            <w:vAlign w:val="center"/>
          </w:tcPr>
          <w:p w14:paraId="08A35287">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13,594,594.91</w:t>
            </w:r>
          </w:p>
        </w:tc>
        <w:tc>
          <w:tcPr>
            <w:tcW w:w="1337" w:type="pct"/>
            <w:tcBorders>
              <w:top w:val="single" w:color="auto" w:sz="4" w:space="0"/>
              <w:left w:val="single" w:color="auto" w:sz="4" w:space="0"/>
              <w:bottom w:val="single" w:color="auto" w:sz="4" w:space="0"/>
              <w:right w:val="single" w:color="auto" w:sz="4" w:space="0"/>
            </w:tcBorders>
            <w:vAlign w:val="center"/>
          </w:tcPr>
          <w:p w14:paraId="061F91C7">
            <w:pPr>
              <w:jc w:val="right"/>
              <w:textAlignment w:val="center"/>
              <w:rPr>
                <w:rFonts w:cs="Times New Roman"/>
              </w:rPr>
            </w:pPr>
            <w:r>
              <w:rPr>
                <w:rFonts w:cs="Times New Roman"/>
              </w:rPr>
              <w:t>13,877,060.07</w:t>
            </w:r>
          </w:p>
        </w:tc>
      </w:tr>
      <w:tr w14:paraId="0DB79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14:paraId="38AF8E11">
            <w:pPr>
              <w:jc w:val="center"/>
              <w:rPr>
                <w:rFonts w:cs="Times New Roman"/>
              </w:rPr>
            </w:pPr>
            <w:r>
              <w:rPr>
                <w:rFonts w:cs="Times New Roman"/>
              </w:rPr>
              <w:t>合计</w:t>
            </w:r>
          </w:p>
        </w:tc>
        <w:tc>
          <w:tcPr>
            <w:tcW w:w="2693" w:type="dxa"/>
            <w:tcBorders>
              <w:top w:val="single" w:color="auto" w:sz="4" w:space="0"/>
              <w:left w:val="single" w:color="auto" w:sz="4" w:space="0"/>
              <w:bottom w:val="single" w:color="auto" w:sz="4" w:space="0"/>
              <w:right w:val="single" w:color="auto" w:sz="4" w:space="0"/>
            </w:tcBorders>
            <w:vAlign w:val="center"/>
          </w:tcPr>
          <w:p w14:paraId="3DD71C09">
            <w:pPr>
              <w:jc w:val="right"/>
              <w:textAlignment w:val="center"/>
              <w:rPr>
                <w:rFonts w:cs="Times New Roman"/>
                <w:color w:val="000000" w:themeColor="text1"/>
                <w14:textFill>
                  <w14:solidFill>
                    <w14:schemeClr w14:val="tx1"/>
                  </w14:solidFill>
                </w14:textFill>
              </w:rPr>
            </w:pPr>
            <w:r>
              <w:rPr>
                <w:rFonts w:eastAsia="Arial Narrow" w:cs="Times New Roman"/>
                <w:color w:val="000000" w:themeColor="text1"/>
                <w:lang w:bidi="ar"/>
                <w14:textFill>
                  <w14:solidFill>
                    <w14:schemeClr w14:val="tx1"/>
                  </w14:solidFill>
                </w14:textFill>
              </w:rPr>
              <w:t>114,303,971.14</w:t>
            </w:r>
          </w:p>
        </w:tc>
        <w:tc>
          <w:tcPr>
            <w:tcW w:w="1337" w:type="pct"/>
            <w:tcBorders>
              <w:top w:val="single" w:color="auto" w:sz="4" w:space="0"/>
              <w:left w:val="single" w:color="auto" w:sz="4" w:space="0"/>
              <w:bottom w:val="single" w:color="auto" w:sz="4" w:space="0"/>
              <w:right w:val="single" w:color="auto" w:sz="4" w:space="0"/>
            </w:tcBorders>
            <w:vAlign w:val="center"/>
          </w:tcPr>
          <w:p w14:paraId="327DDCFA">
            <w:pPr>
              <w:jc w:val="right"/>
              <w:textAlignment w:val="center"/>
              <w:rPr>
                <w:rFonts w:cs="Times New Roman"/>
              </w:rPr>
            </w:pPr>
            <w:r>
              <w:rPr>
                <w:rFonts w:cs="Times New Roman"/>
              </w:rPr>
              <w:t>172,992,168.56</w:t>
            </w:r>
          </w:p>
        </w:tc>
      </w:tr>
    </w:tbl>
    <w:p w14:paraId="34D16D43">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销售费用的其他说明事项"/>
        <w:tag w:val="_GBC_42921bca5478449e9dd3932a8303975a"/>
        <w:id w:val="147474224"/>
        <w:placeholder>
          <w:docPart w:val="GBC22222222222222222222222222222"/>
        </w:placeholder>
      </w:sdtPr>
      <w:sdtEndPr>
        <w:rPr>
          <w:color w:val="000000" w:themeColor="text1"/>
          <w14:textFill>
            <w14:solidFill>
              <w14:schemeClr w14:val="tx1"/>
            </w14:solidFill>
          </w14:textFill>
        </w:rPr>
      </w:sdtEndPr>
      <w:sdtContent>
        <w:p w14:paraId="7B9B5383">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C580F43">
      <w:pPr>
        <w:rPr>
          <w:color w:val="000000" w:themeColor="text1"/>
          <w14:textFill>
            <w14:solidFill>
              <w14:schemeClr w14:val="tx1"/>
            </w14:solidFill>
          </w14:textFill>
        </w:rPr>
      </w:pPr>
    </w:p>
    <w:p w14:paraId="650F4B8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管理费用</w:t>
      </w:r>
    </w:p>
    <w:sdt>
      <w:sdtPr>
        <w:rPr>
          <w:color w:val="000000" w:themeColor="text1"/>
          <w14:textFill>
            <w14:solidFill>
              <w14:schemeClr w14:val="tx1"/>
            </w14:solidFill>
          </w14:textFill>
        </w:rPr>
        <w:alias w:val="是否适用：管理费用[双击切换]"/>
        <w:tag w:val="_GBC_864c9dd9adce435698261f1da02ab8fb"/>
        <w:id w:val="147460951"/>
        <w:placeholder>
          <w:docPart w:val="GBC22222222222222222222222222222"/>
        </w:placeholder>
      </w:sdtPr>
      <w:sdtEndPr>
        <w:rPr>
          <w:color w:val="000000" w:themeColor="text1"/>
          <w14:textFill>
            <w14:solidFill>
              <w14:schemeClr w14:val="tx1"/>
            </w14:solidFill>
          </w14:textFill>
        </w:rPr>
      </w:sdtEndPr>
      <w:sdtContent>
        <w:p w14:paraId="4BBE99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552BEC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管理费用"/>
          <w:tag w:val="_GBC_b8198aec3f7748d28785c1eebbf02df7"/>
          <w:id w:val="1474522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管理费用"/>
          <w:tag w:val="_GBC_f92af61f8b3b45ba9ec818ede9725428"/>
          <w:id w:val="1474604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14:paraId="30DE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249fd0c096ba421285089a0fada9d43a"/>
            <w:id w:val="147472186"/>
          </w:sdtPr>
          <w:sdtEndPr>
            <w:rPr>
              <w:rFonts w:cs="Times New Roman"/>
            </w:rPr>
          </w:sdtEndPr>
          <w:sdtContent>
            <w:tc>
              <w:tcPr>
                <w:tcW w:w="2213" w:type="pct"/>
                <w:tcBorders>
                  <w:top w:val="single" w:color="auto" w:sz="4" w:space="0"/>
                  <w:left w:val="single" w:color="auto" w:sz="4" w:space="0"/>
                  <w:bottom w:val="single" w:color="auto" w:sz="4" w:space="0"/>
                  <w:right w:val="single" w:color="auto" w:sz="4" w:space="0"/>
                </w:tcBorders>
              </w:tcPr>
              <w:p w14:paraId="01745F7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acf5bcbf929244268be56ad5d0f3ea18"/>
            <w:id w:val="147461975"/>
          </w:sdtPr>
          <w:sdtEndPr>
            <w:rPr>
              <w:rFonts w:cs="Times New Roman"/>
            </w:rPr>
          </w:sdtEndPr>
          <w:sdtContent>
            <w:tc>
              <w:tcPr>
                <w:tcW w:w="1439" w:type="pct"/>
                <w:tcBorders>
                  <w:top w:val="single" w:color="auto" w:sz="4" w:space="0"/>
                  <w:left w:val="single" w:color="auto" w:sz="4" w:space="0"/>
                  <w:bottom w:val="single" w:color="auto" w:sz="4" w:space="0"/>
                  <w:right w:val="single" w:color="auto" w:sz="4" w:space="0"/>
                </w:tcBorders>
              </w:tcPr>
              <w:p w14:paraId="78D6BEB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d37d8a59d4d74c26ac22dc33983efa29"/>
            <w:id w:val="147457717"/>
          </w:sdtPr>
          <w:sdtEndPr>
            <w:rPr>
              <w:rFonts w:cs="Times New Roman"/>
            </w:rPr>
          </w:sdtEndPr>
          <w:sdtContent>
            <w:tc>
              <w:tcPr>
                <w:tcW w:w="1348" w:type="pct"/>
                <w:tcBorders>
                  <w:top w:val="single" w:color="auto" w:sz="4" w:space="0"/>
                  <w:left w:val="single" w:color="auto" w:sz="4" w:space="0"/>
                  <w:bottom w:val="single" w:color="auto" w:sz="4" w:space="0"/>
                  <w:right w:val="single" w:color="auto" w:sz="4" w:space="0"/>
                </w:tcBorders>
              </w:tcPr>
              <w:p w14:paraId="4FBC9CB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5BA6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27DF4420">
            <w:pPr>
              <w:textAlignment w:val="center"/>
              <w:rPr>
                <w:rFonts w:cs="Times New Roman"/>
              </w:rPr>
            </w:pPr>
            <w:r>
              <w:rPr>
                <w:rFonts w:cs="Times New Roman"/>
                <w:color w:val="000000"/>
              </w:rPr>
              <w:t>职工薪酬</w:t>
            </w:r>
          </w:p>
        </w:tc>
        <w:tc>
          <w:tcPr>
            <w:tcW w:w="2604" w:type="dxa"/>
            <w:tcBorders>
              <w:top w:val="single" w:color="auto" w:sz="4" w:space="0"/>
              <w:left w:val="single" w:color="auto" w:sz="4" w:space="0"/>
              <w:bottom w:val="single" w:color="auto" w:sz="4" w:space="0"/>
              <w:right w:val="single" w:color="auto" w:sz="4" w:space="0"/>
            </w:tcBorders>
            <w:vAlign w:val="center"/>
          </w:tcPr>
          <w:p w14:paraId="4D01929A">
            <w:pPr>
              <w:jc w:val="right"/>
              <w:textAlignment w:val="center"/>
              <w:rPr>
                <w:rFonts w:cs="Times New Roman"/>
              </w:rPr>
            </w:pPr>
            <w:r>
              <w:rPr>
                <w:rFonts w:eastAsia="Arial Narrow" w:cs="Times New Roman"/>
                <w:color w:val="000000"/>
                <w:lang w:bidi="ar"/>
              </w:rPr>
              <w:t>147,607,547.34</w:t>
            </w:r>
          </w:p>
        </w:tc>
        <w:tc>
          <w:tcPr>
            <w:tcW w:w="1348" w:type="pct"/>
            <w:tcBorders>
              <w:top w:val="single" w:color="auto" w:sz="4" w:space="0"/>
              <w:left w:val="single" w:color="auto" w:sz="4" w:space="0"/>
              <w:bottom w:val="single" w:color="auto" w:sz="4" w:space="0"/>
              <w:right w:val="single" w:color="auto" w:sz="4" w:space="0"/>
            </w:tcBorders>
            <w:vAlign w:val="center"/>
          </w:tcPr>
          <w:p w14:paraId="6ABB6B2C">
            <w:pPr>
              <w:jc w:val="right"/>
              <w:textAlignment w:val="center"/>
              <w:rPr>
                <w:rFonts w:cs="Times New Roman"/>
              </w:rPr>
            </w:pPr>
            <w:r>
              <w:rPr>
                <w:rFonts w:cs="Times New Roman"/>
                <w:color w:val="000000"/>
              </w:rPr>
              <w:t>174,018,695.91</w:t>
            </w:r>
          </w:p>
        </w:tc>
      </w:tr>
      <w:tr w14:paraId="0CE0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478B2B9C">
            <w:pPr>
              <w:textAlignment w:val="center"/>
              <w:rPr>
                <w:rFonts w:cs="Times New Roman"/>
              </w:rPr>
            </w:pPr>
            <w:r>
              <w:rPr>
                <w:rFonts w:cs="Times New Roman"/>
                <w:color w:val="000000"/>
              </w:rPr>
              <w:t>摊销费</w:t>
            </w:r>
          </w:p>
        </w:tc>
        <w:tc>
          <w:tcPr>
            <w:tcW w:w="2604" w:type="dxa"/>
            <w:tcBorders>
              <w:top w:val="single" w:color="auto" w:sz="4" w:space="0"/>
              <w:left w:val="single" w:color="auto" w:sz="4" w:space="0"/>
              <w:bottom w:val="single" w:color="auto" w:sz="4" w:space="0"/>
              <w:right w:val="single" w:color="auto" w:sz="4" w:space="0"/>
            </w:tcBorders>
            <w:vAlign w:val="center"/>
          </w:tcPr>
          <w:p w14:paraId="2D99E516">
            <w:pPr>
              <w:jc w:val="right"/>
              <w:textAlignment w:val="center"/>
              <w:rPr>
                <w:rFonts w:cs="Times New Roman"/>
              </w:rPr>
            </w:pPr>
            <w:r>
              <w:rPr>
                <w:rFonts w:eastAsia="Arial Narrow" w:cs="Times New Roman"/>
                <w:color w:val="000000"/>
                <w:lang w:bidi="ar"/>
              </w:rPr>
              <w:t>18,109,470.80</w:t>
            </w:r>
          </w:p>
        </w:tc>
        <w:tc>
          <w:tcPr>
            <w:tcW w:w="1348" w:type="pct"/>
            <w:tcBorders>
              <w:top w:val="single" w:color="auto" w:sz="4" w:space="0"/>
              <w:left w:val="single" w:color="auto" w:sz="4" w:space="0"/>
              <w:bottom w:val="single" w:color="auto" w:sz="4" w:space="0"/>
              <w:right w:val="single" w:color="auto" w:sz="4" w:space="0"/>
            </w:tcBorders>
            <w:vAlign w:val="center"/>
          </w:tcPr>
          <w:p w14:paraId="0FD083B2">
            <w:pPr>
              <w:jc w:val="right"/>
              <w:textAlignment w:val="center"/>
              <w:rPr>
                <w:rFonts w:cs="Times New Roman"/>
              </w:rPr>
            </w:pPr>
            <w:r>
              <w:rPr>
                <w:rFonts w:cs="Times New Roman"/>
                <w:color w:val="000000"/>
              </w:rPr>
              <w:t>20,992,485.09</w:t>
            </w:r>
          </w:p>
        </w:tc>
      </w:tr>
      <w:tr w14:paraId="51B1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0A8843E7">
            <w:pPr>
              <w:textAlignment w:val="center"/>
              <w:rPr>
                <w:rFonts w:cs="Times New Roman"/>
              </w:rPr>
            </w:pPr>
            <w:r>
              <w:rPr>
                <w:rFonts w:cs="Times New Roman"/>
                <w:color w:val="000000"/>
              </w:rPr>
              <w:t>折旧费</w:t>
            </w:r>
          </w:p>
        </w:tc>
        <w:tc>
          <w:tcPr>
            <w:tcW w:w="2604" w:type="dxa"/>
            <w:tcBorders>
              <w:top w:val="single" w:color="auto" w:sz="4" w:space="0"/>
              <w:left w:val="single" w:color="auto" w:sz="4" w:space="0"/>
              <w:bottom w:val="single" w:color="auto" w:sz="4" w:space="0"/>
              <w:right w:val="single" w:color="auto" w:sz="4" w:space="0"/>
            </w:tcBorders>
            <w:vAlign w:val="center"/>
          </w:tcPr>
          <w:p w14:paraId="70E491FC">
            <w:pPr>
              <w:jc w:val="right"/>
              <w:textAlignment w:val="center"/>
              <w:rPr>
                <w:rFonts w:cs="Times New Roman"/>
              </w:rPr>
            </w:pPr>
            <w:r>
              <w:rPr>
                <w:rFonts w:eastAsia="Arial Narrow" w:cs="Times New Roman"/>
                <w:color w:val="000000"/>
                <w:lang w:bidi="ar"/>
              </w:rPr>
              <w:t>42,066,683.26</w:t>
            </w:r>
          </w:p>
        </w:tc>
        <w:tc>
          <w:tcPr>
            <w:tcW w:w="1348" w:type="pct"/>
            <w:tcBorders>
              <w:top w:val="single" w:color="auto" w:sz="4" w:space="0"/>
              <w:left w:val="single" w:color="auto" w:sz="4" w:space="0"/>
              <w:bottom w:val="single" w:color="auto" w:sz="4" w:space="0"/>
              <w:right w:val="single" w:color="auto" w:sz="4" w:space="0"/>
            </w:tcBorders>
            <w:vAlign w:val="center"/>
          </w:tcPr>
          <w:p w14:paraId="4FE903E4">
            <w:pPr>
              <w:jc w:val="right"/>
              <w:textAlignment w:val="center"/>
              <w:rPr>
                <w:rFonts w:cs="Times New Roman"/>
              </w:rPr>
            </w:pPr>
            <w:r>
              <w:rPr>
                <w:rFonts w:cs="Times New Roman"/>
                <w:color w:val="000000"/>
              </w:rPr>
              <w:t>30,250,914.22</w:t>
            </w:r>
          </w:p>
        </w:tc>
      </w:tr>
      <w:tr w14:paraId="614C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1D33077B">
            <w:pPr>
              <w:textAlignment w:val="center"/>
              <w:rPr>
                <w:rFonts w:cs="Times New Roman"/>
              </w:rPr>
            </w:pPr>
            <w:r>
              <w:rPr>
                <w:rFonts w:cs="Times New Roman"/>
                <w:color w:val="000000"/>
              </w:rPr>
              <w:t>修理费</w:t>
            </w:r>
          </w:p>
        </w:tc>
        <w:tc>
          <w:tcPr>
            <w:tcW w:w="2604" w:type="dxa"/>
            <w:tcBorders>
              <w:top w:val="single" w:color="auto" w:sz="4" w:space="0"/>
              <w:left w:val="single" w:color="auto" w:sz="4" w:space="0"/>
              <w:bottom w:val="single" w:color="auto" w:sz="4" w:space="0"/>
              <w:right w:val="single" w:color="auto" w:sz="4" w:space="0"/>
            </w:tcBorders>
            <w:vAlign w:val="center"/>
          </w:tcPr>
          <w:p w14:paraId="7A9D0082">
            <w:pPr>
              <w:jc w:val="right"/>
              <w:textAlignment w:val="center"/>
              <w:rPr>
                <w:rFonts w:cs="Times New Roman"/>
              </w:rPr>
            </w:pPr>
            <w:r>
              <w:rPr>
                <w:rFonts w:eastAsia="Arial Narrow" w:cs="Times New Roman"/>
                <w:color w:val="000000"/>
                <w:lang w:bidi="ar"/>
              </w:rPr>
              <w:t>6,346,789.68</w:t>
            </w:r>
          </w:p>
        </w:tc>
        <w:tc>
          <w:tcPr>
            <w:tcW w:w="1348" w:type="pct"/>
            <w:tcBorders>
              <w:top w:val="single" w:color="auto" w:sz="4" w:space="0"/>
              <w:left w:val="single" w:color="auto" w:sz="4" w:space="0"/>
              <w:bottom w:val="single" w:color="auto" w:sz="4" w:space="0"/>
              <w:right w:val="single" w:color="auto" w:sz="4" w:space="0"/>
            </w:tcBorders>
            <w:vAlign w:val="center"/>
          </w:tcPr>
          <w:p w14:paraId="46C52B0F">
            <w:pPr>
              <w:jc w:val="right"/>
              <w:textAlignment w:val="center"/>
              <w:rPr>
                <w:rFonts w:cs="Times New Roman"/>
              </w:rPr>
            </w:pPr>
            <w:r>
              <w:rPr>
                <w:rFonts w:cs="Times New Roman"/>
                <w:color w:val="000000"/>
              </w:rPr>
              <w:t>9,587,443.14</w:t>
            </w:r>
          </w:p>
        </w:tc>
      </w:tr>
      <w:tr w14:paraId="1D17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96D9998">
            <w:pPr>
              <w:textAlignment w:val="center"/>
              <w:rPr>
                <w:rFonts w:cs="Times New Roman"/>
              </w:rPr>
            </w:pPr>
            <w:r>
              <w:rPr>
                <w:rFonts w:cs="Times New Roman"/>
                <w:color w:val="000000"/>
              </w:rPr>
              <w:t>水电费</w:t>
            </w:r>
          </w:p>
        </w:tc>
        <w:tc>
          <w:tcPr>
            <w:tcW w:w="2604" w:type="dxa"/>
            <w:tcBorders>
              <w:top w:val="single" w:color="auto" w:sz="4" w:space="0"/>
              <w:left w:val="single" w:color="auto" w:sz="4" w:space="0"/>
              <w:bottom w:val="single" w:color="auto" w:sz="4" w:space="0"/>
              <w:right w:val="single" w:color="auto" w:sz="4" w:space="0"/>
            </w:tcBorders>
            <w:vAlign w:val="center"/>
          </w:tcPr>
          <w:p w14:paraId="7E32F501">
            <w:pPr>
              <w:jc w:val="right"/>
              <w:textAlignment w:val="center"/>
              <w:rPr>
                <w:rFonts w:cs="Times New Roman"/>
              </w:rPr>
            </w:pPr>
            <w:r>
              <w:rPr>
                <w:rFonts w:eastAsia="Arial Narrow" w:cs="Times New Roman"/>
                <w:color w:val="000000"/>
                <w:lang w:bidi="ar"/>
              </w:rPr>
              <w:t>6,217,472.15</w:t>
            </w:r>
          </w:p>
        </w:tc>
        <w:tc>
          <w:tcPr>
            <w:tcW w:w="1348" w:type="pct"/>
            <w:tcBorders>
              <w:top w:val="single" w:color="auto" w:sz="4" w:space="0"/>
              <w:left w:val="single" w:color="auto" w:sz="4" w:space="0"/>
              <w:bottom w:val="single" w:color="auto" w:sz="4" w:space="0"/>
              <w:right w:val="single" w:color="auto" w:sz="4" w:space="0"/>
            </w:tcBorders>
            <w:vAlign w:val="center"/>
          </w:tcPr>
          <w:p w14:paraId="2328A571">
            <w:pPr>
              <w:jc w:val="right"/>
              <w:textAlignment w:val="center"/>
              <w:rPr>
                <w:rFonts w:cs="Times New Roman"/>
              </w:rPr>
            </w:pPr>
            <w:r>
              <w:rPr>
                <w:rFonts w:cs="Times New Roman"/>
                <w:color w:val="000000"/>
              </w:rPr>
              <w:t>8,454,724.14</w:t>
            </w:r>
          </w:p>
        </w:tc>
      </w:tr>
      <w:tr w14:paraId="4031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DA7B60E">
            <w:pPr>
              <w:textAlignment w:val="center"/>
              <w:rPr>
                <w:rFonts w:cs="Times New Roman"/>
              </w:rPr>
            </w:pPr>
            <w:r>
              <w:rPr>
                <w:rFonts w:cs="Times New Roman"/>
                <w:color w:val="000000"/>
              </w:rPr>
              <w:t>差旅费</w:t>
            </w:r>
          </w:p>
        </w:tc>
        <w:tc>
          <w:tcPr>
            <w:tcW w:w="2604" w:type="dxa"/>
            <w:tcBorders>
              <w:top w:val="single" w:color="auto" w:sz="4" w:space="0"/>
              <w:left w:val="single" w:color="auto" w:sz="4" w:space="0"/>
              <w:bottom w:val="single" w:color="auto" w:sz="4" w:space="0"/>
              <w:right w:val="single" w:color="auto" w:sz="4" w:space="0"/>
            </w:tcBorders>
            <w:vAlign w:val="center"/>
          </w:tcPr>
          <w:p w14:paraId="37C2741B">
            <w:pPr>
              <w:jc w:val="right"/>
              <w:textAlignment w:val="center"/>
              <w:rPr>
                <w:rFonts w:cs="Times New Roman"/>
              </w:rPr>
            </w:pPr>
            <w:r>
              <w:rPr>
                <w:rFonts w:eastAsia="Arial Narrow" w:cs="Times New Roman"/>
                <w:color w:val="000000"/>
                <w:lang w:bidi="ar"/>
              </w:rPr>
              <w:t>4,859,966.17</w:t>
            </w:r>
          </w:p>
        </w:tc>
        <w:tc>
          <w:tcPr>
            <w:tcW w:w="1348" w:type="pct"/>
            <w:tcBorders>
              <w:top w:val="single" w:color="auto" w:sz="4" w:space="0"/>
              <w:left w:val="single" w:color="auto" w:sz="4" w:space="0"/>
              <w:bottom w:val="single" w:color="auto" w:sz="4" w:space="0"/>
              <w:right w:val="single" w:color="auto" w:sz="4" w:space="0"/>
            </w:tcBorders>
            <w:vAlign w:val="center"/>
          </w:tcPr>
          <w:p w14:paraId="3923C108">
            <w:pPr>
              <w:jc w:val="right"/>
              <w:textAlignment w:val="center"/>
              <w:rPr>
                <w:rFonts w:cs="Times New Roman"/>
              </w:rPr>
            </w:pPr>
            <w:r>
              <w:rPr>
                <w:rFonts w:cs="Times New Roman"/>
                <w:color w:val="000000"/>
              </w:rPr>
              <w:t>4,920,722.09</w:t>
            </w:r>
          </w:p>
        </w:tc>
      </w:tr>
      <w:tr w14:paraId="3364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C542624">
            <w:pPr>
              <w:textAlignment w:val="center"/>
              <w:rPr>
                <w:rFonts w:cs="Times New Roman"/>
              </w:rPr>
            </w:pPr>
            <w:r>
              <w:rPr>
                <w:rFonts w:cs="Times New Roman"/>
                <w:color w:val="000000"/>
              </w:rPr>
              <w:t>取暖降温费</w:t>
            </w:r>
          </w:p>
        </w:tc>
        <w:tc>
          <w:tcPr>
            <w:tcW w:w="2604" w:type="dxa"/>
            <w:tcBorders>
              <w:top w:val="single" w:color="auto" w:sz="4" w:space="0"/>
              <w:left w:val="single" w:color="auto" w:sz="4" w:space="0"/>
              <w:bottom w:val="single" w:color="auto" w:sz="4" w:space="0"/>
              <w:right w:val="single" w:color="auto" w:sz="4" w:space="0"/>
            </w:tcBorders>
            <w:vAlign w:val="center"/>
          </w:tcPr>
          <w:p w14:paraId="31F7F8C9">
            <w:pPr>
              <w:jc w:val="right"/>
              <w:textAlignment w:val="center"/>
              <w:rPr>
                <w:rFonts w:cs="Times New Roman"/>
              </w:rPr>
            </w:pPr>
            <w:r>
              <w:rPr>
                <w:rFonts w:eastAsia="Arial Narrow" w:cs="Times New Roman"/>
                <w:color w:val="000000"/>
                <w:lang w:bidi="ar"/>
              </w:rPr>
              <w:t>1,667,294.17</w:t>
            </w:r>
          </w:p>
        </w:tc>
        <w:tc>
          <w:tcPr>
            <w:tcW w:w="1348" w:type="pct"/>
            <w:tcBorders>
              <w:top w:val="single" w:color="auto" w:sz="4" w:space="0"/>
              <w:left w:val="single" w:color="auto" w:sz="4" w:space="0"/>
              <w:bottom w:val="single" w:color="auto" w:sz="4" w:space="0"/>
              <w:right w:val="single" w:color="auto" w:sz="4" w:space="0"/>
            </w:tcBorders>
            <w:vAlign w:val="center"/>
          </w:tcPr>
          <w:p w14:paraId="56B9042B">
            <w:pPr>
              <w:jc w:val="right"/>
              <w:textAlignment w:val="center"/>
              <w:rPr>
                <w:rFonts w:cs="Times New Roman"/>
              </w:rPr>
            </w:pPr>
            <w:r>
              <w:rPr>
                <w:rFonts w:cs="Times New Roman"/>
                <w:color w:val="000000"/>
              </w:rPr>
              <w:t>1,284,542.51</w:t>
            </w:r>
          </w:p>
        </w:tc>
      </w:tr>
      <w:tr w14:paraId="6353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B757AFD">
            <w:pPr>
              <w:textAlignment w:val="center"/>
              <w:rPr>
                <w:rFonts w:cs="Times New Roman"/>
              </w:rPr>
            </w:pPr>
            <w:r>
              <w:rPr>
                <w:rFonts w:cs="Times New Roman"/>
                <w:color w:val="000000"/>
              </w:rPr>
              <w:t>业务招待费</w:t>
            </w:r>
          </w:p>
        </w:tc>
        <w:tc>
          <w:tcPr>
            <w:tcW w:w="2604" w:type="dxa"/>
            <w:tcBorders>
              <w:top w:val="single" w:color="auto" w:sz="4" w:space="0"/>
              <w:left w:val="single" w:color="auto" w:sz="4" w:space="0"/>
              <w:bottom w:val="single" w:color="auto" w:sz="4" w:space="0"/>
              <w:right w:val="single" w:color="auto" w:sz="4" w:space="0"/>
            </w:tcBorders>
            <w:vAlign w:val="center"/>
          </w:tcPr>
          <w:p w14:paraId="707DB382">
            <w:pPr>
              <w:jc w:val="right"/>
              <w:textAlignment w:val="center"/>
              <w:rPr>
                <w:rFonts w:cs="Times New Roman"/>
              </w:rPr>
            </w:pPr>
            <w:r>
              <w:rPr>
                <w:rFonts w:eastAsia="Arial Narrow" w:cs="Times New Roman"/>
                <w:color w:val="000000"/>
                <w:lang w:bidi="ar"/>
              </w:rPr>
              <w:t>3,375,562.32</w:t>
            </w:r>
          </w:p>
        </w:tc>
        <w:tc>
          <w:tcPr>
            <w:tcW w:w="1348" w:type="pct"/>
            <w:tcBorders>
              <w:top w:val="single" w:color="auto" w:sz="4" w:space="0"/>
              <w:left w:val="single" w:color="auto" w:sz="4" w:space="0"/>
              <w:bottom w:val="single" w:color="auto" w:sz="4" w:space="0"/>
              <w:right w:val="single" w:color="auto" w:sz="4" w:space="0"/>
            </w:tcBorders>
            <w:vAlign w:val="center"/>
          </w:tcPr>
          <w:p w14:paraId="1A14475A">
            <w:pPr>
              <w:jc w:val="right"/>
              <w:textAlignment w:val="center"/>
              <w:rPr>
                <w:rFonts w:cs="Times New Roman"/>
              </w:rPr>
            </w:pPr>
            <w:r>
              <w:rPr>
                <w:rFonts w:cs="Times New Roman"/>
                <w:color w:val="000000"/>
              </w:rPr>
              <w:t>4,686,496.50</w:t>
            </w:r>
          </w:p>
        </w:tc>
      </w:tr>
      <w:tr w14:paraId="4FEA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5B24ADB2">
            <w:pPr>
              <w:textAlignment w:val="center"/>
              <w:rPr>
                <w:rFonts w:cs="Times New Roman"/>
              </w:rPr>
            </w:pPr>
            <w:r>
              <w:rPr>
                <w:rFonts w:cs="Times New Roman"/>
                <w:color w:val="000000"/>
              </w:rPr>
              <w:t>办公费</w:t>
            </w:r>
          </w:p>
        </w:tc>
        <w:tc>
          <w:tcPr>
            <w:tcW w:w="2604" w:type="dxa"/>
            <w:tcBorders>
              <w:top w:val="single" w:color="auto" w:sz="4" w:space="0"/>
              <w:left w:val="single" w:color="auto" w:sz="4" w:space="0"/>
              <w:bottom w:val="single" w:color="auto" w:sz="4" w:space="0"/>
              <w:right w:val="single" w:color="auto" w:sz="4" w:space="0"/>
            </w:tcBorders>
            <w:vAlign w:val="center"/>
          </w:tcPr>
          <w:p w14:paraId="66334811">
            <w:pPr>
              <w:jc w:val="right"/>
              <w:textAlignment w:val="center"/>
              <w:rPr>
                <w:rFonts w:cs="Times New Roman"/>
              </w:rPr>
            </w:pPr>
            <w:r>
              <w:rPr>
                <w:rFonts w:eastAsia="Arial Narrow" w:cs="Times New Roman"/>
                <w:color w:val="000000"/>
                <w:lang w:bidi="ar"/>
              </w:rPr>
              <w:t>706,414.15</w:t>
            </w:r>
          </w:p>
        </w:tc>
        <w:tc>
          <w:tcPr>
            <w:tcW w:w="1348" w:type="pct"/>
            <w:tcBorders>
              <w:top w:val="single" w:color="auto" w:sz="4" w:space="0"/>
              <w:left w:val="single" w:color="auto" w:sz="4" w:space="0"/>
              <w:bottom w:val="single" w:color="auto" w:sz="4" w:space="0"/>
              <w:right w:val="single" w:color="auto" w:sz="4" w:space="0"/>
            </w:tcBorders>
            <w:vAlign w:val="center"/>
          </w:tcPr>
          <w:p w14:paraId="48705581">
            <w:pPr>
              <w:jc w:val="right"/>
              <w:textAlignment w:val="center"/>
              <w:rPr>
                <w:rFonts w:cs="Times New Roman"/>
              </w:rPr>
            </w:pPr>
            <w:r>
              <w:rPr>
                <w:rFonts w:cs="Times New Roman"/>
                <w:color w:val="000000"/>
              </w:rPr>
              <w:t>1,052,225.97</w:t>
            </w:r>
          </w:p>
        </w:tc>
      </w:tr>
      <w:tr w14:paraId="2462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2C7C2F86">
            <w:pPr>
              <w:textAlignment w:val="center"/>
              <w:rPr>
                <w:rFonts w:cs="Times New Roman"/>
              </w:rPr>
            </w:pPr>
            <w:r>
              <w:rPr>
                <w:rFonts w:cs="Times New Roman"/>
                <w:color w:val="000000"/>
              </w:rPr>
              <w:t>其他</w:t>
            </w:r>
          </w:p>
        </w:tc>
        <w:tc>
          <w:tcPr>
            <w:tcW w:w="2604" w:type="dxa"/>
            <w:tcBorders>
              <w:top w:val="single" w:color="auto" w:sz="4" w:space="0"/>
              <w:left w:val="single" w:color="auto" w:sz="4" w:space="0"/>
              <w:bottom w:val="single" w:color="auto" w:sz="4" w:space="0"/>
              <w:right w:val="single" w:color="auto" w:sz="4" w:space="0"/>
            </w:tcBorders>
            <w:vAlign w:val="center"/>
          </w:tcPr>
          <w:p w14:paraId="594C4EFF">
            <w:pPr>
              <w:jc w:val="right"/>
              <w:textAlignment w:val="center"/>
              <w:rPr>
                <w:rFonts w:cs="Times New Roman"/>
              </w:rPr>
            </w:pPr>
            <w:r>
              <w:rPr>
                <w:rFonts w:eastAsia="Arial Narrow" w:cs="Times New Roman"/>
                <w:color w:val="000000"/>
                <w:lang w:bidi="ar"/>
              </w:rPr>
              <w:t>46,134,265.68</w:t>
            </w:r>
          </w:p>
        </w:tc>
        <w:tc>
          <w:tcPr>
            <w:tcW w:w="1348" w:type="pct"/>
            <w:tcBorders>
              <w:top w:val="single" w:color="auto" w:sz="4" w:space="0"/>
              <w:left w:val="single" w:color="auto" w:sz="4" w:space="0"/>
              <w:bottom w:val="single" w:color="auto" w:sz="4" w:space="0"/>
              <w:right w:val="single" w:color="auto" w:sz="4" w:space="0"/>
            </w:tcBorders>
            <w:vAlign w:val="center"/>
          </w:tcPr>
          <w:p w14:paraId="3A3AC80A">
            <w:pPr>
              <w:jc w:val="right"/>
              <w:textAlignment w:val="center"/>
              <w:rPr>
                <w:rFonts w:cs="Times New Roman"/>
              </w:rPr>
            </w:pPr>
            <w:r>
              <w:rPr>
                <w:rFonts w:cs="Times New Roman"/>
                <w:color w:val="000000"/>
              </w:rPr>
              <w:t>50,888,082.02</w:t>
            </w:r>
          </w:p>
        </w:tc>
      </w:tr>
      <w:tr w14:paraId="0B3B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79391C2F">
            <w:pPr>
              <w:jc w:val="center"/>
              <w:rPr>
                <w:rFonts w:cs="Times New Roman"/>
                <w:color w:val="000000" w:themeColor="text1"/>
                <w14:textFill>
                  <w14:solidFill>
                    <w14:schemeClr w14:val="tx1"/>
                  </w14:solidFill>
                </w14:textFill>
              </w:rPr>
            </w:pPr>
            <w:r>
              <w:rPr>
                <w:rFonts w:cs="Times New Roman"/>
                <w:color w:val="000000"/>
              </w:rPr>
              <w:t>合计</w:t>
            </w:r>
          </w:p>
        </w:tc>
        <w:tc>
          <w:tcPr>
            <w:tcW w:w="2604" w:type="dxa"/>
            <w:tcBorders>
              <w:top w:val="single" w:color="auto" w:sz="4" w:space="0"/>
              <w:left w:val="single" w:color="auto" w:sz="4" w:space="0"/>
              <w:bottom w:val="single" w:color="auto" w:sz="4" w:space="0"/>
              <w:right w:val="single" w:color="auto" w:sz="4" w:space="0"/>
            </w:tcBorders>
            <w:vAlign w:val="center"/>
          </w:tcPr>
          <w:p w14:paraId="747FC0CB">
            <w:pPr>
              <w:jc w:val="right"/>
              <w:textAlignment w:val="center"/>
              <w:rPr>
                <w:rFonts w:cs="Times New Roman"/>
              </w:rPr>
            </w:pPr>
            <w:r>
              <w:rPr>
                <w:rFonts w:eastAsia="Arial Narrow" w:cs="Times New Roman"/>
                <w:color w:val="000000"/>
                <w:lang w:bidi="ar"/>
              </w:rPr>
              <w:t>277,091,465.72</w:t>
            </w:r>
          </w:p>
        </w:tc>
        <w:tc>
          <w:tcPr>
            <w:tcW w:w="1348" w:type="pct"/>
            <w:tcBorders>
              <w:top w:val="single" w:color="auto" w:sz="4" w:space="0"/>
              <w:left w:val="single" w:color="auto" w:sz="4" w:space="0"/>
              <w:bottom w:val="single" w:color="auto" w:sz="4" w:space="0"/>
              <w:right w:val="single" w:color="auto" w:sz="4" w:space="0"/>
            </w:tcBorders>
            <w:vAlign w:val="center"/>
          </w:tcPr>
          <w:p w14:paraId="4812C8FC">
            <w:pPr>
              <w:jc w:val="right"/>
              <w:textAlignment w:val="center"/>
              <w:rPr>
                <w:rFonts w:cs="Times New Roman"/>
              </w:rPr>
            </w:pPr>
            <w:r>
              <w:rPr>
                <w:rFonts w:cs="Times New Roman"/>
                <w:color w:val="000000"/>
              </w:rPr>
              <w:t>306,136,331.59</w:t>
            </w:r>
          </w:p>
        </w:tc>
      </w:tr>
    </w:tbl>
    <w:p w14:paraId="6E700CC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管理费用的其他说明事项"/>
        <w:tag w:val="_GBC_2ddba7c397f842b2a457e4f7fe020aca"/>
        <w:id w:val="147471306"/>
        <w:placeholder>
          <w:docPart w:val="GBC22222222222222222222222222222"/>
        </w:placeholder>
      </w:sdtPr>
      <w:sdtEndPr>
        <w:rPr>
          <w:color w:val="000000" w:themeColor="text1"/>
          <w14:textFill>
            <w14:solidFill>
              <w14:schemeClr w14:val="tx1"/>
            </w14:solidFill>
          </w14:textFill>
        </w:rPr>
      </w:sdtEndPr>
      <w:sdtContent>
        <w:p w14:paraId="4406F883">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7D85A97F">
      <w:pPr>
        <w:rPr>
          <w:color w:val="000000" w:themeColor="text1"/>
          <w14:textFill>
            <w14:solidFill>
              <w14:schemeClr w14:val="tx1"/>
            </w14:solidFill>
          </w14:textFill>
        </w:rPr>
      </w:pPr>
    </w:p>
    <w:p w14:paraId="296A7C8B">
      <w:pPr>
        <w:pStyle w:val="57"/>
        <w:numPr>
          <w:ilvl w:val="0"/>
          <w:numId w:val="54"/>
        </w:numPr>
        <w:rPr>
          <w:color w:val="000000" w:themeColor="text1"/>
          <w:szCs w:val="21"/>
          <w14:textFill>
            <w14:solidFill>
              <w14:schemeClr w14:val="tx1"/>
            </w14:solidFill>
          </w14:textFill>
        </w:rPr>
      </w:pPr>
      <w:bookmarkStart w:id="386" w:name="_Hlk10538261"/>
      <w:r>
        <w:rPr>
          <w:color w:val="000000" w:themeColor="text1"/>
          <w:szCs w:val="21"/>
          <w14:textFill>
            <w14:solidFill>
              <w14:schemeClr w14:val="tx1"/>
            </w14:solidFill>
          </w14:textFill>
        </w:rPr>
        <w:t>研发费用</w:t>
      </w:r>
    </w:p>
    <w:sdt>
      <w:sdtPr>
        <w:rPr>
          <w:color w:val="000000" w:themeColor="text1"/>
          <w14:textFill>
            <w14:solidFill>
              <w14:schemeClr w14:val="tx1"/>
            </w14:solidFill>
          </w14:textFill>
        </w:rPr>
        <w:alias w:val="是否适用：研发费用[双击切换]"/>
        <w:tag w:val="_GBC_48b4a6beb6f54c3ba7c01af3727337bb"/>
        <w:id w:val="147461139"/>
        <w:placeholder>
          <w:docPart w:val="GBC22222222222222222222222222222"/>
        </w:placeholder>
      </w:sdtPr>
      <w:sdtEndPr>
        <w:rPr>
          <w:color w:val="000000" w:themeColor="text1"/>
          <w14:textFill>
            <w14:solidFill>
              <w14:schemeClr w14:val="tx1"/>
            </w14:solidFill>
          </w14:textFill>
        </w:rPr>
      </w:sdtEndPr>
      <w:sdtContent>
        <w:p w14:paraId="4BDC00E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EA7017">
      <w:pPr>
        <w:pStyle w:val="63"/>
        <w:ind w:left="420"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研发费用"/>
          <w:tag w:val="_GBC_a0292321d82f46b8823ab163b1084fea"/>
          <w:id w:val="1474809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研发费用"/>
          <w:tag w:val="_GBC_a0b2b92cacc24641a2d69fc025b920ea"/>
          <w:id w:val="1474560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14:paraId="7AE5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cs="Times New Roman"/>
            </w:rPr>
            <w:tag w:val="_PLD_878c2bf88dff43e8bf48fe187921cf85"/>
            <w:id w:val="147468836"/>
          </w:sdtPr>
          <w:sdtEndPr>
            <w:rPr>
              <w:rFonts w:cs="Times New Roman"/>
            </w:rPr>
          </w:sdtEndPr>
          <w:sdtContent>
            <w:tc>
              <w:tcPr>
                <w:tcW w:w="2213" w:type="pct"/>
                <w:tcBorders>
                  <w:top w:val="single" w:color="auto" w:sz="4" w:space="0"/>
                  <w:left w:val="single" w:color="auto" w:sz="4" w:space="0"/>
                  <w:bottom w:val="single" w:color="auto" w:sz="4" w:space="0"/>
                  <w:right w:val="single" w:color="auto" w:sz="4" w:space="0"/>
                </w:tcBorders>
              </w:tcPr>
              <w:p w14:paraId="6EE9C94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043e1c3ae76a497c9be9c1eef3db33c6"/>
            <w:id w:val="147474237"/>
          </w:sdtPr>
          <w:sdtEndPr>
            <w:rPr>
              <w:rFonts w:cs="Times New Roman"/>
            </w:rPr>
          </w:sdtEndPr>
          <w:sdtContent>
            <w:tc>
              <w:tcPr>
                <w:tcW w:w="1439" w:type="pct"/>
                <w:tcBorders>
                  <w:top w:val="single" w:color="auto" w:sz="4" w:space="0"/>
                  <w:left w:val="single" w:color="auto" w:sz="4" w:space="0"/>
                  <w:bottom w:val="single" w:color="auto" w:sz="4" w:space="0"/>
                  <w:right w:val="single" w:color="auto" w:sz="4" w:space="0"/>
                </w:tcBorders>
              </w:tcPr>
              <w:p w14:paraId="774766B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d0588c88282b4dae9e42d7ffd38d27c6"/>
            <w:id w:val="147473923"/>
          </w:sdtPr>
          <w:sdtEndPr>
            <w:rPr>
              <w:rFonts w:cs="Times New Roman"/>
            </w:rPr>
          </w:sdtEndPr>
          <w:sdtContent>
            <w:tc>
              <w:tcPr>
                <w:tcW w:w="1348" w:type="pct"/>
                <w:tcBorders>
                  <w:top w:val="single" w:color="auto" w:sz="4" w:space="0"/>
                  <w:left w:val="single" w:color="auto" w:sz="4" w:space="0"/>
                  <w:bottom w:val="single" w:color="auto" w:sz="4" w:space="0"/>
                  <w:right w:val="single" w:color="auto" w:sz="4" w:space="0"/>
                </w:tcBorders>
              </w:tcPr>
              <w:p w14:paraId="2ADF75E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1610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4FDCC757">
            <w:pPr>
              <w:textAlignment w:val="top"/>
              <w:rPr>
                <w:rFonts w:cs="Times New Roman"/>
              </w:rPr>
            </w:pPr>
            <w:r>
              <w:rPr>
                <w:rFonts w:cs="Times New Roman"/>
                <w:color w:val="000000"/>
              </w:rPr>
              <w:t>职工薪酬</w:t>
            </w:r>
          </w:p>
        </w:tc>
        <w:tc>
          <w:tcPr>
            <w:tcW w:w="1439" w:type="pct"/>
            <w:tcBorders>
              <w:top w:val="single" w:color="auto" w:sz="4" w:space="0"/>
              <w:left w:val="single" w:color="auto" w:sz="4" w:space="0"/>
              <w:bottom w:val="single" w:color="auto" w:sz="4" w:space="0"/>
              <w:right w:val="single" w:color="auto" w:sz="4" w:space="0"/>
            </w:tcBorders>
            <w:vAlign w:val="center"/>
          </w:tcPr>
          <w:p w14:paraId="5979277A">
            <w:pPr>
              <w:jc w:val="right"/>
              <w:textAlignment w:val="center"/>
              <w:rPr>
                <w:rFonts w:cs="Times New Roman"/>
              </w:rPr>
            </w:pPr>
            <w:r>
              <w:rPr>
                <w:rFonts w:cs="Times New Roman"/>
                <w:color w:val="000000"/>
              </w:rPr>
              <w:t>58,441,985.57</w:t>
            </w:r>
          </w:p>
        </w:tc>
        <w:tc>
          <w:tcPr>
            <w:tcW w:w="1348" w:type="pct"/>
            <w:tcBorders>
              <w:top w:val="single" w:color="auto" w:sz="4" w:space="0"/>
              <w:left w:val="single" w:color="auto" w:sz="4" w:space="0"/>
              <w:bottom w:val="single" w:color="auto" w:sz="4" w:space="0"/>
              <w:right w:val="single" w:color="auto" w:sz="4" w:space="0"/>
            </w:tcBorders>
            <w:vAlign w:val="center"/>
          </w:tcPr>
          <w:p w14:paraId="6D7BE4BE">
            <w:pPr>
              <w:jc w:val="right"/>
              <w:textAlignment w:val="center"/>
              <w:rPr>
                <w:rFonts w:cs="Times New Roman"/>
              </w:rPr>
            </w:pPr>
            <w:r>
              <w:rPr>
                <w:rFonts w:cs="Times New Roman"/>
                <w:color w:val="000000"/>
              </w:rPr>
              <w:t>80,791,721.19</w:t>
            </w:r>
          </w:p>
        </w:tc>
      </w:tr>
      <w:tr w14:paraId="3580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30E9C2BA">
            <w:pPr>
              <w:textAlignment w:val="top"/>
              <w:rPr>
                <w:rFonts w:cs="Times New Roman"/>
              </w:rPr>
            </w:pPr>
            <w:r>
              <w:rPr>
                <w:rFonts w:cs="Times New Roman"/>
                <w:color w:val="000000"/>
              </w:rPr>
              <w:t>物料消耗</w:t>
            </w:r>
          </w:p>
        </w:tc>
        <w:tc>
          <w:tcPr>
            <w:tcW w:w="1439" w:type="pct"/>
            <w:tcBorders>
              <w:top w:val="single" w:color="auto" w:sz="4" w:space="0"/>
              <w:left w:val="single" w:color="auto" w:sz="4" w:space="0"/>
              <w:bottom w:val="single" w:color="auto" w:sz="4" w:space="0"/>
              <w:right w:val="single" w:color="auto" w:sz="4" w:space="0"/>
            </w:tcBorders>
            <w:vAlign w:val="center"/>
          </w:tcPr>
          <w:p w14:paraId="19943F1D">
            <w:pPr>
              <w:jc w:val="right"/>
              <w:textAlignment w:val="center"/>
              <w:rPr>
                <w:rFonts w:cs="Times New Roman"/>
              </w:rPr>
            </w:pPr>
            <w:r>
              <w:rPr>
                <w:rFonts w:cs="Times New Roman"/>
                <w:color w:val="000000"/>
              </w:rPr>
              <w:t>28,763,444.92</w:t>
            </w:r>
          </w:p>
        </w:tc>
        <w:tc>
          <w:tcPr>
            <w:tcW w:w="1348" w:type="pct"/>
            <w:tcBorders>
              <w:top w:val="single" w:color="auto" w:sz="4" w:space="0"/>
              <w:left w:val="single" w:color="auto" w:sz="4" w:space="0"/>
              <w:bottom w:val="single" w:color="auto" w:sz="4" w:space="0"/>
              <w:right w:val="single" w:color="auto" w:sz="4" w:space="0"/>
            </w:tcBorders>
            <w:vAlign w:val="center"/>
          </w:tcPr>
          <w:p w14:paraId="26868027">
            <w:pPr>
              <w:jc w:val="right"/>
              <w:textAlignment w:val="center"/>
              <w:rPr>
                <w:rFonts w:cs="Times New Roman"/>
              </w:rPr>
            </w:pPr>
            <w:r>
              <w:rPr>
                <w:rFonts w:cs="Times New Roman"/>
                <w:color w:val="000000"/>
              </w:rPr>
              <w:t>40,014,569.04</w:t>
            </w:r>
          </w:p>
        </w:tc>
      </w:tr>
      <w:tr w14:paraId="771E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50DB8049">
            <w:pPr>
              <w:textAlignment w:val="top"/>
              <w:rPr>
                <w:rFonts w:cs="Times New Roman"/>
              </w:rPr>
            </w:pPr>
            <w:r>
              <w:rPr>
                <w:rFonts w:cs="Times New Roman"/>
                <w:color w:val="000000"/>
              </w:rPr>
              <w:t>折旧及摊销费</w:t>
            </w:r>
          </w:p>
        </w:tc>
        <w:tc>
          <w:tcPr>
            <w:tcW w:w="1439" w:type="pct"/>
            <w:tcBorders>
              <w:top w:val="single" w:color="auto" w:sz="4" w:space="0"/>
              <w:left w:val="single" w:color="auto" w:sz="4" w:space="0"/>
              <w:bottom w:val="single" w:color="auto" w:sz="4" w:space="0"/>
              <w:right w:val="single" w:color="auto" w:sz="4" w:space="0"/>
            </w:tcBorders>
            <w:vAlign w:val="center"/>
          </w:tcPr>
          <w:p w14:paraId="7E92893C">
            <w:pPr>
              <w:jc w:val="right"/>
              <w:textAlignment w:val="center"/>
              <w:rPr>
                <w:rFonts w:cs="Times New Roman"/>
              </w:rPr>
            </w:pPr>
            <w:r>
              <w:rPr>
                <w:rFonts w:cs="Times New Roman"/>
                <w:color w:val="000000"/>
              </w:rPr>
              <w:t>7,822,485.11</w:t>
            </w:r>
          </w:p>
        </w:tc>
        <w:tc>
          <w:tcPr>
            <w:tcW w:w="1348" w:type="pct"/>
            <w:tcBorders>
              <w:top w:val="single" w:color="auto" w:sz="4" w:space="0"/>
              <w:left w:val="single" w:color="auto" w:sz="4" w:space="0"/>
              <w:bottom w:val="single" w:color="auto" w:sz="4" w:space="0"/>
              <w:right w:val="single" w:color="auto" w:sz="4" w:space="0"/>
            </w:tcBorders>
            <w:vAlign w:val="center"/>
          </w:tcPr>
          <w:p w14:paraId="70228D37">
            <w:pPr>
              <w:jc w:val="right"/>
              <w:textAlignment w:val="center"/>
              <w:rPr>
                <w:rFonts w:cs="Times New Roman"/>
              </w:rPr>
            </w:pPr>
            <w:r>
              <w:rPr>
                <w:rFonts w:cs="Times New Roman"/>
                <w:color w:val="000000"/>
              </w:rPr>
              <w:t>9,598,766.92</w:t>
            </w:r>
          </w:p>
        </w:tc>
      </w:tr>
      <w:tr w14:paraId="6599C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74CF3FA8">
            <w:pPr>
              <w:textAlignment w:val="top"/>
              <w:rPr>
                <w:rFonts w:cs="Times New Roman"/>
              </w:rPr>
            </w:pPr>
            <w:r>
              <w:rPr>
                <w:rFonts w:cs="Times New Roman"/>
                <w:color w:val="000000"/>
              </w:rPr>
              <w:t>差旅费</w:t>
            </w:r>
          </w:p>
        </w:tc>
        <w:tc>
          <w:tcPr>
            <w:tcW w:w="1439" w:type="pct"/>
            <w:tcBorders>
              <w:top w:val="single" w:color="auto" w:sz="4" w:space="0"/>
              <w:left w:val="single" w:color="auto" w:sz="4" w:space="0"/>
              <w:bottom w:val="single" w:color="auto" w:sz="4" w:space="0"/>
              <w:right w:val="single" w:color="auto" w:sz="4" w:space="0"/>
            </w:tcBorders>
            <w:vAlign w:val="center"/>
          </w:tcPr>
          <w:p w14:paraId="73A7DF27">
            <w:pPr>
              <w:jc w:val="right"/>
              <w:textAlignment w:val="center"/>
              <w:rPr>
                <w:rFonts w:cs="Times New Roman"/>
              </w:rPr>
            </w:pPr>
            <w:r>
              <w:rPr>
                <w:rFonts w:cs="Times New Roman"/>
                <w:color w:val="000000"/>
              </w:rPr>
              <w:t>1,953,797.46</w:t>
            </w:r>
          </w:p>
        </w:tc>
        <w:tc>
          <w:tcPr>
            <w:tcW w:w="1348" w:type="pct"/>
            <w:tcBorders>
              <w:top w:val="single" w:color="auto" w:sz="4" w:space="0"/>
              <w:left w:val="single" w:color="auto" w:sz="4" w:space="0"/>
              <w:bottom w:val="single" w:color="auto" w:sz="4" w:space="0"/>
              <w:right w:val="single" w:color="auto" w:sz="4" w:space="0"/>
            </w:tcBorders>
            <w:vAlign w:val="center"/>
          </w:tcPr>
          <w:p w14:paraId="4995306D">
            <w:pPr>
              <w:jc w:val="right"/>
              <w:textAlignment w:val="center"/>
              <w:rPr>
                <w:rFonts w:cs="Times New Roman"/>
              </w:rPr>
            </w:pPr>
            <w:r>
              <w:rPr>
                <w:rFonts w:cs="Times New Roman"/>
                <w:color w:val="000000"/>
              </w:rPr>
              <w:t>2,711,122.78</w:t>
            </w:r>
          </w:p>
        </w:tc>
      </w:tr>
      <w:tr w14:paraId="1C15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E649323">
            <w:pPr>
              <w:textAlignment w:val="top"/>
              <w:rPr>
                <w:rFonts w:cs="Times New Roman"/>
              </w:rPr>
            </w:pPr>
            <w:r>
              <w:rPr>
                <w:rFonts w:cs="Times New Roman"/>
                <w:color w:val="000000"/>
              </w:rPr>
              <w:t>燃料动力费</w:t>
            </w:r>
          </w:p>
        </w:tc>
        <w:tc>
          <w:tcPr>
            <w:tcW w:w="1439" w:type="pct"/>
            <w:tcBorders>
              <w:top w:val="single" w:color="auto" w:sz="4" w:space="0"/>
              <w:left w:val="single" w:color="auto" w:sz="4" w:space="0"/>
              <w:bottom w:val="single" w:color="auto" w:sz="4" w:space="0"/>
              <w:right w:val="single" w:color="auto" w:sz="4" w:space="0"/>
            </w:tcBorders>
            <w:vAlign w:val="center"/>
          </w:tcPr>
          <w:p w14:paraId="57266605">
            <w:pPr>
              <w:jc w:val="right"/>
              <w:textAlignment w:val="center"/>
              <w:rPr>
                <w:rFonts w:cs="Times New Roman"/>
              </w:rPr>
            </w:pPr>
            <w:r>
              <w:rPr>
                <w:rFonts w:cs="Times New Roman"/>
                <w:color w:val="000000"/>
              </w:rPr>
              <w:t>3,773,522.04</w:t>
            </w:r>
          </w:p>
        </w:tc>
        <w:tc>
          <w:tcPr>
            <w:tcW w:w="1348" w:type="pct"/>
            <w:tcBorders>
              <w:top w:val="single" w:color="auto" w:sz="4" w:space="0"/>
              <w:left w:val="single" w:color="auto" w:sz="4" w:space="0"/>
              <w:bottom w:val="single" w:color="auto" w:sz="4" w:space="0"/>
              <w:right w:val="single" w:color="auto" w:sz="4" w:space="0"/>
            </w:tcBorders>
            <w:vAlign w:val="center"/>
          </w:tcPr>
          <w:p w14:paraId="7DDC6077">
            <w:pPr>
              <w:jc w:val="right"/>
              <w:textAlignment w:val="center"/>
              <w:rPr>
                <w:rFonts w:cs="Times New Roman"/>
              </w:rPr>
            </w:pPr>
            <w:r>
              <w:rPr>
                <w:rFonts w:cs="Times New Roman"/>
                <w:color w:val="000000"/>
              </w:rPr>
              <w:t>3,009,350.08</w:t>
            </w:r>
          </w:p>
        </w:tc>
      </w:tr>
      <w:tr w14:paraId="3992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6019E7F4">
            <w:pPr>
              <w:textAlignment w:val="top"/>
              <w:rPr>
                <w:rFonts w:cs="Times New Roman"/>
              </w:rPr>
            </w:pPr>
            <w:r>
              <w:rPr>
                <w:rFonts w:cs="Times New Roman"/>
                <w:color w:val="000000"/>
              </w:rPr>
              <w:t>检验检测费</w:t>
            </w:r>
          </w:p>
        </w:tc>
        <w:tc>
          <w:tcPr>
            <w:tcW w:w="1439" w:type="pct"/>
            <w:tcBorders>
              <w:top w:val="single" w:color="auto" w:sz="4" w:space="0"/>
              <w:left w:val="single" w:color="auto" w:sz="4" w:space="0"/>
              <w:bottom w:val="single" w:color="auto" w:sz="4" w:space="0"/>
              <w:right w:val="single" w:color="auto" w:sz="4" w:space="0"/>
            </w:tcBorders>
            <w:vAlign w:val="center"/>
          </w:tcPr>
          <w:p w14:paraId="662C84A9">
            <w:pPr>
              <w:jc w:val="right"/>
              <w:textAlignment w:val="center"/>
              <w:rPr>
                <w:rFonts w:cs="Times New Roman"/>
              </w:rPr>
            </w:pPr>
            <w:r>
              <w:rPr>
                <w:rFonts w:cs="Times New Roman"/>
                <w:color w:val="000000"/>
              </w:rPr>
              <w:t>4,993,687.52</w:t>
            </w:r>
          </w:p>
        </w:tc>
        <w:tc>
          <w:tcPr>
            <w:tcW w:w="1348" w:type="pct"/>
            <w:tcBorders>
              <w:top w:val="single" w:color="auto" w:sz="4" w:space="0"/>
              <w:left w:val="single" w:color="auto" w:sz="4" w:space="0"/>
              <w:bottom w:val="single" w:color="auto" w:sz="4" w:space="0"/>
              <w:right w:val="single" w:color="auto" w:sz="4" w:space="0"/>
            </w:tcBorders>
            <w:vAlign w:val="center"/>
          </w:tcPr>
          <w:p w14:paraId="231A8D52">
            <w:pPr>
              <w:jc w:val="right"/>
              <w:textAlignment w:val="center"/>
              <w:rPr>
                <w:rFonts w:cs="Times New Roman"/>
              </w:rPr>
            </w:pPr>
            <w:r>
              <w:rPr>
                <w:rFonts w:cs="Times New Roman"/>
                <w:color w:val="000000"/>
              </w:rPr>
              <w:t>6,799,075.67</w:t>
            </w:r>
          </w:p>
        </w:tc>
      </w:tr>
      <w:tr w14:paraId="7932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11918805">
            <w:pPr>
              <w:textAlignment w:val="top"/>
              <w:rPr>
                <w:rFonts w:cs="Times New Roman"/>
              </w:rPr>
            </w:pPr>
            <w:r>
              <w:rPr>
                <w:rFonts w:cs="Times New Roman"/>
                <w:color w:val="000000"/>
              </w:rPr>
              <w:t>模具费</w:t>
            </w:r>
          </w:p>
        </w:tc>
        <w:tc>
          <w:tcPr>
            <w:tcW w:w="1439" w:type="pct"/>
            <w:tcBorders>
              <w:top w:val="single" w:color="auto" w:sz="4" w:space="0"/>
              <w:left w:val="single" w:color="auto" w:sz="4" w:space="0"/>
              <w:bottom w:val="single" w:color="auto" w:sz="4" w:space="0"/>
              <w:right w:val="single" w:color="auto" w:sz="4" w:space="0"/>
            </w:tcBorders>
            <w:vAlign w:val="center"/>
          </w:tcPr>
          <w:p w14:paraId="58D007DE">
            <w:pPr>
              <w:jc w:val="right"/>
              <w:textAlignment w:val="center"/>
              <w:rPr>
                <w:rFonts w:cs="Times New Roman"/>
              </w:rPr>
            </w:pPr>
            <w:r>
              <w:rPr>
                <w:rFonts w:cs="Times New Roman"/>
                <w:color w:val="000000"/>
              </w:rPr>
              <w:t>289,574.66</w:t>
            </w:r>
          </w:p>
        </w:tc>
        <w:tc>
          <w:tcPr>
            <w:tcW w:w="1348" w:type="pct"/>
            <w:tcBorders>
              <w:top w:val="single" w:color="auto" w:sz="4" w:space="0"/>
              <w:left w:val="single" w:color="auto" w:sz="4" w:space="0"/>
              <w:bottom w:val="single" w:color="auto" w:sz="4" w:space="0"/>
              <w:right w:val="single" w:color="auto" w:sz="4" w:space="0"/>
            </w:tcBorders>
            <w:vAlign w:val="center"/>
          </w:tcPr>
          <w:p w14:paraId="2F10F3FE">
            <w:pPr>
              <w:jc w:val="right"/>
              <w:textAlignment w:val="center"/>
              <w:rPr>
                <w:rFonts w:cs="Times New Roman"/>
              </w:rPr>
            </w:pPr>
            <w:r>
              <w:rPr>
                <w:rFonts w:cs="Times New Roman"/>
                <w:color w:val="000000"/>
              </w:rPr>
              <w:t>2,242,278.69</w:t>
            </w:r>
          </w:p>
        </w:tc>
      </w:tr>
      <w:tr w14:paraId="0300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09C82E56">
            <w:pPr>
              <w:textAlignment w:val="top"/>
              <w:rPr>
                <w:rFonts w:cs="Times New Roman"/>
              </w:rPr>
            </w:pPr>
            <w:r>
              <w:rPr>
                <w:rFonts w:cs="Times New Roman"/>
                <w:color w:val="000000"/>
              </w:rPr>
              <w:t>样品费</w:t>
            </w:r>
          </w:p>
        </w:tc>
        <w:tc>
          <w:tcPr>
            <w:tcW w:w="1439" w:type="pct"/>
            <w:tcBorders>
              <w:top w:val="single" w:color="auto" w:sz="4" w:space="0"/>
              <w:left w:val="single" w:color="auto" w:sz="4" w:space="0"/>
              <w:bottom w:val="single" w:color="auto" w:sz="4" w:space="0"/>
              <w:right w:val="single" w:color="auto" w:sz="4" w:space="0"/>
            </w:tcBorders>
            <w:vAlign w:val="center"/>
          </w:tcPr>
          <w:p w14:paraId="7FA6BCEF">
            <w:pPr>
              <w:jc w:val="right"/>
              <w:textAlignment w:val="center"/>
              <w:rPr>
                <w:rFonts w:cs="Times New Roman"/>
              </w:rPr>
            </w:pPr>
            <w:r>
              <w:rPr>
                <w:rFonts w:cs="Times New Roman"/>
                <w:color w:val="000000"/>
              </w:rPr>
              <w:t>1,276,742.26</w:t>
            </w:r>
          </w:p>
        </w:tc>
        <w:tc>
          <w:tcPr>
            <w:tcW w:w="1348" w:type="pct"/>
            <w:tcBorders>
              <w:top w:val="single" w:color="auto" w:sz="4" w:space="0"/>
              <w:left w:val="single" w:color="auto" w:sz="4" w:space="0"/>
              <w:bottom w:val="single" w:color="auto" w:sz="4" w:space="0"/>
              <w:right w:val="single" w:color="auto" w:sz="4" w:space="0"/>
            </w:tcBorders>
            <w:vAlign w:val="center"/>
          </w:tcPr>
          <w:p w14:paraId="0766FAA6">
            <w:pPr>
              <w:jc w:val="right"/>
              <w:textAlignment w:val="center"/>
              <w:rPr>
                <w:rFonts w:cs="Times New Roman"/>
              </w:rPr>
            </w:pPr>
            <w:r>
              <w:rPr>
                <w:rFonts w:cs="Times New Roman"/>
                <w:color w:val="000000"/>
              </w:rPr>
              <w:t>2,273,142.71</w:t>
            </w:r>
          </w:p>
        </w:tc>
      </w:tr>
      <w:tr w14:paraId="2B9D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395D6692">
            <w:pPr>
              <w:textAlignment w:val="top"/>
              <w:rPr>
                <w:rFonts w:cs="Times New Roman"/>
              </w:rPr>
            </w:pPr>
            <w:r>
              <w:rPr>
                <w:rFonts w:cs="Times New Roman"/>
                <w:color w:val="000000"/>
              </w:rPr>
              <w:t>委外研发</w:t>
            </w:r>
          </w:p>
        </w:tc>
        <w:tc>
          <w:tcPr>
            <w:tcW w:w="1439" w:type="pct"/>
            <w:tcBorders>
              <w:top w:val="single" w:color="auto" w:sz="4" w:space="0"/>
              <w:left w:val="single" w:color="auto" w:sz="4" w:space="0"/>
              <w:bottom w:val="single" w:color="auto" w:sz="4" w:space="0"/>
              <w:right w:val="single" w:color="auto" w:sz="4" w:space="0"/>
            </w:tcBorders>
            <w:vAlign w:val="center"/>
          </w:tcPr>
          <w:p w14:paraId="5974F284">
            <w:pPr>
              <w:jc w:val="right"/>
              <w:textAlignment w:val="center"/>
              <w:rPr>
                <w:rFonts w:cs="Times New Roman"/>
              </w:rPr>
            </w:pPr>
            <w:r>
              <w:rPr>
                <w:rFonts w:cs="Times New Roman"/>
                <w:color w:val="000000"/>
              </w:rPr>
              <w:t>568,979.41</w:t>
            </w:r>
          </w:p>
        </w:tc>
        <w:tc>
          <w:tcPr>
            <w:tcW w:w="1348" w:type="pct"/>
            <w:tcBorders>
              <w:top w:val="single" w:color="auto" w:sz="4" w:space="0"/>
              <w:left w:val="single" w:color="auto" w:sz="4" w:space="0"/>
              <w:bottom w:val="single" w:color="auto" w:sz="4" w:space="0"/>
              <w:right w:val="single" w:color="auto" w:sz="4" w:space="0"/>
            </w:tcBorders>
            <w:vAlign w:val="center"/>
          </w:tcPr>
          <w:p w14:paraId="34FB1DA9">
            <w:pPr>
              <w:jc w:val="right"/>
              <w:textAlignment w:val="center"/>
              <w:rPr>
                <w:rFonts w:cs="Times New Roman"/>
              </w:rPr>
            </w:pPr>
            <w:r>
              <w:rPr>
                <w:rFonts w:cs="Times New Roman"/>
                <w:color w:val="000000"/>
              </w:rPr>
              <w:t>656,861.15</w:t>
            </w:r>
          </w:p>
        </w:tc>
      </w:tr>
      <w:tr w14:paraId="0D9E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A74B3E4">
            <w:pPr>
              <w:textAlignment w:val="center"/>
              <w:rPr>
                <w:rFonts w:cs="Times New Roman"/>
              </w:rPr>
            </w:pPr>
            <w:r>
              <w:rPr>
                <w:rFonts w:cs="Times New Roman"/>
                <w:color w:val="000000"/>
              </w:rPr>
              <w:t>设计及咨询费</w:t>
            </w:r>
          </w:p>
        </w:tc>
        <w:tc>
          <w:tcPr>
            <w:tcW w:w="1439" w:type="pct"/>
            <w:tcBorders>
              <w:top w:val="single" w:color="auto" w:sz="4" w:space="0"/>
              <w:left w:val="single" w:color="auto" w:sz="4" w:space="0"/>
              <w:bottom w:val="single" w:color="auto" w:sz="4" w:space="0"/>
              <w:right w:val="single" w:color="auto" w:sz="4" w:space="0"/>
            </w:tcBorders>
            <w:vAlign w:val="center"/>
          </w:tcPr>
          <w:p w14:paraId="012E6DAF">
            <w:pPr>
              <w:jc w:val="right"/>
              <w:textAlignment w:val="center"/>
              <w:rPr>
                <w:rFonts w:cs="Times New Roman"/>
              </w:rPr>
            </w:pPr>
            <w:r>
              <w:rPr>
                <w:rFonts w:cs="Times New Roman"/>
                <w:color w:val="000000"/>
              </w:rPr>
              <w:t>1,111,552.12</w:t>
            </w:r>
          </w:p>
        </w:tc>
        <w:tc>
          <w:tcPr>
            <w:tcW w:w="1348" w:type="pct"/>
            <w:tcBorders>
              <w:top w:val="single" w:color="auto" w:sz="4" w:space="0"/>
              <w:left w:val="single" w:color="auto" w:sz="4" w:space="0"/>
              <w:bottom w:val="single" w:color="auto" w:sz="4" w:space="0"/>
              <w:right w:val="single" w:color="auto" w:sz="4" w:space="0"/>
            </w:tcBorders>
            <w:vAlign w:val="center"/>
          </w:tcPr>
          <w:p w14:paraId="28A569BA">
            <w:pPr>
              <w:jc w:val="right"/>
              <w:textAlignment w:val="center"/>
              <w:rPr>
                <w:rFonts w:cs="Times New Roman"/>
              </w:rPr>
            </w:pPr>
            <w:r>
              <w:rPr>
                <w:rFonts w:cs="Times New Roman"/>
                <w:color w:val="000000"/>
              </w:rPr>
              <w:t>1,601,823.04</w:t>
            </w:r>
          </w:p>
        </w:tc>
      </w:tr>
      <w:tr w14:paraId="1515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5F160C58">
            <w:pPr>
              <w:textAlignment w:val="center"/>
              <w:rPr>
                <w:rFonts w:cs="Times New Roman"/>
              </w:rPr>
            </w:pPr>
            <w:r>
              <w:rPr>
                <w:rFonts w:cs="Times New Roman"/>
                <w:color w:val="000000"/>
              </w:rPr>
              <w:t>其他费用</w:t>
            </w:r>
          </w:p>
        </w:tc>
        <w:tc>
          <w:tcPr>
            <w:tcW w:w="1439" w:type="pct"/>
            <w:tcBorders>
              <w:top w:val="single" w:color="auto" w:sz="4" w:space="0"/>
              <w:left w:val="single" w:color="auto" w:sz="4" w:space="0"/>
              <w:bottom w:val="single" w:color="auto" w:sz="4" w:space="0"/>
              <w:right w:val="single" w:color="auto" w:sz="4" w:space="0"/>
            </w:tcBorders>
            <w:vAlign w:val="center"/>
          </w:tcPr>
          <w:p w14:paraId="4C4309C6">
            <w:pPr>
              <w:jc w:val="right"/>
              <w:textAlignment w:val="center"/>
              <w:rPr>
                <w:rFonts w:cs="Times New Roman"/>
              </w:rPr>
            </w:pPr>
            <w:r>
              <w:rPr>
                <w:rFonts w:cs="Times New Roman"/>
                <w:color w:val="000000"/>
              </w:rPr>
              <w:t>9,780,130.45</w:t>
            </w:r>
          </w:p>
        </w:tc>
        <w:tc>
          <w:tcPr>
            <w:tcW w:w="1348" w:type="pct"/>
            <w:tcBorders>
              <w:top w:val="single" w:color="auto" w:sz="4" w:space="0"/>
              <w:left w:val="single" w:color="auto" w:sz="4" w:space="0"/>
              <w:bottom w:val="single" w:color="auto" w:sz="4" w:space="0"/>
              <w:right w:val="single" w:color="auto" w:sz="4" w:space="0"/>
            </w:tcBorders>
            <w:vAlign w:val="center"/>
          </w:tcPr>
          <w:p w14:paraId="7528B4B5">
            <w:pPr>
              <w:jc w:val="right"/>
              <w:textAlignment w:val="center"/>
              <w:rPr>
                <w:rFonts w:cs="Times New Roman"/>
              </w:rPr>
            </w:pPr>
            <w:r>
              <w:rPr>
                <w:rFonts w:cs="Times New Roman"/>
                <w:color w:val="000000"/>
              </w:rPr>
              <w:t>8,319,151.16</w:t>
            </w:r>
          </w:p>
        </w:tc>
      </w:tr>
      <w:tr w14:paraId="280B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D015D5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vAlign w:val="center"/>
          </w:tcPr>
          <w:p w14:paraId="0214D80A">
            <w:pPr>
              <w:jc w:val="right"/>
              <w:textAlignment w:val="center"/>
              <w:rPr>
                <w:rFonts w:cs="Times New Roman"/>
              </w:rPr>
            </w:pPr>
            <w:r>
              <w:rPr>
                <w:rFonts w:cs="Times New Roman"/>
                <w:color w:val="000000"/>
              </w:rPr>
              <w:t>118,775,901.52</w:t>
            </w:r>
          </w:p>
        </w:tc>
        <w:tc>
          <w:tcPr>
            <w:tcW w:w="1348" w:type="pct"/>
            <w:tcBorders>
              <w:top w:val="single" w:color="auto" w:sz="4" w:space="0"/>
              <w:left w:val="single" w:color="auto" w:sz="4" w:space="0"/>
              <w:bottom w:val="single" w:color="auto" w:sz="4" w:space="0"/>
              <w:right w:val="single" w:color="auto" w:sz="4" w:space="0"/>
            </w:tcBorders>
            <w:vAlign w:val="center"/>
          </w:tcPr>
          <w:p w14:paraId="77DED65B">
            <w:pPr>
              <w:jc w:val="right"/>
              <w:textAlignment w:val="center"/>
              <w:rPr>
                <w:rFonts w:cs="Times New Roman"/>
              </w:rPr>
            </w:pPr>
            <w:r>
              <w:rPr>
                <w:rFonts w:cs="Times New Roman"/>
                <w:color w:val="000000"/>
              </w:rPr>
              <w:t>158,017,862.43</w:t>
            </w:r>
          </w:p>
        </w:tc>
      </w:tr>
    </w:tbl>
    <w:p w14:paraId="6D8CACB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研发费用其他说明"/>
        <w:tag w:val="_GBC_f09ad1e9748e43059f8db34f9454426c"/>
        <w:id w:val="147461648"/>
        <w:placeholder>
          <w:docPart w:val="GBC22222222222222222222222222222"/>
        </w:placeholder>
      </w:sdtPr>
      <w:sdtEndPr>
        <w:rPr>
          <w:color w:val="000000" w:themeColor="text1"/>
          <w14:textFill>
            <w14:solidFill>
              <w14:schemeClr w14:val="tx1"/>
            </w14:solidFill>
          </w14:textFill>
        </w:rPr>
      </w:sdtEndPr>
      <w:sdtContent>
        <w:p w14:paraId="16FF39C1">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94AC6F5">
      <w:pPr>
        <w:rPr>
          <w:color w:val="000000" w:themeColor="text1"/>
          <w14:textFill>
            <w14:solidFill>
              <w14:schemeClr w14:val="tx1"/>
            </w14:solidFill>
          </w14:textFill>
        </w:rPr>
      </w:pPr>
    </w:p>
    <w:bookmarkEnd w:id="386"/>
    <w:p w14:paraId="19073E76">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财务费用</w:t>
      </w:r>
    </w:p>
    <w:sdt>
      <w:sdtPr>
        <w:rPr>
          <w:color w:val="000000" w:themeColor="text1"/>
          <w14:textFill>
            <w14:solidFill>
              <w14:schemeClr w14:val="tx1"/>
            </w14:solidFill>
          </w14:textFill>
        </w:rPr>
        <w:alias w:val="是否适用：财务费用[双击切换]"/>
        <w:tag w:val="_GBC_699d8bdb2f1f4504a0ea4ccbc8889cfa"/>
        <w:id w:val="147451163"/>
        <w:placeholder>
          <w:docPart w:val="GBC22222222222222222222222222222"/>
        </w:placeholder>
      </w:sdtPr>
      <w:sdtEndPr>
        <w:rPr>
          <w:color w:val="000000" w:themeColor="text1"/>
          <w14:textFill>
            <w14:solidFill>
              <w14:schemeClr w14:val="tx1"/>
            </w14:solidFill>
          </w14:textFill>
        </w:rPr>
      </w:sdtEndPr>
      <w:sdtContent>
        <w:p w14:paraId="736835A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1B7A6E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费用"/>
          <w:tag w:val="_GBC_eb9e02dce68144759561a3427fb3099a"/>
          <w:id w:val="1474758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费用"/>
          <w:tag w:val="_GBC_8e992a76854b4bd0a3f5cd49b31a4604"/>
          <w:id w:val="1474587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14:paraId="037F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c57c227174f044c4bfa2c0fda1e37156"/>
            <w:id w:val="147475152"/>
          </w:sdtPr>
          <w:sdtEndPr>
            <w:rPr>
              <w:rFonts w:cs="Times New Roman"/>
            </w:rPr>
          </w:sdtEndPr>
          <w:sdtContent>
            <w:tc>
              <w:tcPr>
                <w:tcW w:w="2213" w:type="pct"/>
                <w:tcBorders>
                  <w:top w:val="single" w:color="auto" w:sz="4" w:space="0"/>
                  <w:left w:val="single" w:color="auto" w:sz="4" w:space="0"/>
                  <w:bottom w:val="single" w:color="auto" w:sz="4" w:space="0"/>
                  <w:right w:val="single" w:color="auto" w:sz="4" w:space="0"/>
                </w:tcBorders>
              </w:tcPr>
              <w:p w14:paraId="05468A2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7b23aa0bcb6433894875c858270ab7f"/>
            <w:id w:val="147483575"/>
          </w:sdtPr>
          <w:sdtEndPr>
            <w:rPr>
              <w:rFonts w:cs="Times New Roman"/>
            </w:rPr>
          </w:sdtEndPr>
          <w:sdtContent>
            <w:tc>
              <w:tcPr>
                <w:tcW w:w="1439" w:type="pct"/>
                <w:tcBorders>
                  <w:top w:val="single" w:color="auto" w:sz="4" w:space="0"/>
                  <w:left w:val="single" w:color="auto" w:sz="4" w:space="0"/>
                  <w:bottom w:val="single" w:color="auto" w:sz="4" w:space="0"/>
                  <w:right w:val="single" w:color="auto" w:sz="4" w:space="0"/>
                </w:tcBorders>
              </w:tcPr>
              <w:p w14:paraId="688FE90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d79245f93e3d475b953b3e44bb1c6425"/>
            <w:id w:val="147472342"/>
          </w:sdtPr>
          <w:sdtEndPr>
            <w:rPr>
              <w:rFonts w:cs="Times New Roman"/>
            </w:rPr>
          </w:sdtEndPr>
          <w:sdtContent>
            <w:tc>
              <w:tcPr>
                <w:tcW w:w="1348" w:type="pct"/>
                <w:tcBorders>
                  <w:top w:val="single" w:color="auto" w:sz="4" w:space="0"/>
                  <w:left w:val="single" w:color="auto" w:sz="4" w:space="0"/>
                  <w:bottom w:val="single" w:color="auto" w:sz="4" w:space="0"/>
                  <w:right w:val="single" w:color="auto" w:sz="4" w:space="0"/>
                </w:tcBorders>
              </w:tcPr>
              <w:p w14:paraId="63D51F1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68E17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5604B1A0">
            <w:pPr>
              <w:textAlignment w:val="center"/>
              <w:rPr>
                <w:rFonts w:cs="Times New Roman"/>
              </w:rPr>
            </w:pPr>
            <w:r>
              <w:rPr>
                <w:rFonts w:cs="Times New Roman"/>
                <w:color w:val="000000"/>
                <w:lang w:bidi="ar"/>
              </w:rPr>
              <w:t>利息支出</w:t>
            </w:r>
          </w:p>
        </w:tc>
        <w:tc>
          <w:tcPr>
            <w:tcW w:w="2539" w:type="dxa"/>
            <w:tcBorders>
              <w:top w:val="single" w:color="auto" w:sz="4" w:space="0"/>
              <w:left w:val="single" w:color="auto" w:sz="4" w:space="0"/>
              <w:bottom w:val="single" w:color="auto" w:sz="4" w:space="0"/>
              <w:right w:val="single" w:color="auto" w:sz="4" w:space="0"/>
            </w:tcBorders>
            <w:vAlign w:val="center"/>
          </w:tcPr>
          <w:p w14:paraId="4E8B3432">
            <w:pPr>
              <w:jc w:val="right"/>
              <w:textAlignment w:val="center"/>
              <w:rPr>
                <w:rFonts w:cs="Times New Roman"/>
              </w:rPr>
            </w:pPr>
            <w:r>
              <w:rPr>
                <w:rFonts w:eastAsia="Arial Narrow" w:cs="Times New Roman"/>
                <w:color w:val="000000"/>
                <w:lang w:bidi="ar"/>
              </w:rPr>
              <w:t>42,092,229.97</w:t>
            </w:r>
          </w:p>
        </w:tc>
        <w:tc>
          <w:tcPr>
            <w:tcW w:w="1348" w:type="pct"/>
            <w:tcBorders>
              <w:top w:val="single" w:color="auto" w:sz="4" w:space="0"/>
              <w:left w:val="single" w:color="auto" w:sz="4" w:space="0"/>
              <w:bottom w:val="single" w:color="auto" w:sz="4" w:space="0"/>
              <w:right w:val="single" w:color="auto" w:sz="4" w:space="0"/>
            </w:tcBorders>
            <w:vAlign w:val="center"/>
          </w:tcPr>
          <w:p w14:paraId="43BA54A6">
            <w:pPr>
              <w:jc w:val="right"/>
              <w:textAlignment w:val="center"/>
              <w:rPr>
                <w:rFonts w:cs="Times New Roman"/>
              </w:rPr>
            </w:pPr>
            <w:r>
              <w:rPr>
                <w:rFonts w:cs="Times New Roman"/>
                <w:color w:val="000000"/>
              </w:rPr>
              <w:t>35,397,869.58</w:t>
            </w:r>
          </w:p>
        </w:tc>
      </w:tr>
      <w:tr w14:paraId="0D79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0DD0EE2E">
            <w:pPr>
              <w:textAlignment w:val="center"/>
              <w:rPr>
                <w:rFonts w:cs="Times New Roman"/>
              </w:rPr>
            </w:pPr>
            <w:r>
              <w:rPr>
                <w:rFonts w:cs="Times New Roman"/>
                <w:color w:val="000000"/>
                <w:lang w:bidi="ar"/>
              </w:rPr>
              <w:t>减：利息收入</w:t>
            </w:r>
          </w:p>
        </w:tc>
        <w:tc>
          <w:tcPr>
            <w:tcW w:w="2539" w:type="dxa"/>
            <w:tcBorders>
              <w:top w:val="single" w:color="auto" w:sz="4" w:space="0"/>
              <w:left w:val="single" w:color="auto" w:sz="4" w:space="0"/>
              <w:bottom w:val="single" w:color="auto" w:sz="4" w:space="0"/>
              <w:right w:val="single" w:color="auto" w:sz="4" w:space="0"/>
            </w:tcBorders>
            <w:vAlign w:val="center"/>
          </w:tcPr>
          <w:p w14:paraId="76521A21">
            <w:pPr>
              <w:jc w:val="right"/>
              <w:textAlignment w:val="center"/>
              <w:rPr>
                <w:rFonts w:cs="Times New Roman"/>
              </w:rPr>
            </w:pPr>
            <w:r>
              <w:rPr>
                <w:rFonts w:eastAsia="Arial Narrow" w:cs="Times New Roman"/>
                <w:color w:val="000000"/>
                <w:lang w:bidi="ar"/>
              </w:rPr>
              <w:t>60,068,341.22</w:t>
            </w:r>
          </w:p>
        </w:tc>
        <w:tc>
          <w:tcPr>
            <w:tcW w:w="1348" w:type="pct"/>
            <w:tcBorders>
              <w:top w:val="single" w:color="auto" w:sz="4" w:space="0"/>
              <w:left w:val="single" w:color="auto" w:sz="4" w:space="0"/>
              <w:bottom w:val="single" w:color="auto" w:sz="4" w:space="0"/>
              <w:right w:val="single" w:color="auto" w:sz="4" w:space="0"/>
            </w:tcBorders>
            <w:vAlign w:val="center"/>
          </w:tcPr>
          <w:p w14:paraId="5FCE15C4">
            <w:pPr>
              <w:jc w:val="right"/>
              <w:textAlignment w:val="center"/>
              <w:rPr>
                <w:rFonts w:cs="Times New Roman"/>
              </w:rPr>
            </w:pPr>
            <w:r>
              <w:rPr>
                <w:rFonts w:cs="Times New Roman"/>
                <w:color w:val="000000"/>
              </w:rPr>
              <w:t>51,034,553.34</w:t>
            </w:r>
          </w:p>
        </w:tc>
      </w:tr>
      <w:tr w14:paraId="56C0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060A4B9C">
            <w:pPr>
              <w:textAlignment w:val="center"/>
              <w:rPr>
                <w:rFonts w:cs="Times New Roman"/>
              </w:rPr>
            </w:pPr>
            <w:r>
              <w:rPr>
                <w:rFonts w:cs="Times New Roman"/>
                <w:color w:val="000000"/>
                <w:lang w:bidi="ar"/>
              </w:rPr>
              <w:t>加：汇兑损益</w:t>
            </w:r>
          </w:p>
        </w:tc>
        <w:tc>
          <w:tcPr>
            <w:tcW w:w="2539" w:type="dxa"/>
            <w:tcBorders>
              <w:top w:val="single" w:color="auto" w:sz="4" w:space="0"/>
              <w:left w:val="single" w:color="auto" w:sz="4" w:space="0"/>
              <w:bottom w:val="single" w:color="auto" w:sz="4" w:space="0"/>
              <w:right w:val="single" w:color="auto" w:sz="4" w:space="0"/>
            </w:tcBorders>
            <w:vAlign w:val="center"/>
          </w:tcPr>
          <w:p w14:paraId="5FE5925F">
            <w:pPr>
              <w:jc w:val="right"/>
              <w:textAlignment w:val="center"/>
              <w:rPr>
                <w:rFonts w:cs="Times New Roman"/>
              </w:rPr>
            </w:pPr>
            <w:r>
              <w:rPr>
                <w:rFonts w:eastAsia="Arial Narrow" w:cs="Times New Roman"/>
                <w:color w:val="000000"/>
                <w:lang w:bidi="ar"/>
              </w:rPr>
              <w:t>2,358,552.40</w:t>
            </w:r>
          </w:p>
        </w:tc>
        <w:tc>
          <w:tcPr>
            <w:tcW w:w="1348" w:type="pct"/>
            <w:tcBorders>
              <w:top w:val="single" w:color="auto" w:sz="4" w:space="0"/>
              <w:left w:val="single" w:color="auto" w:sz="4" w:space="0"/>
              <w:bottom w:val="single" w:color="auto" w:sz="4" w:space="0"/>
              <w:right w:val="single" w:color="auto" w:sz="4" w:space="0"/>
            </w:tcBorders>
            <w:vAlign w:val="center"/>
          </w:tcPr>
          <w:p w14:paraId="0337F9FE">
            <w:pPr>
              <w:jc w:val="right"/>
              <w:textAlignment w:val="center"/>
              <w:rPr>
                <w:rFonts w:cs="Times New Roman"/>
              </w:rPr>
            </w:pPr>
            <w:r>
              <w:rPr>
                <w:rFonts w:cs="Times New Roman"/>
                <w:color w:val="000000"/>
              </w:rPr>
              <w:t>-1,999,175.45</w:t>
            </w:r>
          </w:p>
        </w:tc>
      </w:tr>
      <w:tr w14:paraId="7BC0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24ECBEE9">
            <w:pPr>
              <w:textAlignment w:val="center"/>
              <w:rPr>
                <w:rFonts w:cs="Times New Roman"/>
              </w:rPr>
            </w:pPr>
            <w:r>
              <w:rPr>
                <w:rFonts w:cs="Times New Roman"/>
                <w:color w:val="000000"/>
                <w:lang w:bidi="ar"/>
              </w:rPr>
              <w:t>加：手续费</w:t>
            </w:r>
          </w:p>
        </w:tc>
        <w:tc>
          <w:tcPr>
            <w:tcW w:w="2539" w:type="dxa"/>
            <w:tcBorders>
              <w:top w:val="single" w:color="auto" w:sz="4" w:space="0"/>
              <w:left w:val="single" w:color="auto" w:sz="4" w:space="0"/>
              <w:bottom w:val="single" w:color="auto" w:sz="4" w:space="0"/>
              <w:right w:val="single" w:color="auto" w:sz="4" w:space="0"/>
            </w:tcBorders>
            <w:vAlign w:val="center"/>
          </w:tcPr>
          <w:p w14:paraId="535414A9">
            <w:pPr>
              <w:jc w:val="right"/>
              <w:textAlignment w:val="center"/>
              <w:rPr>
                <w:rFonts w:cs="Times New Roman"/>
              </w:rPr>
            </w:pPr>
            <w:r>
              <w:rPr>
                <w:rFonts w:eastAsia="Arial Narrow" w:cs="Times New Roman"/>
                <w:color w:val="000000"/>
                <w:lang w:bidi="ar"/>
              </w:rPr>
              <w:t>1,436,257.55</w:t>
            </w:r>
          </w:p>
        </w:tc>
        <w:tc>
          <w:tcPr>
            <w:tcW w:w="1348" w:type="pct"/>
            <w:tcBorders>
              <w:top w:val="single" w:color="auto" w:sz="4" w:space="0"/>
              <w:left w:val="single" w:color="auto" w:sz="4" w:space="0"/>
              <w:bottom w:val="single" w:color="auto" w:sz="4" w:space="0"/>
              <w:right w:val="single" w:color="auto" w:sz="4" w:space="0"/>
            </w:tcBorders>
            <w:vAlign w:val="center"/>
          </w:tcPr>
          <w:p w14:paraId="0863FF6E">
            <w:pPr>
              <w:jc w:val="right"/>
              <w:textAlignment w:val="center"/>
              <w:rPr>
                <w:rFonts w:cs="Times New Roman"/>
              </w:rPr>
            </w:pPr>
            <w:r>
              <w:rPr>
                <w:rFonts w:cs="Times New Roman"/>
                <w:color w:val="000000"/>
              </w:rPr>
              <w:t>2,138,357.94</w:t>
            </w:r>
          </w:p>
        </w:tc>
      </w:tr>
      <w:tr w14:paraId="409F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657E0E18">
            <w:pPr>
              <w:textAlignment w:val="center"/>
              <w:rPr>
                <w:rFonts w:cs="Times New Roman"/>
              </w:rPr>
            </w:pPr>
            <w:r>
              <w:rPr>
                <w:rFonts w:cs="Times New Roman"/>
                <w:color w:val="000000"/>
                <w:lang w:bidi="ar"/>
              </w:rPr>
              <w:t>加：其他</w:t>
            </w:r>
          </w:p>
        </w:tc>
        <w:tc>
          <w:tcPr>
            <w:tcW w:w="2539" w:type="dxa"/>
            <w:tcBorders>
              <w:top w:val="single" w:color="auto" w:sz="4" w:space="0"/>
              <w:left w:val="single" w:color="auto" w:sz="4" w:space="0"/>
              <w:bottom w:val="single" w:color="auto" w:sz="4" w:space="0"/>
              <w:right w:val="single" w:color="auto" w:sz="4" w:space="0"/>
            </w:tcBorders>
            <w:vAlign w:val="center"/>
          </w:tcPr>
          <w:p w14:paraId="398D8196">
            <w:pPr>
              <w:jc w:val="right"/>
              <w:textAlignment w:val="center"/>
              <w:rPr>
                <w:rFonts w:cs="Times New Roman"/>
              </w:rPr>
            </w:pPr>
            <w:r>
              <w:rPr>
                <w:rFonts w:eastAsia="Arial Narrow" w:cs="Times New Roman"/>
                <w:color w:val="000000"/>
                <w:lang w:bidi="ar"/>
              </w:rPr>
              <w:t>-7,113.57</w:t>
            </w:r>
          </w:p>
        </w:tc>
        <w:tc>
          <w:tcPr>
            <w:tcW w:w="1348" w:type="pct"/>
            <w:tcBorders>
              <w:top w:val="single" w:color="auto" w:sz="4" w:space="0"/>
              <w:left w:val="single" w:color="auto" w:sz="4" w:space="0"/>
              <w:bottom w:val="single" w:color="auto" w:sz="4" w:space="0"/>
              <w:right w:val="single" w:color="auto" w:sz="4" w:space="0"/>
            </w:tcBorders>
            <w:vAlign w:val="center"/>
          </w:tcPr>
          <w:p w14:paraId="12294BAD">
            <w:pPr>
              <w:jc w:val="right"/>
              <w:textAlignment w:val="center"/>
              <w:rPr>
                <w:rFonts w:cs="Times New Roman"/>
              </w:rPr>
            </w:pPr>
            <w:r>
              <w:rPr>
                <w:rFonts w:cs="Times New Roman"/>
                <w:color w:val="000000"/>
              </w:rPr>
              <w:t>-129,049.90</w:t>
            </w:r>
          </w:p>
        </w:tc>
      </w:tr>
      <w:tr w14:paraId="4CAC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14:paraId="3336917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539" w:type="dxa"/>
            <w:tcBorders>
              <w:top w:val="single" w:color="auto" w:sz="4" w:space="0"/>
              <w:left w:val="single" w:color="auto" w:sz="4" w:space="0"/>
              <w:bottom w:val="single" w:color="auto" w:sz="4" w:space="0"/>
              <w:right w:val="single" w:color="auto" w:sz="4" w:space="0"/>
            </w:tcBorders>
            <w:vAlign w:val="center"/>
          </w:tcPr>
          <w:p w14:paraId="491B9DEF">
            <w:pPr>
              <w:jc w:val="right"/>
              <w:textAlignment w:val="center"/>
              <w:rPr>
                <w:rFonts w:cs="Times New Roman"/>
              </w:rPr>
            </w:pPr>
            <w:r>
              <w:rPr>
                <w:rFonts w:eastAsia="Arial Narrow" w:cs="Times New Roman"/>
                <w:color w:val="000000"/>
                <w:lang w:bidi="ar"/>
              </w:rPr>
              <w:t>-14,188,414.87</w:t>
            </w:r>
          </w:p>
        </w:tc>
        <w:tc>
          <w:tcPr>
            <w:tcW w:w="1348" w:type="pct"/>
            <w:tcBorders>
              <w:top w:val="single" w:color="auto" w:sz="4" w:space="0"/>
              <w:left w:val="single" w:color="auto" w:sz="4" w:space="0"/>
              <w:bottom w:val="single" w:color="auto" w:sz="4" w:space="0"/>
              <w:right w:val="single" w:color="auto" w:sz="4" w:space="0"/>
            </w:tcBorders>
            <w:vAlign w:val="center"/>
          </w:tcPr>
          <w:p w14:paraId="7B570888">
            <w:pPr>
              <w:jc w:val="right"/>
              <w:textAlignment w:val="center"/>
              <w:rPr>
                <w:rFonts w:cs="Times New Roman"/>
              </w:rPr>
            </w:pPr>
            <w:r>
              <w:rPr>
                <w:rFonts w:cs="Times New Roman"/>
                <w:color w:val="000000"/>
              </w:rPr>
              <w:t>-15,626,551.17</w:t>
            </w:r>
          </w:p>
        </w:tc>
      </w:tr>
    </w:tbl>
    <w:p w14:paraId="4C2F405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财务费用的其他说明事项"/>
        <w:tag w:val="_GBC_5bd15645edcc4a51b94ddca48ee9be98"/>
        <w:id w:val="147460689"/>
        <w:placeholder>
          <w:docPart w:val="GBC22222222222222222222222222222"/>
        </w:placeholder>
      </w:sdtPr>
      <w:sdtEndPr>
        <w:rPr>
          <w:color w:val="000000" w:themeColor="text1"/>
          <w14:textFill>
            <w14:solidFill>
              <w14:schemeClr w14:val="tx1"/>
            </w14:solidFill>
          </w14:textFill>
        </w:rPr>
      </w:sdtEndPr>
      <w:sdtContent>
        <w:p w14:paraId="18A973AF">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095097B0">
      <w:pPr>
        <w:rPr>
          <w:color w:val="000000" w:themeColor="text1"/>
          <w14:textFill>
            <w14:solidFill>
              <w14:schemeClr w14:val="tx1"/>
            </w14:solidFill>
          </w14:textFill>
        </w:rPr>
      </w:pPr>
    </w:p>
    <w:p w14:paraId="4EC70EDD">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其他收益</w:t>
      </w:r>
    </w:p>
    <w:sdt>
      <w:sdtPr>
        <w:rPr>
          <w:color w:val="000000" w:themeColor="text1"/>
          <w14:textFill>
            <w14:solidFill>
              <w14:schemeClr w14:val="tx1"/>
            </w14:solidFill>
          </w14:textFill>
        </w:rPr>
        <w:alias w:val="是否适用：财务报表其他收益[双击切换]"/>
        <w:tag w:val="_GBC_86fde94b0d4e4b1f997adc6f063babf7"/>
        <w:id w:val="147479724"/>
        <w:placeholder>
          <w:docPart w:val="GBC22222222222222222222222222222"/>
        </w:placeholder>
      </w:sdtPr>
      <w:sdtEndPr>
        <w:rPr>
          <w:color w:val="000000" w:themeColor="text1"/>
          <w14:textFill>
            <w14:solidFill>
              <w14:schemeClr w14:val="tx1"/>
            </w14:solidFill>
          </w14:textFill>
        </w:rPr>
      </w:sdtEndPr>
      <w:sdtContent>
        <w:p w14:paraId="3EE044E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10DF78C">
      <w:pPr>
        <w:jc w:val="right"/>
        <w:rPr>
          <w:rFonts w:cstheme="minorBidi"/>
          <w:bCs w:val="0"/>
          <w:color w:val="000000" w:themeColor="text1"/>
          <w:szCs w:val="22"/>
          <w14:textFill>
            <w14:solidFill>
              <w14:schemeClr w14:val="tx1"/>
            </w14:solidFill>
          </w14:textFill>
        </w:rPr>
      </w:pPr>
      <w:r>
        <w:rPr>
          <w:rFonts w:cstheme="minorBidi"/>
          <w:color w:val="000000" w:themeColor="text1"/>
          <w:szCs w:val="22"/>
          <w14:textFill>
            <w14:solidFill>
              <w14:schemeClr w14:val="tx1"/>
            </w14:solidFill>
          </w14:textFill>
        </w:rPr>
        <w:t>单位：</w:t>
      </w:r>
      <w:sdt>
        <w:sdtPr>
          <w:rPr>
            <w:rFonts w:cstheme="minorBidi"/>
            <w:bCs w:val="0"/>
            <w:color w:val="000000" w:themeColor="text1"/>
            <w:szCs w:val="22"/>
            <w14:textFill>
              <w14:solidFill>
                <w14:schemeClr w14:val="tx1"/>
              </w14:solidFill>
            </w14:textFill>
          </w:rPr>
          <w:alias w:val="单位：财务报表其他收益明细"/>
          <w:tag w:val="_GBC_12755937dc3b48a489abda6cc5cda8d6"/>
          <w:id w:val="14745121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cstheme="minorBidi"/>
            <w:bCs w:val="0"/>
            <w:color w:val="000000" w:themeColor="text1"/>
            <w:szCs w:val="22"/>
            <w14:textFill>
              <w14:solidFill>
                <w14:schemeClr w14:val="tx1"/>
              </w14:solidFill>
            </w14:textFill>
          </w:rPr>
        </w:sdtEndPr>
        <w:sdtContent>
          <w:r>
            <w:rPr>
              <w:rFonts w:cstheme="minorBidi"/>
              <w:bCs w:val="0"/>
              <w:color w:val="000000" w:themeColor="text1"/>
              <w:szCs w:val="22"/>
              <w14:textFill>
                <w14:solidFill>
                  <w14:schemeClr w14:val="tx1"/>
                </w14:solidFill>
              </w14:textFill>
            </w:rPr>
            <w:t>元</w:t>
          </w:r>
        </w:sdtContent>
      </w:sdt>
      <w:r>
        <w:rPr>
          <w:rFonts w:cstheme="minorBidi"/>
          <w:color w:val="000000" w:themeColor="text1"/>
          <w:szCs w:val="22"/>
          <w14:textFill>
            <w14:solidFill>
              <w14:schemeClr w14:val="tx1"/>
            </w14:solidFill>
          </w14:textFill>
        </w:rPr>
        <w:t xml:space="preserve">  币种：</w:t>
      </w:r>
      <w:sdt>
        <w:sdtPr>
          <w:rPr>
            <w:rFonts w:cstheme="minorBidi"/>
            <w:bCs w:val="0"/>
            <w:color w:val="000000" w:themeColor="text1"/>
            <w:szCs w:val="22"/>
            <w14:textFill>
              <w14:solidFill>
                <w14:schemeClr w14:val="tx1"/>
              </w14:solidFill>
            </w14:textFill>
          </w:rPr>
          <w:alias w:val="币种：财务报表其他收益明细"/>
          <w:tag w:val="_GBC_3daaaf66c73e4201b067378f3d17e13f"/>
          <w:id w:val="14745936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cstheme="minorBidi"/>
            <w:bCs w:val="0"/>
            <w:color w:val="000000" w:themeColor="text1"/>
            <w:szCs w:val="22"/>
            <w14:textFill>
              <w14:solidFill>
                <w14:schemeClr w14:val="tx1"/>
              </w14:solidFill>
            </w14:textFill>
          </w:rPr>
        </w:sdtEndPr>
        <w:sdtContent>
          <w:r>
            <w:rPr>
              <w:rFonts w:cstheme="minorBidi"/>
              <w:bCs w:val="0"/>
              <w:color w:val="000000" w:themeColor="text1"/>
              <w:szCs w:val="22"/>
              <w14:textFill>
                <w14:solidFill>
                  <w14:schemeClr w14:val="tx1"/>
                </w14:solidFill>
              </w14:textFill>
            </w:rPr>
            <w:t>人民币</w:t>
          </w:r>
        </w:sdtContent>
      </w:sdt>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0"/>
        <w:gridCol w:w="2505"/>
        <w:gridCol w:w="2378"/>
      </w:tblGrid>
      <w:tr w14:paraId="3E86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sdt>
            <w:sdtPr>
              <w:rPr>
                <w:rFonts w:cs="Times New Roman"/>
              </w:rPr>
              <w:tag w:val="_PLD_92b33ced889140b7b84894c5f486f4e6"/>
              <w:id w:val="147451443"/>
            </w:sdtPr>
            <w:sdtEndPr>
              <w:rPr>
                <w:rFonts w:cs="Times New Roman"/>
              </w:rPr>
            </w:sdtEndPr>
            <w:sdtContent>
              <w:p w14:paraId="02011805">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按性质分类</w:t>
                </w:r>
              </w:p>
            </w:sdtContent>
          </w:sdt>
        </w:tc>
        <w:tc>
          <w:tcPr>
            <w:tcW w:w="2505" w:type="dxa"/>
          </w:tcPr>
          <w:sdt>
            <w:sdtPr>
              <w:rPr>
                <w:rFonts w:cs="Times New Roman"/>
              </w:rPr>
              <w:tag w:val="_PLD_73b3023fbaed423bbb8ca1ec42a2eaf9"/>
              <w:id w:val="147473329"/>
            </w:sdtPr>
            <w:sdtEndPr>
              <w:rPr>
                <w:rFonts w:cs="Times New Roman"/>
              </w:rPr>
            </w:sdtEndPr>
            <w:sdtContent>
              <w:p w14:paraId="5D755098">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sdtContent>
          </w:sdt>
        </w:tc>
        <w:tc>
          <w:tcPr>
            <w:tcW w:w="2378" w:type="dxa"/>
          </w:tcPr>
          <w:sdt>
            <w:sdtPr>
              <w:rPr>
                <w:rFonts w:cs="Times New Roman"/>
              </w:rPr>
              <w:tag w:val="_PLD_9f39351a333c497da22a0955aff07b4c"/>
              <w:id w:val="147469399"/>
            </w:sdtPr>
            <w:sdtEndPr>
              <w:rPr>
                <w:rFonts w:cs="Times New Roman"/>
              </w:rPr>
            </w:sdtEndPr>
            <w:sdtContent>
              <w:p w14:paraId="63B4CC45">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sdtContent>
          </w:sdt>
        </w:tc>
      </w:tr>
      <w:tr w14:paraId="50FE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7E151C2C">
            <w:pPr>
              <w:widowControl/>
              <w:jc w:val="both"/>
              <w:textAlignment w:val="top"/>
              <w:rPr>
                <w:rFonts w:cs="Times New Roman"/>
              </w:rPr>
            </w:pPr>
            <w:r>
              <w:rPr>
                <w:rFonts w:cs="Times New Roman"/>
                <w:color w:val="000000"/>
                <w:lang w:bidi="ar"/>
              </w:rPr>
              <w:t>政府补助</w:t>
            </w:r>
          </w:p>
        </w:tc>
        <w:tc>
          <w:tcPr>
            <w:tcW w:w="2505" w:type="dxa"/>
            <w:vAlign w:val="center"/>
          </w:tcPr>
          <w:p w14:paraId="47567330">
            <w:pPr>
              <w:widowControl/>
              <w:jc w:val="right"/>
              <w:textAlignment w:val="center"/>
              <w:rPr>
                <w:rFonts w:cs="Times New Roman"/>
              </w:rPr>
            </w:pPr>
            <w:r>
              <w:rPr>
                <w:rFonts w:eastAsia="Arial Narrow" w:cs="Times New Roman"/>
                <w:color w:val="000000"/>
                <w:lang w:bidi="ar"/>
              </w:rPr>
              <w:t>35,215,006.30</w:t>
            </w:r>
          </w:p>
        </w:tc>
        <w:tc>
          <w:tcPr>
            <w:tcW w:w="2378" w:type="dxa"/>
            <w:vAlign w:val="center"/>
          </w:tcPr>
          <w:p w14:paraId="1FB2AD68">
            <w:pPr>
              <w:widowControl/>
              <w:jc w:val="right"/>
              <w:textAlignment w:val="center"/>
              <w:rPr>
                <w:rFonts w:cs="Times New Roman"/>
              </w:rPr>
            </w:pPr>
            <w:r>
              <w:rPr>
                <w:rFonts w:cs="Times New Roman"/>
                <w:color w:val="000000"/>
              </w:rPr>
              <w:t>25,061,924.88</w:t>
            </w:r>
          </w:p>
        </w:tc>
      </w:tr>
      <w:tr w14:paraId="7125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0A38E5DF">
            <w:pPr>
              <w:widowControl/>
              <w:jc w:val="both"/>
              <w:textAlignment w:val="top"/>
              <w:rPr>
                <w:rFonts w:cs="Times New Roman"/>
              </w:rPr>
            </w:pPr>
            <w:r>
              <w:rPr>
                <w:rFonts w:cs="Times New Roman"/>
                <w:color w:val="000000"/>
                <w:lang w:bidi="ar"/>
              </w:rPr>
              <w:t>增值税加计抵减</w:t>
            </w:r>
          </w:p>
        </w:tc>
        <w:tc>
          <w:tcPr>
            <w:tcW w:w="2505" w:type="dxa"/>
            <w:vAlign w:val="center"/>
          </w:tcPr>
          <w:p w14:paraId="5333AADE">
            <w:pPr>
              <w:widowControl/>
              <w:jc w:val="right"/>
              <w:textAlignment w:val="center"/>
              <w:rPr>
                <w:rFonts w:cs="Times New Roman"/>
              </w:rPr>
            </w:pPr>
            <w:r>
              <w:rPr>
                <w:rFonts w:eastAsia="Arial Narrow" w:cs="Times New Roman"/>
                <w:color w:val="000000"/>
                <w:lang w:bidi="ar"/>
              </w:rPr>
              <w:t>10,022,529.64</w:t>
            </w:r>
          </w:p>
        </w:tc>
        <w:tc>
          <w:tcPr>
            <w:tcW w:w="2378" w:type="dxa"/>
            <w:vAlign w:val="center"/>
          </w:tcPr>
          <w:p w14:paraId="022989B9">
            <w:pPr>
              <w:widowControl/>
              <w:jc w:val="right"/>
              <w:textAlignment w:val="center"/>
              <w:rPr>
                <w:rFonts w:cs="Times New Roman"/>
              </w:rPr>
            </w:pPr>
            <w:r>
              <w:rPr>
                <w:rFonts w:cs="Times New Roman"/>
                <w:color w:val="000000"/>
              </w:rPr>
              <w:t>12,352,630.69</w:t>
            </w:r>
          </w:p>
        </w:tc>
      </w:tr>
      <w:tr w14:paraId="5B4B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2B9E7DC0">
            <w:pPr>
              <w:widowControl/>
              <w:jc w:val="both"/>
              <w:textAlignment w:val="top"/>
              <w:rPr>
                <w:rFonts w:cs="Times New Roman"/>
              </w:rPr>
            </w:pPr>
            <w:r>
              <w:rPr>
                <w:rFonts w:cs="Times New Roman"/>
                <w:color w:val="000000"/>
                <w:lang w:bidi="ar"/>
              </w:rPr>
              <w:t>其他</w:t>
            </w:r>
          </w:p>
        </w:tc>
        <w:tc>
          <w:tcPr>
            <w:tcW w:w="2505" w:type="dxa"/>
            <w:vAlign w:val="center"/>
          </w:tcPr>
          <w:p w14:paraId="331A1330">
            <w:pPr>
              <w:widowControl/>
              <w:jc w:val="right"/>
              <w:textAlignment w:val="center"/>
              <w:rPr>
                <w:rFonts w:cs="Times New Roman"/>
              </w:rPr>
            </w:pPr>
            <w:r>
              <w:rPr>
                <w:rFonts w:eastAsia="Arial Narrow" w:cs="Times New Roman"/>
                <w:color w:val="000000"/>
                <w:lang w:bidi="ar"/>
              </w:rPr>
              <w:t>303,743.60</w:t>
            </w:r>
          </w:p>
        </w:tc>
        <w:tc>
          <w:tcPr>
            <w:tcW w:w="2378" w:type="dxa"/>
            <w:vAlign w:val="center"/>
          </w:tcPr>
          <w:p w14:paraId="47A281E2">
            <w:pPr>
              <w:widowControl/>
              <w:jc w:val="right"/>
              <w:textAlignment w:val="center"/>
              <w:rPr>
                <w:rFonts w:cs="Times New Roman"/>
              </w:rPr>
            </w:pPr>
            <w:r>
              <w:rPr>
                <w:rFonts w:cs="Times New Roman"/>
                <w:color w:val="000000"/>
              </w:rPr>
              <w:t>682,462.69</w:t>
            </w:r>
          </w:p>
        </w:tc>
      </w:tr>
      <w:tr w14:paraId="7AAC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0" w:type="dxa"/>
          </w:tcPr>
          <w:p w14:paraId="1D860460">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505" w:type="dxa"/>
            <w:vAlign w:val="center"/>
          </w:tcPr>
          <w:p w14:paraId="4D6878FC">
            <w:pPr>
              <w:widowControl/>
              <w:jc w:val="right"/>
              <w:textAlignment w:val="center"/>
              <w:rPr>
                <w:rFonts w:cs="Times New Roman"/>
              </w:rPr>
            </w:pPr>
            <w:r>
              <w:rPr>
                <w:rFonts w:eastAsia="Arial Narrow" w:cs="Times New Roman"/>
                <w:color w:val="000000"/>
                <w:lang w:bidi="ar"/>
              </w:rPr>
              <w:t>45,541,279.54</w:t>
            </w:r>
          </w:p>
        </w:tc>
        <w:tc>
          <w:tcPr>
            <w:tcW w:w="2378" w:type="dxa"/>
            <w:vAlign w:val="center"/>
          </w:tcPr>
          <w:p w14:paraId="730E8788">
            <w:pPr>
              <w:widowControl/>
              <w:jc w:val="right"/>
              <w:textAlignment w:val="center"/>
              <w:rPr>
                <w:rFonts w:cs="Times New Roman"/>
              </w:rPr>
            </w:pPr>
            <w:r>
              <w:rPr>
                <w:rFonts w:cs="Times New Roman"/>
                <w:color w:val="000000"/>
              </w:rPr>
              <w:t>38,097,018.26</w:t>
            </w:r>
          </w:p>
        </w:tc>
      </w:tr>
    </w:tbl>
    <w:p w14:paraId="2F02DF68">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财务报表其他收益其他说明"/>
        <w:tag w:val="_GBC_9489a93c45754a9ea78d3a872093a735"/>
        <w:id w:val="147471079"/>
        <w:placeholder>
          <w:docPart w:val="GBC22222222222222222222222222222"/>
        </w:placeholder>
      </w:sdtPr>
      <w:sdtEndPr>
        <w:rPr>
          <w:color w:val="000000" w:themeColor="text1"/>
          <w14:textFill>
            <w14:solidFill>
              <w14:schemeClr w14:val="tx1"/>
            </w14:solidFill>
          </w14:textFill>
        </w:rPr>
      </w:sdtEndPr>
      <w:sdtContent>
        <w:p w14:paraId="7E4D167F">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67E7C938">
      <w:pPr>
        <w:rPr>
          <w:color w:val="000000" w:themeColor="text1"/>
          <w14:textFill>
            <w14:solidFill>
              <w14:schemeClr w14:val="tx1"/>
            </w14:solidFill>
          </w14:textFill>
        </w:rPr>
      </w:pPr>
    </w:p>
    <w:p w14:paraId="59D36C69">
      <w:pPr>
        <w:pStyle w:val="57"/>
        <w:numPr>
          <w:ilvl w:val="0"/>
          <w:numId w:val="54"/>
        </w:numPr>
        <w:rPr>
          <w:color w:val="000000" w:themeColor="text1"/>
          <w:szCs w:val="21"/>
          <w14:textFill>
            <w14:solidFill>
              <w14:schemeClr w14:val="tx1"/>
            </w14:solidFill>
          </w14:textFill>
        </w:rPr>
      </w:pPr>
      <w:bookmarkStart w:id="387" w:name="_Hlk11857276"/>
      <w:r>
        <w:rPr>
          <w:color w:val="000000" w:themeColor="text1"/>
          <w:szCs w:val="21"/>
          <w14:textFill>
            <w14:solidFill>
              <w14:schemeClr w14:val="tx1"/>
            </w14:solidFill>
          </w14:textFill>
        </w:rPr>
        <w:t>投资收益</w:t>
      </w:r>
    </w:p>
    <w:sdt>
      <w:sdtPr>
        <w:rPr>
          <w:color w:val="000000" w:themeColor="text1"/>
          <w14:textFill>
            <w14:solidFill>
              <w14:schemeClr w14:val="tx1"/>
            </w14:solidFill>
          </w14:textFill>
        </w:rPr>
        <w:alias w:val="是否适用：投资收益[双击切换]"/>
        <w:tag w:val="_GBC_39356fd9dd9e4f5497d61d781210b2fe"/>
        <w:id w:val="147461962"/>
        <w:placeholder>
          <w:docPart w:val="GBC22222222222222222222222222222"/>
        </w:placeholder>
      </w:sdtPr>
      <w:sdtEndPr>
        <w:rPr>
          <w:color w:val="000000" w:themeColor="text1"/>
          <w14:textFill>
            <w14:solidFill>
              <w14:schemeClr w14:val="tx1"/>
            </w14:solidFill>
          </w14:textFill>
        </w:rPr>
      </w:sdtEndPr>
      <w:sdtContent>
        <w:p w14:paraId="622AEB1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E6D481B">
      <w:pPr>
        <w:jc w:val="right"/>
        <w:rPr>
          <w:b/>
          <w:color w:val="000000" w:themeColor="text1"/>
          <w14:textFill>
            <w14:solidFill>
              <w14:schemeClr w14:val="tx1"/>
            </w14:solidFill>
          </w14:textFill>
        </w:rPr>
      </w:pPr>
      <w:bookmarkStart w:id="388" w:name="_Hlk10538462"/>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财务附注：会计报表中的投资收益项目增加"/>
          <w:tag w:val="_GBC_8785b82a02ca4b0db1de3227128775b4"/>
          <w:id w:val="14747634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币种：财务附注：会计报表中的投资收益项目增加"/>
          <w:tag w:val="_GBC_c4394dc445a94e9a8a4b83889c79fcb1"/>
          <w:id w:val="1474813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7"/>
        <w:gridCol w:w="2251"/>
        <w:gridCol w:w="2251"/>
      </w:tblGrid>
      <w:tr w14:paraId="6E89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2fef67a5db2c453288257a2dfe03fd6e"/>
            <w:id w:val="147474542"/>
          </w:sdtPr>
          <w:sdtEndPr>
            <w:rPr>
              <w:rFonts w:cs="Times New Roman"/>
            </w:rPr>
          </w:sdtEndPr>
          <w:sdtContent>
            <w:tc>
              <w:tcPr>
                <w:tcW w:w="2512" w:type="pct"/>
                <w:vAlign w:val="center"/>
              </w:tcPr>
              <w:p w14:paraId="5955B766">
                <w:pPr>
                  <w:ind w:left="420" w:hanging="42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3f927d0ff25c47abb0f9b18794554af6"/>
            <w:id w:val="147455249"/>
          </w:sdtPr>
          <w:sdtEndPr>
            <w:rPr>
              <w:rFonts w:cs="Times New Roman"/>
            </w:rPr>
          </w:sdtEndPr>
          <w:sdtContent>
            <w:tc>
              <w:tcPr>
                <w:tcW w:w="1243" w:type="pct"/>
                <w:vAlign w:val="center"/>
              </w:tcPr>
              <w:p w14:paraId="5FBC65A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a6cbfed1438f48b7947079a5821a9eba"/>
            <w:id w:val="147464656"/>
          </w:sdtPr>
          <w:sdtEndPr>
            <w:rPr>
              <w:rFonts w:cs="Times New Roman"/>
            </w:rPr>
          </w:sdtEndPr>
          <w:sdtContent>
            <w:tc>
              <w:tcPr>
                <w:tcW w:w="1243" w:type="pct"/>
                <w:vAlign w:val="center"/>
              </w:tcPr>
              <w:p w14:paraId="47922DB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3E16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pct"/>
          </w:tcPr>
          <w:p w14:paraId="6BFE0B7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权益法核算的长期股权投资收益</w:t>
            </w:r>
          </w:p>
        </w:tc>
        <w:tc>
          <w:tcPr>
            <w:tcW w:w="1243" w:type="pct"/>
            <w:vAlign w:val="center"/>
          </w:tcPr>
          <w:p w14:paraId="72CE5F62">
            <w:pPr>
              <w:jc w:val="right"/>
              <w:textAlignment w:val="center"/>
              <w:rPr>
                <w:rFonts w:cs="Times New Roman"/>
              </w:rPr>
            </w:pPr>
            <w:r>
              <w:rPr>
                <w:rFonts w:cs="Times New Roman"/>
                <w:color w:val="000000"/>
              </w:rPr>
              <w:t>-3,274,736.02</w:t>
            </w:r>
          </w:p>
        </w:tc>
        <w:tc>
          <w:tcPr>
            <w:tcW w:w="1243" w:type="pct"/>
            <w:vAlign w:val="center"/>
          </w:tcPr>
          <w:p w14:paraId="2B29E853">
            <w:pPr>
              <w:jc w:val="right"/>
              <w:textAlignment w:val="center"/>
              <w:rPr>
                <w:rFonts w:cs="Times New Roman"/>
              </w:rPr>
            </w:pPr>
            <w:r>
              <w:rPr>
                <w:rFonts w:cs="Times New Roman"/>
                <w:color w:val="000000"/>
              </w:rPr>
              <w:t>-3,975,064.83</w:t>
            </w:r>
          </w:p>
        </w:tc>
      </w:tr>
      <w:tr w14:paraId="7C8B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pct"/>
          </w:tcPr>
          <w:p w14:paraId="6CBB38F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处置长期股权投资产生的投资收益</w:t>
            </w:r>
          </w:p>
        </w:tc>
        <w:tc>
          <w:tcPr>
            <w:tcW w:w="1243" w:type="pct"/>
            <w:vAlign w:val="center"/>
          </w:tcPr>
          <w:p w14:paraId="5CEF2BEC">
            <w:pPr>
              <w:jc w:val="right"/>
              <w:textAlignment w:val="center"/>
              <w:rPr>
                <w:rFonts w:cs="Times New Roman"/>
              </w:rPr>
            </w:pPr>
            <w:r>
              <w:rPr>
                <w:rFonts w:cs="Times New Roman"/>
                <w:color w:val="000000"/>
              </w:rPr>
              <w:t>33,587,659.33</w:t>
            </w:r>
          </w:p>
        </w:tc>
        <w:tc>
          <w:tcPr>
            <w:tcW w:w="1243" w:type="pct"/>
            <w:vAlign w:val="center"/>
          </w:tcPr>
          <w:p w14:paraId="0E34E155">
            <w:pPr>
              <w:jc w:val="right"/>
              <w:rPr>
                <w:rFonts w:cs="Times New Roman"/>
              </w:rPr>
            </w:pPr>
          </w:p>
        </w:tc>
      </w:tr>
      <w:tr w14:paraId="082E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pct"/>
          </w:tcPr>
          <w:p w14:paraId="703A030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债务重组收益</w:t>
            </w:r>
          </w:p>
        </w:tc>
        <w:tc>
          <w:tcPr>
            <w:tcW w:w="1243" w:type="pct"/>
            <w:vAlign w:val="center"/>
          </w:tcPr>
          <w:p w14:paraId="53765710">
            <w:pPr>
              <w:jc w:val="right"/>
              <w:rPr>
                <w:rFonts w:cs="Times New Roman"/>
              </w:rPr>
            </w:pPr>
          </w:p>
        </w:tc>
        <w:tc>
          <w:tcPr>
            <w:tcW w:w="1243" w:type="pct"/>
            <w:vAlign w:val="center"/>
          </w:tcPr>
          <w:p w14:paraId="60A05795">
            <w:pPr>
              <w:jc w:val="right"/>
              <w:textAlignment w:val="center"/>
              <w:rPr>
                <w:rFonts w:cs="Times New Roman"/>
              </w:rPr>
            </w:pPr>
            <w:r>
              <w:rPr>
                <w:rFonts w:cs="Times New Roman"/>
                <w:color w:val="000000"/>
              </w:rPr>
              <w:t>388,824.00</w:t>
            </w:r>
          </w:p>
        </w:tc>
      </w:tr>
      <w:tr w14:paraId="4112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2" w:type="pct"/>
            <w:vAlign w:val="center"/>
          </w:tcPr>
          <w:p w14:paraId="504226A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243" w:type="pct"/>
            <w:vAlign w:val="center"/>
          </w:tcPr>
          <w:p w14:paraId="258BFC44">
            <w:pPr>
              <w:jc w:val="right"/>
              <w:textAlignment w:val="center"/>
              <w:rPr>
                <w:rFonts w:cs="Times New Roman"/>
              </w:rPr>
            </w:pPr>
            <w:r>
              <w:rPr>
                <w:rFonts w:cs="Times New Roman"/>
                <w:color w:val="000000"/>
              </w:rPr>
              <w:t>30,312,923.31</w:t>
            </w:r>
          </w:p>
        </w:tc>
        <w:tc>
          <w:tcPr>
            <w:tcW w:w="1243" w:type="pct"/>
            <w:vAlign w:val="center"/>
          </w:tcPr>
          <w:p w14:paraId="44122A2F">
            <w:pPr>
              <w:jc w:val="right"/>
              <w:textAlignment w:val="center"/>
              <w:rPr>
                <w:rFonts w:cs="Times New Roman"/>
              </w:rPr>
            </w:pPr>
            <w:r>
              <w:rPr>
                <w:rFonts w:cs="Times New Roman"/>
                <w:color w:val="000000"/>
              </w:rPr>
              <w:t>-3,586,240.83</w:t>
            </w:r>
          </w:p>
        </w:tc>
      </w:tr>
      <w:bookmarkEnd w:id="388"/>
    </w:tbl>
    <w:p w14:paraId="4EA1883D">
      <w:pPr>
        <w:spacing w:before="60" w:after="60"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投资收益说明"/>
        <w:tag w:val="_GBC_911712f239a14e98b4c6c89180ceef27"/>
        <w:id w:val="147477679"/>
        <w:placeholder>
          <w:docPart w:val="GBC22222222222222222222222222222"/>
        </w:placeholder>
      </w:sdtPr>
      <w:sdtEndPr>
        <w:rPr>
          <w:rFonts w:hint="eastAsia"/>
          <w:color w:val="000000" w:themeColor="text1"/>
          <w14:textFill>
            <w14:solidFill>
              <w14:schemeClr w14:val="tx1"/>
            </w14:solidFill>
          </w14:textFill>
        </w:rPr>
      </w:sdtEndPr>
      <w:sdtContent>
        <w:p w14:paraId="442F5DB0">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87"/>
    <w:p w14:paraId="6C6EF814">
      <w:pPr>
        <w:autoSpaceDE w:val="0"/>
        <w:autoSpaceDN w:val="0"/>
        <w:adjustRightInd w:val="0"/>
        <w:rPr>
          <w:color w:val="000000" w:themeColor="text1"/>
          <w14:textFill>
            <w14:solidFill>
              <w14:schemeClr w14:val="tx1"/>
            </w14:solidFill>
          </w14:textFill>
        </w:rPr>
      </w:pPr>
    </w:p>
    <w:p w14:paraId="362AC84A">
      <w:pPr>
        <w:pStyle w:val="57"/>
        <w:numPr>
          <w:ilvl w:val="0"/>
          <w:numId w:val="54"/>
        </w:numPr>
        <w:rPr>
          <w:color w:val="000000" w:themeColor="text1"/>
          <w:szCs w:val="21"/>
          <w14:textFill>
            <w14:solidFill>
              <w14:schemeClr w14:val="tx1"/>
            </w14:solidFill>
          </w14:textFill>
        </w:rPr>
      </w:pPr>
      <w:bookmarkStart w:id="389" w:name="_Hlk10538831"/>
      <w:r>
        <w:rPr>
          <w:color w:val="000000" w:themeColor="text1"/>
          <w:szCs w:val="21"/>
          <w14:textFill>
            <w14:solidFill>
              <w14:schemeClr w14:val="tx1"/>
            </w14:solidFill>
          </w14:textFill>
        </w:rPr>
        <w:t>净敞口套期收益</w:t>
      </w:r>
    </w:p>
    <w:sdt>
      <w:sdtPr>
        <w:rPr>
          <w:color w:val="000000" w:themeColor="text1"/>
          <w14:textFill>
            <w14:solidFill>
              <w14:schemeClr w14:val="tx1"/>
            </w14:solidFill>
          </w14:textFill>
        </w:rPr>
        <w:alias w:val="是否适用：净敞口套期收益[双击切换]"/>
        <w:tag w:val="_GBC_33e106b71ec640cd9126570421557bda"/>
        <w:id w:val="147479952"/>
        <w:placeholder>
          <w:docPart w:val="GBC22222222222222222222222222222"/>
        </w:placeholder>
      </w:sdtPr>
      <w:sdtEndPr>
        <w:rPr>
          <w:color w:val="000000" w:themeColor="text1"/>
          <w14:textFill>
            <w14:solidFill>
              <w14:schemeClr w14:val="tx1"/>
            </w14:solidFill>
          </w14:textFill>
        </w:rPr>
      </w:sdtEndPr>
      <w:sdtContent>
        <w:p w14:paraId="6FA58F22">
          <w:pPr>
            <w:autoSpaceDE w:val="0"/>
            <w:autoSpaceDN w:val="0"/>
            <w:adjustRightIn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9"/>
    <w:p w14:paraId="3CB75DEA">
      <w:pPr>
        <w:rPr>
          <w:color w:val="000000" w:themeColor="text1"/>
          <w14:textFill>
            <w14:solidFill>
              <w14:schemeClr w14:val="tx1"/>
            </w14:solidFill>
          </w14:textFill>
        </w:rPr>
      </w:pPr>
    </w:p>
    <w:p w14:paraId="4C7B0BAB">
      <w:pPr>
        <w:pStyle w:val="57"/>
        <w:numPr>
          <w:ilvl w:val="0"/>
          <w:numId w:val="54"/>
        </w:numPr>
        <w:rPr>
          <w:color w:val="000000" w:themeColor="text1"/>
          <w:szCs w:val="21"/>
          <w14:textFill>
            <w14:solidFill>
              <w14:schemeClr w14:val="tx1"/>
            </w14:solidFill>
          </w14:textFill>
        </w:rPr>
      </w:pPr>
      <w:bookmarkStart w:id="390" w:name="_Hlk10538896"/>
      <w:r>
        <w:rPr>
          <w:color w:val="000000" w:themeColor="text1"/>
          <w:szCs w:val="21"/>
          <w14:textFill>
            <w14:solidFill>
              <w14:schemeClr w14:val="tx1"/>
            </w14:solidFill>
          </w14:textFill>
        </w:rPr>
        <w:t>公允价值变动收益</w:t>
      </w:r>
    </w:p>
    <w:sdt>
      <w:sdtPr>
        <w:rPr>
          <w:color w:val="000000" w:themeColor="text1"/>
          <w14:textFill>
            <w14:solidFill>
              <w14:schemeClr w14:val="tx1"/>
            </w14:solidFill>
          </w14:textFill>
        </w:rPr>
        <w:alias w:val="是否适用：公允价值变动收益[双击切换]"/>
        <w:tag w:val="_GBC_21669fdeb74c4273a55facece1a56109"/>
        <w:id w:val="147460096"/>
        <w:placeholder>
          <w:docPart w:val="GBC22222222222222222222222222222"/>
        </w:placeholder>
      </w:sdtPr>
      <w:sdtEndPr>
        <w:rPr>
          <w:color w:val="000000" w:themeColor="text1"/>
          <w14:textFill>
            <w14:solidFill>
              <w14:schemeClr w14:val="tx1"/>
            </w14:solidFill>
          </w14:textFill>
        </w:rPr>
      </w:sdtEndPr>
      <w:sdtContent>
        <w:p w14:paraId="58AA061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90"/>
    <w:p w14:paraId="5956EF05">
      <w:pPr>
        <w:rPr>
          <w:color w:val="000000" w:themeColor="text1"/>
          <w14:textFill>
            <w14:solidFill>
              <w14:schemeClr w14:val="tx1"/>
            </w14:solidFill>
          </w14:textFill>
        </w:rPr>
      </w:pPr>
    </w:p>
    <w:p w14:paraId="2FFF32D1">
      <w:pPr>
        <w:pStyle w:val="57"/>
        <w:numPr>
          <w:ilvl w:val="0"/>
          <w:numId w:val="54"/>
        </w:numPr>
        <w:rPr>
          <w:color w:val="000000" w:themeColor="text1"/>
          <w:szCs w:val="21"/>
          <w14:textFill>
            <w14:solidFill>
              <w14:schemeClr w14:val="tx1"/>
            </w14:solidFill>
          </w14:textFill>
        </w:rPr>
      </w:pPr>
      <w:bookmarkStart w:id="391" w:name="_Hlk167969990"/>
      <w:r>
        <w:rPr>
          <w:color w:val="000000" w:themeColor="text1"/>
          <w:szCs w:val="21"/>
          <w14:textFill>
            <w14:solidFill>
              <w14:schemeClr w14:val="tx1"/>
            </w14:solidFill>
          </w14:textFill>
        </w:rPr>
        <w:t>信用减值损失</w:t>
      </w:r>
    </w:p>
    <w:sdt>
      <w:sdtPr>
        <w:rPr>
          <w:color w:val="000000" w:themeColor="text1"/>
          <w14:textFill>
            <w14:solidFill>
              <w14:schemeClr w14:val="tx1"/>
            </w14:solidFill>
          </w14:textFill>
        </w:rPr>
        <w:alias w:val="是否适用：信用减值损失[双击切换]"/>
        <w:tag w:val="_GBC_7f51453d7f2c4601a61d6f9899836b88"/>
        <w:id w:val="147471560"/>
        <w:placeholder>
          <w:docPart w:val="GBC22222222222222222222222222222"/>
        </w:placeholder>
      </w:sdtPr>
      <w:sdtEndPr>
        <w:rPr>
          <w:color w:val="000000" w:themeColor="text1"/>
          <w14:textFill>
            <w14:solidFill>
              <w14:schemeClr w14:val="tx1"/>
            </w14:solidFill>
          </w14:textFill>
        </w:rPr>
      </w:sdtEndPr>
      <w:sdtContent>
        <w:p w14:paraId="2E45451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DCF1A21">
      <w:pPr>
        <w:pStyle w:val="63"/>
        <w:ind w:left="42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信用减值损失"/>
          <w:tag w:val="_GBC_04574a815f0f459c8817f0fb84a3e2d6"/>
          <w:id w:val="1474662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信用减值损失"/>
          <w:tag w:val="_GBC_5ba737d77bb34cc79c6966984148e6e6"/>
          <w:id w:val="1474617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9"/>
        <w:gridCol w:w="2689"/>
        <w:gridCol w:w="2711"/>
      </w:tblGrid>
      <w:tr w14:paraId="65F7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2cc5ebd0cdc447b691d0c5739979c390"/>
            <w:id w:val="147482873"/>
          </w:sdtPr>
          <w:sdtEndPr>
            <w:rPr>
              <w:rFonts w:cs="Times New Roman"/>
            </w:rPr>
          </w:sdtEndPr>
          <w:sdtContent>
            <w:tc>
              <w:tcPr>
                <w:tcW w:w="2016" w:type="pct"/>
                <w:vAlign w:val="center"/>
              </w:tcPr>
              <w:p w14:paraId="5637CF5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667ef9498e104cfdabeee4ef172c6ab3"/>
            <w:id w:val="147476012"/>
          </w:sdtPr>
          <w:sdtEndPr>
            <w:rPr>
              <w:rFonts w:cs="Times New Roman"/>
            </w:rPr>
          </w:sdtEndPr>
          <w:sdtContent>
            <w:tc>
              <w:tcPr>
                <w:tcW w:w="1486" w:type="pct"/>
                <w:vAlign w:val="center"/>
              </w:tcPr>
              <w:p w14:paraId="54504A2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8c64052cb7e64d9095f4b7e849e06d53"/>
            <w:id w:val="147466972"/>
          </w:sdtPr>
          <w:sdtEndPr>
            <w:rPr>
              <w:rFonts w:cs="Times New Roman"/>
            </w:rPr>
          </w:sdtEndPr>
          <w:sdtContent>
            <w:tc>
              <w:tcPr>
                <w:tcW w:w="1498" w:type="pct"/>
                <w:vAlign w:val="center"/>
              </w:tcPr>
              <w:p w14:paraId="27E6787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26D1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vAlign w:val="center"/>
          </w:tcPr>
          <w:p w14:paraId="6E261CD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应收账款坏账损失</w:t>
            </w:r>
          </w:p>
        </w:tc>
        <w:tc>
          <w:tcPr>
            <w:tcW w:w="2689" w:type="dxa"/>
            <w:vAlign w:val="center"/>
          </w:tcPr>
          <w:p w14:paraId="4AC68A4D">
            <w:pPr>
              <w:jc w:val="right"/>
              <w:textAlignment w:val="center"/>
              <w:rPr>
                <w:rFonts w:cs="Times New Roman"/>
              </w:rPr>
            </w:pPr>
            <w:r>
              <w:rPr>
                <w:rFonts w:eastAsia="Arial Narrow" w:cs="Times New Roman"/>
                <w:color w:val="000000"/>
                <w:lang w:bidi="ar"/>
              </w:rPr>
              <w:t>2,222,210.34</w:t>
            </w:r>
          </w:p>
        </w:tc>
        <w:tc>
          <w:tcPr>
            <w:tcW w:w="1498" w:type="pct"/>
            <w:vAlign w:val="center"/>
          </w:tcPr>
          <w:p w14:paraId="3CCF39D9">
            <w:pPr>
              <w:jc w:val="right"/>
              <w:textAlignment w:val="center"/>
              <w:rPr>
                <w:rFonts w:cs="Times New Roman"/>
              </w:rPr>
            </w:pPr>
            <w:r>
              <w:rPr>
                <w:rFonts w:cs="Times New Roman"/>
                <w:color w:val="000000"/>
              </w:rPr>
              <w:t>-1,512,819.16</w:t>
            </w:r>
          </w:p>
        </w:tc>
      </w:tr>
      <w:tr w14:paraId="2F0E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vAlign w:val="center"/>
          </w:tcPr>
          <w:p w14:paraId="3559941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其他应收款坏账损失</w:t>
            </w:r>
          </w:p>
        </w:tc>
        <w:tc>
          <w:tcPr>
            <w:tcW w:w="2689" w:type="dxa"/>
            <w:vAlign w:val="center"/>
          </w:tcPr>
          <w:p w14:paraId="216575A7">
            <w:pPr>
              <w:jc w:val="right"/>
              <w:textAlignment w:val="center"/>
              <w:rPr>
                <w:rFonts w:cs="Times New Roman"/>
              </w:rPr>
            </w:pPr>
            <w:r>
              <w:rPr>
                <w:rFonts w:eastAsia="Arial Narrow" w:cs="Times New Roman"/>
                <w:color w:val="000000"/>
                <w:lang w:bidi="ar"/>
              </w:rPr>
              <w:t>-19,662,501.00</w:t>
            </w:r>
          </w:p>
        </w:tc>
        <w:tc>
          <w:tcPr>
            <w:tcW w:w="1498" w:type="pct"/>
            <w:vAlign w:val="center"/>
          </w:tcPr>
          <w:p w14:paraId="4983995C">
            <w:pPr>
              <w:jc w:val="right"/>
              <w:textAlignment w:val="center"/>
              <w:rPr>
                <w:rFonts w:cs="Times New Roman"/>
              </w:rPr>
            </w:pPr>
            <w:r>
              <w:rPr>
                <w:rFonts w:cs="Times New Roman"/>
                <w:color w:val="000000"/>
              </w:rPr>
              <w:t>3,419,708.70</w:t>
            </w:r>
          </w:p>
        </w:tc>
      </w:tr>
      <w:tr w14:paraId="60CD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vAlign w:val="center"/>
          </w:tcPr>
          <w:p w14:paraId="2A6E158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长期应收款坏账损失</w:t>
            </w:r>
          </w:p>
        </w:tc>
        <w:tc>
          <w:tcPr>
            <w:tcW w:w="2689" w:type="dxa"/>
            <w:vAlign w:val="center"/>
          </w:tcPr>
          <w:p w14:paraId="4FDEBC7D">
            <w:pPr>
              <w:jc w:val="right"/>
              <w:textAlignment w:val="center"/>
              <w:rPr>
                <w:rFonts w:cs="Times New Roman"/>
              </w:rPr>
            </w:pPr>
            <w:r>
              <w:rPr>
                <w:rFonts w:eastAsia="Arial Narrow" w:cs="Times New Roman"/>
                <w:color w:val="000000"/>
                <w:lang w:bidi="ar"/>
              </w:rPr>
              <w:t>-3,284,283.29</w:t>
            </w:r>
          </w:p>
        </w:tc>
        <w:tc>
          <w:tcPr>
            <w:tcW w:w="1498" w:type="pct"/>
            <w:vAlign w:val="center"/>
          </w:tcPr>
          <w:p w14:paraId="3156F5EF">
            <w:pPr>
              <w:jc w:val="right"/>
              <w:textAlignment w:val="center"/>
              <w:rPr>
                <w:rFonts w:cs="Times New Roman"/>
              </w:rPr>
            </w:pPr>
            <w:r>
              <w:rPr>
                <w:rFonts w:cs="Times New Roman"/>
                <w:color w:val="000000"/>
              </w:rPr>
              <w:t>1,339,837.93</w:t>
            </w:r>
          </w:p>
        </w:tc>
      </w:tr>
      <w:tr w14:paraId="1F1C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vAlign w:val="center"/>
          </w:tcPr>
          <w:p w14:paraId="329078F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预付款项坏账损失</w:t>
            </w:r>
          </w:p>
        </w:tc>
        <w:tc>
          <w:tcPr>
            <w:tcW w:w="2689" w:type="dxa"/>
            <w:vAlign w:val="center"/>
          </w:tcPr>
          <w:p w14:paraId="6A97608C">
            <w:pPr>
              <w:jc w:val="right"/>
              <w:rPr>
                <w:rFonts w:cs="Times New Roman"/>
              </w:rPr>
            </w:pPr>
          </w:p>
        </w:tc>
        <w:tc>
          <w:tcPr>
            <w:tcW w:w="1498" w:type="pct"/>
            <w:vAlign w:val="center"/>
          </w:tcPr>
          <w:p w14:paraId="5A41A967">
            <w:pPr>
              <w:jc w:val="right"/>
              <w:textAlignment w:val="center"/>
              <w:rPr>
                <w:rFonts w:cs="Times New Roman"/>
              </w:rPr>
            </w:pPr>
            <w:r>
              <w:rPr>
                <w:rFonts w:cs="Times New Roman"/>
                <w:color w:val="000000"/>
              </w:rPr>
              <w:t>443,100.04</w:t>
            </w:r>
          </w:p>
        </w:tc>
      </w:tr>
      <w:tr w14:paraId="2F36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vAlign w:val="center"/>
          </w:tcPr>
          <w:p w14:paraId="1ECBD33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689" w:type="dxa"/>
            <w:vAlign w:val="center"/>
          </w:tcPr>
          <w:p w14:paraId="66B54724">
            <w:pPr>
              <w:jc w:val="right"/>
              <w:textAlignment w:val="center"/>
              <w:rPr>
                <w:rFonts w:cs="Times New Roman"/>
              </w:rPr>
            </w:pPr>
            <w:r>
              <w:rPr>
                <w:rFonts w:eastAsia="Arial Narrow" w:cs="Times New Roman"/>
                <w:color w:val="000000"/>
                <w:lang w:bidi="ar"/>
              </w:rPr>
              <w:t>-20,724,573.95</w:t>
            </w:r>
          </w:p>
        </w:tc>
        <w:tc>
          <w:tcPr>
            <w:tcW w:w="1498" w:type="pct"/>
            <w:vAlign w:val="center"/>
          </w:tcPr>
          <w:p w14:paraId="223E96DB">
            <w:pPr>
              <w:jc w:val="right"/>
              <w:textAlignment w:val="center"/>
              <w:rPr>
                <w:rFonts w:cs="Times New Roman"/>
              </w:rPr>
            </w:pPr>
            <w:r>
              <w:rPr>
                <w:rFonts w:cs="Times New Roman"/>
                <w:color w:val="000000"/>
              </w:rPr>
              <w:t>3,689,827.51</w:t>
            </w:r>
          </w:p>
        </w:tc>
      </w:tr>
    </w:tbl>
    <w:p w14:paraId="7D972BA1">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信用减值损失其他说明"/>
        <w:tag w:val="_GBC_9228576c4e3741acb19023ad6b79421f"/>
        <w:id w:val="147474117"/>
        <w:placeholder>
          <w:docPart w:val="GBC22222222222222222222222222222"/>
        </w:placeholder>
      </w:sdtPr>
      <w:sdtEndPr>
        <w:rPr>
          <w:color w:val="000000" w:themeColor="text1"/>
          <w14:textFill>
            <w14:solidFill>
              <w14:schemeClr w14:val="tx1"/>
            </w14:solidFill>
          </w14:textFill>
        </w:rPr>
      </w:sdtEndPr>
      <w:sdtContent>
        <w:p w14:paraId="089D75D7">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E0C526D">
      <w:pPr>
        <w:rPr>
          <w:color w:val="000000" w:themeColor="text1"/>
          <w14:textFill>
            <w14:solidFill>
              <w14:schemeClr w14:val="tx1"/>
            </w14:solidFill>
          </w14:textFill>
        </w:rPr>
      </w:pPr>
    </w:p>
    <w:bookmarkEnd w:id="391"/>
    <w:p w14:paraId="7470E040">
      <w:pPr>
        <w:pStyle w:val="57"/>
        <w:numPr>
          <w:ilvl w:val="0"/>
          <w:numId w:val="54"/>
        </w:numPr>
        <w:rPr>
          <w:color w:val="000000" w:themeColor="text1"/>
          <w:szCs w:val="21"/>
          <w14:textFill>
            <w14:solidFill>
              <w14:schemeClr w14:val="tx1"/>
            </w14:solidFill>
          </w14:textFill>
        </w:rPr>
      </w:pPr>
      <w:bookmarkStart w:id="392" w:name="_Hlk167970079"/>
      <w:r>
        <w:rPr>
          <w:color w:val="000000" w:themeColor="text1"/>
          <w:szCs w:val="21"/>
          <w14:textFill>
            <w14:solidFill>
              <w14:schemeClr w14:val="tx1"/>
            </w14:solidFill>
          </w14:textFill>
        </w:rPr>
        <w:t>资产减值损失</w:t>
      </w:r>
    </w:p>
    <w:sdt>
      <w:sdtPr>
        <w:rPr>
          <w:color w:val="000000" w:themeColor="text1"/>
          <w14:textFill>
            <w14:solidFill>
              <w14:schemeClr w14:val="tx1"/>
            </w14:solidFill>
          </w14:textFill>
        </w:rPr>
        <w:alias w:val="是否适用：资产减值损失[双击切换]"/>
        <w:tag w:val="_GBC_d729834ad00147fc807d3aad7ca8698d"/>
        <w:id w:val="147462318"/>
        <w:placeholder>
          <w:docPart w:val="GBC22222222222222222222222222222"/>
        </w:placeholder>
      </w:sdtPr>
      <w:sdtEndPr>
        <w:rPr>
          <w:color w:val="000000" w:themeColor="text1"/>
          <w14:textFill>
            <w14:solidFill>
              <w14:schemeClr w14:val="tx1"/>
            </w14:solidFill>
          </w14:textFill>
        </w:rPr>
      </w:sdtEndPr>
      <w:sdtContent>
        <w:p w14:paraId="48D3849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D40083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资产减值损失"/>
          <w:tag w:val="_GBC_5d74a968092c4c99a3fdb43c04a992ef"/>
          <w:id w:val="1474722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资产减值损失"/>
          <w:tag w:val="_GBC_9cac437936ec413c943d5e1475abfd21"/>
          <w:id w:val="1474596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6"/>
        <w:gridCol w:w="2361"/>
        <w:gridCol w:w="2532"/>
      </w:tblGrid>
      <w:tr w14:paraId="0F1F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f6f45e6360d44d4b7b42549a3560832"/>
            <w:id w:val="147476715"/>
          </w:sdtPr>
          <w:sdtEndPr>
            <w:rPr>
              <w:rFonts w:cs="Times New Roman"/>
            </w:rPr>
          </w:sdtEndPr>
          <w:sdtContent>
            <w:tc>
              <w:tcPr>
                <w:tcW w:w="2296" w:type="pct"/>
                <w:tcBorders>
                  <w:top w:val="single" w:color="auto" w:sz="4" w:space="0"/>
                  <w:left w:val="single" w:color="auto" w:sz="4" w:space="0"/>
                  <w:bottom w:val="single" w:color="auto" w:sz="4" w:space="0"/>
                  <w:right w:val="single" w:color="auto" w:sz="4" w:space="0"/>
                </w:tcBorders>
                <w:vAlign w:val="center"/>
              </w:tcPr>
              <w:p w14:paraId="69B8C8D1">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3f2aa2c829b6428e99a0c7c8da36e428"/>
            <w:id w:val="147477398"/>
          </w:sdtPr>
          <w:sdtEndPr>
            <w:rPr>
              <w:rFonts w:cs="Times New Roman"/>
            </w:rPr>
          </w:sdtEndPr>
          <w:sdtContent>
            <w:tc>
              <w:tcPr>
                <w:tcW w:w="1304" w:type="pct"/>
                <w:tcBorders>
                  <w:top w:val="single" w:color="auto" w:sz="4" w:space="0"/>
                  <w:left w:val="single" w:color="auto" w:sz="4" w:space="0"/>
                  <w:bottom w:val="single" w:color="auto" w:sz="4" w:space="0"/>
                  <w:right w:val="single" w:color="auto" w:sz="4" w:space="0"/>
                </w:tcBorders>
                <w:vAlign w:val="center"/>
              </w:tcPr>
              <w:p w14:paraId="2AE5BCA5">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071b09715e3b43be922c6fbde3b45eb6"/>
            <w:id w:val="147464537"/>
          </w:sdtPr>
          <w:sdtEndPr>
            <w:rPr>
              <w:rFonts w:cs="Times New Roman"/>
            </w:rPr>
          </w:sdtEndPr>
          <w:sdtContent>
            <w:tc>
              <w:tcPr>
                <w:tcW w:w="1399" w:type="pct"/>
                <w:tcBorders>
                  <w:top w:val="single" w:color="auto" w:sz="4" w:space="0"/>
                  <w:left w:val="single" w:color="auto" w:sz="4" w:space="0"/>
                  <w:bottom w:val="single" w:color="auto" w:sz="4" w:space="0"/>
                  <w:right w:val="single" w:color="auto" w:sz="4" w:space="0"/>
                </w:tcBorders>
                <w:vAlign w:val="center"/>
              </w:tcPr>
              <w:p w14:paraId="2D211827">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6487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pct"/>
            <w:tcBorders>
              <w:top w:val="single" w:color="auto" w:sz="4" w:space="0"/>
              <w:left w:val="single" w:color="auto" w:sz="4" w:space="0"/>
              <w:bottom w:val="single" w:color="auto" w:sz="4" w:space="0"/>
              <w:right w:val="single" w:color="auto" w:sz="4" w:space="0"/>
            </w:tcBorders>
          </w:tcPr>
          <w:p w14:paraId="35DF3007">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一、合同资产减值损失</w:t>
            </w:r>
          </w:p>
        </w:tc>
        <w:tc>
          <w:tcPr>
            <w:tcW w:w="1304" w:type="pct"/>
            <w:tcBorders>
              <w:top w:val="single" w:color="auto" w:sz="4" w:space="0"/>
              <w:left w:val="single" w:color="auto" w:sz="4" w:space="0"/>
              <w:bottom w:val="single" w:color="auto" w:sz="4" w:space="0"/>
              <w:right w:val="single" w:color="auto" w:sz="4" w:space="0"/>
            </w:tcBorders>
            <w:vAlign w:val="center"/>
          </w:tcPr>
          <w:p w14:paraId="16AB3A6C">
            <w:pPr>
              <w:jc w:val="right"/>
              <w:rPr>
                <w:rFonts w:cs="Times New Roman"/>
              </w:rPr>
            </w:pPr>
          </w:p>
        </w:tc>
        <w:tc>
          <w:tcPr>
            <w:tcW w:w="1399" w:type="pct"/>
            <w:tcBorders>
              <w:top w:val="single" w:color="auto" w:sz="4" w:space="0"/>
              <w:left w:val="single" w:color="auto" w:sz="4" w:space="0"/>
              <w:bottom w:val="single" w:color="auto" w:sz="4" w:space="0"/>
              <w:right w:val="single" w:color="auto" w:sz="4" w:space="0"/>
            </w:tcBorders>
            <w:vAlign w:val="center"/>
          </w:tcPr>
          <w:p w14:paraId="3AF60ED2">
            <w:pPr>
              <w:jc w:val="right"/>
              <w:rPr>
                <w:rFonts w:cs="Times New Roman"/>
              </w:rPr>
            </w:pPr>
          </w:p>
        </w:tc>
      </w:tr>
      <w:tr w14:paraId="0D68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96" w:type="pct"/>
            <w:tcBorders>
              <w:top w:val="single" w:color="auto" w:sz="4" w:space="0"/>
              <w:left w:val="single" w:color="auto" w:sz="4" w:space="0"/>
              <w:bottom w:val="single" w:color="auto" w:sz="4" w:space="0"/>
              <w:right w:val="single" w:color="auto" w:sz="4" w:space="0"/>
            </w:tcBorders>
          </w:tcPr>
          <w:p w14:paraId="4200997B">
            <w:pPr>
              <w:autoSpaceDE w:val="0"/>
              <w:autoSpaceDN w:val="0"/>
              <w:adjustRightInd w:val="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二、存货跌价损失及合同履约成本减值损失</w:t>
            </w:r>
          </w:p>
        </w:tc>
        <w:tc>
          <w:tcPr>
            <w:tcW w:w="1304" w:type="pct"/>
            <w:tcBorders>
              <w:top w:val="single" w:color="auto" w:sz="4" w:space="0"/>
              <w:left w:val="single" w:color="auto" w:sz="4" w:space="0"/>
              <w:bottom w:val="single" w:color="auto" w:sz="4" w:space="0"/>
              <w:right w:val="single" w:color="auto" w:sz="4" w:space="0"/>
            </w:tcBorders>
            <w:vAlign w:val="center"/>
          </w:tcPr>
          <w:p w14:paraId="6FE394B0">
            <w:pPr>
              <w:jc w:val="right"/>
              <w:textAlignment w:val="center"/>
              <w:rPr>
                <w:rFonts w:cs="Times New Roman"/>
              </w:rPr>
            </w:pPr>
            <w:r>
              <w:rPr>
                <w:rFonts w:eastAsia="Arial Narrow" w:cs="Times New Roman"/>
                <w:color w:val="000000"/>
                <w:lang w:bidi="ar"/>
              </w:rPr>
              <w:t>-17,510,642.11</w:t>
            </w:r>
          </w:p>
        </w:tc>
        <w:tc>
          <w:tcPr>
            <w:tcW w:w="1399" w:type="pct"/>
            <w:tcBorders>
              <w:top w:val="single" w:color="auto" w:sz="4" w:space="0"/>
              <w:left w:val="single" w:color="auto" w:sz="4" w:space="0"/>
              <w:bottom w:val="single" w:color="auto" w:sz="4" w:space="0"/>
              <w:right w:val="single" w:color="auto" w:sz="4" w:space="0"/>
            </w:tcBorders>
            <w:vAlign w:val="center"/>
          </w:tcPr>
          <w:p w14:paraId="3E29F7DC">
            <w:pPr>
              <w:jc w:val="right"/>
              <w:rPr>
                <w:rFonts w:cs="Times New Roman"/>
              </w:rPr>
            </w:pPr>
          </w:p>
        </w:tc>
      </w:tr>
      <w:tr w14:paraId="29E3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pct"/>
            <w:tcBorders>
              <w:top w:val="single" w:color="auto" w:sz="4" w:space="0"/>
              <w:left w:val="single" w:color="auto" w:sz="4" w:space="0"/>
              <w:bottom w:val="single" w:color="auto" w:sz="4" w:space="0"/>
              <w:right w:val="single" w:color="auto" w:sz="4" w:space="0"/>
            </w:tcBorders>
          </w:tcPr>
          <w:p w14:paraId="17E9B36F">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304" w:type="pct"/>
            <w:tcBorders>
              <w:top w:val="single" w:color="auto" w:sz="4" w:space="0"/>
              <w:left w:val="single" w:color="auto" w:sz="4" w:space="0"/>
              <w:bottom w:val="single" w:color="auto" w:sz="4" w:space="0"/>
              <w:right w:val="single" w:color="auto" w:sz="4" w:space="0"/>
            </w:tcBorders>
            <w:vAlign w:val="center"/>
          </w:tcPr>
          <w:p w14:paraId="4D44AF65">
            <w:pPr>
              <w:jc w:val="right"/>
              <w:textAlignment w:val="center"/>
              <w:rPr>
                <w:rFonts w:cs="Times New Roman"/>
              </w:rPr>
            </w:pPr>
            <w:r>
              <w:rPr>
                <w:rFonts w:eastAsia="Arial Narrow" w:cs="Times New Roman"/>
                <w:color w:val="000000"/>
                <w:lang w:bidi="ar"/>
              </w:rPr>
              <w:t>-17,510,642.11</w:t>
            </w:r>
          </w:p>
        </w:tc>
        <w:tc>
          <w:tcPr>
            <w:tcW w:w="1399" w:type="pct"/>
            <w:tcBorders>
              <w:top w:val="single" w:color="auto" w:sz="4" w:space="0"/>
              <w:left w:val="single" w:color="auto" w:sz="4" w:space="0"/>
              <w:bottom w:val="single" w:color="auto" w:sz="4" w:space="0"/>
              <w:right w:val="single" w:color="auto" w:sz="4" w:space="0"/>
            </w:tcBorders>
            <w:vAlign w:val="center"/>
          </w:tcPr>
          <w:p w14:paraId="782670D1">
            <w:pPr>
              <w:jc w:val="right"/>
              <w:rPr>
                <w:rFonts w:cs="Times New Roman"/>
              </w:rPr>
            </w:pPr>
          </w:p>
        </w:tc>
      </w:tr>
    </w:tbl>
    <w:p w14:paraId="72172F69">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资产减值损失的说明"/>
        <w:tag w:val="_GBC_72181df9e6ac4b4492c9dfa445964871"/>
        <w:id w:val="147477459"/>
        <w:placeholder>
          <w:docPart w:val="GBC22222222222222222222222222222"/>
        </w:placeholder>
      </w:sdtPr>
      <w:sdtEndPr>
        <w:rPr>
          <w:color w:val="000000" w:themeColor="text1"/>
          <w14:textFill>
            <w14:solidFill>
              <w14:schemeClr w14:val="tx1"/>
            </w14:solidFill>
          </w14:textFill>
        </w:rPr>
      </w:sdtEndPr>
      <w:sdtContent>
        <w:p w14:paraId="34FB59B0">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66D7C73E">
      <w:pPr>
        <w:rPr>
          <w:rFonts w:asciiTheme="minorHAnsi" w:hAnsiTheme="minorHAnsi" w:eastAsiaTheme="minorEastAsia"/>
          <w:color w:val="000000" w:themeColor="text1"/>
          <w:szCs w:val="22"/>
          <w14:textFill>
            <w14:solidFill>
              <w14:schemeClr w14:val="tx1"/>
            </w14:solidFill>
          </w14:textFill>
        </w:rPr>
      </w:pPr>
    </w:p>
    <w:bookmarkEnd w:id="392"/>
    <w:p w14:paraId="41B5E4CE">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资产处置收益</w:t>
      </w:r>
    </w:p>
    <w:sdt>
      <w:sdtPr>
        <w:rPr>
          <w:rFonts w:hint="eastAsia"/>
          <w:color w:val="000000" w:themeColor="text1"/>
          <w14:textFill>
            <w14:solidFill>
              <w14:schemeClr w14:val="tx1"/>
            </w14:solidFill>
          </w14:textFill>
        </w:rPr>
        <w:alias w:val="是否适用：资产处置收益[双击切换]"/>
        <w:tag w:val="_GBC_9e584d6f46c648d195946caa434a4619"/>
        <w:id w:val="147476967"/>
        <w:placeholder>
          <w:docPart w:val="GBC22222222222222222222222222222"/>
        </w:placeholder>
      </w:sdtPr>
      <w:sdtEndPr>
        <w:rPr>
          <w:rFonts w:hint="eastAsia"/>
          <w:color w:val="000000" w:themeColor="text1"/>
          <w14:textFill>
            <w14:solidFill>
              <w14:schemeClr w14:val="tx1"/>
            </w14:solidFill>
          </w14:textFill>
        </w:rPr>
      </w:sdtEndPr>
      <w:sdtContent>
        <w:p w14:paraId="22D2A68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93BD37B">
      <w:pPr>
        <w:jc w:val="right"/>
        <w:rPr>
          <w:bCs w:val="0"/>
          <w:color w:val="000000" w:themeColor="text1"/>
          <w14:textFill>
            <w14:solidFill>
              <w14:schemeClr w14:val="tx1"/>
            </w14:solidFill>
          </w14:textFill>
        </w:rPr>
      </w:pPr>
      <w:r>
        <w:rPr>
          <w:color w:val="000000" w:themeColor="text1"/>
          <w14:textFill>
            <w14:solidFill>
              <w14:schemeClr w14:val="tx1"/>
            </w14:solidFill>
          </w14:textFill>
        </w:rPr>
        <w:t>单位：</w:t>
      </w:r>
      <w:sdt>
        <w:sdtPr>
          <w:rPr>
            <w:bCs w:val="0"/>
            <w:color w:val="000000" w:themeColor="text1"/>
            <w14:textFill>
              <w14:solidFill>
                <w14:schemeClr w14:val="tx1"/>
              </w14:solidFill>
            </w14:textFill>
          </w:rPr>
          <w:alias w:val="单位：资产处置收益明细"/>
          <w:tag w:val="_GBC_72dc168499e249b988d6753a6df1ce44"/>
          <w:id w:val="14746334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bCs w:val="0"/>
            <w:color w:val="000000" w:themeColor="text1"/>
            <w14:textFill>
              <w14:solidFill>
                <w14:schemeClr w14:val="tx1"/>
              </w14:solidFill>
            </w14:textFill>
          </w:rPr>
          <w:alias w:val="币种：资产处置收益明细"/>
          <w:tag w:val="_GBC_d68880ec5b074fdc8846b703ead631e2"/>
          <w:id w:val="1474633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人民币</w:t>
          </w:r>
        </w:sdtContent>
      </w:sdt>
    </w:p>
    <w:tbl>
      <w:tblPr>
        <w:tblStyle w:val="5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8"/>
        <w:gridCol w:w="3027"/>
        <w:gridCol w:w="3020"/>
      </w:tblGrid>
      <w:tr w14:paraId="2328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pct"/>
          </w:tcPr>
          <w:sdt>
            <w:sdtPr>
              <w:rPr>
                <w:rFonts w:cs="Times New Roman"/>
              </w:rPr>
              <w:tag w:val="_PLD_5ae5d7d7d48342e7bc1da8d90a245459"/>
              <w:id w:val="147467791"/>
            </w:sdtPr>
            <w:sdtEndPr>
              <w:rPr>
                <w:rFonts w:cs="Times New Roman"/>
              </w:rPr>
            </w:sdtEndPr>
            <w:sdtContent>
              <w:p w14:paraId="2FA2627B">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sdtContent>
          </w:sdt>
        </w:tc>
        <w:tc>
          <w:tcPr>
            <w:tcW w:w="1673" w:type="pct"/>
          </w:tcPr>
          <w:sdt>
            <w:sdtPr>
              <w:rPr>
                <w:rFonts w:cs="Times New Roman"/>
              </w:rPr>
              <w:tag w:val="_PLD_879cf215b86c45c790218e646c831e7d"/>
              <w:id w:val="147451852"/>
            </w:sdtPr>
            <w:sdtEndPr>
              <w:rPr>
                <w:rFonts w:cs="Times New Roman"/>
              </w:rPr>
            </w:sdtEndPr>
            <w:sdtContent>
              <w:p w14:paraId="7538764B">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sdtContent>
          </w:sdt>
        </w:tc>
        <w:tc>
          <w:tcPr>
            <w:tcW w:w="1669" w:type="pct"/>
          </w:tcPr>
          <w:sdt>
            <w:sdtPr>
              <w:rPr>
                <w:rFonts w:cs="Times New Roman"/>
              </w:rPr>
              <w:tag w:val="_PLD_8860a002ccc44e14bf36aa3e10fb5d70"/>
              <w:id w:val="147458807"/>
            </w:sdtPr>
            <w:sdtEndPr>
              <w:rPr>
                <w:rFonts w:cs="Times New Roman"/>
              </w:rPr>
            </w:sdtEndPr>
            <w:sdtContent>
              <w:p w14:paraId="38CC230E">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sdtContent>
          </w:sdt>
        </w:tc>
      </w:tr>
      <w:tr w14:paraId="18A5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pct"/>
          </w:tcPr>
          <w:p w14:paraId="7C805286">
            <w:pPr>
              <w:widowControl/>
              <w:jc w:val="both"/>
              <w:textAlignment w:val="top"/>
              <w:rPr>
                <w:rFonts w:cs="Times New Roman"/>
              </w:rPr>
            </w:pPr>
            <w:r>
              <w:rPr>
                <w:rFonts w:cs="Times New Roman"/>
                <w:color w:val="000000"/>
                <w:lang w:bidi="ar"/>
              </w:rPr>
              <w:t>固定资产处置利得或损失</w:t>
            </w:r>
          </w:p>
        </w:tc>
        <w:tc>
          <w:tcPr>
            <w:tcW w:w="1673" w:type="pct"/>
            <w:vAlign w:val="center"/>
          </w:tcPr>
          <w:p w14:paraId="3248DAA5">
            <w:pPr>
              <w:widowControl/>
              <w:jc w:val="right"/>
              <w:textAlignment w:val="center"/>
              <w:rPr>
                <w:rFonts w:cs="Times New Roman"/>
              </w:rPr>
            </w:pPr>
            <w:r>
              <w:rPr>
                <w:rFonts w:cs="Times New Roman"/>
                <w:color w:val="000000"/>
              </w:rPr>
              <w:t>1,077,259.35</w:t>
            </w:r>
          </w:p>
        </w:tc>
        <w:tc>
          <w:tcPr>
            <w:tcW w:w="1669" w:type="pct"/>
            <w:vAlign w:val="center"/>
          </w:tcPr>
          <w:p w14:paraId="64163B09">
            <w:pPr>
              <w:widowControl/>
              <w:jc w:val="right"/>
              <w:textAlignment w:val="center"/>
              <w:rPr>
                <w:rFonts w:cs="Times New Roman"/>
              </w:rPr>
            </w:pPr>
            <w:r>
              <w:rPr>
                <w:rFonts w:cs="Times New Roman"/>
                <w:color w:val="000000"/>
              </w:rPr>
              <w:t>78,391.18</w:t>
            </w:r>
          </w:p>
        </w:tc>
      </w:tr>
      <w:tr w14:paraId="0ECA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pct"/>
          </w:tcPr>
          <w:p w14:paraId="1BAC5017">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73" w:type="pct"/>
            <w:vAlign w:val="center"/>
          </w:tcPr>
          <w:p w14:paraId="54911C7F">
            <w:pPr>
              <w:widowControl/>
              <w:jc w:val="right"/>
              <w:textAlignment w:val="center"/>
              <w:rPr>
                <w:rFonts w:cs="Times New Roman"/>
              </w:rPr>
            </w:pPr>
            <w:r>
              <w:rPr>
                <w:rFonts w:cs="Times New Roman"/>
                <w:color w:val="000000"/>
              </w:rPr>
              <w:t>1,077,259.35</w:t>
            </w:r>
          </w:p>
        </w:tc>
        <w:tc>
          <w:tcPr>
            <w:tcW w:w="1669" w:type="pct"/>
            <w:vAlign w:val="center"/>
          </w:tcPr>
          <w:p w14:paraId="251587C3">
            <w:pPr>
              <w:widowControl/>
              <w:jc w:val="right"/>
              <w:textAlignment w:val="center"/>
              <w:rPr>
                <w:rFonts w:cs="Times New Roman"/>
              </w:rPr>
            </w:pPr>
            <w:r>
              <w:rPr>
                <w:rFonts w:cs="Times New Roman"/>
                <w:color w:val="000000"/>
              </w:rPr>
              <w:t>78,391.18</w:t>
            </w:r>
          </w:p>
        </w:tc>
      </w:tr>
    </w:tbl>
    <w:p w14:paraId="4CEC998F">
      <w:pPr>
        <w:rPr>
          <w:color w:val="000000" w:themeColor="text1"/>
          <w14:textFill>
            <w14:solidFill>
              <w14:schemeClr w14:val="tx1"/>
            </w14:solidFill>
          </w14:textFill>
        </w:rPr>
      </w:pPr>
    </w:p>
    <w:p w14:paraId="30CC5592">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rFonts w:hint="eastAsia"/>
          <w:color w:val="000000" w:themeColor="text1"/>
          <w14:textFill>
            <w14:solidFill>
              <w14:schemeClr w14:val="tx1"/>
            </w14:solidFill>
          </w14:textFill>
        </w:rPr>
        <w:alias w:val="是否适用：资产处置收益其他说明[双击切换]"/>
        <w:tag w:val="_GBC_15965d17bc0a4e6788b5c6faf8c51b58"/>
        <w:id w:val="147460256"/>
        <w:placeholder>
          <w:docPart w:val="GBC22222222222222222222222222222"/>
        </w:placeholder>
      </w:sdtPr>
      <w:sdtEndPr>
        <w:rPr>
          <w:rFonts w:hint="eastAsia"/>
          <w:color w:val="000000" w:themeColor="text1"/>
          <w14:textFill>
            <w14:solidFill>
              <w14:schemeClr w14:val="tx1"/>
            </w14:solidFill>
          </w14:textFill>
        </w:rPr>
      </w:sdtEndPr>
      <w:sdtContent>
        <w:p w14:paraId="029B1C2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8DB9C89">
      <w:pPr>
        <w:rPr>
          <w:color w:val="000000" w:themeColor="text1"/>
          <w14:textFill>
            <w14:solidFill>
              <w14:schemeClr w14:val="tx1"/>
            </w14:solidFill>
          </w14:textFill>
        </w:rPr>
      </w:pPr>
    </w:p>
    <w:p w14:paraId="23D1BCB0">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营业外收入</w:t>
      </w:r>
    </w:p>
    <w:sdt>
      <w:sdtPr>
        <w:rPr>
          <w:rFonts w:hint="eastAsia" w:cstheme="minorBidi"/>
          <w:bCs w:val="0"/>
          <w:color w:val="000000" w:themeColor="text1"/>
          <w:szCs w:val="22"/>
          <w14:textFill>
            <w14:solidFill>
              <w14:schemeClr w14:val="tx1"/>
            </w14:solidFill>
          </w14:textFill>
        </w:rPr>
        <w:alias w:val="是否适用：营业外收入情况 [双击切换]"/>
        <w:tag w:val="_GBC_b6e9df1124844122abb2dde58392c605"/>
        <w:id w:val="147476789"/>
        <w:lock w:val="contentLocked"/>
        <w:placeholder>
          <w:docPart w:val="GBC22222222222222222222222222222"/>
        </w:placeholder>
      </w:sdtPr>
      <w:sdtEndPr>
        <w:rPr>
          <w:rFonts w:hint="eastAsia" w:cstheme="minorBidi"/>
          <w:bCs w:val="0"/>
          <w:color w:val="000000" w:themeColor="text1"/>
          <w:szCs w:val="22"/>
          <w14:textFill>
            <w14:solidFill>
              <w14:schemeClr w14:val="tx1"/>
            </w14:solidFill>
          </w14:textFill>
        </w:rPr>
      </w:sdtEndPr>
      <w:sdtContent>
        <w:p w14:paraId="795F4B9E">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w:instrText>
          </w:r>
          <w:r>
            <w:rPr>
              <w:rFonts w:hint="eastAsia" w:ascii="宋体" w:hAnsi="宋体" w:cstheme="minorBidi"/>
              <w:color w:val="000000" w:themeColor="text1"/>
              <w:szCs w:val="22"/>
              <w14:textFill>
                <w14:solidFill>
                  <w14:schemeClr w14:val="tx1"/>
                </w14:solidFill>
              </w14:textFill>
            </w:rPr>
            <w:instrText xml:space="preserve">MACROBUTTON  SnrToggleCheckbox √适用</w:instrText>
          </w:r>
          <w:r>
            <w:rPr>
              <w:rFonts w:ascii="宋体" w:hAnsi="宋体" w:cstheme="minorBidi"/>
              <w:color w:val="000000" w:themeColor="text1"/>
              <w:szCs w:val="22"/>
              <w14:textFill>
                <w14:solidFill>
                  <w14:schemeClr w14:val="tx1"/>
                </w14:solidFill>
              </w14:textFill>
            </w:rPr>
            <w:instrText xml:space="preserve">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14:paraId="5DEFED8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营业外收入"/>
          <w:tag w:val="_GBC_dd93a692e0c045038f9ddf46f86e7289"/>
          <w:id w:val="1474779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营业外收入"/>
          <w:tag w:val="_GBC_598cac7504eb4ef39ddc19fb969bdd53"/>
          <w:id w:val="14745745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7"/>
        <w:gridCol w:w="2022"/>
        <w:gridCol w:w="2022"/>
        <w:gridCol w:w="2318"/>
      </w:tblGrid>
      <w:tr w14:paraId="2F3E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d649e0d07dd047a497e69591bf3e322c"/>
            <w:id w:val="147476253"/>
          </w:sdtPr>
          <w:sdtEndPr>
            <w:rPr>
              <w:rFonts w:cs="Times New Roman"/>
            </w:rPr>
          </w:sdtEndPr>
          <w:sdtContent>
            <w:tc>
              <w:tcPr>
                <w:tcW w:w="1484" w:type="pct"/>
                <w:tcBorders>
                  <w:top w:val="single" w:color="auto" w:sz="4" w:space="0"/>
                  <w:left w:val="single" w:color="auto" w:sz="4" w:space="0"/>
                  <w:bottom w:val="single" w:color="auto" w:sz="4" w:space="0"/>
                  <w:right w:val="single" w:color="auto" w:sz="4" w:space="0"/>
                </w:tcBorders>
                <w:vAlign w:val="center"/>
              </w:tcPr>
              <w:p w14:paraId="0139B4DA">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eabf358cb2c947a9b4e7bacb394074db"/>
            <w:id w:val="147452346"/>
          </w:sdtPr>
          <w:sdtEndPr>
            <w:rPr>
              <w:rFonts w:cs="Times New Roman"/>
            </w:rPr>
          </w:sdtEndPr>
          <w:sdtContent>
            <w:tc>
              <w:tcPr>
                <w:tcW w:w="1117" w:type="pct"/>
                <w:tcBorders>
                  <w:top w:val="single" w:color="auto" w:sz="4" w:space="0"/>
                  <w:left w:val="single" w:color="auto" w:sz="4" w:space="0"/>
                  <w:bottom w:val="single" w:color="auto" w:sz="4" w:space="0"/>
                  <w:right w:val="single" w:color="auto" w:sz="4" w:space="0"/>
                </w:tcBorders>
                <w:vAlign w:val="center"/>
              </w:tcPr>
              <w:p w14:paraId="18D21FB2">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0469d808d7334ff0ab3460273b0c8f8f"/>
            <w:id w:val="147460924"/>
          </w:sdtPr>
          <w:sdtEndPr>
            <w:rPr>
              <w:rFonts w:cs="Times New Roman"/>
            </w:rPr>
          </w:sdtEndPr>
          <w:sdtContent>
            <w:tc>
              <w:tcPr>
                <w:tcW w:w="1117" w:type="pct"/>
                <w:tcBorders>
                  <w:top w:val="single" w:color="auto" w:sz="4" w:space="0"/>
                  <w:left w:val="single" w:color="auto" w:sz="4" w:space="0"/>
                  <w:bottom w:val="single" w:color="auto" w:sz="4" w:space="0"/>
                  <w:right w:val="single" w:color="auto" w:sz="4" w:space="0"/>
                </w:tcBorders>
                <w:vAlign w:val="center"/>
              </w:tcPr>
              <w:p w14:paraId="356B1625">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sdt>
          <w:sdtPr>
            <w:rPr>
              <w:rFonts w:cs="Times New Roman"/>
            </w:rPr>
            <w:tag w:val="_PLD_121bda757dda46918753fabf9329298f"/>
            <w:id w:val="147463977"/>
          </w:sdtPr>
          <w:sdtEndPr>
            <w:rPr>
              <w:rFonts w:cs="Times New Roman"/>
            </w:rPr>
          </w:sdtEndPr>
          <w:sdtContent>
            <w:tc>
              <w:tcPr>
                <w:tcW w:w="1280" w:type="pct"/>
                <w:tcBorders>
                  <w:top w:val="single" w:color="auto" w:sz="4" w:space="0"/>
                  <w:left w:val="single" w:color="auto" w:sz="4" w:space="0"/>
                  <w:bottom w:val="single" w:color="auto" w:sz="4" w:space="0"/>
                  <w:right w:val="single" w:color="auto" w:sz="4" w:space="0"/>
                </w:tcBorders>
                <w:vAlign w:val="center"/>
              </w:tcPr>
              <w:p w14:paraId="5F152F71">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计入当期非经常性损益的金额</w:t>
                </w:r>
              </w:p>
            </w:tc>
          </w:sdtContent>
        </w:sdt>
      </w:tr>
      <w:tr w14:paraId="5D63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50565E90">
            <w:pPr>
              <w:textAlignment w:val="top"/>
              <w:rPr>
                <w:rFonts w:cs="Times New Roman"/>
                <w:color w:val="000000"/>
                <w:lang w:bidi="ar"/>
              </w:rPr>
            </w:pPr>
            <w:r>
              <w:rPr>
                <w:rFonts w:cs="Times New Roman"/>
                <w:color w:val="000000"/>
                <w:lang w:bidi="ar"/>
              </w:rPr>
              <w:t>非流动资产毁损报废利得</w:t>
            </w:r>
          </w:p>
        </w:tc>
        <w:tc>
          <w:tcPr>
            <w:tcW w:w="1117" w:type="pct"/>
            <w:tcBorders>
              <w:top w:val="single" w:color="auto" w:sz="4" w:space="0"/>
              <w:left w:val="single" w:color="auto" w:sz="4" w:space="0"/>
              <w:bottom w:val="single" w:color="auto" w:sz="4" w:space="0"/>
              <w:right w:val="single" w:color="auto" w:sz="4" w:space="0"/>
            </w:tcBorders>
            <w:vAlign w:val="center"/>
          </w:tcPr>
          <w:p w14:paraId="64210825">
            <w:pPr>
              <w:jc w:val="right"/>
              <w:textAlignment w:val="center"/>
              <w:rPr>
                <w:rFonts w:cs="Times New Roman"/>
                <w:color w:val="000000"/>
              </w:rPr>
            </w:pPr>
            <w:r>
              <w:rPr>
                <w:rFonts w:eastAsia="Arial Narrow" w:cs="Times New Roman"/>
                <w:color w:val="000000"/>
                <w:lang w:bidi="ar"/>
              </w:rPr>
              <w:t>117,437.66</w:t>
            </w:r>
          </w:p>
        </w:tc>
        <w:tc>
          <w:tcPr>
            <w:tcW w:w="1117" w:type="pct"/>
            <w:tcBorders>
              <w:top w:val="single" w:color="auto" w:sz="4" w:space="0"/>
              <w:left w:val="single" w:color="auto" w:sz="4" w:space="0"/>
              <w:bottom w:val="single" w:color="auto" w:sz="4" w:space="0"/>
              <w:right w:val="single" w:color="auto" w:sz="4" w:space="0"/>
            </w:tcBorders>
            <w:vAlign w:val="center"/>
          </w:tcPr>
          <w:p w14:paraId="4B085CD3">
            <w:pPr>
              <w:jc w:val="right"/>
              <w:textAlignment w:val="center"/>
              <w:rPr>
                <w:rFonts w:cs="Times New Roman"/>
                <w:color w:val="000000"/>
              </w:rPr>
            </w:pPr>
            <w:r>
              <w:rPr>
                <w:rFonts w:eastAsia="Arial Narrow" w:cs="Times New Roman"/>
                <w:color w:val="000000"/>
                <w:lang w:bidi="ar"/>
              </w:rPr>
              <w:t>100,276.79</w:t>
            </w:r>
          </w:p>
        </w:tc>
        <w:tc>
          <w:tcPr>
            <w:tcW w:w="1280" w:type="pct"/>
            <w:tcBorders>
              <w:top w:val="single" w:color="auto" w:sz="4" w:space="0"/>
              <w:left w:val="single" w:color="auto" w:sz="4" w:space="0"/>
              <w:bottom w:val="single" w:color="auto" w:sz="4" w:space="0"/>
              <w:right w:val="single" w:color="auto" w:sz="4" w:space="0"/>
            </w:tcBorders>
            <w:vAlign w:val="center"/>
          </w:tcPr>
          <w:p w14:paraId="570343BA">
            <w:pPr>
              <w:jc w:val="right"/>
              <w:textAlignment w:val="center"/>
              <w:rPr>
                <w:rFonts w:cs="Times New Roman"/>
                <w:color w:val="000000"/>
              </w:rPr>
            </w:pPr>
            <w:r>
              <w:rPr>
                <w:rFonts w:eastAsia="Arial Narrow" w:cs="Times New Roman"/>
                <w:color w:val="000000"/>
                <w:lang w:bidi="ar"/>
              </w:rPr>
              <w:t>117,437.66</w:t>
            </w:r>
          </w:p>
        </w:tc>
      </w:tr>
      <w:tr w14:paraId="5B25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703465E2">
            <w:pPr>
              <w:textAlignment w:val="top"/>
              <w:rPr>
                <w:rFonts w:cs="Times New Roman"/>
                <w:color w:val="000000" w:themeColor="text1"/>
                <w14:textFill>
                  <w14:solidFill>
                    <w14:schemeClr w14:val="tx1"/>
                  </w14:solidFill>
                </w14:textFill>
              </w:rPr>
            </w:pPr>
            <w:r>
              <w:rPr>
                <w:rFonts w:cs="Times New Roman"/>
                <w:color w:val="000000"/>
                <w:lang w:bidi="ar"/>
              </w:rPr>
              <w:t>违约赔偿收入</w:t>
            </w:r>
          </w:p>
        </w:tc>
        <w:tc>
          <w:tcPr>
            <w:tcW w:w="1117" w:type="pct"/>
            <w:tcBorders>
              <w:top w:val="single" w:color="auto" w:sz="4" w:space="0"/>
              <w:left w:val="single" w:color="auto" w:sz="4" w:space="0"/>
              <w:bottom w:val="single" w:color="auto" w:sz="4" w:space="0"/>
              <w:right w:val="single" w:color="auto" w:sz="4" w:space="0"/>
            </w:tcBorders>
            <w:vAlign w:val="center"/>
          </w:tcPr>
          <w:p w14:paraId="0FF3D637">
            <w:pPr>
              <w:jc w:val="right"/>
              <w:textAlignment w:val="center"/>
              <w:rPr>
                <w:rFonts w:cs="Times New Roman"/>
              </w:rPr>
            </w:pPr>
            <w:r>
              <w:rPr>
                <w:rFonts w:cs="Times New Roman"/>
                <w:color w:val="000000"/>
              </w:rPr>
              <w:t>2,000,911.01</w:t>
            </w:r>
          </w:p>
        </w:tc>
        <w:tc>
          <w:tcPr>
            <w:tcW w:w="1117" w:type="pct"/>
            <w:tcBorders>
              <w:top w:val="single" w:color="auto" w:sz="4" w:space="0"/>
              <w:left w:val="single" w:color="auto" w:sz="4" w:space="0"/>
              <w:bottom w:val="single" w:color="auto" w:sz="4" w:space="0"/>
              <w:right w:val="single" w:color="auto" w:sz="4" w:space="0"/>
            </w:tcBorders>
            <w:vAlign w:val="center"/>
          </w:tcPr>
          <w:p w14:paraId="29269DE8">
            <w:pPr>
              <w:jc w:val="right"/>
              <w:textAlignment w:val="center"/>
              <w:rPr>
                <w:rFonts w:cs="Times New Roman"/>
              </w:rPr>
            </w:pPr>
            <w:r>
              <w:rPr>
                <w:rFonts w:cs="Times New Roman"/>
                <w:color w:val="000000"/>
              </w:rPr>
              <w:t>317,168.43</w:t>
            </w:r>
          </w:p>
        </w:tc>
        <w:tc>
          <w:tcPr>
            <w:tcW w:w="1280" w:type="pct"/>
            <w:tcBorders>
              <w:top w:val="single" w:color="auto" w:sz="4" w:space="0"/>
              <w:left w:val="single" w:color="auto" w:sz="4" w:space="0"/>
              <w:bottom w:val="single" w:color="auto" w:sz="4" w:space="0"/>
              <w:right w:val="single" w:color="auto" w:sz="4" w:space="0"/>
            </w:tcBorders>
            <w:vAlign w:val="center"/>
          </w:tcPr>
          <w:p w14:paraId="2EC62557">
            <w:pPr>
              <w:jc w:val="right"/>
              <w:textAlignment w:val="center"/>
              <w:rPr>
                <w:rFonts w:cs="Times New Roman"/>
              </w:rPr>
            </w:pPr>
            <w:r>
              <w:rPr>
                <w:rFonts w:cs="Times New Roman"/>
                <w:color w:val="000000"/>
              </w:rPr>
              <w:t>2,000,911.01</w:t>
            </w:r>
          </w:p>
        </w:tc>
      </w:tr>
      <w:tr w14:paraId="65B0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6647CE8E">
            <w:pPr>
              <w:textAlignment w:val="top"/>
              <w:rPr>
                <w:rFonts w:cs="Times New Roman"/>
                <w:color w:val="000000" w:themeColor="text1"/>
                <w14:textFill>
                  <w14:solidFill>
                    <w14:schemeClr w14:val="tx1"/>
                  </w14:solidFill>
                </w14:textFill>
              </w:rPr>
            </w:pPr>
            <w:r>
              <w:rPr>
                <w:rFonts w:cs="Times New Roman"/>
                <w:color w:val="000000"/>
                <w:lang w:bidi="ar"/>
              </w:rPr>
              <w:t>罚没、罚款收入</w:t>
            </w:r>
          </w:p>
        </w:tc>
        <w:tc>
          <w:tcPr>
            <w:tcW w:w="1117" w:type="pct"/>
            <w:tcBorders>
              <w:top w:val="single" w:color="auto" w:sz="4" w:space="0"/>
              <w:left w:val="single" w:color="auto" w:sz="4" w:space="0"/>
              <w:bottom w:val="single" w:color="auto" w:sz="4" w:space="0"/>
              <w:right w:val="single" w:color="auto" w:sz="4" w:space="0"/>
            </w:tcBorders>
            <w:vAlign w:val="center"/>
          </w:tcPr>
          <w:p w14:paraId="672C1622">
            <w:pPr>
              <w:jc w:val="right"/>
              <w:textAlignment w:val="center"/>
              <w:rPr>
                <w:rFonts w:cs="Times New Roman"/>
              </w:rPr>
            </w:pPr>
            <w:r>
              <w:rPr>
                <w:rFonts w:cs="Times New Roman"/>
                <w:color w:val="000000"/>
              </w:rPr>
              <w:t>785,295.60</w:t>
            </w:r>
          </w:p>
        </w:tc>
        <w:tc>
          <w:tcPr>
            <w:tcW w:w="1117" w:type="pct"/>
            <w:tcBorders>
              <w:top w:val="single" w:color="auto" w:sz="4" w:space="0"/>
              <w:left w:val="single" w:color="auto" w:sz="4" w:space="0"/>
              <w:bottom w:val="single" w:color="auto" w:sz="4" w:space="0"/>
              <w:right w:val="single" w:color="auto" w:sz="4" w:space="0"/>
            </w:tcBorders>
            <w:vAlign w:val="center"/>
          </w:tcPr>
          <w:p w14:paraId="03F976CD">
            <w:pPr>
              <w:jc w:val="right"/>
              <w:textAlignment w:val="center"/>
              <w:rPr>
                <w:rFonts w:cs="Times New Roman"/>
              </w:rPr>
            </w:pPr>
            <w:r>
              <w:rPr>
                <w:rFonts w:cs="Times New Roman"/>
                <w:color w:val="000000"/>
              </w:rPr>
              <w:t>948,306.74</w:t>
            </w:r>
          </w:p>
        </w:tc>
        <w:tc>
          <w:tcPr>
            <w:tcW w:w="1280" w:type="pct"/>
            <w:tcBorders>
              <w:top w:val="single" w:color="auto" w:sz="4" w:space="0"/>
              <w:left w:val="single" w:color="auto" w:sz="4" w:space="0"/>
              <w:bottom w:val="single" w:color="auto" w:sz="4" w:space="0"/>
              <w:right w:val="single" w:color="auto" w:sz="4" w:space="0"/>
            </w:tcBorders>
            <w:vAlign w:val="center"/>
          </w:tcPr>
          <w:p w14:paraId="31294B2F">
            <w:pPr>
              <w:jc w:val="right"/>
              <w:textAlignment w:val="center"/>
              <w:rPr>
                <w:rFonts w:cs="Times New Roman"/>
              </w:rPr>
            </w:pPr>
            <w:r>
              <w:rPr>
                <w:rFonts w:cs="Times New Roman"/>
                <w:color w:val="000000"/>
              </w:rPr>
              <w:t>785,295.60</w:t>
            </w:r>
          </w:p>
        </w:tc>
      </w:tr>
      <w:tr w14:paraId="701C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53C1BCCC">
            <w:pPr>
              <w:textAlignment w:val="top"/>
              <w:rPr>
                <w:rFonts w:cs="Times New Roman"/>
                <w:color w:val="000000" w:themeColor="text1"/>
                <w14:textFill>
                  <w14:solidFill>
                    <w14:schemeClr w14:val="tx1"/>
                  </w14:solidFill>
                </w14:textFill>
              </w:rPr>
            </w:pPr>
            <w:r>
              <w:rPr>
                <w:rFonts w:cs="Times New Roman"/>
                <w:color w:val="000000"/>
                <w:lang w:bidi="ar"/>
              </w:rPr>
              <w:t>无法支付的应付款项</w:t>
            </w:r>
          </w:p>
        </w:tc>
        <w:tc>
          <w:tcPr>
            <w:tcW w:w="1117" w:type="pct"/>
            <w:tcBorders>
              <w:top w:val="single" w:color="auto" w:sz="4" w:space="0"/>
              <w:left w:val="single" w:color="auto" w:sz="4" w:space="0"/>
              <w:bottom w:val="single" w:color="auto" w:sz="4" w:space="0"/>
              <w:right w:val="single" w:color="auto" w:sz="4" w:space="0"/>
            </w:tcBorders>
            <w:vAlign w:val="center"/>
          </w:tcPr>
          <w:p w14:paraId="5EE7A8B7">
            <w:pPr>
              <w:jc w:val="right"/>
              <w:textAlignment w:val="center"/>
              <w:rPr>
                <w:rFonts w:cs="Times New Roman"/>
              </w:rPr>
            </w:pPr>
            <w:r>
              <w:rPr>
                <w:rFonts w:cs="Times New Roman"/>
                <w:color w:val="000000"/>
              </w:rPr>
              <w:t>53,400.00</w:t>
            </w:r>
          </w:p>
        </w:tc>
        <w:tc>
          <w:tcPr>
            <w:tcW w:w="1117" w:type="pct"/>
            <w:tcBorders>
              <w:top w:val="single" w:color="auto" w:sz="4" w:space="0"/>
              <w:left w:val="single" w:color="auto" w:sz="4" w:space="0"/>
              <w:bottom w:val="single" w:color="auto" w:sz="4" w:space="0"/>
              <w:right w:val="single" w:color="auto" w:sz="4" w:space="0"/>
            </w:tcBorders>
            <w:vAlign w:val="center"/>
          </w:tcPr>
          <w:p w14:paraId="0B491FBA">
            <w:pPr>
              <w:jc w:val="right"/>
              <w:rPr>
                <w:rFonts w:cs="Times New Roman"/>
              </w:rPr>
            </w:pPr>
          </w:p>
        </w:tc>
        <w:tc>
          <w:tcPr>
            <w:tcW w:w="1280" w:type="pct"/>
            <w:tcBorders>
              <w:top w:val="single" w:color="auto" w:sz="4" w:space="0"/>
              <w:left w:val="single" w:color="auto" w:sz="4" w:space="0"/>
              <w:bottom w:val="single" w:color="auto" w:sz="4" w:space="0"/>
              <w:right w:val="single" w:color="auto" w:sz="4" w:space="0"/>
            </w:tcBorders>
            <w:vAlign w:val="center"/>
          </w:tcPr>
          <w:p w14:paraId="70C24CEE">
            <w:pPr>
              <w:jc w:val="right"/>
              <w:textAlignment w:val="center"/>
              <w:rPr>
                <w:rFonts w:cs="Times New Roman"/>
              </w:rPr>
            </w:pPr>
            <w:r>
              <w:rPr>
                <w:rFonts w:cs="Times New Roman"/>
                <w:color w:val="000000"/>
              </w:rPr>
              <w:t>53,400.00</w:t>
            </w:r>
          </w:p>
        </w:tc>
      </w:tr>
      <w:tr w14:paraId="4A62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1AB17334">
            <w:pPr>
              <w:textAlignment w:val="top"/>
              <w:rPr>
                <w:rFonts w:cs="Times New Roman"/>
                <w:bCs w:val="0"/>
                <w:color w:val="000000" w:themeColor="text1"/>
                <w14:textFill>
                  <w14:solidFill>
                    <w14:schemeClr w14:val="tx1"/>
                  </w14:solidFill>
                </w14:textFill>
              </w:rPr>
            </w:pPr>
            <w:r>
              <w:rPr>
                <w:rFonts w:cs="Times New Roman"/>
                <w:color w:val="000000"/>
                <w:lang w:bidi="ar"/>
              </w:rPr>
              <w:t>其他</w:t>
            </w:r>
          </w:p>
        </w:tc>
        <w:tc>
          <w:tcPr>
            <w:tcW w:w="1117" w:type="pct"/>
            <w:tcBorders>
              <w:top w:val="single" w:color="auto" w:sz="4" w:space="0"/>
              <w:left w:val="single" w:color="auto" w:sz="4" w:space="0"/>
              <w:bottom w:val="single" w:color="auto" w:sz="4" w:space="0"/>
              <w:right w:val="single" w:color="auto" w:sz="4" w:space="0"/>
            </w:tcBorders>
            <w:vAlign w:val="center"/>
          </w:tcPr>
          <w:p w14:paraId="544E6EFB">
            <w:pPr>
              <w:jc w:val="right"/>
              <w:textAlignment w:val="center"/>
              <w:rPr>
                <w:rFonts w:cs="Times New Roman"/>
              </w:rPr>
            </w:pPr>
            <w:r>
              <w:rPr>
                <w:rFonts w:cs="Times New Roman"/>
                <w:color w:val="000000"/>
              </w:rPr>
              <w:t>10,023,851.05</w:t>
            </w:r>
          </w:p>
        </w:tc>
        <w:tc>
          <w:tcPr>
            <w:tcW w:w="1117" w:type="pct"/>
            <w:tcBorders>
              <w:top w:val="single" w:color="auto" w:sz="4" w:space="0"/>
              <w:left w:val="single" w:color="auto" w:sz="4" w:space="0"/>
              <w:bottom w:val="single" w:color="auto" w:sz="4" w:space="0"/>
              <w:right w:val="single" w:color="auto" w:sz="4" w:space="0"/>
            </w:tcBorders>
            <w:vAlign w:val="center"/>
          </w:tcPr>
          <w:p w14:paraId="20568CB8">
            <w:pPr>
              <w:jc w:val="right"/>
              <w:textAlignment w:val="center"/>
              <w:rPr>
                <w:rFonts w:cs="Times New Roman"/>
              </w:rPr>
            </w:pPr>
            <w:r>
              <w:rPr>
                <w:rFonts w:cs="Times New Roman"/>
                <w:color w:val="000000"/>
              </w:rPr>
              <w:t>579,089.09</w:t>
            </w:r>
          </w:p>
        </w:tc>
        <w:tc>
          <w:tcPr>
            <w:tcW w:w="1280" w:type="pct"/>
            <w:tcBorders>
              <w:top w:val="single" w:color="auto" w:sz="4" w:space="0"/>
              <w:left w:val="single" w:color="auto" w:sz="4" w:space="0"/>
              <w:bottom w:val="single" w:color="auto" w:sz="4" w:space="0"/>
              <w:right w:val="single" w:color="auto" w:sz="4" w:space="0"/>
            </w:tcBorders>
            <w:vAlign w:val="center"/>
          </w:tcPr>
          <w:p w14:paraId="11446B7C">
            <w:pPr>
              <w:jc w:val="right"/>
              <w:textAlignment w:val="center"/>
              <w:rPr>
                <w:rFonts w:cs="Times New Roman"/>
              </w:rPr>
            </w:pPr>
            <w:r>
              <w:rPr>
                <w:rFonts w:cs="Times New Roman"/>
                <w:color w:val="000000"/>
              </w:rPr>
              <w:t>10,023,851.05</w:t>
            </w:r>
          </w:p>
        </w:tc>
      </w:tr>
      <w:tr w14:paraId="0834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vAlign w:val="center"/>
          </w:tcPr>
          <w:p w14:paraId="35B525E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117" w:type="pct"/>
            <w:tcBorders>
              <w:top w:val="single" w:color="auto" w:sz="4" w:space="0"/>
              <w:left w:val="single" w:color="auto" w:sz="4" w:space="0"/>
              <w:bottom w:val="single" w:color="auto" w:sz="4" w:space="0"/>
              <w:right w:val="single" w:color="auto" w:sz="4" w:space="0"/>
            </w:tcBorders>
            <w:vAlign w:val="center"/>
          </w:tcPr>
          <w:p w14:paraId="76524397">
            <w:pPr>
              <w:jc w:val="right"/>
              <w:textAlignment w:val="center"/>
              <w:rPr>
                <w:rFonts w:cs="Times New Roman"/>
              </w:rPr>
            </w:pPr>
            <w:r>
              <w:rPr>
                <w:rFonts w:cs="Times New Roman"/>
                <w:color w:val="000000"/>
              </w:rPr>
              <w:t>12,980,895.32</w:t>
            </w:r>
          </w:p>
        </w:tc>
        <w:tc>
          <w:tcPr>
            <w:tcW w:w="1117" w:type="pct"/>
            <w:tcBorders>
              <w:top w:val="single" w:color="auto" w:sz="4" w:space="0"/>
              <w:left w:val="single" w:color="auto" w:sz="4" w:space="0"/>
              <w:bottom w:val="single" w:color="auto" w:sz="4" w:space="0"/>
              <w:right w:val="single" w:color="auto" w:sz="4" w:space="0"/>
            </w:tcBorders>
            <w:vAlign w:val="center"/>
          </w:tcPr>
          <w:p w14:paraId="65757627">
            <w:pPr>
              <w:jc w:val="right"/>
              <w:textAlignment w:val="center"/>
              <w:rPr>
                <w:rFonts w:cs="Times New Roman"/>
              </w:rPr>
            </w:pPr>
            <w:r>
              <w:rPr>
                <w:rFonts w:cs="Times New Roman"/>
                <w:color w:val="000000"/>
              </w:rPr>
              <w:t>1,944,841.05</w:t>
            </w:r>
          </w:p>
        </w:tc>
        <w:tc>
          <w:tcPr>
            <w:tcW w:w="1280" w:type="pct"/>
            <w:tcBorders>
              <w:top w:val="single" w:color="auto" w:sz="4" w:space="0"/>
              <w:left w:val="single" w:color="auto" w:sz="4" w:space="0"/>
              <w:bottom w:val="single" w:color="auto" w:sz="4" w:space="0"/>
              <w:right w:val="single" w:color="auto" w:sz="4" w:space="0"/>
            </w:tcBorders>
            <w:vAlign w:val="center"/>
          </w:tcPr>
          <w:p w14:paraId="48088FDB">
            <w:pPr>
              <w:jc w:val="right"/>
              <w:textAlignment w:val="center"/>
              <w:rPr>
                <w:rFonts w:cs="Times New Roman"/>
              </w:rPr>
            </w:pPr>
            <w:r>
              <w:rPr>
                <w:rFonts w:cs="Times New Roman"/>
                <w:color w:val="000000"/>
              </w:rPr>
              <w:t>12,980,895.32</w:t>
            </w:r>
          </w:p>
        </w:tc>
      </w:tr>
    </w:tbl>
    <w:p w14:paraId="46D226BE">
      <w:pPr>
        <w:rPr>
          <w:color w:val="000000" w:themeColor="text1"/>
          <w14:textFill>
            <w14:solidFill>
              <w14:schemeClr w14:val="tx1"/>
            </w14:solidFill>
          </w14:textFill>
        </w:rPr>
      </w:pPr>
    </w:p>
    <w:p w14:paraId="2A92CF27">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营业外收入说明[双击切换]"/>
        <w:tag w:val="_GBC_9bd4fc9f0fcc4e85bee85b3ce60c8b2c"/>
        <w:id w:val="147483407"/>
        <w:placeholder>
          <w:docPart w:val="GBC22222222222222222222222222222"/>
        </w:placeholder>
      </w:sdtPr>
      <w:sdtEndPr>
        <w:rPr>
          <w:color w:val="000000" w:themeColor="text1"/>
          <w14:textFill>
            <w14:solidFill>
              <w14:schemeClr w14:val="tx1"/>
            </w14:solidFill>
          </w14:textFill>
        </w:rPr>
      </w:sdtEndPr>
      <w:sdtContent>
        <w:p w14:paraId="4BDB5CB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054E8B2">
      <w:pPr>
        <w:rPr>
          <w:color w:val="000000" w:themeColor="text1"/>
          <w14:textFill>
            <w14:solidFill>
              <w14:schemeClr w14:val="tx1"/>
            </w14:solidFill>
          </w14:textFill>
        </w:rPr>
      </w:pPr>
    </w:p>
    <w:p w14:paraId="624AD27F">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营业外支出</w:t>
      </w:r>
    </w:p>
    <w:sdt>
      <w:sdtPr>
        <w:rPr>
          <w:color w:val="000000" w:themeColor="text1"/>
          <w14:textFill>
            <w14:solidFill>
              <w14:schemeClr w14:val="tx1"/>
            </w14:solidFill>
          </w14:textFill>
        </w:rPr>
        <w:alias w:val="是否适用：营业外支出[双击切换]"/>
        <w:tag w:val="_GBC_6d4b8ac674ce425b8c798e92aa1fe455"/>
        <w:id w:val="147457319"/>
        <w:placeholder>
          <w:docPart w:val="GBC22222222222222222222222222222"/>
        </w:placeholder>
      </w:sdtPr>
      <w:sdtEndPr>
        <w:rPr>
          <w:color w:val="000000" w:themeColor="text1"/>
          <w14:textFill>
            <w14:solidFill>
              <w14:schemeClr w14:val="tx1"/>
            </w14:solidFill>
          </w14:textFill>
        </w:rPr>
      </w:sdtEndPr>
      <w:sdtContent>
        <w:p w14:paraId="2D71077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87189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营业外支出"/>
          <w:tag w:val="_GBC_f8678a9a1bbf4b0697744c5d21146839"/>
          <w:id w:val="1474619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营业外支出"/>
          <w:tag w:val="_GBC_61e3e82ad5404a9987623525ac03d95e"/>
          <w:id w:val="1474529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7"/>
        <w:gridCol w:w="2022"/>
        <w:gridCol w:w="2022"/>
        <w:gridCol w:w="2318"/>
      </w:tblGrid>
      <w:tr w14:paraId="5FEF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6abf292cb0a7463788e39d1bdabb85fc"/>
            <w:id w:val="147475267"/>
          </w:sdtPr>
          <w:sdtEndPr>
            <w:rPr>
              <w:rFonts w:cs="Times New Roman"/>
            </w:rPr>
          </w:sdtEndPr>
          <w:sdtContent>
            <w:tc>
              <w:tcPr>
                <w:tcW w:w="1484" w:type="pct"/>
                <w:tcBorders>
                  <w:top w:val="single" w:color="auto" w:sz="4" w:space="0"/>
                  <w:left w:val="single" w:color="auto" w:sz="4" w:space="0"/>
                  <w:bottom w:val="single" w:color="auto" w:sz="4" w:space="0"/>
                  <w:right w:val="single" w:color="auto" w:sz="4" w:space="0"/>
                </w:tcBorders>
                <w:vAlign w:val="center"/>
              </w:tcPr>
              <w:p w14:paraId="30B1EC39">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36a30142728e41bb9c215b73cfe3204c"/>
            <w:id w:val="147474767"/>
          </w:sdtPr>
          <w:sdtEndPr>
            <w:rPr>
              <w:rFonts w:cs="Times New Roman"/>
            </w:rPr>
          </w:sdtEndPr>
          <w:sdtContent>
            <w:tc>
              <w:tcPr>
                <w:tcW w:w="1117" w:type="pct"/>
                <w:tcBorders>
                  <w:top w:val="single" w:color="auto" w:sz="4" w:space="0"/>
                  <w:left w:val="single" w:color="auto" w:sz="4" w:space="0"/>
                  <w:bottom w:val="single" w:color="auto" w:sz="4" w:space="0"/>
                  <w:right w:val="single" w:color="auto" w:sz="4" w:space="0"/>
                </w:tcBorders>
                <w:vAlign w:val="center"/>
              </w:tcPr>
              <w:p w14:paraId="182E2C1E">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16b0936bf8024bdf99cf883b1827419f"/>
            <w:id w:val="147462671"/>
          </w:sdtPr>
          <w:sdtEndPr>
            <w:rPr>
              <w:rFonts w:cs="Times New Roman"/>
            </w:rPr>
          </w:sdtEndPr>
          <w:sdtContent>
            <w:tc>
              <w:tcPr>
                <w:tcW w:w="1117" w:type="pct"/>
                <w:tcBorders>
                  <w:top w:val="single" w:color="auto" w:sz="4" w:space="0"/>
                  <w:left w:val="single" w:color="auto" w:sz="4" w:space="0"/>
                  <w:bottom w:val="single" w:color="auto" w:sz="4" w:space="0"/>
                  <w:right w:val="single" w:color="auto" w:sz="4" w:space="0"/>
                </w:tcBorders>
                <w:vAlign w:val="center"/>
              </w:tcPr>
              <w:p w14:paraId="6160D898">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sdt>
          <w:sdtPr>
            <w:rPr>
              <w:rFonts w:cs="Times New Roman"/>
            </w:rPr>
            <w:tag w:val="_PLD_92014506c2824f6fbe79731f91aa61bc"/>
            <w:id w:val="147456886"/>
          </w:sdtPr>
          <w:sdtEndPr>
            <w:rPr>
              <w:rFonts w:cs="Times New Roman"/>
            </w:rPr>
          </w:sdtEndPr>
          <w:sdtContent>
            <w:tc>
              <w:tcPr>
                <w:tcW w:w="1280" w:type="pct"/>
                <w:tcBorders>
                  <w:top w:val="single" w:color="auto" w:sz="4" w:space="0"/>
                  <w:left w:val="single" w:color="auto" w:sz="4" w:space="0"/>
                  <w:bottom w:val="single" w:color="auto" w:sz="4" w:space="0"/>
                  <w:right w:val="single" w:color="auto" w:sz="4" w:space="0"/>
                </w:tcBorders>
                <w:vAlign w:val="center"/>
              </w:tcPr>
              <w:p w14:paraId="06FA33A8">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计入当期非经常性损益的金额</w:t>
                </w:r>
              </w:p>
            </w:tc>
          </w:sdtContent>
        </w:sdt>
      </w:tr>
      <w:tr w14:paraId="7104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72583E21">
            <w:pPr>
              <w:textAlignment w:val="top"/>
              <w:rPr>
                <w:rFonts w:cs="Times New Roman"/>
                <w:color w:val="000000" w:themeColor="text1"/>
                <w14:textFill>
                  <w14:solidFill>
                    <w14:schemeClr w14:val="tx1"/>
                  </w14:solidFill>
                </w14:textFill>
              </w:rPr>
            </w:pPr>
            <w:r>
              <w:rPr>
                <w:rFonts w:cs="Times New Roman"/>
                <w:color w:val="000000"/>
                <w:lang w:bidi="ar"/>
              </w:rPr>
              <w:t>固定资产报废损失</w:t>
            </w:r>
          </w:p>
        </w:tc>
        <w:tc>
          <w:tcPr>
            <w:tcW w:w="1117" w:type="pct"/>
            <w:tcBorders>
              <w:top w:val="single" w:color="auto" w:sz="4" w:space="0"/>
              <w:left w:val="single" w:color="auto" w:sz="4" w:space="0"/>
              <w:bottom w:val="single" w:color="auto" w:sz="4" w:space="0"/>
              <w:right w:val="single" w:color="auto" w:sz="4" w:space="0"/>
            </w:tcBorders>
            <w:vAlign w:val="center"/>
          </w:tcPr>
          <w:p w14:paraId="7E072A6B">
            <w:pPr>
              <w:jc w:val="right"/>
              <w:textAlignment w:val="center"/>
              <w:rPr>
                <w:rFonts w:cs="Times New Roman"/>
              </w:rPr>
            </w:pPr>
            <w:r>
              <w:rPr>
                <w:rFonts w:eastAsia="Arial Narrow" w:cs="Times New Roman"/>
                <w:color w:val="000000"/>
                <w:lang w:bidi="ar"/>
              </w:rPr>
              <w:t>154,692.83</w:t>
            </w:r>
          </w:p>
        </w:tc>
        <w:tc>
          <w:tcPr>
            <w:tcW w:w="1117" w:type="pct"/>
            <w:tcBorders>
              <w:top w:val="single" w:color="auto" w:sz="4" w:space="0"/>
              <w:left w:val="single" w:color="auto" w:sz="4" w:space="0"/>
              <w:bottom w:val="single" w:color="auto" w:sz="4" w:space="0"/>
              <w:right w:val="single" w:color="auto" w:sz="4" w:space="0"/>
            </w:tcBorders>
            <w:vAlign w:val="center"/>
          </w:tcPr>
          <w:p w14:paraId="1A970288">
            <w:pPr>
              <w:jc w:val="right"/>
              <w:textAlignment w:val="center"/>
              <w:rPr>
                <w:rFonts w:cs="Times New Roman"/>
              </w:rPr>
            </w:pPr>
            <w:r>
              <w:rPr>
                <w:rFonts w:eastAsia="Arial Narrow" w:cs="Times New Roman"/>
                <w:color w:val="000000"/>
                <w:lang w:bidi="ar"/>
              </w:rPr>
              <w:t>267,883.10</w:t>
            </w:r>
          </w:p>
        </w:tc>
        <w:tc>
          <w:tcPr>
            <w:tcW w:w="1280" w:type="pct"/>
            <w:tcBorders>
              <w:top w:val="single" w:color="auto" w:sz="4" w:space="0"/>
              <w:left w:val="single" w:color="auto" w:sz="4" w:space="0"/>
              <w:bottom w:val="single" w:color="auto" w:sz="4" w:space="0"/>
              <w:right w:val="single" w:color="auto" w:sz="4" w:space="0"/>
            </w:tcBorders>
            <w:vAlign w:val="center"/>
          </w:tcPr>
          <w:p w14:paraId="6CD8DFAE">
            <w:pPr>
              <w:jc w:val="right"/>
              <w:textAlignment w:val="center"/>
              <w:rPr>
                <w:rFonts w:cs="Times New Roman"/>
              </w:rPr>
            </w:pPr>
            <w:r>
              <w:rPr>
                <w:rFonts w:eastAsia="Arial Narrow" w:cs="Times New Roman"/>
                <w:color w:val="000000"/>
                <w:lang w:bidi="ar"/>
              </w:rPr>
              <w:t>154,692.83</w:t>
            </w:r>
          </w:p>
        </w:tc>
      </w:tr>
      <w:tr w14:paraId="3017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555E69FF">
            <w:pPr>
              <w:textAlignment w:val="top"/>
              <w:rPr>
                <w:rFonts w:cs="Times New Roman"/>
              </w:rPr>
            </w:pPr>
            <w:r>
              <w:rPr>
                <w:rFonts w:cs="Times New Roman"/>
                <w:color w:val="000000"/>
                <w:lang w:bidi="ar"/>
              </w:rPr>
              <w:t>赔偿金、违约金及罚款支出</w:t>
            </w:r>
          </w:p>
        </w:tc>
        <w:tc>
          <w:tcPr>
            <w:tcW w:w="1117" w:type="pct"/>
            <w:tcBorders>
              <w:top w:val="single" w:color="auto" w:sz="4" w:space="0"/>
              <w:left w:val="single" w:color="auto" w:sz="4" w:space="0"/>
              <w:bottom w:val="single" w:color="auto" w:sz="4" w:space="0"/>
              <w:right w:val="single" w:color="auto" w:sz="4" w:space="0"/>
            </w:tcBorders>
            <w:vAlign w:val="center"/>
          </w:tcPr>
          <w:p w14:paraId="4921CFC2">
            <w:pPr>
              <w:jc w:val="right"/>
              <w:textAlignment w:val="center"/>
              <w:rPr>
                <w:rFonts w:cs="Times New Roman"/>
              </w:rPr>
            </w:pPr>
            <w:r>
              <w:rPr>
                <w:rFonts w:cs="Times New Roman"/>
                <w:color w:val="000000"/>
              </w:rPr>
              <w:t>9,398,452.79</w:t>
            </w:r>
          </w:p>
        </w:tc>
        <w:tc>
          <w:tcPr>
            <w:tcW w:w="1117" w:type="pct"/>
            <w:tcBorders>
              <w:top w:val="single" w:color="auto" w:sz="4" w:space="0"/>
              <w:left w:val="single" w:color="auto" w:sz="4" w:space="0"/>
              <w:bottom w:val="single" w:color="auto" w:sz="4" w:space="0"/>
              <w:right w:val="single" w:color="auto" w:sz="4" w:space="0"/>
            </w:tcBorders>
            <w:vAlign w:val="center"/>
          </w:tcPr>
          <w:p w14:paraId="3394C808">
            <w:pPr>
              <w:jc w:val="right"/>
              <w:textAlignment w:val="center"/>
              <w:rPr>
                <w:rFonts w:cs="Times New Roman"/>
              </w:rPr>
            </w:pPr>
            <w:r>
              <w:rPr>
                <w:rFonts w:cs="Times New Roman"/>
                <w:color w:val="000000"/>
              </w:rPr>
              <w:t>63,688,210.23</w:t>
            </w:r>
          </w:p>
        </w:tc>
        <w:tc>
          <w:tcPr>
            <w:tcW w:w="1280" w:type="pct"/>
            <w:tcBorders>
              <w:top w:val="single" w:color="auto" w:sz="4" w:space="0"/>
              <w:left w:val="single" w:color="auto" w:sz="4" w:space="0"/>
              <w:bottom w:val="single" w:color="auto" w:sz="4" w:space="0"/>
              <w:right w:val="single" w:color="auto" w:sz="4" w:space="0"/>
            </w:tcBorders>
            <w:vAlign w:val="center"/>
          </w:tcPr>
          <w:p w14:paraId="235E84DD">
            <w:pPr>
              <w:jc w:val="right"/>
              <w:textAlignment w:val="center"/>
              <w:rPr>
                <w:rFonts w:cs="Times New Roman"/>
              </w:rPr>
            </w:pPr>
            <w:r>
              <w:rPr>
                <w:rFonts w:cs="Times New Roman"/>
                <w:color w:val="000000"/>
              </w:rPr>
              <w:t>9,398,452.79</w:t>
            </w:r>
          </w:p>
        </w:tc>
      </w:tr>
      <w:tr w14:paraId="61AC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1908BA81">
            <w:pPr>
              <w:textAlignment w:val="top"/>
              <w:rPr>
                <w:rFonts w:cs="Times New Roman"/>
              </w:rPr>
            </w:pPr>
            <w:r>
              <w:rPr>
                <w:rFonts w:cs="Times New Roman"/>
                <w:color w:val="000000"/>
                <w:lang w:bidi="ar"/>
              </w:rPr>
              <w:t>其他</w:t>
            </w:r>
          </w:p>
        </w:tc>
        <w:tc>
          <w:tcPr>
            <w:tcW w:w="1117" w:type="pct"/>
            <w:tcBorders>
              <w:top w:val="single" w:color="auto" w:sz="4" w:space="0"/>
              <w:left w:val="single" w:color="auto" w:sz="4" w:space="0"/>
              <w:bottom w:val="single" w:color="auto" w:sz="4" w:space="0"/>
              <w:right w:val="single" w:color="auto" w:sz="4" w:space="0"/>
            </w:tcBorders>
            <w:vAlign w:val="center"/>
          </w:tcPr>
          <w:p w14:paraId="51E5DD31">
            <w:pPr>
              <w:jc w:val="right"/>
              <w:textAlignment w:val="center"/>
              <w:rPr>
                <w:rFonts w:cs="Times New Roman"/>
              </w:rPr>
            </w:pPr>
            <w:r>
              <w:rPr>
                <w:rFonts w:cs="Times New Roman"/>
                <w:color w:val="000000"/>
              </w:rPr>
              <w:t>263,820.75</w:t>
            </w:r>
          </w:p>
        </w:tc>
        <w:tc>
          <w:tcPr>
            <w:tcW w:w="1117" w:type="pct"/>
            <w:tcBorders>
              <w:top w:val="single" w:color="auto" w:sz="4" w:space="0"/>
              <w:left w:val="single" w:color="auto" w:sz="4" w:space="0"/>
              <w:bottom w:val="single" w:color="auto" w:sz="4" w:space="0"/>
              <w:right w:val="single" w:color="auto" w:sz="4" w:space="0"/>
            </w:tcBorders>
            <w:vAlign w:val="center"/>
          </w:tcPr>
          <w:p w14:paraId="04EEC4CA">
            <w:pPr>
              <w:jc w:val="right"/>
              <w:textAlignment w:val="center"/>
              <w:rPr>
                <w:rFonts w:cs="Times New Roman"/>
              </w:rPr>
            </w:pPr>
            <w:r>
              <w:rPr>
                <w:rFonts w:cs="Times New Roman"/>
                <w:color w:val="000000"/>
              </w:rPr>
              <w:t>47,406.84</w:t>
            </w:r>
          </w:p>
        </w:tc>
        <w:tc>
          <w:tcPr>
            <w:tcW w:w="1280" w:type="pct"/>
            <w:tcBorders>
              <w:top w:val="single" w:color="auto" w:sz="4" w:space="0"/>
              <w:left w:val="single" w:color="auto" w:sz="4" w:space="0"/>
              <w:bottom w:val="single" w:color="auto" w:sz="4" w:space="0"/>
              <w:right w:val="single" w:color="auto" w:sz="4" w:space="0"/>
            </w:tcBorders>
            <w:vAlign w:val="center"/>
          </w:tcPr>
          <w:p w14:paraId="12FD4716">
            <w:pPr>
              <w:jc w:val="right"/>
              <w:textAlignment w:val="center"/>
              <w:rPr>
                <w:rFonts w:cs="Times New Roman"/>
              </w:rPr>
            </w:pPr>
            <w:r>
              <w:rPr>
                <w:rFonts w:cs="Times New Roman"/>
                <w:color w:val="000000"/>
              </w:rPr>
              <w:t>263,820.75</w:t>
            </w:r>
          </w:p>
        </w:tc>
      </w:tr>
      <w:tr w14:paraId="116D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4" w:type="pct"/>
            <w:tcBorders>
              <w:top w:val="single" w:color="auto" w:sz="4" w:space="0"/>
              <w:left w:val="single" w:color="auto" w:sz="4" w:space="0"/>
              <w:bottom w:val="single" w:color="auto" w:sz="4" w:space="0"/>
              <w:right w:val="single" w:color="auto" w:sz="4" w:space="0"/>
            </w:tcBorders>
          </w:tcPr>
          <w:p w14:paraId="1987B21A">
            <w:pPr>
              <w:ind w:right="6"/>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117" w:type="pct"/>
            <w:tcBorders>
              <w:top w:val="single" w:color="auto" w:sz="4" w:space="0"/>
              <w:left w:val="single" w:color="auto" w:sz="4" w:space="0"/>
              <w:bottom w:val="single" w:color="auto" w:sz="4" w:space="0"/>
              <w:right w:val="single" w:color="auto" w:sz="4" w:space="0"/>
            </w:tcBorders>
            <w:vAlign w:val="center"/>
          </w:tcPr>
          <w:p w14:paraId="332A3E0E">
            <w:pPr>
              <w:jc w:val="right"/>
              <w:textAlignment w:val="center"/>
              <w:rPr>
                <w:rFonts w:cs="Times New Roman"/>
              </w:rPr>
            </w:pPr>
            <w:r>
              <w:rPr>
                <w:rFonts w:cs="Times New Roman"/>
                <w:color w:val="000000"/>
              </w:rPr>
              <w:t>9,816,966.37</w:t>
            </w:r>
          </w:p>
        </w:tc>
        <w:tc>
          <w:tcPr>
            <w:tcW w:w="1117" w:type="pct"/>
            <w:tcBorders>
              <w:top w:val="single" w:color="auto" w:sz="4" w:space="0"/>
              <w:left w:val="single" w:color="auto" w:sz="4" w:space="0"/>
              <w:bottom w:val="single" w:color="auto" w:sz="4" w:space="0"/>
              <w:right w:val="single" w:color="auto" w:sz="4" w:space="0"/>
            </w:tcBorders>
            <w:vAlign w:val="center"/>
          </w:tcPr>
          <w:p w14:paraId="00AE5B54">
            <w:pPr>
              <w:jc w:val="right"/>
              <w:textAlignment w:val="center"/>
              <w:rPr>
                <w:rFonts w:cs="Times New Roman"/>
              </w:rPr>
            </w:pPr>
            <w:r>
              <w:rPr>
                <w:rFonts w:cs="Times New Roman"/>
                <w:color w:val="000000"/>
              </w:rPr>
              <w:t>64,003,500.17</w:t>
            </w:r>
          </w:p>
        </w:tc>
        <w:tc>
          <w:tcPr>
            <w:tcW w:w="1280" w:type="pct"/>
            <w:tcBorders>
              <w:top w:val="single" w:color="auto" w:sz="4" w:space="0"/>
              <w:left w:val="single" w:color="auto" w:sz="4" w:space="0"/>
              <w:bottom w:val="single" w:color="auto" w:sz="4" w:space="0"/>
              <w:right w:val="single" w:color="auto" w:sz="4" w:space="0"/>
            </w:tcBorders>
            <w:vAlign w:val="center"/>
          </w:tcPr>
          <w:p w14:paraId="6CC24F18">
            <w:pPr>
              <w:jc w:val="right"/>
              <w:textAlignment w:val="center"/>
              <w:rPr>
                <w:rFonts w:cs="Times New Roman"/>
              </w:rPr>
            </w:pPr>
            <w:r>
              <w:rPr>
                <w:rFonts w:cs="Times New Roman"/>
                <w:color w:val="000000"/>
              </w:rPr>
              <w:t>9,816,966.37</w:t>
            </w:r>
          </w:p>
        </w:tc>
      </w:tr>
    </w:tbl>
    <w:p w14:paraId="0DC66EF7">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营业外支出说明"/>
        <w:tag w:val="_GBC_948d4d2c5cfc43b999d968de3476bc75"/>
        <w:id w:val="147472946"/>
        <w:placeholder>
          <w:docPart w:val="GBC22222222222222222222222222222"/>
        </w:placeholder>
      </w:sdtPr>
      <w:sdtEndPr>
        <w:rPr>
          <w:rFonts w:hint="eastAsia"/>
          <w:color w:val="000000" w:themeColor="text1"/>
          <w14:textFill>
            <w14:solidFill>
              <w14:schemeClr w14:val="tx1"/>
            </w14:solidFill>
          </w14:textFill>
        </w:rPr>
      </w:sdtEndPr>
      <w:sdtContent>
        <w:p w14:paraId="23D0500D">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32F61541">
      <w:pPr>
        <w:rPr>
          <w:color w:val="000000" w:themeColor="text1"/>
          <w14:textFill>
            <w14:solidFill>
              <w14:schemeClr w14:val="tx1"/>
            </w14:solidFill>
          </w14:textFill>
        </w:rPr>
      </w:pPr>
    </w:p>
    <w:p w14:paraId="720BA418">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所得税费用</w:t>
      </w:r>
    </w:p>
    <w:p w14:paraId="38B350BB">
      <w:pPr>
        <w:pStyle w:val="58"/>
        <w:numPr>
          <w:ilvl w:val="0"/>
          <w:numId w:val="8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所得税费用表</w:t>
      </w:r>
    </w:p>
    <w:sdt>
      <w:sdtPr>
        <w:rPr>
          <w:color w:val="000000" w:themeColor="text1"/>
          <w14:textFill>
            <w14:solidFill>
              <w14:schemeClr w14:val="tx1"/>
            </w14:solidFill>
          </w14:textFill>
        </w:rPr>
        <w:alias w:val="是否适用：所得税费用表[双击切换]"/>
        <w:tag w:val="_GBC_61ff35087b014685a6e03347957ab922"/>
        <w:id w:val="147455867"/>
        <w:placeholder>
          <w:docPart w:val="GBC22222222222222222222222222222"/>
        </w:placeholder>
      </w:sdtPr>
      <w:sdtEndPr>
        <w:rPr>
          <w:color w:val="000000" w:themeColor="text1"/>
          <w14:textFill>
            <w14:solidFill>
              <w14:schemeClr w14:val="tx1"/>
            </w14:solidFill>
          </w14:textFill>
        </w:rPr>
      </w:sdtEndPr>
      <w:sdtContent>
        <w:p w14:paraId="207436A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E62D89">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所得税费用"/>
          <w:tag w:val="_GBC_18ed8ed511fe4791a90ee25fc956bd2b"/>
          <w:id w:val="14747158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所得税费用"/>
          <w:tag w:val="_GBC_ecc6df02f1744ff084d6c0d30045219a"/>
          <w:id w:val="1474563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157"/>
        <w:gridCol w:w="2877"/>
        <w:gridCol w:w="2861"/>
      </w:tblGrid>
      <w:tr w14:paraId="1B93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87" w:hRule="atLeast"/>
        </w:trPr>
        <w:sdt>
          <w:sdtPr>
            <w:rPr>
              <w:rFonts w:cs="Times New Roman"/>
            </w:rPr>
            <w:tag w:val="_PLD_951f380ec376457cb80126c7d6018f65"/>
            <w:id w:val="147480073"/>
          </w:sdtPr>
          <w:sdtEndPr>
            <w:rPr>
              <w:rFonts w:cs="Times New Roman"/>
            </w:rPr>
          </w:sdtEndPr>
          <w:sdtContent>
            <w:tc>
              <w:tcPr>
                <w:tcW w:w="1774" w:type="pct"/>
                <w:vAlign w:val="center"/>
              </w:tcPr>
              <w:p w14:paraId="526BAC24">
                <w:pPr>
                  <w:ind w:right="6"/>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1e59791ce9d340b7b60e63b833f13708"/>
            <w:id w:val="147453700"/>
          </w:sdtPr>
          <w:sdtEndPr>
            <w:rPr>
              <w:rFonts w:cs="Times New Roman"/>
            </w:rPr>
          </w:sdtEndPr>
          <w:sdtContent>
            <w:tc>
              <w:tcPr>
                <w:tcW w:w="1617" w:type="pct"/>
                <w:vAlign w:val="center"/>
              </w:tcPr>
              <w:p w14:paraId="00287DC4">
                <w:pPr>
                  <w:ind w:right="6"/>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23c0825dcbc74481a17a7811dee40e02"/>
            <w:id w:val="147478386"/>
          </w:sdtPr>
          <w:sdtEndPr>
            <w:rPr>
              <w:rFonts w:cs="Times New Roman"/>
            </w:rPr>
          </w:sdtEndPr>
          <w:sdtContent>
            <w:tc>
              <w:tcPr>
                <w:tcW w:w="1608" w:type="pct"/>
                <w:vAlign w:val="center"/>
              </w:tcPr>
              <w:p w14:paraId="718F96CD">
                <w:pPr>
                  <w:ind w:right="6"/>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6A98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14:paraId="39E6F90B">
            <w:pPr>
              <w:ind w:right="6"/>
              <w:rPr>
                <w:rFonts w:cs="Times New Roman"/>
                <w:b/>
                <w:bCs w:val="0"/>
                <w:color w:val="000000" w:themeColor="text1"/>
                <w14:textFill>
                  <w14:solidFill>
                    <w14:schemeClr w14:val="tx1"/>
                  </w14:solidFill>
                </w14:textFill>
              </w:rPr>
            </w:pPr>
            <w:r>
              <w:rPr>
                <w:rFonts w:cs="Times New Roman"/>
                <w:color w:val="000000" w:themeColor="text1"/>
                <w14:textFill>
                  <w14:solidFill>
                    <w14:schemeClr w14:val="tx1"/>
                  </w14:solidFill>
                </w14:textFill>
              </w:rPr>
              <w:t>当期所得税费用</w:t>
            </w:r>
          </w:p>
        </w:tc>
        <w:tc>
          <w:tcPr>
            <w:tcW w:w="1617" w:type="pct"/>
            <w:vAlign w:val="center"/>
          </w:tcPr>
          <w:p w14:paraId="2FE6437B">
            <w:pPr>
              <w:jc w:val="right"/>
              <w:textAlignment w:val="center"/>
              <w:rPr>
                <w:rFonts w:cs="Times New Roman"/>
              </w:rPr>
            </w:pPr>
            <w:r>
              <w:rPr>
                <w:rFonts w:cs="Times New Roman"/>
                <w:color w:val="000000"/>
              </w:rPr>
              <w:t>18,277,866.78</w:t>
            </w:r>
          </w:p>
        </w:tc>
        <w:tc>
          <w:tcPr>
            <w:tcW w:w="1608" w:type="pct"/>
            <w:vAlign w:val="center"/>
          </w:tcPr>
          <w:p w14:paraId="2B4CFA9E">
            <w:pPr>
              <w:jc w:val="right"/>
              <w:textAlignment w:val="center"/>
              <w:rPr>
                <w:rFonts w:cs="Times New Roman"/>
              </w:rPr>
            </w:pPr>
            <w:r>
              <w:rPr>
                <w:rFonts w:cs="Times New Roman"/>
                <w:color w:val="000000"/>
              </w:rPr>
              <w:t>41,786,034.94</w:t>
            </w:r>
          </w:p>
        </w:tc>
      </w:tr>
      <w:tr w14:paraId="30FD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14:paraId="5718C736">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递延所得税费用</w:t>
            </w:r>
          </w:p>
        </w:tc>
        <w:tc>
          <w:tcPr>
            <w:tcW w:w="1617" w:type="pct"/>
            <w:vAlign w:val="center"/>
          </w:tcPr>
          <w:p w14:paraId="2E754743">
            <w:pPr>
              <w:jc w:val="right"/>
              <w:textAlignment w:val="center"/>
              <w:rPr>
                <w:rFonts w:cs="Times New Roman"/>
              </w:rPr>
            </w:pPr>
            <w:r>
              <w:rPr>
                <w:rFonts w:cs="Times New Roman"/>
                <w:color w:val="000000"/>
              </w:rPr>
              <w:t>5,572,946.13</w:t>
            </w:r>
          </w:p>
        </w:tc>
        <w:tc>
          <w:tcPr>
            <w:tcW w:w="1608" w:type="pct"/>
            <w:vAlign w:val="center"/>
          </w:tcPr>
          <w:p w14:paraId="670CFA6A">
            <w:pPr>
              <w:jc w:val="right"/>
              <w:textAlignment w:val="center"/>
              <w:rPr>
                <w:rFonts w:cs="Times New Roman"/>
              </w:rPr>
            </w:pPr>
            <w:r>
              <w:rPr>
                <w:rFonts w:cs="Times New Roman"/>
                <w:color w:val="000000"/>
              </w:rPr>
              <w:t>2,661,812.03</w:t>
            </w:r>
          </w:p>
        </w:tc>
      </w:tr>
      <w:tr w14:paraId="5459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14:paraId="2A096573">
            <w:pPr>
              <w:ind w:right="6"/>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17" w:type="pct"/>
            <w:vAlign w:val="center"/>
          </w:tcPr>
          <w:p w14:paraId="2FB7BB61">
            <w:pPr>
              <w:jc w:val="right"/>
              <w:textAlignment w:val="center"/>
              <w:rPr>
                <w:rFonts w:cs="Times New Roman"/>
              </w:rPr>
            </w:pPr>
            <w:r>
              <w:rPr>
                <w:rFonts w:cs="Times New Roman"/>
                <w:color w:val="000000"/>
              </w:rPr>
              <w:t>23,850,812.91</w:t>
            </w:r>
          </w:p>
        </w:tc>
        <w:tc>
          <w:tcPr>
            <w:tcW w:w="1608" w:type="pct"/>
            <w:vAlign w:val="center"/>
          </w:tcPr>
          <w:p w14:paraId="17839231">
            <w:pPr>
              <w:jc w:val="right"/>
              <w:textAlignment w:val="center"/>
              <w:rPr>
                <w:rFonts w:cs="Times New Roman"/>
              </w:rPr>
            </w:pPr>
            <w:r>
              <w:rPr>
                <w:rFonts w:cs="Times New Roman"/>
                <w:color w:val="000000"/>
              </w:rPr>
              <w:t>44,447,846.97</w:t>
            </w:r>
          </w:p>
        </w:tc>
      </w:tr>
    </w:tbl>
    <w:p w14:paraId="55FC547E">
      <w:pPr>
        <w:rPr>
          <w:color w:val="000000" w:themeColor="text1"/>
          <w14:textFill>
            <w14:solidFill>
              <w14:schemeClr w14:val="tx1"/>
            </w14:solidFill>
          </w14:textFill>
        </w:rPr>
      </w:pPr>
    </w:p>
    <w:p w14:paraId="40502E35">
      <w:pPr>
        <w:pStyle w:val="58"/>
        <w:numPr>
          <w:ilvl w:val="0"/>
          <w:numId w:val="8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会计利润与所得税费用调整过程</w:t>
      </w:r>
    </w:p>
    <w:sdt>
      <w:sdtPr>
        <w:rPr>
          <w:color w:val="000000" w:themeColor="text1"/>
          <w14:textFill>
            <w14:solidFill>
              <w14:schemeClr w14:val="tx1"/>
            </w14:solidFill>
          </w14:textFill>
        </w:rPr>
        <w:alias w:val="是否适用：会计利润与所得税费用调整过程[双击切换]"/>
        <w:tag w:val="_GBC_92a49ce6320645cc9101c809f426c9db"/>
        <w:id w:val="147475995"/>
        <w:placeholder>
          <w:docPart w:val="GBC22222222222222222222222222222"/>
        </w:placeholder>
      </w:sdtPr>
      <w:sdtEndPr>
        <w:rPr>
          <w:color w:val="000000" w:themeColor="text1"/>
          <w14:textFill>
            <w14:solidFill>
              <w14:schemeClr w14:val="tx1"/>
            </w14:solidFill>
          </w14:textFill>
        </w:rPr>
      </w:sdtEndPr>
      <w:sdtContent>
        <w:p w14:paraId="32664ED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D0BEF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会计利润与所得税费用调整过程"/>
          <w:tag w:val="_GBC_8b3d0d6296b944dcbc6077158d5eb7ca"/>
          <w:id w:val="1474611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会计利润与所得税费用调整过程"/>
          <w:tag w:val="_GBC_f07b399def8f4b49bdebcbb56994fb61"/>
          <w:id w:val="1474679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6676"/>
        <w:gridCol w:w="2214"/>
      </w:tblGrid>
      <w:tr w14:paraId="4826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sdt>
          <w:sdtPr>
            <w:rPr>
              <w:rFonts w:cs="Times New Roman"/>
            </w:rPr>
            <w:tag w:val="_PLD_762c770e68ab4734ab4b1455db567f92"/>
            <w:id w:val="147462449"/>
          </w:sdtPr>
          <w:sdtEndPr>
            <w:rPr>
              <w:rFonts w:cs="Times New Roman"/>
            </w:rPr>
          </w:sdtEndPr>
          <w:sdtContent>
            <w:tc>
              <w:tcPr>
                <w:tcW w:w="3755" w:type="pct"/>
              </w:tcPr>
              <w:p w14:paraId="64997D9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dbffde77b3344828a64e53b9962d0e3a"/>
            <w:id w:val="147483074"/>
          </w:sdtPr>
          <w:sdtEndPr>
            <w:rPr>
              <w:rFonts w:cs="Times New Roman"/>
            </w:rPr>
          </w:sdtEndPr>
          <w:sdtContent>
            <w:tc>
              <w:tcPr>
                <w:tcW w:w="1245" w:type="pct"/>
              </w:tcPr>
              <w:p w14:paraId="310FFE2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tr>
      <w:tr w14:paraId="5B66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62B0B0CD">
            <w:pPr>
              <w:ind w:right="6"/>
              <w:rPr>
                <w:rFonts w:cs="Times New Roman"/>
                <w:b/>
                <w:bCs w:val="0"/>
                <w:color w:val="000000" w:themeColor="text1"/>
                <w14:textFill>
                  <w14:solidFill>
                    <w14:schemeClr w14:val="tx1"/>
                  </w14:solidFill>
                </w14:textFill>
              </w:rPr>
            </w:pPr>
            <w:r>
              <w:rPr>
                <w:rFonts w:cs="Times New Roman"/>
                <w:color w:val="000000" w:themeColor="text1"/>
                <w14:textFill>
                  <w14:solidFill>
                    <w14:schemeClr w14:val="tx1"/>
                  </w14:solidFill>
                </w14:textFill>
              </w:rPr>
              <w:t>利润总额</w:t>
            </w:r>
          </w:p>
        </w:tc>
        <w:tc>
          <w:tcPr>
            <w:tcW w:w="2214" w:type="dxa"/>
            <w:vAlign w:val="center"/>
          </w:tcPr>
          <w:p w14:paraId="629A8B65">
            <w:pPr>
              <w:jc w:val="right"/>
              <w:textAlignment w:val="center"/>
              <w:rPr>
                <w:rFonts w:cs="Times New Roman"/>
              </w:rPr>
            </w:pPr>
            <w:r>
              <w:rPr>
                <w:rFonts w:eastAsia="Arial Narrow" w:cs="Times New Roman"/>
                <w:color w:val="000000"/>
                <w:lang w:bidi="ar"/>
              </w:rPr>
              <w:t>-55,817,783.71</w:t>
            </w:r>
          </w:p>
        </w:tc>
      </w:tr>
      <w:tr w14:paraId="5024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7BFAC6FA">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按法定/适用税率计算的所得税费用</w:t>
            </w:r>
          </w:p>
        </w:tc>
        <w:tc>
          <w:tcPr>
            <w:tcW w:w="2214" w:type="dxa"/>
            <w:vAlign w:val="center"/>
          </w:tcPr>
          <w:p w14:paraId="62921544">
            <w:pPr>
              <w:jc w:val="right"/>
              <w:textAlignment w:val="center"/>
              <w:rPr>
                <w:rFonts w:cs="Times New Roman"/>
              </w:rPr>
            </w:pPr>
            <w:r>
              <w:rPr>
                <w:rFonts w:eastAsia="Arial Narrow" w:cs="Times New Roman"/>
                <w:color w:val="000000"/>
                <w:lang w:bidi="ar"/>
              </w:rPr>
              <w:t>-13,954,445.93</w:t>
            </w:r>
          </w:p>
        </w:tc>
      </w:tr>
      <w:tr w14:paraId="615D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139" w:hRule="atLeast"/>
        </w:trPr>
        <w:tc>
          <w:tcPr>
            <w:tcW w:w="3755" w:type="pct"/>
          </w:tcPr>
          <w:p w14:paraId="2C3B6FDB">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子公司适用不同税率的影响</w:t>
            </w:r>
          </w:p>
        </w:tc>
        <w:tc>
          <w:tcPr>
            <w:tcW w:w="2214" w:type="dxa"/>
            <w:vAlign w:val="center"/>
          </w:tcPr>
          <w:p w14:paraId="2B080B05">
            <w:pPr>
              <w:jc w:val="right"/>
              <w:textAlignment w:val="center"/>
              <w:rPr>
                <w:rFonts w:cs="Times New Roman"/>
              </w:rPr>
            </w:pPr>
            <w:r>
              <w:rPr>
                <w:rFonts w:eastAsia="Arial Narrow" w:cs="Times New Roman"/>
                <w:color w:val="000000"/>
                <w:lang w:bidi="ar"/>
              </w:rPr>
              <w:t>-2,846,929.72</w:t>
            </w:r>
          </w:p>
        </w:tc>
      </w:tr>
      <w:tr w14:paraId="7164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3EEE7A4E">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调整以前期间所得税的影响</w:t>
            </w:r>
          </w:p>
        </w:tc>
        <w:tc>
          <w:tcPr>
            <w:tcW w:w="2214" w:type="dxa"/>
            <w:vAlign w:val="center"/>
          </w:tcPr>
          <w:p w14:paraId="661B260A">
            <w:pPr>
              <w:jc w:val="right"/>
              <w:textAlignment w:val="center"/>
              <w:rPr>
                <w:rFonts w:cs="Times New Roman"/>
              </w:rPr>
            </w:pPr>
            <w:r>
              <w:rPr>
                <w:rFonts w:eastAsia="Arial Narrow" w:cs="Times New Roman"/>
                <w:color w:val="000000"/>
                <w:lang w:bidi="ar"/>
              </w:rPr>
              <w:t>409,054.36</w:t>
            </w:r>
          </w:p>
        </w:tc>
      </w:tr>
      <w:tr w14:paraId="5522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3DEEBC36">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非应税收入的影响</w:t>
            </w:r>
          </w:p>
        </w:tc>
        <w:tc>
          <w:tcPr>
            <w:tcW w:w="2214" w:type="dxa"/>
            <w:vAlign w:val="center"/>
          </w:tcPr>
          <w:p w14:paraId="1E542D43">
            <w:pPr>
              <w:jc w:val="right"/>
              <w:textAlignment w:val="center"/>
              <w:rPr>
                <w:rFonts w:cs="Times New Roman"/>
              </w:rPr>
            </w:pPr>
            <w:r>
              <w:rPr>
                <w:rFonts w:eastAsia="Arial Narrow" w:cs="Times New Roman"/>
                <w:color w:val="000000"/>
                <w:lang w:bidi="ar"/>
              </w:rPr>
              <w:t>-333,669.47</w:t>
            </w:r>
          </w:p>
        </w:tc>
      </w:tr>
      <w:tr w14:paraId="5B5D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15212AC3">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不可抵扣的成本、费用和损失的影响</w:t>
            </w:r>
          </w:p>
        </w:tc>
        <w:tc>
          <w:tcPr>
            <w:tcW w:w="2214" w:type="dxa"/>
            <w:vAlign w:val="center"/>
          </w:tcPr>
          <w:p w14:paraId="0CDCEBF5">
            <w:pPr>
              <w:jc w:val="right"/>
              <w:textAlignment w:val="center"/>
              <w:rPr>
                <w:rFonts w:cs="Times New Roman"/>
              </w:rPr>
            </w:pPr>
            <w:r>
              <w:rPr>
                <w:rFonts w:eastAsia="Arial Narrow" w:cs="Times New Roman"/>
                <w:color w:val="000000"/>
                <w:lang w:bidi="ar"/>
              </w:rPr>
              <w:t>350,561.55</w:t>
            </w:r>
          </w:p>
        </w:tc>
      </w:tr>
      <w:tr w14:paraId="2F44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3B938C0F">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使用前期未确认递延所得税资产的可抵扣亏损的影响</w:t>
            </w:r>
          </w:p>
        </w:tc>
        <w:tc>
          <w:tcPr>
            <w:tcW w:w="2214" w:type="dxa"/>
            <w:vAlign w:val="center"/>
          </w:tcPr>
          <w:p w14:paraId="6D39850D">
            <w:pPr>
              <w:jc w:val="right"/>
              <w:rPr>
                <w:rFonts w:cs="Times New Roman"/>
              </w:rPr>
            </w:pPr>
          </w:p>
        </w:tc>
      </w:tr>
      <w:tr w14:paraId="2903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412869F7">
            <w:pPr>
              <w:ind w:right="6"/>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本期未确认递延所得税资产的可抵扣暂时性差异或可抵扣亏损的影响</w:t>
            </w:r>
          </w:p>
        </w:tc>
        <w:tc>
          <w:tcPr>
            <w:tcW w:w="2214" w:type="dxa"/>
            <w:vAlign w:val="center"/>
          </w:tcPr>
          <w:p w14:paraId="4C3AE836">
            <w:pPr>
              <w:jc w:val="right"/>
              <w:textAlignment w:val="center"/>
              <w:rPr>
                <w:rFonts w:cs="Times New Roman"/>
              </w:rPr>
            </w:pPr>
            <w:r>
              <w:rPr>
                <w:rFonts w:eastAsia="Arial Narrow" w:cs="Times New Roman"/>
                <w:color w:val="000000"/>
                <w:lang w:bidi="ar"/>
              </w:rPr>
              <w:t>40,596,592.18</w:t>
            </w:r>
          </w:p>
        </w:tc>
      </w:tr>
      <w:tr w14:paraId="1FEF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vAlign w:val="center"/>
          </w:tcPr>
          <w:p w14:paraId="3FE25B03">
            <w:pPr>
              <w:pStyle w:val="55"/>
              <w:rPr>
                <w:rFonts w:cs="Times New Roman"/>
              </w:rPr>
            </w:pPr>
            <w:r>
              <w:rPr>
                <w:rFonts w:cs="Times New Roman"/>
              </w:rPr>
              <w:t>研发费用加计扣除</w:t>
            </w:r>
          </w:p>
        </w:tc>
        <w:tc>
          <w:tcPr>
            <w:tcW w:w="2214" w:type="dxa"/>
            <w:vAlign w:val="center"/>
          </w:tcPr>
          <w:p w14:paraId="007848CF">
            <w:pPr>
              <w:jc w:val="right"/>
              <w:textAlignment w:val="center"/>
              <w:rPr>
                <w:rFonts w:cs="Times New Roman"/>
              </w:rPr>
            </w:pPr>
            <w:r>
              <w:rPr>
                <w:rFonts w:eastAsia="Arial Narrow" w:cs="Times New Roman"/>
                <w:color w:val="000000"/>
                <w:lang w:bidi="ar"/>
              </w:rPr>
              <w:t>-370,350.06</w:t>
            </w:r>
          </w:p>
        </w:tc>
      </w:tr>
      <w:tr w14:paraId="1448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3755" w:type="pct"/>
          </w:tcPr>
          <w:p w14:paraId="76C4D90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所得税费用</w:t>
            </w:r>
          </w:p>
        </w:tc>
        <w:tc>
          <w:tcPr>
            <w:tcW w:w="2214" w:type="dxa"/>
            <w:vAlign w:val="center"/>
          </w:tcPr>
          <w:p w14:paraId="5D922702">
            <w:pPr>
              <w:jc w:val="right"/>
              <w:textAlignment w:val="center"/>
              <w:rPr>
                <w:rFonts w:cs="Times New Roman"/>
              </w:rPr>
            </w:pPr>
            <w:r>
              <w:rPr>
                <w:rFonts w:eastAsia="Arial Narrow" w:cs="Times New Roman"/>
                <w:color w:val="000000"/>
                <w:lang w:bidi="ar"/>
              </w:rPr>
              <w:t>23,850,812.91</w:t>
            </w:r>
          </w:p>
        </w:tc>
      </w:tr>
    </w:tbl>
    <w:p w14:paraId="65AD54B1">
      <w:pPr>
        <w:rPr>
          <w:color w:val="000000" w:themeColor="text1"/>
          <w14:textFill>
            <w14:solidFill>
              <w14:schemeClr w14:val="tx1"/>
            </w14:solidFill>
          </w14:textFill>
        </w:rPr>
      </w:pPr>
    </w:p>
    <w:p w14:paraId="4A976DC0">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所得税费用的说明[双击切换]"/>
        <w:tag w:val="_GBC_0363d79a647b4d96aa5d7b72c93b1e45"/>
        <w:id w:val="147475256"/>
        <w:placeholder>
          <w:docPart w:val="GBC22222222222222222222222222222"/>
        </w:placeholder>
      </w:sdtPr>
      <w:sdtEndPr>
        <w:rPr>
          <w:color w:val="000000" w:themeColor="text1"/>
          <w14:textFill>
            <w14:solidFill>
              <w14:schemeClr w14:val="tx1"/>
            </w14:solidFill>
          </w14:textFill>
        </w:rPr>
      </w:sdtEndPr>
      <w:sdtContent>
        <w:p w14:paraId="61E0DCB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5FB4B55">
      <w:pPr>
        <w:rPr>
          <w:b/>
          <w:color w:val="000000" w:themeColor="text1"/>
          <w14:textFill>
            <w14:solidFill>
              <w14:schemeClr w14:val="tx1"/>
            </w14:solidFill>
          </w14:textFill>
        </w:rPr>
      </w:pPr>
    </w:p>
    <w:p w14:paraId="557301EB">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其他综合收益</w:t>
      </w:r>
    </w:p>
    <w:sdt>
      <w:sdtPr>
        <w:rPr>
          <w:color w:val="000000" w:themeColor="text1"/>
          <w14:textFill>
            <w14:solidFill>
              <w14:schemeClr w14:val="tx1"/>
            </w14:solidFill>
          </w14:textFill>
        </w:rPr>
        <w:alias w:val="是否适用：其他综合收益[双击切换]"/>
        <w:tag w:val="_GBC_bef6c47936994e5e94c77d5dd812be30"/>
        <w:id w:val="147481835"/>
        <w:placeholder>
          <w:docPart w:val="GBC22222222222222222222222222222"/>
        </w:placeholder>
      </w:sdtPr>
      <w:sdtEndPr>
        <w:rPr>
          <w:color w:val="000000" w:themeColor="text1"/>
          <w14:textFill>
            <w14:solidFill>
              <w14:schemeClr w14:val="tx1"/>
            </w14:solidFill>
          </w14:textFill>
        </w:rPr>
      </w:sdtEndPr>
      <w:sdtContent>
        <w:p w14:paraId="058A1D6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A61FFA5">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其他综合收益详见附注"/>
          <w:tag w:val="_GBC_6f59ae7e2b78472ea4fa736cbb8f062d"/>
          <w:id w:val="147453663"/>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详见附注七、57</w:t>
          </w:r>
        </w:sdtContent>
      </w:sdt>
    </w:p>
    <w:p w14:paraId="4686D647">
      <w:pPr>
        <w:rPr>
          <w:color w:val="000000" w:themeColor="text1"/>
          <w14:textFill>
            <w14:solidFill>
              <w14:schemeClr w14:val="tx1"/>
            </w14:solidFill>
          </w14:textFill>
        </w:rPr>
      </w:pPr>
    </w:p>
    <w:p w14:paraId="1558CCAC">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现金流量表项目</w:t>
      </w:r>
    </w:p>
    <w:p w14:paraId="208FE6D4">
      <w:pPr>
        <w:pStyle w:val="58"/>
        <w:numPr>
          <w:ilvl w:val="0"/>
          <w:numId w:val="90"/>
        </w:numPr>
        <w:rPr>
          <w:color w:val="000000" w:themeColor="text1"/>
          <w14:textFill>
            <w14:solidFill>
              <w14:schemeClr w14:val="tx1"/>
            </w14:solidFill>
          </w14:textFill>
        </w:rPr>
      </w:pPr>
      <w:r>
        <w:rPr>
          <w:rFonts w:hint="eastAsia"/>
          <w:color w:val="000000" w:themeColor="text1"/>
          <w14:textFill>
            <w14:solidFill>
              <w14:schemeClr w14:val="tx1"/>
            </w14:solidFill>
          </w14:textFill>
        </w:rPr>
        <w:t>与经营活动有关的现金</w:t>
      </w:r>
    </w:p>
    <w:p w14:paraId="1F2D9A11">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收到的其他与经营活动有关的现金</w:t>
      </w:r>
    </w:p>
    <w:sdt>
      <w:sdtPr>
        <w:rPr>
          <w:color w:val="000000" w:themeColor="text1"/>
          <w14:textFill>
            <w14:solidFill>
              <w14:schemeClr w14:val="tx1"/>
            </w14:solidFill>
          </w14:textFill>
        </w:rPr>
        <w:alias w:val="是否适用：收到的其他与经营活动有关的现金[双击切换]"/>
        <w:tag w:val="_GBC_c5c1fd7856fd40f88e814da378eb1220"/>
        <w:id w:val="147466735"/>
        <w:placeholder>
          <w:docPart w:val="GBC22222222222222222222222222222"/>
        </w:placeholder>
      </w:sdtPr>
      <w:sdtEndPr>
        <w:rPr>
          <w:color w:val="000000" w:themeColor="text1"/>
          <w14:textFill>
            <w14:solidFill>
              <w14:schemeClr w14:val="tx1"/>
            </w14:solidFill>
          </w14:textFill>
        </w:rPr>
      </w:sdtEndPr>
      <w:sdtContent>
        <w:p w14:paraId="6191584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33E96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经营活动有关的现金"/>
          <w:tag w:val="_GBC_5ccae82b68484e708f12fda90762616a"/>
          <w:id w:val="14747774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经营活动有关的现金"/>
          <w:tag w:val="_GBC_fab1e143b1314991a3aebb857ed68a09"/>
          <w:id w:val="1474721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778"/>
        <w:gridCol w:w="2768"/>
      </w:tblGrid>
      <w:tr w14:paraId="60C8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37a08d49f8e14506929ae8c9544c259e"/>
            <w:id w:val="147472649"/>
          </w:sdtPr>
          <w:sdtEndPr>
            <w:rPr>
              <w:rFonts w:cs="Times New Roman"/>
            </w:rPr>
          </w:sdtEndPr>
          <w:sdtContent>
            <w:tc>
              <w:tcPr>
                <w:tcW w:w="1882" w:type="pct"/>
              </w:tcPr>
              <w:p w14:paraId="4434C812">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f6cb8d17057e4de79000a7b7c263b07e"/>
            <w:id w:val="147469653"/>
          </w:sdtPr>
          <w:sdtEndPr>
            <w:rPr>
              <w:rFonts w:cs="Times New Roman"/>
            </w:rPr>
          </w:sdtEndPr>
          <w:sdtContent>
            <w:tc>
              <w:tcPr>
                <w:tcW w:w="1562" w:type="pct"/>
              </w:tcPr>
              <w:p w14:paraId="1D970F56">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28d6db3ec51c43eb8751b53e93c8f270"/>
            <w:id w:val="147453851"/>
          </w:sdtPr>
          <w:sdtEndPr>
            <w:rPr>
              <w:rFonts w:cs="Times New Roman"/>
            </w:rPr>
          </w:sdtEndPr>
          <w:sdtContent>
            <w:tc>
              <w:tcPr>
                <w:tcW w:w="1556" w:type="pct"/>
              </w:tcPr>
              <w:p w14:paraId="5DAF3508">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2301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1C85B60">
            <w:pPr>
              <w:textAlignment w:val="top"/>
              <w:rPr>
                <w:rFonts w:cs="Times New Roman"/>
              </w:rPr>
            </w:pPr>
            <w:r>
              <w:rPr>
                <w:rFonts w:cs="Times New Roman"/>
                <w:color w:val="000000"/>
                <w:lang w:bidi="ar"/>
              </w:rPr>
              <w:t>政府补助</w:t>
            </w:r>
          </w:p>
        </w:tc>
        <w:tc>
          <w:tcPr>
            <w:tcW w:w="2756" w:type="dxa"/>
            <w:vAlign w:val="center"/>
          </w:tcPr>
          <w:p w14:paraId="7DFFA617">
            <w:pPr>
              <w:jc w:val="right"/>
              <w:textAlignment w:val="center"/>
              <w:rPr>
                <w:rFonts w:cs="Times New Roman"/>
              </w:rPr>
            </w:pPr>
            <w:r>
              <w:rPr>
                <w:rFonts w:eastAsia="Arial Narrow" w:cs="Times New Roman"/>
                <w:color w:val="000000"/>
                <w:lang w:bidi="ar"/>
              </w:rPr>
              <w:t>32,065,295.62</w:t>
            </w:r>
          </w:p>
        </w:tc>
        <w:tc>
          <w:tcPr>
            <w:tcW w:w="1556" w:type="pct"/>
            <w:vAlign w:val="center"/>
          </w:tcPr>
          <w:p w14:paraId="2C6BE2AB">
            <w:pPr>
              <w:jc w:val="right"/>
              <w:textAlignment w:val="center"/>
              <w:rPr>
                <w:rFonts w:cs="Times New Roman"/>
              </w:rPr>
            </w:pPr>
            <w:r>
              <w:rPr>
                <w:rFonts w:cs="Times New Roman"/>
                <w:color w:val="000000"/>
              </w:rPr>
              <w:t>15,297,790.02</w:t>
            </w:r>
          </w:p>
        </w:tc>
      </w:tr>
      <w:tr w14:paraId="6B80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35CB3C31">
            <w:pPr>
              <w:textAlignment w:val="top"/>
              <w:rPr>
                <w:rFonts w:cs="Times New Roman"/>
              </w:rPr>
            </w:pPr>
            <w:r>
              <w:rPr>
                <w:rFonts w:cs="Times New Roman"/>
                <w:color w:val="000000"/>
                <w:lang w:bidi="ar"/>
              </w:rPr>
              <w:t>利息收入</w:t>
            </w:r>
          </w:p>
        </w:tc>
        <w:tc>
          <w:tcPr>
            <w:tcW w:w="2756" w:type="dxa"/>
            <w:vAlign w:val="center"/>
          </w:tcPr>
          <w:p w14:paraId="21A41B3F">
            <w:pPr>
              <w:jc w:val="right"/>
              <w:textAlignment w:val="center"/>
              <w:rPr>
                <w:rFonts w:cs="Times New Roman"/>
              </w:rPr>
            </w:pPr>
            <w:r>
              <w:rPr>
                <w:rFonts w:eastAsia="Arial Narrow" w:cs="Times New Roman"/>
                <w:color w:val="000000"/>
                <w:lang w:bidi="ar"/>
              </w:rPr>
              <w:t>58,390,056.27</w:t>
            </w:r>
          </w:p>
        </w:tc>
        <w:tc>
          <w:tcPr>
            <w:tcW w:w="1556" w:type="pct"/>
            <w:vAlign w:val="center"/>
          </w:tcPr>
          <w:p w14:paraId="7CAEDE84">
            <w:pPr>
              <w:jc w:val="right"/>
              <w:textAlignment w:val="center"/>
              <w:rPr>
                <w:rFonts w:cs="Times New Roman"/>
              </w:rPr>
            </w:pPr>
            <w:r>
              <w:rPr>
                <w:rFonts w:cs="Times New Roman"/>
                <w:color w:val="000000"/>
              </w:rPr>
              <w:t>50,186,188.33</w:t>
            </w:r>
          </w:p>
        </w:tc>
      </w:tr>
      <w:tr w14:paraId="4261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5BA6EFCF">
            <w:pPr>
              <w:textAlignment w:val="top"/>
              <w:rPr>
                <w:rFonts w:cs="Times New Roman"/>
              </w:rPr>
            </w:pPr>
            <w:r>
              <w:rPr>
                <w:rFonts w:cs="Times New Roman"/>
                <w:color w:val="000000"/>
                <w:lang w:bidi="ar"/>
              </w:rPr>
              <w:t>收退回的保证金</w:t>
            </w:r>
          </w:p>
        </w:tc>
        <w:tc>
          <w:tcPr>
            <w:tcW w:w="2756" w:type="dxa"/>
            <w:vAlign w:val="center"/>
          </w:tcPr>
          <w:p w14:paraId="5245A596">
            <w:pPr>
              <w:jc w:val="right"/>
              <w:textAlignment w:val="center"/>
              <w:rPr>
                <w:rFonts w:cs="Times New Roman"/>
              </w:rPr>
            </w:pPr>
            <w:r>
              <w:rPr>
                <w:rFonts w:eastAsia="Arial Narrow" w:cs="Times New Roman"/>
                <w:color w:val="000000"/>
                <w:lang w:bidi="ar"/>
              </w:rPr>
              <w:t>122,737,462.23</w:t>
            </w:r>
          </w:p>
        </w:tc>
        <w:tc>
          <w:tcPr>
            <w:tcW w:w="1556" w:type="pct"/>
            <w:vAlign w:val="center"/>
          </w:tcPr>
          <w:p w14:paraId="791AA0F4">
            <w:pPr>
              <w:jc w:val="right"/>
              <w:textAlignment w:val="center"/>
              <w:rPr>
                <w:rFonts w:cs="Times New Roman"/>
              </w:rPr>
            </w:pPr>
            <w:r>
              <w:rPr>
                <w:rFonts w:cs="Times New Roman"/>
                <w:color w:val="000000"/>
              </w:rPr>
              <w:t>120,375,766.30</w:t>
            </w:r>
          </w:p>
        </w:tc>
      </w:tr>
      <w:tr w14:paraId="5D32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D8B1D16">
            <w:pPr>
              <w:textAlignment w:val="top"/>
              <w:rPr>
                <w:rFonts w:cs="Times New Roman"/>
              </w:rPr>
            </w:pPr>
            <w:r>
              <w:rPr>
                <w:rFonts w:cs="Times New Roman"/>
                <w:color w:val="000000"/>
                <w:lang w:bidi="ar"/>
              </w:rPr>
              <w:t>代收社保返还款</w:t>
            </w:r>
          </w:p>
        </w:tc>
        <w:tc>
          <w:tcPr>
            <w:tcW w:w="2756" w:type="dxa"/>
            <w:vAlign w:val="center"/>
          </w:tcPr>
          <w:p w14:paraId="7727FB0F">
            <w:pPr>
              <w:jc w:val="right"/>
              <w:textAlignment w:val="center"/>
              <w:rPr>
                <w:rFonts w:cs="Times New Roman"/>
              </w:rPr>
            </w:pPr>
            <w:r>
              <w:rPr>
                <w:rFonts w:eastAsia="Arial Narrow" w:cs="Times New Roman"/>
                <w:color w:val="000000"/>
                <w:lang w:bidi="ar"/>
              </w:rPr>
              <w:t>4,014,217.20</w:t>
            </w:r>
          </w:p>
        </w:tc>
        <w:tc>
          <w:tcPr>
            <w:tcW w:w="1556" w:type="pct"/>
            <w:vAlign w:val="center"/>
          </w:tcPr>
          <w:p w14:paraId="26A8652D">
            <w:pPr>
              <w:jc w:val="right"/>
              <w:textAlignment w:val="center"/>
              <w:rPr>
                <w:rFonts w:cs="Times New Roman"/>
              </w:rPr>
            </w:pPr>
            <w:r>
              <w:rPr>
                <w:rFonts w:cs="Times New Roman"/>
                <w:color w:val="000000"/>
              </w:rPr>
              <w:t>1,913,724.76</w:t>
            </w:r>
          </w:p>
        </w:tc>
      </w:tr>
      <w:tr w14:paraId="7D4A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D332A67">
            <w:pPr>
              <w:textAlignment w:val="top"/>
              <w:rPr>
                <w:rFonts w:cs="Times New Roman"/>
              </w:rPr>
            </w:pPr>
            <w:r>
              <w:rPr>
                <w:rFonts w:cs="Times New Roman"/>
                <w:color w:val="000000"/>
                <w:lang w:bidi="ar"/>
              </w:rPr>
              <w:t>代收水电费用等</w:t>
            </w:r>
          </w:p>
        </w:tc>
        <w:tc>
          <w:tcPr>
            <w:tcW w:w="2756" w:type="dxa"/>
            <w:vAlign w:val="center"/>
          </w:tcPr>
          <w:p w14:paraId="70A0BA45">
            <w:pPr>
              <w:jc w:val="right"/>
              <w:textAlignment w:val="center"/>
              <w:rPr>
                <w:rFonts w:cs="Times New Roman"/>
              </w:rPr>
            </w:pPr>
            <w:r>
              <w:rPr>
                <w:rFonts w:eastAsia="Arial Narrow" w:cs="Times New Roman"/>
                <w:color w:val="000000"/>
                <w:lang w:bidi="ar"/>
              </w:rPr>
              <w:t>6,853,136.57</w:t>
            </w:r>
          </w:p>
        </w:tc>
        <w:tc>
          <w:tcPr>
            <w:tcW w:w="1556" w:type="pct"/>
            <w:vAlign w:val="center"/>
          </w:tcPr>
          <w:p w14:paraId="0B4DDD0A">
            <w:pPr>
              <w:jc w:val="right"/>
              <w:textAlignment w:val="center"/>
              <w:rPr>
                <w:rFonts w:cs="Times New Roman"/>
              </w:rPr>
            </w:pPr>
            <w:r>
              <w:rPr>
                <w:rFonts w:cs="Times New Roman"/>
                <w:color w:val="000000"/>
              </w:rPr>
              <w:t>6,243,534.68</w:t>
            </w:r>
          </w:p>
        </w:tc>
      </w:tr>
      <w:tr w14:paraId="36B5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5651C4B">
            <w:pPr>
              <w:textAlignment w:val="top"/>
              <w:rPr>
                <w:rFonts w:cs="Times New Roman"/>
              </w:rPr>
            </w:pPr>
            <w:r>
              <w:rPr>
                <w:rFonts w:cs="Times New Roman"/>
                <w:color w:val="000000"/>
                <w:lang w:bidi="ar"/>
              </w:rPr>
              <w:t>租金收入</w:t>
            </w:r>
          </w:p>
        </w:tc>
        <w:tc>
          <w:tcPr>
            <w:tcW w:w="2756" w:type="dxa"/>
            <w:vAlign w:val="center"/>
          </w:tcPr>
          <w:p w14:paraId="1F609A32">
            <w:pPr>
              <w:jc w:val="right"/>
              <w:textAlignment w:val="center"/>
              <w:rPr>
                <w:rFonts w:cs="Times New Roman"/>
              </w:rPr>
            </w:pPr>
            <w:r>
              <w:rPr>
                <w:rFonts w:eastAsia="Arial Narrow" w:cs="Times New Roman"/>
                <w:color w:val="000000"/>
                <w:lang w:bidi="ar"/>
              </w:rPr>
              <w:t>34,065,872.59</w:t>
            </w:r>
          </w:p>
        </w:tc>
        <w:tc>
          <w:tcPr>
            <w:tcW w:w="1556" w:type="pct"/>
            <w:vAlign w:val="center"/>
          </w:tcPr>
          <w:p w14:paraId="326ACD19">
            <w:pPr>
              <w:jc w:val="right"/>
              <w:textAlignment w:val="center"/>
              <w:rPr>
                <w:rFonts w:cs="Times New Roman"/>
              </w:rPr>
            </w:pPr>
            <w:r>
              <w:rPr>
                <w:rFonts w:cs="Times New Roman"/>
                <w:color w:val="000000"/>
              </w:rPr>
              <w:t>23,675,563.60</w:t>
            </w:r>
          </w:p>
        </w:tc>
      </w:tr>
      <w:tr w14:paraId="0A5E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B1AB2AB">
            <w:pPr>
              <w:textAlignment w:val="top"/>
              <w:rPr>
                <w:rFonts w:cs="Times New Roman"/>
              </w:rPr>
            </w:pPr>
            <w:r>
              <w:rPr>
                <w:rFonts w:cs="Times New Roman"/>
                <w:color w:val="000000"/>
                <w:lang w:bidi="ar"/>
              </w:rPr>
              <w:t>零星收入</w:t>
            </w:r>
          </w:p>
        </w:tc>
        <w:tc>
          <w:tcPr>
            <w:tcW w:w="2756" w:type="dxa"/>
            <w:vAlign w:val="center"/>
          </w:tcPr>
          <w:p w14:paraId="3A7EBA71">
            <w:pPr>
              <w:jc w:val="right"/>
              <w:textAlignment w:val="center"/>
              <w:rPr>
                <w:rFonts w:cs="Times New Roman"/>
              </w:rPr>
            </w:pPr>
            <w:r>
              <w:rPr>
                <w:rFonts w:eastAsia="Arial Narrow" w:cs="Times New Roman"/>
                <w:color w:val="000000"/>
                <w:lang w:bidi="ar"/>
              </w:rPr>
              <w:t>6,439,378.22</w:t>
            </w:r>
          </w:p>
        </w:tc>
        <w:tc>
          <w:tcPr>
            <w:tcW w:w="1556" w:type="pct"/>
            <w:vAlign w:val="center"/>
          </w:tcPr>
          <w:p w14:paraId="4B061BA9">
            <w:pPr>
              <w:jc w:val="right"/>
              <w:textAlignment w:val="center"/>
              <w:rPr>
                <w:rFonts w:cs="Times New Roman"/>
              </w:rPr>
            </w:pPr>
            <w:r>
              <w:rPr>
                <w:rFonts w:cs="Times New Roman"/>
                <w:color w:val="000000"/>
              </w:rPr>
              <w:t>7,297,170.90</w:t>
            </w:r>
          </w:p>
        </w:tc>
      </w:tr>
      <w:tr w14:paraId="3C97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5F76759">
            <w:pPr>
              <w:textAlignment w:val="top"/>
              <w:rPr>
                <w:rFonts w:cs="Times New Roman"/>
              </w:rPr>
            </w:pPr>
            <w:r>
              <w:rPr>
                <w:rFonts w:cs="Times New Roman"/>
                <w:color w:val="000000"/>
                <w:lang w:bidi="ar"/>
              </w:rPr>
              <w:t>往来款</w:t>
            </w:r>
          </w:p>
        </w:tc>
        <w:tc>
          <w:tcPr>
            <w:tcW w:w="2756" w:type="dxa"/>
            <w:vAlign w:val="center"/>
          </w:tcPr>
          <w:p w14:paraId="54554002">
            <w:pPr>
              <w:jc w:val="right"/>
              <w:textAlignment w:val="center"/>
              <w:rPr>
                <w:rFonts w:cs="Times New Roman"/>
              </w:rPr>
            </w:pPr>
            <w:r>
              <w:rPr>
                <w:rFonts w:eastAsia="Arial Narrow" w:cs="Times New Roman"/>
                <w:color w:val="000000"/>
                <w:lang w:bidi="ar"/>
              </w:rPr>
              <w:t>105,704,634.71</w:t>
            </w:r>
          </w:p>
        </w:tc>
        <w:tc>
          <w:tcPr>
            <w:tcW w:w="1556" w:type="pct"/>
            <w:vAlign w:val="center"/>
          </w:tcPr>
          <w:p w14:paraId="51D693AC">
            <w:pPr>
              <w:jc w:val="right"/>
              <w:textAlignment w:val="center"/>
              <w:rPr>
                <w:rFonts w:cs="Times New Roman"/>
              </w:rPr>
            </w:pPr>
            <w:r>
              <w:rPr>
                <w:rFonts w:cs="Times New Roman"/>
                <w:color w:val="000000"/>
              </w:rPr>
              <w:t>56,947,007.94</w:t>
            </w:r>
          </w:p>
        </w:tc>
      </w:tr>
      <w:tr w14:paraId="1E65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581AE0E3">
            <w:pPr>
              <w:textAlignment w:val="top"/>
              <w:rPr>
                <w:rFonts w:cs="Times New Roman"/>
              </w:rPr>
            </w:pPr>
            <w:r>
              <w:rPr>
                <w:rFonts w:cs="Times New Roman"/>
                <w:color w:val="000000"/>
                <w:lang w:bidi="ar"/>
              </w:rPr>
              <w:t>其他</w:t>
            </w:r>
          </w:p>
        </w:tc>
        <w:tc>
          <w:tcPr>
            <w:tcW w:w="2756" w:type="dxa"/>
            <w:vAlign w:val="center"/>
          </w:tcPr>
          <w:p w14:paraId="4E8DC0C5">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29,376,455.36</w:t>
            </w:r>
          </w:p>
        </w:tc>
        <w:tc>
          <w:tcPr>
            <w:tcW w:w="1556" w:type="pct"/>
            <w:vAlign w:val="center"/>
          </w:tcPr>
          <w:p w14:paraId="00335F14">
            <w:pPr>
              <w:jc w:val="right"/>
              <w:textAlignment w:val="center"/>
              <w:rPr>
                <w:rFonts w:cs="Times New Roman"/>
                <w:color w:val="000000" w:themeColor="text1"/>
                <w14:textFill>
                  <w14:solidFill>
                    <w14:schemeClr w14:val="tx1"/>
                  </w14:solidFill>
                </w14:textFill>
              </w:rPr>
            </w:pPr>
            <w:r>
              <w:rPr>
                <w:rFonts w:cs="Times New Roman"/>
                <w:color w:val="000000"/>
              </w:rPr>
              <w:t>38,834,045.64</w:t>
            </w:r>
          </w:p>
        </w:tc>
      </w:tr>
      <w:tr w14:paraId="2190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62995A25">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756" w:type="dxa"/>
            <w:vAlign w:val="center"/>
          </w:tcPr>
          <w:p w14:paraId="3D7B636E">
            <w:pPr>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399,646,508.77</w:t>
            </w:r>
          </w:p>
        </w:tc>
        <w:tc>
          <w:tcPr>
            <w:tcW w:w="1556" w:type="pct"/>
            <w:vAlign w:val="center"/>
          </w:tcPr>
          <w:p w14:paraId="0D85CE40">
            <w:pPr>
              <w:jc w:val="right"/>
              <w:textAlignment w:val="center"/>
              <w:rPr>
                <w:rFonts w:cs="Times New Roman"/>
                <w:color w:val="000000" w:themeColor="text1"/>
                <w14:textFill>
                  <w14:solidFill>
                    <w14:schemeClr w14:val="tx1"/>
                  </w14:solidFill>
                </w14:textFill>
              </w:rPr>
            </w:pPr>
            <w:r>
              <w:rPr>
                <w:rFonts w:cs="Times New Roman"/>
                <w:color w:val="000000"/>
              </w:rPr>
              <w:t>320,770,792.17</w:t>
            </w:r>
          </w:p>
        </w:tc>
      </w:tr>
    </w:tbl>
    <w:p w14:paraId="2897F7ED">
      <w:pPr>
        <w:snapToGrid w:val="0"/>
        <w:spacing w:before="60" w:after="60"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收到的其他与经营活动有关的现金说明：</w:t>
      </w:r>
    </w:p>
    <w:sdt>
      <w:sdtPr>
        <w:rPr>
          <w:color w:val="000000" w:themeColor="text1"/>
          <w14:textFill>
            <w14:solidFill>
              <w14:schemeClr w14:val="tx1"/>
            </w14:solidFill>
          </w14:textFill>
        </w:rPr>
        <w:alias w:val="收到的其他与经营活动有关的现金说明"/>
        <w:tag w:val="_GBC_1204b17e37bf4cc187a1ffb6f9463f05"/>
        <w:id w:val="147482903"/>
        <w:placeholder>
          <w:docPart w:val="GBC22222222222222222222222222222"/>
        </w:placeholder>
      </w:sdtPr>
      <w:sdtEndPr>
        <w:rPr>
          <w:color w:val="000000" w:themeColor="text1"/>
          <w14:textFill>
            <w14:solidFill>
              <w14:schemeClr w14:val="tx1"/>
            </w14:solidFill>
          </w14:textFill>
        </w:rPr>
      </w:sdtEndPr>
      <w:sdtContent>
        <w:p w14:paraId="7C89F52F">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EEDCCB5">
      <w:pPr>
        <w:rPr>
          <w:color w:val="000000" w:themeColor="text1"/>
          <w14:textFill>
            <w14:solidFill>
              <w14:schemeClr w14:val="tx1"/>
            </w14:solidFill>
          </w14:textFill>
        </w:rPr>
      </w:pPr>
    </w:p>
    <w:p w14:paraId="5810A388">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支付的其他与经营活动有关的现金</w:t>
      </w:r>
    </w:p>
    <w:sdt>
      <w:sdtPr>
        <w:rPr>
          <w:color w:val="000000" w:themeColor="text1"/>
          <w14:textFill>
            <w14:solidFill>
              <w14:schemeClr w14:val="tx1"/>
            </w14:solidFill>
          </w14:textFill>
        </w:rPr>
        <w:alias w:val="是否适用：支付的其他与经营活动有关的现金[双击切换]"/>
        <w:tag w:val="_GBC_73331002c48743d9a4438c6eb4a07c95"/>
        <w:id w:val="147483210"/>
        <w:placeholder>
          <w:docPart w:val="GBC22222222222222222222222222222"/>
        </w:placeholder>
      </w:sdtPr>
      <w:sdtEndPr>
        <w:rPr>
          <w:color w:val="000000" w:themeColor="text1"/>
          <w14:textFill>
            <w14:solidFill>
              <w14:schemeClr w14:val="tx1"/>
            </w14:solidFill>
          </w14:textFill>
        </w:rPr>
      </w:sdtEndPr>
      <w:sdtContent>
        <w:p w14:paraId="5A52C68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AF2A8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支付的其他与经营活动有关的现金"/>
          <w:tag w:val="_GBC_8252d4ac9be64f04b08b1dc08e270310"/>
          <w:id w:val="1474667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支付的其他与经营活动有关的现金"/>
          <w:tag w:val="_GBC_37de812db19b41c8a01d10d8b0365268"/>
          <w:id w:val="14747315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759"/>
        <w:gridCol w:w="2787"/>
      </w:tblGrid>
      <w:tr w14:paraId="02CE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164da6d2b96e42688b06fe557d996ac2"/>
            <w:id w:val="147455053"/>
          </w:sdtPr>
          <w:sdtEndPr>
            <w:rPr>
              <w:rFonts w:cs="Times New Roman"/>
            </w:rPr>
          </w:sdtEndPr>
          <w:sdtContent>
            <w:tc>
              <w:tcPr>
                <w:tcW w:w="1882" w:type="pct"/>
              </w:tcPr>
              <w:p w14:paraId="10DEDD52">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69d21b5f023448adbd8c69a7e96e585d"/>
            <w:id w:val="147462020"/>
          </w:sdtPr>
          <w:sdtEndPr>
            <w:rPr>
              <w:rFonts w:cs="Times New Roman"/>
            </w:rPr>
          </w:sdtEndPr>
          <w:sdtContent>
            <w:tc>
              <w:tcPr>
                <w:tcW w:w="1551" w:type="pct"/>
              </w:tcPr>
              <w:p w14:paraId="7CFE4974">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fccf4811cdbb443297a0ce875715525f"/>
            <w:id w:val="147478686"/>
          </w:sdtPr>
          <w:sdtEndPr>
            <w:rPr>
              <w:rFonts w:cs="Times New Roman"/>
            </w:rPr>
          </w:sdtEndPr>
          <w:sdtContent>
            <w:tc>
              <w:tcPr>
                <w:tcW w:w="1567" w:type="pct"/>
              </w:tcPr>
              <w:p w14:paraId="6FCA285A">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0000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B919173">
            <w:pPr>
              <w:textAlignment w:val="top"/>
              <w:rPr>
                <w:rFonts w:cs="Times New Roman"/>
              </w:rPr>
            </w:pPr>
            <w:r>
              <w:rPr>
                <w:rFonts w:cs="Times New Roman"/>
                <w:color w:val="000000"/>
                <w:lang w:bidi="ar"/>
              </w:rPr>
              <w:t>往来款</w:t>
            </w:r>
          </w:p>
        </w:tc>
        <w:tc>
          <w:tcPr>
            <w:tcW w:w="1551" w:type="pct"/>
            <w:vAlign w:val="center"/>
          </w:tcPr>
          <w:p w14:paraId="675BBC88">
            <w:pPr>
              <w:jc w:val="right"/>
              <w:textAlignment w:val="center"/>
              <w:rPr>
                <w:rFonts w:cs="Times New Roman"/>
              </w:rPr>
            </w:pPr>
            <w:r>
              <w:rPr>
                <w:rFonts w:cs="Times New Roman"/>
                <w:color w:val="000000"/>
              </w:rPr>
              <w:t>156,273,022.24</w:t>
            </w:r>
          </w:p>
        </w:tc>
        <w:tc>
          <w:tcPr>
            <w:tcW w:w="1567" w:type="pct"/>
            <w:vAlign w:val="center"/>
          </w:tcPr>
          <w:p w14:paraId="4394D115">
            <w:pPr>
              <w:jc w:val="right"/>
              <w:textAlignment w:val="center"/>
              <w:rPr>
                <w:rFonts w:cs="Times New Roman"/>
              </w:rPr>
            </w:pPr>
            <w:r>
              <w:rPr>
                <w:rFonts w:cs="Times New Roman"/>
                <w:color w:val="000000"/>
              </w:rPr>
              <w:t>118,329,766.64</w:t>
            </w:r>
          </w:p>
        </w:tc>
      </w:tr>
      <w:tr w14:paraId="531D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82C9FC5">
            <w:pPr>
              <w:textAlignment w:val="top"/>
              <w:rPr>
                <w:rFonts w:cs="Times New Roman"/>
              </w:rPr>
            </w:pPr>
            <w:r>
              <w:rPr>
                <w:rFonts w:cs="Times New Roman"/>
                <w:color w:val="000000"/>
                <w:lang w:bidi="ar"/>
              </w:rPr>
              <w:t>支付保证金</w:t>
            </w:r>
          </w:p>
        </w:tc>
        <w:tc>
          <w:tcPr>
            <w:tcW w:w="1551" w:type="pct"/>
            <w:vAlign w:val="center"/>
          </w:tcPr>
          <w:p w14:paraId="632AE70C">
            <w:pPr>
              <w:jc w:val="right"/>
              <w:textAlignment w:val="center"/>
              <w:rPr>
                <w:rFonts w:cs="Times New Roman"/>
              </w:rPr>
            </w:pPr>
            <w:r>
              <w:rPr>
                <w:rFonts w:cs="Times New Roman"/>
                <w:color w:val="000000"/>
              </w:rPr>
              <w:t>136,804,564.85</w:t>
            </w:r>
          </w:p>
        </w:tc>
        <w:tc>
          <w:tcPr>
            <w:tcW w:w="1567" w:type="pct"/>
            <w:vAlign w:val="center"/>
          </w:tcPr>
          <w:p w14:paraId="57E8B3C1">
            <w:pPr>
              <w:jc w:val="right"/>
              <w:textAlignment w:val="center"/>
              <w:rPr>
                <w:rFonts w:cs="Times New Roman"/>
              </w:rPr>
            </w:pPr>
            <w:r>
              <w:rPr>
                <w:rFonts w:cs="Times New Roman"/>
                <w:color w:val="000000"/>
              </w:rPr>
              <w:t>117,455,481.34</w:t>
            </w:r>
          </w:p>
        </w:tc>
      </w:tr>
      <w:tr w14:paraId="4C4F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2E94EE89">
            <w:pPr>
              <w:textAlignment w:val="top"/>
              <w:rPr>
                <w:rFonts w:cs="Times New Roman"/>
              </w:rPr>
            </w:pPr>
            <w:r>
              <w:rPr>
                <w:rFonts w:cs="Times New Roman"/>
                <w:color w:val="000000"/>
                <w:lang w:bidi="ar"/>
              </w:rPr>
              <w:t>期间费用</w:t>
            </w:r>
          </w:p>
        </w:tc>
        <w:tc>
          <w:tcPr>
            <w:tcW w:w="1551" w:type="pct"/>
            <w:vAlign w:val="center"/>
          </w:tcPr>
          <w:p w14:paraId="6F06EF5B">
            <w:pPr>
              <w:jc w:val="right"/>
              <w:textAlignment w:val="center"/>
              <w:rPr>
                <w:rFonts w:cs="Times New Roman"/>
              </w:rPr>
            </w:pPr>
            <w:r>
              <w:rPr>
                <w:rFonts w:cs="Times New Roman"/>
                <w:color w:val="000000"/>
              </w:rPr>
              <w:t>175,255,364.82</w:t>
            </w:r>
          </w:p>
        </w:tc>
        <w:tc>
          <w:tcPr>
            <w:tcW w:w="1567" w:type="pct"/>
            <w:vAlign w:val="center"/>
          </w:tcPr>
          <w:p w14:paraId="2594E227">
            <w:pPr>
              <w:jc w:val="right"/>
              <w:textAlignment w:val="center"/>
              <w:rPr>
                <w:rFonts w:cs="Times New Roman"/>
              </w:rPr>
            </w:pPr>
            <w:r>
              <w:rPr>
                <w:rFonts w:cs="Times New Roman"/>
                <w:color w:val="000000"/>
              </w:rPr>
              <w:t>196,911,390.36</w:t>
            </w:r>
          </w:p>
        </w:tc>
      </w:tr>
      <w:tr w14:paraId="0B1A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1515BEF">
            <w:pPr>
              <w:textAlignment w:val="top"/>
              <w:rPr>
                <w:rFonts w:cs="Times New Roman"/>
              </w:rPr>
            </w:pPr>
            <w:r>
              <w:rPr>
                <w:rFonts w:cs="Times New Roman"/>
                <w:color w:val="000000"/>
                <w:lang w:bidi="ar"/>
              </w:rPr>
              <w:t>备用金结算</w:t>
            </w:r>
          </w:p>
        </w:tc>
        <w:tc>
          <w:tcPr>
            <w:tcW w:w="1551" w:type="pct"/>
            <w:vAlign w:val="center"/>
          </w:tcPr>
          <w:p w14:paraId="289C50A9">
            <w:pPr>
              <w:jc w:val="right"/>
              <w:textAlignment w:val="center"/>
              <w:rPr>
                <w:rFonts w:cs="Times New Roman"/>
              </w:rPr>
            </w:pPr>
            <w:r>
              <w:rPr>
                <w:rFonts w:cs="Times New Roman"/>
                <w:color w:val="000000"/>
              </w:rPr>
              <w:t>8,954,750.80</w:t>
            </w:r>
          </w:p>
        </w:tc>
        <w:tc>
          <w:tcPr>
            <w:tcW w:w="1567" w:type="pct"/>
            <w:vAlign w:val="center"/>
          </w:tcPr>
          <w:p w14:paraId="2B394CD5">
            <w:pPr>
              <w:jc w:val="right"/>
              <w:textAlignment w:val="center"/>
              <w:rPr>
                <w:rFonts w:cs="Times New Roman"/>
              </w:rPr>
            </w:pPr>
            <w:r>
              <w:rPr>
                <w:rFonts w:cs="Times New Roman"/>
                <w:color w:val="000000"/>
              </w:rPr>
              <w:t>14,501,358.66</w:t>
            </w:r>
          </w:p>
        </w:tc>
      </w:tr>
      <w:tr w14:paraId="47E6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E1FD242">
            <w:pPr>
              <w:textAlignment w:val="top"/>
              <w:rPr>
                <w:rFonts w:cs="Times New Roman"/>
              </w:rPr>
            </w:pPr>
            <w:r>
              <w:rPr>
                <w:rFonts w:cs="Times New Roman"/>
                <w:color w:val="000000"/>
                <w:lang w:bidi="ar"/>
              </w:rPr>
              <w:t>代收代付款</w:t>
            </w:r>
          </w:p>
        </w:tc>
        <w:tc>
          <w:tcPr>
            <w:tcW w:w="1551" w:type="pct"/>
            <w:vAlign w:val="center"/>
          </w:tcPr>
          <w:p w14:paraId="17D793B3">
            <w:pPr>
              <w:jc w:val="right"/>
              <w:textAlignment w:val="center"/>
              <w:rPr>
                <w:rFonts w:cs="Times New Roman"/>
              </w:rPr>
            </w:pPr>
            <w:r>
              <w:rPr>
                <w:rFonts w:cs="Times New Roman"/>
                <w:color w:val="000000"/>
              </w:rPr>
              <w:t>18,034,368.81</w:t>
            </w:r>
          </w:p>
        </w:tc>
        <w:tc>
          <w:tcPr>
            <w:tcW w:w="1567" w:type="pct"/>
            <w:vAlign w:val="center"/>
          </w:tcPr>
          <w:p w14:paraId="69807487">
            <w:pPr>
              <w:jc w:val="right"/>
              <w:textAlignment w:val="center"/>
              <w:rPr>
                <w:rFonts w:cs="Times New Roman"/>
              </w:rPr>
            </w:pPr>
            <w:r>
              <w:rPr>
                <w:rFonts w:cs="Times New Roman"/>
                <w:color w:val="000000"/>
              </w:rPr>
              <w:t>28,690,959.58</w:t>
            </w:r>
          </w:p>
        </w:tc>
      </w:tr>
      <w:tr w14:paraId="6CBD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347FE7FD">
            <w:pPr>
              <w:textAlignment w:val="top"/>
              <w:rPr>
                <w:rFonts w:cs="Times New Roman"/>
              </w:rPr>
            </w:pPr>
            <w:r>
              <w:rPr>
                <w:rFonts w:cs="Times New Roman"/>
                <w:color w:val="000000"/>
                <w:lang w:bidi="ar"/>
              </w:rPr>
              <w:t>其他</w:t>
            </w:r>
          </w:p>
        </w:tc>
        <w:tc>
          <w:tcPr>
            <w:tcW w:w="1551" w:type="pct"/>
            <w:vAlign w:val="center"/>
          </w:tcPr>
          <w:p w14:paraId="7482DE40">
            <w:pPr>
              <w:jc w:val="right"/>
              <w:textAlignment w:val="center"/>
              <w:rPr>
                <w:rFonts w:cs="Times New Roman"/>
              </w:rPr>
            </w:pPr>
            <w:r>
              <w:rPr>
                <w:rFonts w:cs="Times New Roman"/>
                <w:color w:val="000000"/>
              </w:rPr>
              <w:t>37,389,921.41</w:t>
            </w:r>
          </w:p>
        </w:tc>
        <w:tc>
          <w:tcPr>
            <w:tcW w:w="1567" w:type="pct"/>
            <w:vAlign w:val="center"/>
          </w:tcPr>
          <w:p w14:paraId="05289C40">
            <w:pPr>
              <w:jc w:val="right"/>
              <w:textAlignment w:val="center"/>
              <w:rPr>
                <w:rFonts w:cs="Times New Roman"/>
              </w:rPr>
            </w:pPr>
            <w:r>
              <w:rPr>
                <w:rFonts w:cs="Times New Roman"/>
                <w:color w:val="000000"/>
              </w:rPr>
              <w:t>29,888,783.55</w:t>
            </w:r>
          </w:p>
        </w:tc>
      </w:tr>
      <w:tr w14:paraId="149F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6EE05946">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551" w:type="pct"/>
            <w:vAlign w:val="center"/>
          </w:tcPr>
          <w:p w14:paraId="364CF649">
            <w:pPr>
              <w:jc w:val="right"/>
              <w:textAlignment w:val="center"/>
              <w:rPr>
                <w:rFonts w:cs="Times New Roman"/>
              </w:rPr>
            </w:pPr>
            <w:r>
              <w:rPr>
                <w:rFonts w:cs="Times New Roman"/>
                <w:color w:val="000000"/>
              </w:rPr>
              <w:t>532,711,992.93</w:t>
            </w:r>
          </w:p>
        </w:tc>
        <w:tc>
          <w:tcPr>
            <w:tcW w:w="1567" w:type="pct"/>
            <w:vAlign w:val="center"/>
          </w:tcPr>
          <w:p w14:paraId="30873231">
            <w:pPr>
              <w:jc w:val="right"/>
              <w:textAlignment w:val="center"/>
              <w:rPr>
                <w:rFonts w:cs="Times New Roman"/>
              </w:rPr>
            </w:pPr>
            <w:r>
              <w:rPr>
                <w:rFonts w:cs="Times New Roman"/>
                <w:color w:val="000000"/>
              </w:rPr>
              <w:t>505,777,740.13</w:t>
            </w:r>
          </w:p>
        </w:tc>
      </w:tr>
    </w:tbl>
    <w:p w14:paraId="58FA8EC3">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支付的其他与经营活动有关的现金说明：</w:t>
      </w:r>
    </w:p>
    <w:sdt>
      <w:sdtPr>
        <w:rPr>
          <w:rFonts w:hint="eastAsia"/>
          <w:color w:val="000000" w:themeColor="text1"/>
          <w14:textFill>
            <w14:solidFill>
              <w14:schemeClr w14:val="tx1"/>
            </w14:solidFill>
          </w14:textFill>
        </w:rPr>
        <w:alias w:val="支付的其他与经营活动有关的现金说明"/>
        <w:tag w:val="_GBC_632dc3caefd547b5b57f9340a021af22"/>
        <w:id w:val="147481824"/>
        <w:placeholder>
          <w:docPart w:val="GBC22222222222222222222222222222"/>
        </w:placeholder>
      </w:sdtPr>
      <w:sdtEndPr>
        <w:rPr>
          <w:rFonts w:hint="eastAsia"/>
          <w:color w:val="000000" w:themeColor="text1"/>
          <w14:textFill>
            <w14:solidFill>
              <w14:schemeClr w14:val="tx1"/>
            </w14:solidFill>
          </w14:textFill>
        </w:rPr>
      </w:sdtEndPr>
      <w:sdtContent>
        <w:p w14:paraId="011BE49B">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1D5BF634">
      <w:pPr>
        <w:ind w:right="5"/>
        <w:rPr>
          <w:color w:val="000000" w:themeColor="text1"/>
          <w14:textFill>
            <w14:solidFill>
              <w14:schemeClr w14:val="tx1"/>
            </w14:solidFill>
          </w14:textFill>
        </w:rPr>
      </w:pPr>
    </w:p>
    <w:p w14:paraId="67B67E04">
      <w:pPr>
        <w:pStyle w:val="58"/>
        <w:numPr>
          <w:ilvl w:val="0"/>
          <w:numId w:val="90"/>
        </w:numPr>
        <w:rPr>
          <w:color w:val="000000" w:themeColor="text1"/>
          <w14:textFill>
            <w14:solidFill>
              <w14:schemeClr w14:val="tx1"/>
            </w14:solidFill>
          </w14:textFill>
        </w:rPr>
      </w:pPr>
      <w:bookmarkStart w:id="393" w:name="_Hlk167970426"/>
      <w:r>
        <w:rPr>
          <w:rFonts w:hint="eastAsia"/>
          <w:color w:val="000000" w:themeColor="text1"/>
          <w14:textFill>
            <w14:solidFill>
              <w14:schemeClr w14:val="tx1"/>
            </w14:solidFill>
          </w14:textFill>
        </w:rPr>
        <w:t>与投资活动有关的现金</w:t>
      </w:r>
    </w:p>
    <w:p w14:paraId="2B35F86F">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收到的重要的投资活动有关的现金</w:t>
      </w:r>
    </w:p>
    <w:sdt>
      <w:sdtPr>
        <w:rPr>
          <w:color w:val="000000" w:themeColor="text1"/>
          <w14:textFill>
            <w14:solidFill>
              <w14:schemeClr w14:val="tx1"/>
            </w14:solidFill>
          </w14:textFill>
        </w:rPr>
        <w:alias w:val="是否适用：收到的重要的投资活动有关的现金[双击切换]"/>
        <w:tag w:val="_GBC_f56d2779677b47b3ba2b7e5e0b1d3d89"/>
        <w:id w:val="147454455"/>
        <w:placeholder>
          <w:docPart w:val="GBC22222222222222222222222222222"/>
        </w:placeholder>
      </w:sdtPr>
      <w:sdtEndPr>
        <w:rPr>
          <w:color w:val="000000" w:themeColor="text1"/>
          <w14:textFill>
            <w14:solidFill>
              <w14:schemeClr w14:val="tx1"/>
            </w14:solidFill>
          </w14:textFill>
        </w:rPr>
      </w:sdtEndPr>
      <w:sdtContent>
        <w:p w14:paraId="7D4AE6D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7C7E9E1">
      <w:pPr>
        <w:rPr>
          <w:color w:val="000000" w:themeColor="text1"/>
          <w14:textFill>
            <w14:solidFill>
              <w14:schemeClr w14:val="tx1"/>
            </w14:solidFill>
          </w14:textFill>
        </w:rPr>
      </w:pPr>
    </w:p>
    <w:p w14:paraId="02AD6719">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支付的重要的投资活动有关的现金</w:t>
      </w:r>
    </w:p>
    <w:sdt>
      <w:sdtPr>
        <w:rPr>
          <w:color w:val="000000" w:themeColor="text1"/>
          <w14:textFill>
            <w14:solidFill>
              <w14:schemeClr w14:val="tx1"/>
            </w14:solidFill>
          </w14:textFill>
        </w:rPr>
        <w:alias w:val="是否适用：支付的重要的投资活动有关的现金[双击切换]"/>
        <w:tag w:val="_GBC_e489b143c5a245a9bd1fb9c8c46d7528"/>
        <w:id w:val="147477354"/>
        <w:placeholder>
          <w:docPart w:val="GBC22222222222222222222222222222"/>
        </w:placeholder>
      </w:sdtPr>
      <w:sdtEndPr>
        <w:rPr>
          <w:color w:val="000000" w:themeColor="text1"/>
          <w14:textFill>
            <w14:solidFill>
              <w14:schemeClr w14:val="tx1"/>
            </w14:solidFill>
          </w14:textFill>
        </w:rPr>
      </w:sdtEndPr>
      <w:sdtContent>
        <w:p w14:paraId="7D9823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307B4E">
      <w:pPr>
        <w:rPr>
          <w:color w:val="000000" w:themeColor="text1"/>
          <w14:textFill>
            <w14:solidFill>
              <w14:schemeClr w14:val="tx1"/>
            </w14:solidFill>
          </w14:textFill>
        </w:rPr>
      </w:pPr>
    </w:p>
    <w:p w14:paraId="48BD42B2">
      <w:pPr>
        <w:rPr>
          <w:rFonts w:hint="eastAsia"/>
          <w:color w:val="000000" w:themeColor="text1"/>
          <w14:textFill>
            <w14:solidFill>
              <w14:schemeClr w14:val="tx1"/>
            </w14:solidFill>
          </w14:textFill>
        </w:rPr>
      </w:pPr>
    </w:p>
    <w:bookmarkEnd w:id="393"/>
    <w:p w14:paraId="43C3FFD0">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收到的其他与投资活动有关的现金</w:t>
      </w:r>
    </w:p>
    <w:sdt>
      <w:sdtPr>
        <w:rPr>
          <w:color w:val="000000" w:themeColor="text1"/>
          <w14:textFill>
            <w14:solidFill>
              <w14:schemeClr w14:val="tx1"/>
            </w14:solidFill>
          </w14:textFill>
        </w:rPr>
        <w:alias w:val="是否适用：收到的其他与投资活动有关的现金[双击切换]"/>
        <w:tag w:val="_GBC_ae3b1cf9e3aa408a8867e76d71769712"/>
        <w:id w:val="147483130"/>
        <w:placeholder>
          <w:docPart w:val="GBC22222222222222222222222222222"/>
        </w:placeholder>
      </w:sdtPr>
      <w:sdtEndPr>
        <w:rPr>
          <w:color w:val="000000" w:themeColor="text1"/>
          <w14:textFill>
            <w14:solidFill>
              <w14:schemeClr w14:val="tx1"/>
            </w14:solidFill>
          </w14:textFill>
        </w:rPr>
      </w:sdtEndPr>
      <w:sdtContent>
        <w:p w14:paraId="382475A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664C34">
      <w:pPr>
        <w:jc w:val="right"/>
        <w:rPr>
          <w:color w:val="000000" w:themeColor="text1"/>
          <w14:textFill>
            <w14:solidFill>
              <w14:schemeClr w14:val="tx1"/>
            </w14:solidFill>
          </w14:textFill>
        </w:rPr>
      </w:pPr>
    </w:p>
    <w:p w14:paraId="12ADDEE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投资活动有关的现金"/>
          <w:tag w:val="_GBC_864c08420ed74aa18dcf838d10153475"/>
          <w:id w:val="1474699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投资活动有关的现金"/>
          <w:tag w:val="_GBC_557bfe9cc4b045ff8684fc828911efc1"/>
          <w:id w:val="1474535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6"/>
        <w:gridCol w:w="2862"/>
        <w:gridCol w:w="2685"/>
      </w:tblGrid>
      <w:tr w14:paraId="6441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fe329b3300fe449c869fda5c957ed9e6"/>
            <w:id w:val="147457464"/>
          </w:sdtPr>
          <w:sdtEndPr>
            <w:rPr>
              <w:rFonts w:cs="Times New Roman"/>
            </w:rPr>
          </w:sdtEndPr>
          <w:sdtContent>
            <w:tc>
              <w:tcPr>
                <w:tcW w:w="1881" w:type="pct"/>
              </w:tcPr>
              <w:p w14:paraId="4EBF2C2E">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e828a524680d4faeb14e148b152d9982"/>
            <w:id w:val="147483533"/>
          </w:sdtPr>
          <w:sdtEndPr>
            <w:rPr>
              <w:rFonts w:cs="Times New Roman"/>
            </w:rPr>
          </w:sdtEndPr>
          <w:sdtContent>
            <w:tc>
              <w:tcPr>
                <w:tcW w:w="1609" w:type="pct"/>
              </w:tcPr>
              <w:p w14:paraId="283A85F1">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a8eb20dbb1b143d399d3bde1f6e00fa3"/>
            <w:id w:val="147470578"/>
          </w:sdtPr>
          <w:sdtEndPr>
            <w:rPr>
              <w:rFonts w:cs="Times New Roman"/>
            </w:rPr>
          </w:sdtEndPr>
          <w:sdtContent>
            <w:tc>
              <w:tcPr>
                <w:tcW w:w="1509" w:type="pct"/>
              </w:tcPr>
              <w:p w14:paraId="23CFFA28">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5F8A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1" w:type="pct"/>
          </w:tcPr>
          <w:p w14:paraId="4173175F">
            <w:pPr>
              <w:textAlignment w:val="top"/>
              <w:rPr>
                <w:rFonts w:cs="Times New Roman"/>
              </w:rPr>
            </w:pPr>
            <w:r>
              <w:rPr>
                <w:rFonts w:cs="Times New Roman"/>
                <w:color w:val="000000"/>
                <w:lang w:bidi="ar"/>
              </w:rPr>
              <w:t>其他</w:t>
            </w:r>
          </w:p>
        </w:tc>
        <w:tc>
          <w:tcPr>
            <w:tcW w:w="1609" w:type="pct"/>
            <w:vAlign w:val="center"/>
          </w:tcPr>
          <w:p w14:paraId="6038B2D6">
            <w:pPr>
              <w:jc w:val="right"/>
              <w:rPr>
                <w:rFonts w:cs="Times New Roman"/>
              </w:rPr>
            </w:pPr>
          </w:p>
        </w:tc>
        <w:tc>
          <w:tcPr>
            <w:tcW w:w="1509" w:type="pct"/>
            <w:vAlign w:val="center"/>
          </w:tcPr>
          <w:p w14:paraId="402938C4">
            <w:pPr>
              <w:jc w:val="right"/>
              <w:textAlignment w:val="center"/>
              <w:rPr>
                <w:rFonts w:cs="Times New Roman"/>
              </w:rPr>
            </w:pPr>
            <w:r>
              <w:rPr>
                <w:rFonts w:eastAsia="Arial Narrow" w:cs="Times New Roman"/>
                <w:color w:val="000000"/>
                <w:lang w:bidi="ar"/>
              </w:rPr>
              <w:t>1,723,594.68</w:t>
            </w:r>
          </w:p>
        </w:tc>
      </w:tr>
      <w:tr w14:paraId="26B1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1" w:type="pct"/>
          </w:tcPr>
          <w:p w14:paraId="45892644">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2862" w:type="dxa"/>
            <w:vAlign w:val="center"/>
          </w:tcPr>
          <w:p w14:paraId="67344FBB">
            <w:pPr>
              <w:jc w:val="right"/>
              <w:rPr>
                <w:rFonts w:cs="Times New Roman"/>
              </w:rPr>
            </w:pPr>
          </w:p>
        </w:tc>
        <w:tc>
          <w:tcPr>
            <w:tcW w:w="2685" w:type="dxa"/>
            <w:vAlign w:val="center"/>
          </w:tcPr>
          <w:p w14:paraId="1DAACF22">
            <w:pPr>
              <w:jc w:val="right"/>
              <w:textAlignment w:val="center"/>
              <w:rPr>
                <w:rFonts w:cs="Times New Roman"/>
              </w:rPr>
            </w:pPr>
            <w:r>
              <w:rPr>
                <w:rFonts w:eastAsia="Arial Narrow" w:cs="Times New Roman"/>
                <w:color w:val="000000"/>
                <w:lang w:bidi="ar"/>
              </w:rPr>
              <w:t>1,723,594.68</w:t>
            </w:r>
          </w:p>
        </w:tc>
      </w:tr>
    </w:tbl>
    <w:p w14:paraId="10EFCEFF">
      <w:pPr>
        <w:snapToGrid w:val="0"/>
        <w:spacing w:before="60" w:after="60"/>
        <w:rPr>
          <w:color w:val="000000" w:themeColor="text1"/>
          <w14:textFill>
            <w14:solidFill>
              <w14:schemeClr w14:val="tx1"/>
            </w14:solidFill>
          </w14:textFill>
        </w:rPr>
      </w:pPr>
    </w:p>
    <w:p w14:paraId="22909C9A">
      <w:pPr>
        <w:snapToGrid w:val="0"/>
        <w:spacing w:before="60" w:after="60"/>
        <w:rPr>
          <w:color w:val="000000" w:themeColor="text1"/>
          <w14:textFill>
            <w14:solidFill>
              <w14:schemeClr w14:val="tx1"/>
            </w14:solidFill>
          </w14:textFill>
        </w:rPr>
      </w:pPr>
    </w:p>
    <w:p w14:paraId="25D2A3E4">
      <w:pPr>
        <w:snapToGrid w:val="0"/>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收到的其他与投资活动有关的现金说明：</w:t>
      </w:r>
    </w:p>
    <w:sdt>
      <w:sdtPr>
        <w:rPr>
          <w:color w:val="000000" w:themeColor="text1"/>
          <w14:textFill>
            <w14:solidFill>
              <w14:schemeClr w14:val="tx1"/>
            </w14:solidFill>
          </w14:textFill>
        </w:rPr>
        <w:alias w:val="收到的其他与投资活动有关的现金说明"/>
        <w:tag w:val="_GBC_10ad2bcf624d4c49924f65fcffdeebbc"/>
        <w:id w:val="147482282"/>
        <w:placeholder>
          <w:docPart w:val="GBC22222222222222222222222222222"/>
        </w:placeholder>
      </w:sdtPr>
      <w:sdtEndPr>
        <w:rPr>
          <w:color w:val="000000" w:themeColor="text1"/>
          <w14:textFill>
            <w14:solidFill>
              <w14:schemeClr w14:val="tx1"/>
            </w14:solidFill>
          </w14:textFill>
        </w:rPr>
      </w:sdtEndPr>
      <w:sdtContent>
        <w:p w14:paraId="3AC6DFFB">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6DD0637">
      <w:pPr>
        <w:rPr>
          <w:color w:val="000000" w:themeColor="text1"/>
          <w14:textFill>
            <w14:solidFill>
              <w14:schemeClr w14:val="tx1"/>
            </w14:solidFill>
          </w14:textFill>
        </w:rPr>
      </w:pPr>
    </w:p>
    <w:p w14:paraId="50DF3CD0">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支付的其他与投资活动有关的现金</w:t>
      </w:r>
    </w:p>
    <w:sdt>
      <w:sdtPr>
        <w:rPr>
          <w:color w:val="000000" w:themeColor="text1"/>
          <w14:textFill>
            <w14:solidFill>
              <w14:schemeClr w14:val="tx1"/>
            </w14:solidFill>
          </w14:textFill>
        </w:rPr>
        <w:alias w:val="是否适用：支付的其他与投资活动有关的现金[双击切换]"/>
        <w:tag w:val="_GBC_8862c0a38548482cb3b55a82757e3e33"/>
        <w:id w:val="147465247"/>
        <w:placeholder>
          <w:docPart w:val="GBC22222222222222222222222222222"/>
        </w:placeholder>
      </w:sdtPr>
      <w:sdtEndPr>
        <w:rPr>
          <w:color w:val="000000" w:themeColor="text1"/>
          <w14:textFill>
            <w14:solidFill>
              <w14:schemeClr w14:val="tx1"/>
            </w14:solidFill>
          </w14:textFill>
        </w:rPr>
      </w:sdtEndPr>
      <w:sdtContent>
        <w:p w14:paraId="35B6F10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567C68">
      <w:pPr>
        <w:rPr>
          <w:color w:val="000000" w:themeColor="text1"/>
          <w14:textFill>
            <w14:solidFill>
              <w14:schemeClr w14:val="tx1"/>
            </w14:solidFill>
          </w14:textFill>
        </w:rPr>
      </w:pPr>
    </w:p>
    <w:p w14:paraId="6D30C6EF">
      <w:pPr>
        <w:pStyle w:val="58"/>
        <w:numPr>
          <w:ilvl w:val="0"/>
          <w:numId w:val="90"/>
        </w:numPr>
        <w:rPr>
          <w:color w:val="000000" w:themeColor="text1"/>
          <w14:textFill>
            <w14:solidFill>
              <w14:schemeClr w14:val="tx1"/>
            </w14:solidFill>
          </w14:textFill>
        </w:rPr>
      </w:pPr>
      <w:r>
        <w:rPr>
          <w:rFonts w:hint="eastAsia"/>
          <w:color w:val="000000" w:themeColor="text1"/>
          <w14:textFill>
            <w14:solidFill>
              <w14:schemeClr w14:val="tx1"/>
            </w14:solidFill>
          </w14:textFill>
        </w:rPr>
        <w:t>与筹资活动有关的现金</w:t>
      </w:r>
    </w:p>
    <w:p w14:paraId="1473C32C">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收到的其他与筹资活动有关的现金</w:t>
      </w:r>
    </w:p>
    <w:sdt>
      <w:sdtPr>
        <w:rPr>
          <w:color w:val="000000" w:themeColor="text1"/>
          <w14:textFill>
            <w14:solidFill>
              <w14:schemeClr w14:val="tx1"/>
            </w14:solidFill>
          </w14:textFill>
        </w:rPr>
        <w:alias w:val="是否适用：收到的其他与筹资活动有关的现金[双击切换]"/>
        <w:tag w:val="_GBC_6e82da4b55134cf6aacd6132e71f2c27"/>
        <w:id w:val="147472116"/>
        <w:placeholder>
          <w:docPart w:val="GBC22222222222222222222222222222"/>
        </w:placeholder>
      </w:sdtPr>
      <w:sdtEndPr>
        <w:rPr>
          <w:color w:val="000000" w:themeColor="text1"/>
          <w14:textFill>
            <w14:solidFill>
              <w14:schemeClr w14:val="tx1"/>
            </w14:solidFill>
          </w14:textFill>
        </w:rPr>
      </w:sdtEndPr>
      <w:sdtContent>
        <w:p w14:paraId="1B4F256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1321F1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筹资活动有关的现金"/>
          <w:tag w:val="_GBC_54c629439974499c9df52a114b0272b9"/>
          <w:id w:val="1474747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筹资活动有关的现金"/>
          <w:tag w:val="_GBC_0d3b28d58a83411db264b55c970f7fc6"/>
          <w:id w:val="1474676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6"/>
        <w:gridCol w:w="2865"/>
        <w:gridCol w:w="2682"/>
      </w:tblGrid>
      <w:tr w14:paraId="34EF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45e71f75634d40e399bff943b12676a7"/>
            <w:id w:val="147480822"/>
          </w:sdtPr>
          <w:sdtEndPr>
            <w:rPr>
              <w:rFonts w:cs="Times New Roman"/>
            </w:rPr>
          </w:sdtEndPr>
          <w:sdtContent>
            <w:tc>
              <w:tcPr>
                <w:tcW w:w="1881" w:type="pct"/>
              </w:tcPr>
              <w:p w14:paraId="33DBF449">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f7b1d7d1151a486eb8533f96d22cda73"/>
            <w:id w:val="147481311"/>
          </w:sdtPr>
          <w:sdtEndPr>
            <w:rPr>
              <w:rFonts w:cs="Times New Roman"/>
            </w:rPr>
          </w:sdtEndPr>
          <w:sdtContent>
            <w:tc>
              <w:tcPr>
                <w:tcW w:w="1611" w:type="pct"/>
              </w:tcPr>
              <w:p w14:paraId="523EA762">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fcd73629839441d485ad661b0568d6af"/>
            <w:id w:val="147461177"/>
          </w:sdtPr>
          <w:sdtEndPr>
            <w:rPr>
              <w:rFonts w:cs="Times New Roman"/>
            </w:rPr>
          </w:sdtEndPr>
          <w:sdtContent>
            <w:tc>
              <w:tcPr>
                <w:tcW w:w="1508" w:type="pct"/>
              </w:tcPr>
              <w:p w14:paraId="7C1B5879">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573E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1" w:type="pct"/>
          </w:tcPr>
          <w:p w14:paraId="2568EDE3">
            <w:pPr>
              <w:textAlignment w:val="top"/>
              <w:rPr>
                <w:rFonts w:cs="Times New Roman"/>
              </w:rPr>
            </w:pPr>
            <w:r>
              <w:rPr>
                <w:rFonts w:cs="Times New Roman"/>
                <w:color w:val="000000"/>
                <w:lang w:bidi="ar"/>
              </w:rPr>
              <w:t>信用证、票据保证金等</w:t>
            </w:r>
          </w:p>
        </w:tc>
        <w:tc>
          <w:tcPr>
            <w:tcW w:w="1611" w:type="pct"/>
            <w:vAlign w:val="center"/>
          </w:tcPr>
          <w:p w14:paraId="4C6B179E">
            <w:pPr>
              <w:jc w:val="right"/>
              <w:textAlignment w:val="center"/>
              <w:rPr>
                <w:rFonts w:cs="Times New Roman"/>
              </w:rPr>
            </w:pPr>
            <w:r>
              <w:rPr>
                <w:rFonts w:cs="Times New Roman"/>
                <w:color w:val="000000"/>
              </w:rPr>
              <w:t>11,204,249.08</w:t>
            </w:r>
          </w:p>
        </w:tc>
        <w:tc>
          <w:tcPr>
            <w:tcW w:w="1508" w:type="pct"/>
            <w:vAlign w:val="center"/>
          </w:tcPr>
          <w:p w14:paraId="63ADD539">
            <w:pPr>
              <w:jc w:val="right"/>
              <w:textAlignment w:val="center"/>
              <w:rPr>
                <w:rFonts w:cs="Times New Roman"/>
              </w:rPr>
            </w:pPr>
            <w:r>
              <w:rPr>
                <w:rFonts w:cs="Times New Roman"/>
                <w:color w:val="000000"/>
              </w:rPr>
              <w:t>11,109,769.81</w:t>
            </w:r>
          </w:p>
        </w:tc>
      </w:tr>
      <w:tr w14:paraId="7CEC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1" w:type="pct"/>
          </w:tcPr>
          <w:p w14:paraId="1659CC27">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11" w:type="pct"/>
            <w:vAlign w:val="center"/>
          </w:tcPr>
          <w:p w14:paraId="193FA7A1">
            <w:pPr>
              <w:jc w:val="right"/>
              <w:textAlignment w:val="center"/>
              <w:rPr>
                <w:rFonts w:cs="Times New Roman"/>
              </w:rPr>
            </w:pPr>
            <w:r>
              <w:rPr>
                <w:rFonts w:cs="Times New Roman"/>
                <w:color w:val="000000"/>
              </w:rPr>
              <w:t>11,204,249.08</w:t>
            </w:r>
          </w:p>
        </w:tc>
        <w:tc>
          <w:tcPr>
            <w:tcW w:w="1508" w:type="pct"/>
            <w:vAlign w:val="center"/>
          </w:tcPr>
          <w:p w14:paraId="0B8562D9">
            <w:pPr>
              <w:jc w:val="right"/>
              <w:textAlignment w:val="center"/>
              <w:rPr>
                <w:rFonts w:cs="Times New Roman"/>
              </w:rPr>
            </w:pPr>
            <w:r>
              <w:rPr>
                <w:rFonts w:cs="Times New Roman"/>
                <w:color w:val="000000"/>
              </w:rPr>
              <w:t>11,109,769.81</w:t>
            </w:r>
          </w:p>
        </w:tc>
      </w:tr>
    </w:tbl>
    <w:p w14:paraId="15E15173">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收到的其他与筹资活动有关的现金说明：</w:t>
      </w:r>
    </w:p>
    <w:sdt>
      <w:sdtPr>
        <w:rPr>
          <w:rFonts w:hint="eastAsia"/>
          <w:color w:val="000000" w:themeColor="text1"/>
          <w14:textFill>
            <w14:solidFill>
              <w14:schemeClr w14:val="tx1"/>
            </w14:solidFill>
          </w14:textFill>
        </w:rPr>
        <w:alias w:val="收到的其他与筹资活动有关的现金说明"/>
        <w:tag w:val="_GBC_cf160106b6d34224a1fbd183426812af"/>
        <w:id w:val="147454973"/>
        <w:placeholder>
          <w:docPart w:val="GBC22222222222222222222222222222"/>
        </w:placeholder>
      </w:sdtPr>
      <w:sdtEndPr>
        <w:rPr>
          <w:rFonts w:hint="eastAsia"/>
          <w:color w:val="000000" w:themeColor="text1"/>
          <w:szCs w:val="22"/>
          <w14:textFill>
            <w14:solidFill>
              <w14:schemeClr w14:val="tx1"/>
            </w14:solidFill>
          </w14:textFill>
        </w:rPr>
      </w:sdtEndPr>
      <w:sdtContent>
        <w:p w14:paraId="50F02430">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62DF553B">
      <w:pPr>
        <w:rPr>
          <w:color w:val="000000" w:themeColor="text1"/>
          <w14:textFill>
            <w14:solidFill>
              <w14:schemeClr w14:val="tx1"/>
            </w14:solidFill>
          </w14:textFill>
        </w:rPr>
      </w:pPr>
    </w:p>
    <w:p w14:paraId="7C218833">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支付的其他与筹资活动有关的现金</w:t>
      </w:r>
    </w:p>
    <w:sdt>
      <w:sdtPr>
        <w:rPr>
          <w:color w:val="000000" w:themeColor="text1"/>
          <w14:textFill>
            <w14:solidFill>
              <w14:schemeClr w14:val="tx1"/>
            </w14:solidFill>
          </w14:textFill>
        </w:rPr>
        <w:alias w:val="是否适用：支付的其他与筹资活动有关的现金[双击切换]"/>
        <w:tag w:val="_GBC_cf7fd4869f8d4d98a07243e22bf22793"/>
        <w:id w:val="147457362"/>
        <w:placeholder>
          <w:docPart w:val="GBC22222222222222222222222222222"/>
        </w:placeholder>
      </w:sdtPr>
      <w:sdtEndPr>
        <w:rPr>
          <w:color w:val="000000" w:themeColor="text1"/>
          <w14:textFill>
            <w14:solidFill>
              <w14:schemeClr w14:val="tx1"/>
            </w14:solidFill>
          </w14:textFill>
        </w:rPr>
      </w:sdtEndPr>
      <w:sdtContent>
        <w:p w14:paraId="59D110D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A340C5B">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支付的其他与筹资活动有关的现金"/>
          <w:tag w:val="_GBC_323ca3d874214911880818d387e0c63b"/>
          <w:id w:val="14745457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支付的其他与筹资活动有关的现金"/>
          <w:tag w:val="_GBC_d6726952256941209f32bac8fffa568d"/>
          <w:id w:val="1474643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8"/>
        <w:gridCol w:w="2863"/>
        <w:gridCol w:w="2682"/>
      </w:tblGrid>
      <w:tr w14:paraId="35AF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rPr>
            <w:tag w:val="_PLD_2b9da6111f3f4cacb3afcfc0de00e1e9"/>
            <w:id w:val="147454997"/>
          </w:sdtPr>
          <w:sdtEndPr>
            <w:rPr>
              <w:rFonts w:cs="Times New Roman"/>
            </w:rPr>
          </w:sdtEndPr>
          <w:sdtContent>
            <w:tc>
              <w:tcPr>
                <w:tcW w:w="1882" w:type="pct"/>
              </w:tcPr>
              <w:p w14:paraId="127210BD">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b6791a7f5c234d80be8964d8fb7b3ce6"/>
            <w:id w:val="147465889"/>
          </w:sdtPr>
          <w:sdtEndPr>
            <w:rPr>
              <w:rFonts w:cs="Times New Roman"/>
            </w:rPr>
          </w:sdtEndPr>
          <w:sdtContent>
            <w:tc>
              <w:tcPr>
                <w:tcW w:w="1609" w:type="pct"/>
              </w:tcPr>
              <w:p w14:paraId="49825DAE">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b4a33da4012d47bd8013a6c570bcad87"/>
            <w:id w:val="147471129"/>
          </w:sdtPr>
          <w:sdtEndPr>
            <w:rPr>
              <w:rFonts w:cs="Times New Roman"/>
            </w:rPr>
          </w:sdtEndPr>
          <w:sdtContent>
            <w:tc>
              <w:tcPr>
                <w:tcW w:w="1507" w:type="pct"/>
              </w:tcPr>
              <w:p w14:paraId="726F239C">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485D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32502118">
            <w:pPr>
              <w:textAlignment w:val="top"/>
              <w:rPr>
                <w:rFonts w:cs="Times New Roman"/>
              </w:rPr>
            </w:pPr>
            <w:r>
              <w:rPr>
                <w:rFonts w:cs="Times New Roman"/>
                <w:color w:val="000000"/>
                <w:lang w:bidi="ar"/>
              </w:rPr>
              <w:t>信用证、票据保证金等</w:t>
            </w:r>
          </w:p>
        </w:tc>
        <w:tc>
          <w:tcPr>
            <w:tcW w:w="1609" w:type="pct"/>
            <w:vAlign w:val="center"/>
          </w:tcPr>
          <w:p w14:paraId="06337DA4">
            <w:pPr>
              <w:jc w:val="right"/>
              <w:textAlignment w:val="center"/>
              <w:rPr>
                <w:rFonts w:cs="Times New Roman"/>
              </w:rPr>
            </w:pPr>
            <w:r>
              <w:rPr>
                <w:rFonts w:cs="Times New Roman"/>
                <w:color w:val="000000"/>
              </w:rPr>
              <w:t>11,755,633.44</w:t>
            </w:r>
          </w:p>
        </w:tc>
        <w:tc>
          <w:tcPr>
            <w:tcW w:w="1507" w:type="pct"/>
            <w:vAlign w:val="center"/>
          </w:tcPr>
          <w:p w14:paraId="45706341">
            <w:pPr>
              <w:jc w:val="right"/>
              <w:textAlignment w:val="center"/>
              <w:rPr>
                <w:rFonts w:cs="Times New Roman"/>
              </w:rPr>
            </w:pPr>
            <w:r>
              <w:rPr>
                <w:rFonts w:cs="Times New Roman"/>
                <w:color w:val="000000"/>
              </w:rPr>
              <w:t>12,423,617.86</w:t>
            </w:r>
          </w:p>
        </w:tc>
      </w:tr>
      <w:tr w14:paraId="3D21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4AD06931">
            <w:pPr>
              <w:textAlignment w:val="top"/>
              <w:rPr>
                <w:rFonts w:cs="Times New Roman"/>
              </w:rPr>
            </w:pPr>
            <w:r>
              <w:rPr>
                <w:rFonts w:cs="Times New Roman"/>
                <w:color w:val="000000"/>
                <w:lang w:bidi="ar"/>
              </w:rPr>
              <w:t>租赁支出</w:t>
            </w:r>
          </w:p>
        </w:tc>
        <w:tc>
          <w:tcPr>
            <w:tcW w:w="1609" w:type="pct"/>
            <w:vAlign w:val="center"/>
          </w:tcPr>
          <w:p w14:paraId="7AD0369A">
            <w:pPr>
              <w:jc w:val="right"/>
              <w:textAlignment w:val="center"/>
              <w:rPr>
                <w:rFonts w:cs="Times New Roman"/>
              </w:rPr>
            </w:pPr>
            <w:r>
              <w:rPr>
                <w:rFonts w:cs="Times New Roman"/>
                <w:color w:val="000000"/>
              </w:rPr>
              <w:t>1,350,000.00</w:t>
            </w:r>
          </w:p>
        </w:tc>
        <w:tc>
          <w:tcPr>
            <w:tcW w:w="1507" w:type="pct"/>
            <w:vAlign w:val="center"/>
          </w:tcPr>
          <w:p w14:paraId="2DC09D99">
            <w:pPr>
              <w:jc w:val="right"/>
              <w:textAlignment w:val="center"/>
              <w:rPr>
                <w:rFonts w:cs="Times New Roman"/>
              </w:rPr>
            </w:pPr>
            <w:r>
              <w:rPr>
                <w:rFonts w:cs="Times New Roman"/>
                <w:color w:val="000000"/>
              </w:rPr>
              <w:t>1,930,000.00</w:t>
            </w:r>
          </w:p>
        </w:tc>
      </w:tr>
      <w:tr w14:paraId="3094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78E60DED">
            <w:pPr>
              <w:textAlignment w:val="top"/>
              <w:rPr>
                <w:rFonts w:cs="Times New Roman"/>
              </w:rPr>
            </w:pPr>
            <w:r>
              <w:rPr>
                <w:rFonts w:cs="Times New Roman"/>
                <w:color w:val="000000"/>
                <w:lang w:bidi="ar"/>
              </w:rPr>
              <w:t>借款利息</w:t>
            </w:r>
          </w:p>
        </w:tc>
        <w:tc>
          <w:tcPr>
            <w:tcW w:w="1609" w:type="pct"/>
            <w:vAlign w:val="center"/>
          </w:tcPr>
          <w:p w14:paraId="18FA8BF9">
            <w:pPr>
              <w:jc w:val="right"/>
              <w:rPr>
                <w:rFonts w:cs="Times New Roman"/>
              </w:rPr>
            </w:pPr>
          </w:p>
        </w:tc>
        <w:tc>
          <w:tcPr>
            <w:tcW w:w="1507" w:type="pct"/>
            <w:vAlign w:val="center"/>
          </w:tcPr>
          <w:p w14:paraId="03A1E16B">
            <w:pPr>
              <w:jc w:val="right"/>
              <w:textAlignment w:val="center"/>
              <w:rPr>
                <w:rFonts w:cs="Times New Roman"/>
              </w:rPr>
            </w:pPr>
            <w:r>
              <w:rPr>
                <w:rFonts w:cs="Times New Roman"/>
                <w:color w:val="000000"/>
              </w:rPr>
              <w:t>214,666.66</w:t>
            </w:r>
          </w:p>
        </w:tc>
      </w:tr>
      <w:tr w14:paraId="7F28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1316D032">
            <w:pPr>
              <w:textAlignment w:val="top"/>
              <w:rPr>
                <w:rFonts w:cs="Times New Roman"/>
              </w:rPr>
            </w:pPr>
            <w:r>
              <w:rPr>
                <w:rFonts w:cs="Times New Roman"/>
                <w:color w:val="000000"/>
                <w:lang w:bidi="ar"/>
              </w:rPr>
              <w:t>回购股份将用于注销并减少公司注册资本</w:t>
            </w:r>
          </w:p>
        </w:tc>
        <w:tc>
          <w:tcPr>
            <w:tcW w:w="1609" w:type="pct"/>
            <w:vAlign w:val="center"/>
          </w:tcPr>
          <w:p w14:paraId="219F50D6">
            <w:pPr>
              <w:jc w:val="right"/>
              <w:textAlignment w:val="center"/>
              <w:rPr>
                <w:rFonts w:cs="Times New Roman"/>
              </w:rPr>
            </w:pPr>
            <w:r>
              <w:rPr>
                <w:rFonts w:cs="Times New Roman"/>
                <w:color w:val="000000"/>
              </w:rPr>
              <w:t>39,938,040.72</w:t>
            </w:r>
          </w:p>
        </w:tc>
        <w:tc>
          <w:tcPr>
            <w:tcW w:w="1507" w:type="pct"/>
            <w:vAlign w:val="center"/>
          </w:tcPr>
          <w:p w14:paraId="52E6ED97">
            <w:pPr>
              <w:jc w:val="right"/>
              <w:rPr>
                <w:rFonts w:cs="Times New Roman"/>
              </w:rPr>
            </w:pPr>
          </w:p>
        </w:tc>
      </w:tr>
      <w:tr w14:paraId="5FBD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14:paraId="075D9CBB">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09" w:type="pct"/>
            <w:vAlign w:val="center"/>
          </w:tcPr>
          <w:p w14:paraId="5A37809D">
            <w:pPr>
              <w:jc w:val="right"/>
              <w:textAlignment w:val="center"/>
              <w:rPr>
                <w:rFonts w:cs="Times New Roman"/>
              </w:rPr>
            </w:pPr>
            <w:r>
              <w:rPr>
                <w:rFonts w:cs="Times New Roman"/>
                <w:color w:val="000000"/>
              </w:rPr>
              <w:t>53,043,674.16</w:t>
            </w:r>
          </w:p>
        </w:tc>
        <w:tc>
          <w:tcPr>
            <w:tcW w:w="1507" w:type="pct"/>
            <w:vAlign w:val="center"/>
          </w:tcPr>
          <w:p w14:paraId="1904069D">
            <w:pPr>
              <w:jc w:val="right"/>
              <w:textAlignment w:val="center"/>
              <w:rPr>
                <w:rFonts w:cs="Times New Roman"/>
              </w:rPr>
            </w:pPr>
            <w:r>
              <w:rPr>
                <w:rFonts w:cs="Times New Roman"/>
                <w:color w:val="000000"/>
              </w:rPr>
              <w:t>14,568,284.52</w:t>
            </w:r>
          </w:p>
        </w:tc>
      </w:tr>
    </w:tbl>
    <w:p w14:paraId="7AF6AC36">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支付的其他与筹资活动有关的现金说明：</w:t>
      </w:r>
    </w:p>
    <w:sdt>
      <w:sdtPr>
        <w:rPr>
          <w:rFonts w:hint="eastAsia"/>
          <w:color w:val="000000" w:themeColor="text1"/>
          <w14:textFill>
            <w14:solidFill>
              <w14:schemeClr w14:val="tx1"/>
            </w14:solidFill>
          </w14:textFill>
        </w:rPr>
        <w:alias w:val="支付的其他与筹资活动有关的现金说明"/>
        <w:tag w:val="_GBC_7240a9be12a64ca5b011a2561db068a1"/>
        <w:id w:val="147463277"/>
        <w:placeholder>
          <w:docPart w:val="GBC22222222222222222222222222222"/>
        </w:placeholder>
      </w:sdtPr>
      <w:sdtEndPr>
        <w:rPr>
          <w:rFonts w:hint="eastAsia"/>
          <w:color w:val="000000" w:themeColor="text1"/>
          <w14:textFill>
            <w14:solidFill>
              <w14:schemeClr w14:val="tx1"/>
            </w14:solidFill>
          </w14:textFill>
        </w:rPr>
      </w:sdtEndPr>
      <w:sdtContent>
        <w:p w14:paraId="34876F5D">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13385B8">
      <w:pPr>
        <w:ind w:right="5"/>
        <w:rPr>
          <w:rFonts w:cstheme="minorBidi"/>
          <w:color w:val="000000" w:themeColor="text1"/>
          <w:kern w:val="2"/>
          <w:szCs w:val="22"/>
          <w14:textFill>
            <w14:solidFill>
              <w14:schemeClr w14:val="tx1"/>
            </w14:solidFill>
          </w14:textFill>
        </w:rPr>
        <w:sectPr>
          <w:pgSz w:w="11906" w:h="16838"/>
          <w:pgMar w:top="1525" w:right="1276" w:bottom="1440" w:left="1797" w:header="856" w:footer="992" w:gutter="0"/>
          <w:cols w:space="425" w:num="1"/>
          <w:docGrid w:linePitch="312" w:charSpace="0"/>
        </w:sectPr>
      </w:pPr>
    </w:p>
    <w:p w14:paraId="7FD5947C">
      <w:pPr>
        <w:ind w:right="5"/>
        <w:rPr>
          <w:rFonts w:cstheme="minorBidi"/>
          <w:color w:val="000000" w:themeColor="text1"/>
          <w:kern w:val="2"/>
          <w:szCs w:val="22"/>
          <w14:textFill>
            <w14:solidFill>
              <w14:schemeClr w14:val="tx1"/>
            </w14:solidFill>
          </w14:textFill>
        </w:rPr>
      </w:pPr>
    </w:p>
    <w:p w14:paraId="7745A5F0">
      <w:pPr>
        <w:ind w:right="5"/>
        <w:rPr>
          <w:color w:val="000000" w:themeColor="text1"/>
          <w14:textFill>
            <w14:solidFill>
              <w14:schemeClr w14:val="tx1"/>
            </w14:solidFill>
          </w14:textFill>
        </w:rPr>
      </w:pPr>
      <w:bookmarkStart w:id="394" w:name="_Hlk167970634"/>
      <w:r>
        <w:rPr>
          <w:rFonts w:hint="eastAsia"/>
          <w:color w:val="000000" w:themeColor="text1"/>
          <w14:textFill>
            <w14:solidFill>
              <w14:schemeClr w14:val="tx1"/>
            </w14:solidFill>
          </w14:textFill>
        </w:rPr>
        <w:t>筹资活动产生的各项负债变动情况</w:t>
      </w:r>
    </w:p>
    <w:sdt>
      <w:sdtPr>
        <w:rPr>
          <w:color w:val="000000" w:themeColor="text1"/>
          <w14:textFill>
            <w14:solidFill>
              <w14:schemeClr w14:val="tx1"/>
            </w14:solidFill>
          </w14:textFill>
        </w:rPr>
        <w:alias w:val="是否适用：筹资活动产生的各项负债变动情况[双击切换]"/>
        <w:tag w:val="_GBC_48125ca45f014b0db6560676c7f940e6"/>
        <w:id w:val="147475209"/>
        <w:placeholder>
          <w:docPart w:val="GBC22222222222222222222222222222"/>
        </w:placeholder>
      </w:sdtPr>
      <w:sdtEndPr>
        <w:rPr>
          <w:color w:val="000000" w:themeColor="text1"/>
          <w14:textFill>
            <w14:solidFill>
              <w14:schemeClr w14:val="tx1"/>
            </w14:solidFill>
          </w14:textFill>
        </w:rPr>
      </w:sdtEndPr>
      <w:sdtContent>
        <w:p w14:paraId="1A4C2FB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81B303">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筹资活动产生的各项负债变动情况"/>
          <w:tag w:val="_GBC_b2115f4b0ede479da8748ac4d1759102"/>
          <w:id w:val="14745471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筹资活动产生的各项负债变动情况"/>
          <w:tag w:val="_GBC_4afc8b10e1f7417d98697a1f635a7718"/>
          <w:id w:val="1474685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862"/>
        <w:gridCol w:w="1879"/>
        <w:gridCol w:w="1772"/>
        <w:gridCol w:w="1588"/>
        <w:gridCol w:w="1679"/>
        <w:gridCol w:w="1622"/>
        <w:gridCol w:w="1697"/>
      </w:tblGrid>
      <w:tr w14:paraId="1B4A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5" w:hRule="atLeast"/>
        </w:trPr>
        <w:sdt>
          <w:sdtPr>
            <w:rPr>
              <w:rFonts w:cs="Times New Roman"/>
            </w:rPr>
            <w:tag w:val="_PLD_5a6b6a267e0e40e3bc26d2b61cac8198"/>
            <w:id w:val="147461746"/>
          </w:sdtPr>
          <w:sdtEndPr>
            <w:rPr>
              <w:rFonts w:cs="Times New Roman"/>
            </w:rPr>
          </w:sdtEndPr>
          <w:sdtContent>
            <w:tc>
              <w:tcPr>
                <w:tcW w:w="1369" w:type="pct"/>
                <w:vMerge w:val="restart"/>
                <w:vAlign w:val="center"/>
              </w:tcPr>
              <w:p w14:paraId="0D27237A">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36925a1427f44fc9ad2d6b19462366bd"/>
            <w:id w:val="147460868"/>
          </w:sdtPr>
          <w:sdtEndPr>
            <w:rPr>
              <w:rFonts w:cs="Times New Roman"/>
            </w:rPr>
          </w:sdtEndPr>
          <w:sdtContent>
            <w:tc>
              <w:tcPr>
                <w:tcW w:w="666" w:type="pct"/>
                <w:vMerge w:val="restart"/>
                <w:vAlign w:val="center"/>
              </w:tcPr>
              <w:p w14:paraId="19E0EAFD">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176eed8443cb4d22bd65c7b5b358dc6c"/>
            <w:id w:val="147481855"/>
          </w:sdtPr>
          <w:sdtEndPr>
            <w:rPr>
              <w:rFonts w:cs="Times New Roman"/>
            </w:rPr>
          </w:sdtEndPr>
          <w:sdtContent>
            <w:tc>
              <w:tcPr>
                <w:tcW w:w="1191" w:type="pct"/>
                <w:gridSpan w:val="2"/>
                <w:vAlign w:val="center"/>
              </w:tcPr>
              <w:p w14:paraId="5CBFF0B6">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本期增加</w:t>
                </w:r>
              </w:p>
            </w:tc>
          </w:sdtContent>
        </w:sdt>
        <w:sdt>
          <w:sdtPr>
            <w:rPr>
              <w:rFonts w:cs="Times New Roman"/>
            </w:rPr>
            <w:tag w:val="_PLD_cac06696e80c47f5b5568a75d3febe74"/>
            <w:id w:val="147451146"/>
          </w:sdtPr>
          <w:sdtEndPr>
            <w:rPr>
              <w:rFonts w:cs="Times New Roman"/>
            </w:rPr>
          </w:sdtEndPr>
          <w:sdtContent>
            <w:tc>
              <w:tcPr>
                <w:tcW w:w="1170" w:type="pct"/>
                <w:gridSpan w:val="2"/>
                <w:vAlign w:val="center"/>
              </w:tcPr>
              <w:p w14:paraId="4F24020C">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本期减少</w:t>
                </w:r>
              </w:p>
            </w:tc>
          </w:sdtContent>
        </w:sdt>
        <w:sdt>
          <w:sdtPr>
            <w:rPr>
              <w:rFonts w:cs="Times New Roman"/>
            </w:rPr>
            <w:tag w:val="_PLD_e21e0332db6f456baa78cdaed3e13bfb"/>
            <w:id w:val="147463114"/>
          </w:sdtPr>
          <w:sdtEndPr>
            <w:rPr>
              <w:rFonts w:cs="Times New Roman"/>
            </w:rPr>
          </w:sdtEndPr>
          <w:sdtContent>
            <w:tc>
              <w:tcPr>
                <w:tcW w:w="601" w:type="pct"/>
                <w:vMerge w:val="restart"/>
                <w:vAlign w:val="center"/>
              </w:tcPr>
              <w:p w14:paraId="712C181D">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2701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5" w:hRule="atLeast"/>
        </w:trPr>
        <w:tc>
          <w:tcPr>
            <w:tcW w:w="1369" w:type="pct"/>
            <w:vMerge w:val="continue"/>
          </w:tcPr>
          <w:p w14:paraId="2347E0B6">
            <w:pPr>
              <w:autoSpaceDE w:val="0"/>
              <w:autoSpaceDN w:val="0"/>
              <w:adjustRightInd w:val="0"/>
              <w:snapToGrid w:val="0"/>
              <w:jc w:val="center"/>
              <w:rPr>
                <w:rFonts w:cs="Times New Roman"/>
                <w:color w:val="000000" w:themeColor="text1"/>
                <w14:textFill>
                  <w14:solidFill>
                    <w14:schemeClr w14:val="tx1"/>
                  </w14:solidFill>
                </w14:textFill>
              </w:rPr>
            </w:pPr>
          </w:p>
        </w:tc>
        <w:tc>
          <w:tcPr>
            <w:tcW w:w="666" w:type="pct"/>
            <w:vMerge w:val="continue"/>
          </w:tcPr>
          <w:p w14:paraId="5708BB2E">
            <w:pPr>
              <w:autoSpaceDE w:val="0"/>
              <w:autoSpaceDN w:val="0"/>
              <w:adjustRightInd w:val="0"/>
              <w:snapToGrid w:val="0"/>
              <w:jc w:val="center"/>
              <w:rPr>
                <w:rFonts w:cs="Times New Roman"/>
                <w:color w:val="000000" w:themeColor="text1"/>
                <w14:textFill>
                  <w14:solidFill>
                    <w14:schemeClr w14:val="tx1"/>
                  </w14:solidFill>
                </w14:textFill>
              </w:rPr>
            </w:pPr>
          </w:p>
        </w:tc>
        <w:sdt>
          <w:sdtPr>
            <w:rPr>
              <w:rFonts w:cs="Times New Roman"/>
            </w:rPr>
            <w:tag w:val="_PLD_91886e77e3aa45f593f23a58a4371259"/>
            <w:id w:val="147470452"/>
          </w:sdtPr>
          <w:sdtEndPr>
            <w:rPr>
              <w:rFonts w:cs="Times New Roman"/>
            </w:rPr>
          </w:sdtEndPr>
          <w:sdtContent>
            <w:tc>
              <w:tcPr>
                <w:tcW w:w="628" w:type="pct"/>
              </w:tcPr>
              <w:p w14:paraId="2783A4BF">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现金变动</w:t>
                </w:r>
              </w:p>
            </w:tc>
          </w:sdtContent>
        </w:sdt>
        <w:sdt>
          <w:sdtPr>
            <w:rPr>
              <w:rFonts w:cs="Times New Roman"/>
            </w:rPr>
            <w:tag w:val="_PLD_bb55d31edc784a1a9201d9cfc35cfb0a"/>
            <w:id w:val="147468041"/>
          </w:sdtPr>
          <w:sdtEndPr>
            <w:rPr>
              <w:rFonts w:cs="Times New Roman"/>
            </w:rPr>
          </w:sdtEndPr>
          <w:sdtContent>
            <w:tc>
              <w:tcPr>
                <w:tcW w:w="563" w:type="pct"/>
              </w:tcPr>
              <w:p w14:paraId="4E5E7BF4">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非现金变动</w:t>
                </w:r>
              </w:p>
            </w:tc>
          </w:sdtContent>
        </w:sdt>
        <w:sdt>
          <w:sdtPr>
            <w:rPr>
              <w:rFonts w:cs="Times New Roman"/>
            </w:rPr>
            <w:tag w:val="_PLD_54bb1edd4a3647d0b36572ae06e87dcc"/>
            <w:id w:val="147476383"/>
          </w:sdtPr>
          <w:sdtEndPr>
            <w:rPr>
              <w:rFonts w:cs="Times New Roman"/>
            </w:rPr>
          </w:sdtEndPr>
          <w:sdtContent>
            <w:tc>
              <w:tcPr>
                <w:tcW w:w="595" w:type="pct"/>
              </w:tcPr>
              <w:p w14:paraId="01F4BCC6">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现金变动</w:t>
                </w:r>
              </w:p>
            </w:tc>
          </w:sdtContent>
        </w:sdt>
        <w:sdt>
          <w:sdtPr>
            <w:rPr>
              <w:rFonts w:cs="Times New Roman"/>
            </w:rPr>
            <w:tag w:val="_PLD_d089b8baa83c4cc6b03f3dd0078bbdbc"/>
            <w:id w:val="147481260"/>
          </w:sdtPr>
          <w:sdtEndPr>
            <w:rPr>
              <w:rFonts w:cs="Times New Roman"/>
            </w:rPr>
          </w:sdtEndPr>
          <w:sdtContent>
            <w:tc>
              <w:tcPr>
                <w:tcW w:w="575" w:type="pct"/>
              </w:tcPr>
              <w:p w14:paraId="023C8D0C">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非现金变动</w:t>
                </w:r>
              </w:p>
            </w:tc>
          </w:sdtContent>
        </w:sdt>
        <w:tc>
          <w:tcPr>
            <w:tcW w:w="601" w:type="pct"/>
            <w:vMerge w:val="continue"/>
          </w:tcPr>
          <w:p w14:paraId="00F8DCCB">
            <w:pPr>
              <w:autoSpaceDE w:val="0"/>
              <w:autoSpaceDN w:val="0"/>
              <w:adjustRightInd w:val="0"/>
              <w:snapToGrid w:val="0"/>
              <w:jc w:val="center"/>
              <w:rPr>
                <w:rFonts w:cs="Times New Roman"/>
                <w:color w:val="000000" w:themeColor="text1"/>
                <w14:textFill>
                  <w14:solidFill>
                    <w14:schemeClr w14:val="tx1"/>
                  </w14:solidFill>
                </w14:textFill>
              </w:rPr>
            </w:pPr>
          </w:p>
        </w:tc>
      </w:tr>
      <w:tr w14:paraId="4FF3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0C42971A">
            <w:pPr>
              <w:textAlignment w:val="top"/>
              <w:rPr>
                <w:rFonts w:cs="Times New Roman"/>
              </w:rPr>
            </w:pPr>
            <w:r>
              <w:rPr>
                <w:rFonts w:cs="Times New Roman"/>
                <w:color w:val="000000"/>
                <w:lang w:bidi="ar"/>
              </w:rPr>
              <w:t>短期借款</w:t>
            </w:r>
          </w:p>
        </w:tc>
        <w:tc>
          <w:tcPr>
            <w:tcW w:w="666" w:type="pct"/>
            <w:vAlign w:val="center"/>
          </w:tcPr>
          <w:p w14:paraId="40EEFF8A">
            <w:pPr>
              <w:jc w:val="right"/>
              <w:textAlignment w:val="center"/>
              <w:rPr>
                <w:rFonts w:cs="Times New Roman"/>
              </w:rPr>
            </w:pPr>
            <w:r>
              <w:rPr>
                <w:rFonts w:eastAsia="Arial Narrow" w:cs="Times New Roman"/>
                <w:color w:val="000000"/>
                <w:lang w:bidi="ar"/>
              </w:rPr>
              <w:t>440,186,330.50</w:t>
            </w:r>
          </w:p>
        </w:tc>
        <w:tc>
          <w:tcPr>
            <w:tcW w:w="628" w:type="pct"/>
            <w:vAlign w:val="center"/>
          </w:tcPr>
          <w:p w14:paraId="1EC74FC2">
            <w:pPr>
              <w:jc w:val="right"/>
              <w:textAlignment w:val="center"/>
              <w:rPr>
                <w:rFonts w:cs="Times New Roman"/>
              </w:rPr>
            </w:pPr>
            <w:r>
              <w:rPr>
                <w:rFonts w:eastAsia="Arial Narrow" w:cs="Times New Roman"/>
                <w:color w:val="000000"/>
                <w:lang w:bidi="ar"/>
              </w:rPr>
              <w:t>132,330,803.38</w:t>
            </w:r>
          </w:p>
        </w:tc>
        <w:tc>
          <w:tcPr>
            <w:tcW w:w="563" w:type="pct"/>
            <w:vAlign w:val="center"/>
          </w:tcPr>
          <w:p w14:paraId="13F2A2AA">
            <w:pPr>
              <w:jc w:val="right"/>
              <w:textAlignment w:val="center"/>
              <w:rPr>
                <w:rFonts w:cs="Times New Roman"/>
              </w:rPr>
            </w:pPr>
            <w:r>
              <w:rPr>
                <w:rFonts w:eastAsia="Arial Narrow" w:cs="Times New Roman"/>
                <w:color w:val="000000"/>
                <w:lang w:bidi="ar"/>
              </w:rPr>
              <w:t>189,490.02</w:t>
            </w:r>
          </w:p>
        </w:tc>
        <w:tc>
          <w:tcPr>
            <w:tcW w:w="595" w:type="pct"/>
            <w:vAlign w:val="center"/>
          </w:tcPr>
          <w:p w14:paraId="7BB40CAD">
            <w:pPr>
              <w:jc w:val="right"/>
              <w:textAlignment w:val="center"/>
              <w:rPr>
                <w:rFonts w:cs="Times New Roman"/>
              </w:rPr>
            </w:pPr>
            <w:r>
              <w:rPr>
                <w:rFonts w:eastAsia="Arial Narrow" w:cs="Times New Roman"/>
                <w:color w:val="000000"/>
                <w:lang w:bidi="ar"/>
              </w:rPr>
              <w:t>283,000,000.00</w:t>
            </w:r>
          </w:p>
        </w:tc>
        <w:tc>
          <w:tcPr>
            <w:tcW w:w="575" w:type="pct"/>
            <w:vAlign w:val="center"/>
          </w:tcPr>
          <w:p w14:paraId="2C04CD64">
            <w:pPr>
              <w:jc w:val="right"/>
              <w:textAlignment w:val="center"/>
              <w:rPr>
                <w:rFonts w:cs="Times New Roman"/>
              </w:rPr>
            </w:pPr>
            <w:r>
              <w:rPr>
                <w:rFonts w:eastAsia="Arial Narrow" w:cs="Times New Roman"/>
                <w:color w:val="000000"/>
                <w:lang w:bidi="ar"/>
              </w:rPr>
              <w:t>186,330.50</w:t>
            </w:r>
          </w:p>
        </w:tc>
        <w:tc>
          <w:tcPr>
            <w:tcW w:w="601" w:type="pct"/>
            <w:vAlign w:val="center"/>
          </w:tcPr>
          <w:p w14:paraId="488DEEB7">
            <w:pPr>
              <w:jc w:val="right"/>
              <w:textAlignment w:val="center"/>
              <w:rPr>
                <w:rFonts w:cs="Times New Roman"/>
              </w:rPr>
            </w:pPr>
            <w:r>
              <w:rPr>
                <w:rFonts w:eastAsia="Arial Narrow" w:cs="Times New Roman"/>
                <w:color w:val="000000"/>
                <w:lang w:bidi="ar"/>
              </w:rPr>
              <w:t>289,520,293.40</w:t>
            </w:r>
          </w:p>
        </w:tc>
      </w:tr>
      <w:tr w14:paraId="7482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643D6D44">
            <w:pPr>
              <w:textAlignment w:val="top"/>
              <w:rPr>
                <w:rFonts w:cs="Times New Roman"/>
              </w:rPr>
            </w:pPr>
            <w:r>
              <w:rPr>
                <w:rFonts w:cs="Times New Roman"/>
                <w:color w:val="000000"/>
                <w:lang w:bidi="ar"/>
              </w:rPr>
              <w:t>长期借款（含一年内到期的长期借款）</w:t>
            </w:r>
          </w:p>
        </w:tc>
        <w:tc>
          <w:tcPr>
            <w:tcW w:w="666" w:type="pct"/>
            <w:vAlign w:val="center"/>
          </w:tcPr>
          <w:p w14:paraId="30494AAE">
            <w:pPr>
              <w:jc w:val="right"/>
              <w:textAlignment w:val="center"/>
              <w:rPr>
                <w:rFonts w:cs="Times New Roman"/>
              </w:rPr>
            </w:pPr>
            <w:r>
              <w:rPr>
                <w:rFonts w:eastAsia="Arial Narrow" w:cs="Times New Roman"/>
                <w:color w:val="000000"/>
                <w:lang w:bidi="ar"/>
              </w:rPr>
              <w:t>530,220,901.40</w:t>
            </w:r>
          </w:p>
        </w:tc>
        <w:tc>
          <w:tcPr>
            <w:tcW w:w="628" w:type="pct"/>
            <w:vAlign w:val="center"/>
          </w:tcPr>
          <w:p w14:paraId="69920BFB">
            <w:pPr>
              <w:jc w:val="right"/>
              <w:textAlignment w:val="center"/>
              <w:rPr>
                <w:rFonts w:cs="Times New Roman"/>
              </w:rPr>
            </w:pPr>
            <w:r>
              <w:rPr>
                <w:rFonts w:eastAsia="Arial Narrow" w:cs="Times New Roman"/>
                <w:color w:val="000000"/>
                <w:lang w:bidi="ar"/>
              </w:rPr>
              <w:t>2,024,600,000.00</w:t>
            </w:r>
          </w:p>
        </w:tc>
        <w:tc>
          <w:tcPr>
            <w:tcW w:w="563" w:type="pct"/>
            <w:vAlign w:val="center"/>
          </w:tcPr>
          <w:p w14:paraId="1437CD2A">
            <w:pPr>
              <w:jc w:val="right"/>
              <w:textAlignment w:val="center"/>
              <w:rPr>
                <w:rFonts w:cs="Times New Roman"/>
              </w:rPr>
            </w:pPr>
            <w:r>
              <w:rPr>
                <w:rFonts w:eastAsia="Arial Narrow" w:cs="Times New Roman"/>
                <w:color w:val="000000"/>
                <w:lang w:bidi="ar"/>
              </w:rPr>
              <w:t>1,551,273.10</w:t>
            </w:r>
          </w:p>
        </w:tc>
        <w:tc>
          <w:tcPr>
            <w:tcW w:w="595" w:type="pct"/>
            <w:vAlign w:val="center"/>
          </w:tcPr>
          <w:p w14:paraId="5781C189">
            <w:pPr>
              <w:jc w:val="right"/>
              <w:textAlignment w:val="center"/>
              <w:rPr>
                <w:rFonts w:cs="Times New Roman"/>
              </w:rPr>
            </w:pPr>
            <w:r>
              <w:rPr>
                <w:rFonts w:eastAsia="Arial Narrow" w:cs="Times New Roman"/>
                <w:color w:val="000000"/>
                <w:lang w:bidi="ar"/>
              </w:rPr>
              <w:t>26,550,000.00</w:t>
            </w:r>
          </w:p>
        </w:tc>
        <w:tc>
          <w:tcPr>
            <w:tcW w:w="575" w:type="pct"/>
            <w:vAlign w:val="center"/>
          </w:tcPr>
          <w:p w14:paraId="0B97C584">
            <w:pPr>
              <w:jc w:val="right"/>
              <w:textAlignment w:val="center"/>
              <w:rPr>
                <w:rFonts w:cs="Times New Roman"/>
              </w:rPr>
            </w:pPr>
            <w:r>
              <w:rPr>
                <w:rFonts w:eastAsia="Arial Narrow" w:cs="Times New Roman"/>
                <w:color w:val="000000"/>
                <w:lang w:bidi="ar"/>
              </w:rPr>
              <w:t>345,901.40</w:t>
            </w:r>
          </w:p>
        </w:tc>
        <w:tc>
          <w:tcPr>
            <w:tcW w:w="601" w:type="pct"/>
            <w:vAlign w:val="center"/>
          </w:tcPr>
          <w:p w14:paraId="532FB89F">
            <w:pPr>
              <w:jc w:val="right"/>
              <w:textAlignment w:val="center"/>
              <w:rPr>
                <w:rFonts w:cs="Times New Roman"/>
              </w:rPr>
            </w:pPr>
            <w:r>
              <w:rPr>
                <w:rFonts w:eastAsia="Arial Narrow" w:cs="Times New Roman"/>
                <w:color w:val="000000"/>
                <w:lang w:bidi="ar"/>
              </w:rPr>
              <w:t>2,529,476,273.10</w:t>
            </w:r>
          </w:p>
        </w:tc>
      </w:tr>
      <w:tr w14:paraId="72AA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5263610B">
            <w:pPr>
              <w:textAlignment w:val="top"/>
              <w:rPr>
                <w:rFonts w:cs="Times New Roman"/>
              </w:rPr>
            </w:pPr>
            <w:r>
              <w:rPr>
                <w:rFonts w:cs="Times New Roman"/>
                <w:color w:val="000000"/>
                <w:lang w:bidi="ar"/>
              </w:rPr>
              <w:t>应付债券（含一年内到期的应付债券）</w:t>
            </w:r>
          </w:p>
        </w:tc>
        <w:tc>
          <w:tcPr>
            <w:tcW w:w="666" w:type="pct"/>
            <w:vAlign w:val="center"/>
          </w:tcPr>
          <w:p w14:paraId="32D7984E">
            <w:pPr>
              <w:jc w:val="right"/>
              <w:textAlignment w:val="center"/>
              <w:rPr>
                <w:rFonts w:cs="Times New Roman"/>
              </w:rPr>
            </w:pPr>
            <w:r>
              <w:rPr>
                <w:rFonts w:eastAsia="Arial Narrow" w:cs="Times New Roman"/>
                <w:color w:val="000000"/>
                <w:lang w:bidi="ar"/>
              </w:rPr>
              <w:t>528,836,236.09</w:t>
            </w:r>
          </w:p>
        </w:tc>
        <w:tc>
          <w:tcPr>
            <w:tcW w:w="628" w:type="pct"/>
            <w:vAlign w:val="center"/>
          </w:tcPr>
          <w:p w14:paraId="4B6A9482">
            <w:pPr>
              <w:jc w:val="right"/>
              <w:rPr>
                <w:rFonts w:cs="Times New Roman"/>
              </w:rPr>
            </w:pPr>
          </w:p>
        </w:tc>
        <w:tc>
          <w:tcPr>
            <w:tcW w:w="563" w:type="pct"/>
            <w:vAlign w:val="center"/>
          </w:tcPr>
          <w:p w14:paraId="43B07A05">
            <w:pPr>
              <w:jc w:val="right"/>
              <w:textAlignment w:val="center"/>
              <w:rPr>
                <w:rFonts w:cs="Times New Roman"/>
              </w:rPr>
            </w:pPr>
            <w:r>
              <w:rPr>
                <w:rFonts w:eastAsia="Arial Narrow" w:cs="Times New Roman"/>
                <w:color w:val="000000"/>
                <w:lang w:bidi="ar"/>
              </w:rPr>
              <w:t>7,848,410.95</w:t>
            </w:r>
          </w:p>
        </w:tc>
        <w:tc>
          <w:tcPr>
            <w:tcW w:w="595" w:type="pct"/>
            <w:vAlign w:val="center"/>
          </w:tcPr>
          <w:p w14:paraId="047CF3EC">
            <w:pPr>
              <w:jc w:val="right"/>
              <w:textAlignment w:val="center"/>
              <w:rPr>
                <w:rFonts w:cs="Times New Roman"/>
              </w:rPr>
            </w:pPr>
            <w:r>
              <w:rPr>
                <w:rFonts w:eastAsia="Arial Narrow" w:cs="Times New Roman"/>
                <w:color w:val="000000"/>
                <w:lang w:bidi="ar"/>
              </w:rPr>
              <w:t>35,870,000.00</w:t>
            </w:r>
          </w:p>
        </w:tc>
        <w:tc>
          <w:tcPr>
            <w:tcW w:w="575" w:type="pct"/>
            <w:vAlign w:val="center"/>
          </w:tcPr>
          <w:p w14:paraId="27CB9253">
            <w:pPr>
              <w:jc w:val="right"/>
              <w:textAlignment w:val="center"/>
              <w:rPr>
                <w:rFonts w:cs="Times New Roman"/>
              </w:rPr>
            </w:pPr>
            <w:r>
              <w:rPr>
                <w:rFonts w:eastAsia="Arial Narrow" w:cs="Times New Roman"/>
                <w:color w:val="000000"/>
                <w:lang w:bidi="ar"/>
              </w:rPr>
              <w:t>-85,761.07</w:t>
            </w:r>
          </w:p>
        </w:tc>
        <w:tc>
          <w:tcPr>
            <w:tcW w:w="601" w:type="pct"/>
            <w:vAlign w:val="center"/>
          </w:tcPr>
          <w:p w14:paraId="3B8E1014">
            <w:pPr>
              <w:jc w:val="right"/>
              <w:textAlignment w:val="center"/>
              <w:rPr>
                <w:rFonts w:cs="Times New Roman"/>
              </w:rPr>
            </w:pPr>
            <w:r>
              <w:rPr>
                <w:rFonts w:eastAsia="Arial Narrow" w:cs="Times New Roman"/>
                <w:color w:val="000000"/>
                <w:lang w:bidi="ar"/>
              </w:rPr>
              <w:t>500,900,408.11</w:t>
            </w:r>
          </w:p>
        </w:tc>
      </w:tr>
      <w:tr w14:paraId="5F25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7774E4DF">
            <w:pPr>
              <w:textAlignment w:val="top"/>
              <w:rPr>
                <w:rFonts w:cs="Times New Roman"/>
              </w:rPr>
            </w:pPr>
            <w:r>
              <w:rPr>
                <w:rFonts w:cs="Times New Roman"/>
                <w:color w:val="000000"/>
                <w:lang w:bidi="ar"/>
              </w:rPr>
              <w:t>关联方借款</w:t>
            </w:r>
          </w:p>
        </w:tc>
        <w:tc>
          <w:tcPr>
            <w:tcW w:w="666" w:type="pct"/>
            <w:vAlign w:val="center"/>
          </w:tcPr>
          <w:p w14:paraId="12C21D36">
            <w:pPr>
              <w:jc w:val="right"/>
              <w:textAlignment w:val="center"/>
              <w:rPr>
                <w:rFonts w:cs="Times New Roman"/>
              </w:rPr>
            </w:pPr>
            <w:r>
              <w:rPr>
                <w:rFonts w:eastAsia="Arial Narrow" w:cs="Times New Roman"/>
                <w:color w:val="000000"/>
                <w:lang w:bidi="ar"/>
              </w:rPr>
              <w:t>269,791,875.89</w:t>
            </w:r>
          </w:p>
        </w:tc>
        <w:tc>
          <w:tcPr>
            <w:tcW w:w="628" w:type="pct"/>
            <w:vAlign w:val="center"/>
          </w:tcPr>
          <w:p w14:paraId="672C0F69">
            <w:pPr>
              <w:jc w:val="right"/>
              <w:textAlignment w:val="center"/>
              <w:rPr>
                <w:rFonts w:cs="Times New Roman"/>
              </w:rPr>
            </w:pPr>
            <w:r>
              <w:rPr>
                <w:rFonts w:eastAsia="Arial Narrow" w:cs="Times New Roman"/>
                <w:color w:val="000000"/>
                <w:lang w:bidi="ar"/>
              </w:rPr>
              <w:t>41,710,000.00</w:t>
            </w:r>
          </w:p>
        </w:tc>
        <w:tc>
          <w:tcPr>
            <w:tcW w:w="563" w:type="pct"/>
            <w:vAlign w:val="center"/>
          </w:tcPr>
          <w:p w14:paraId="00340C09">
            <w:pPr>
              <w:jc w:val="right"/>
              <w:textAlignment w:val="center"/>
              <w:rPr>
                <w:rFonts w:cs="Times New Roman"/>
              </w:rPr>
            </w:pPr>
            <w:r>
              <w:rPr>
                <w:rFonts w:eastAsia="Arial Narrow" w:cs="Times New Roman"/>
                <w:color w:val="000000"/>
                <w:lang w:bidi="ar"/>
              </w:rPr>
              <w:t>85,500.00</w:t>
            </w:r>
          </w:p>
        </w:tc>
        <w:tc>
          <w:tcPr>
            <w:tcW w:w="595" w:type="pct"/>
            <w:vAlign w:val="center"/>
          </w:tcPr>
          <w:p w14:paraId="6A8B2668">
            <w:pPr>
              <w:jc w:val="right"/>
              <w:textAlignment w:val="center"/>
              <w:rPr>
                <w:rFonts w:cs="Times New Roman"/>
              </w:rPr>
            </w:pPr>
            <w:r>
              <w:rPr>
                <w:rFonts w:eastAsia="Arial Narrow" w:cs="Times New Roman"/>
                <w:color w:val="000000"/>
                <w:lang w:bidi="ar"/>
              </w:rPr>
              <w:t>36,500,000.00</w:t>
            </w:r>
          </w:p>
        </w:tc>
        <w:tc>
          <w:tcPr>
            <w:tcW w:w="575" w:type="pct"/>
            <w:vAlign w:val="center"/>
          </w:tcPr>
          <w:p w14:paraId="1446AEB0">
            <w:pPr>
              <w:jc w:val="right"/>
              <w:textAlignment w:val="center"/>
              <w:rPr>
                <w:rFonts w:cs="Times New Roman"/>
              </w:rPr>
            </w:pPr>
            <w:r>
              <w:rPr>
                <w:rFonts w:eastAsia="Arial Narrow" w:cs="Times New Roman"/>
                <w:color w:val="000000"/>
                <w:lang w:bidi="ar"/>
              </w:rPr>
              <w:t>134,230.55</w:t>
            </w:r>
          </w:p>
        </w:tc>
        <w:tc>
          <w:tcPr>
            <w:tcW w:w="601" w:type="pct"/>
            <w:vAlign w:val="center"/>
          </w:tcPr>
          <w:p w14:paraId="0605309E">
            <w:pPr>
              <w:jc w:val="right"/>
              <w:textAlignment w:val="center"/>
              <w:rPr>
                <w:rFonts w:cs="Times New Roman"/>
              </w:rPr>
            </w:pPr>
            <w:r>
              <w:rPr>
                <w:rFonts w:eastAsia="Arial Narrow" w:cs="Times New Roman"/>
                <w:color w:val="000000"/>
                <w:lang w:bidi="ar"/>
              </w:rPr>
              <w:t>274,953,145.34</w:t>
            </w:r>
          </w:p>
        </w:tc>
      </w:tr>
      <w:tr w14:paraId="53D3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300C6891">
            <w:pPr>
              <w:textAlignment w:val="top"/>
              <w:rPr>
                <w:rFonts w:cs="Times New Roman"/>
              </w:rPr>
            </w:pPr>
            <w:r>
              <w:rPr>
                <w:rFonts w:cs="Times New Roman"/>
                <w:color w:val="000000"/>
                <w:lang w:bidi="ar"/>
              </w:rPr>
              <w:t>租赁负债（含一年内到期的租赁负债）</w:t>
            </w:r>
          </w:p>
        </w:tc>
        <w:tc>
          <w:tcPr>
            <w:tcW w:w="666" w:type="pct"/>
            <w:vAlign w:val="center"/>
          </w:tcPr>
          <w:p w14:paraId="284C2FB0">
            <w:pPr>
              <w:jc w:val="right"/>
              <w:textAlignment w:val="center"/>
              <w:rPr>
                <w:rFonts w:cs="Times New Roman"/>
              </w:rPr>
            </w:pPr>
            <w:r>
              <w:rPr>
                <w:rFonts w:eastAsia="Arial Narrow" w:cs="Times New Roman"/>
                <w:color w:val="000000"/>
                <w:lang w:bidi="ar"/>
              </w:rPr>
              <w:t>11,142,974.73</w:t>
            </w:r>
          </w:p>
        </w:tc>
        <w:tc>
          <w:tcPr>
            <w:tcW w:w="628" w:type="pct"/>
            <w:vAlign w:val="center"/>
          </w:tcPr>
          <w:p w14:paraId="63C3ABE1">
            <w:pPr>
              <w:jc w:val="right"/>
              <w:rPr>
                <w:rFonts w:cs="Times New Roman"/>
              </w:rPr>
            </w:pPr>
          </w:p>
        </w:tc>
        <w:tc>
          <w:tcPr>
            <w:tcW w:w="563" w:type="pct"/>
            <w:vAlign w:val="center"/>
          </w:tcPr>
          <w:p w14:paraId="2DF06AA1">
            <w:pPr>
              <w:jc w:val="right"/>
              <w:textAlignment w:val="center"/>
              <w:rPr>
                <w:rFonts w:cs="Times New Roman"/>
              </w:rPr>
            </w:pPr>
            <w:r>
              <w:rPr>
                <w:rFonts w:eastAsia="Arial Narrow" w:cs="Times New Roman"/>
                <w:color w:val="000000"/>
                <w:lang w:bidi="ar"/>
              </w:rPr>
              <w:t>337,288.59</w:t>
            </w:r>
          </w:p>
        </w:tc>
        <w:tc>
          <w:tcPr>
            <w:tcW w:w="595" w:type="pct"/>
            <w:vAlign w:val="center"/>
          </w:tcPr>
          <w:p w14:paraId="501CE97F">
            <w:pPr>
              <w:jc w:val="right"/>
              <w:textAlignment w:val="center"/>
              <w:rPr>
                <w:rFonts w:cs="Times New Roman"/>
              </w:rPr>
            </w:pPr>
            <w:r>
              <w:rPr>
                <w:rFonts w:eastAsia="Arial Narrow" w:cs="Times New Roman"/>
                <w:color w:val="000000"/>
                <w:lang w:bidi="ar"/>
              </w:rPr>
              <w:t>1,350,000.00</w:t>
            </w:r>
          </w:p>
        </w:tc>
        <w:tc>
          <w:tcPr>
            <w:tcW w:w="575" w:type="pct"/>
            <w:vAlign w:val="center"/>
          </w:tcPr>
          <w:p w14:paraId="2D441F7F">
            <w:pPr>
              <w:jc w:val="right"/>
              <w:rPr>
                <w:rFonts w:cs="Times New Roman"/>
              </w:rPr>
            </w:pPr>
          </w:p>
        </w:tc>
        <w:tc>
          <w:tcPr>
            <w:tcW w:w="601" w:type="pct"/>
            <w:vAlign w:val="center"/>
          </w:tcPr>
          <w:p w14:paraId="05909036">
            <w:pPr>
              <w:jc w:val="right"/>
              <w:textAlignment w:val="center"/>
              <w:rPr>
                <w:rFonts w:cs="Times New Roman"/>
              </w:rPr>
            </w:pPr>
            <w:r>
              <w:rPr>
                <w:rFonts w:eastAsia="Arial Narrow" w:cs="Times New Roman"/>
                <w:color w:val="000000"/>
                <w:lang w:bidi="ar"/>
              </w:rPr>
              <w:t>10,130,263.32</w:t>
            </w:r>
          </w:p>
        </w:tc>
      </w:tr>
      <w:tr w14:paraId="0965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51AC2D95">
            <w:pPr>
              <w:textAlignment w:val="top"/>
              <w:rPr>
                <w:rFonts w:cs="Times New Roman"/>
              </w:rPr>
            </w:pPr>
            <w:r>
              <w:rPr>
                <w:rFonts w:cs="Times New Roman"/>
                <w:color w:val="000000"/>
                <w:lang w:bidi="ar"/>
              </w:rPr>
              <w:t>应付利息</w:t>
            </w:r>
          </w:p>
        </w:tc>
        <w:tc>
          <w:tcPr>
            <w:tcW w:w="666" w:type="pct"/>
            <w:vAlign w:val="center"/>
          </w:tcPr>
          <w:p w14:paraId="140CE088">
            <w:pPr>
              <w:jc w:val="right"/>
              <w:rPr>
                <w:rFonts w:cs="Times New Roman"/>
              </w:rPr>
            </w:pPr>
          </w:p>
        </w:tc>
        <w:tc>
          <w:tcPr>
            <w:tcW w:w="628" w:type="pct"/>
            <w:vAlign w:val="center"/>
          </w:tcPr>
          <w:p w14:paraId="1E14E0DF">
            <w:pPr>
              <w:jc w:val="right"/>
              <w:rPr>
                <w:rFonts w:cs="Times New Roman"/>
              </w:rPr>
            </w:pPr>
          </w:p>
        </w:tc>
        <w:tc>
          <w:tcPr>
            <w:tcW w:w="563" w:type="pct"/>
            <w:vAlign w:val="center"/>
          </w:tcPr>
          <w:p w14:paraId="2E4A9792">
            <w:pPr>
              <w:jc w:val="right"/>
              <w:textAlignment w:val="center"/>
              <w:rPr>
                <w:rFonts w:cs="Times New Roman"/>
              </w:rPr>
            </w:pPr>
            <w:r>
              <w:rPr>
                <w:rFonts w:eastAsia="Arial Narrow" w:cs="Times New Roman"/>
                <w:color w:val="000000"/>
                <w:lang w:bidi="ar"/>
              </w:rPr>
              <w:t>32,358,510.39</w:t>
            </w:r>
          </w:p>
        </w:tc>
        <w:tc>
          <w:tcPr>
            <w:tcW w:w="595" w:type="pct"/>
            <w:vAlign w:val="center"/>
          </w:tcPr>
          <w:p w14:paraId="19F443FC">
            <w:pPr>
              <w:jc w:val="right"/>
              <w:textAlignment w:val="center"/>
              <w:rPr>
                <w:rFonts w:cs="Times New Roman"/>
              </w:rPr>
            </w:pPr>
            <w:r>
              <w:rPr>
                <w:rFonts w:eastAsia="Arial Narrow" w:cs="Times New Roman"/>
                <w:color w:val="000000"/>
                <w:lang w:bidi="ar"/>
              </w:rPr>
              <w:t>32,358,510.39</w:t>
            </w:r>
          </w:p>
        </w:tc>
        <w:tc>
          <w:tcPr>
            <w:tcW w:w="575" w:type="pct"/>
            <w:vAlign w:val="center"/>
          </w:tcPr>
          <w:p w14:paraId="55466B76">
            <w:pPr>
              <w:jc w:val="right"/>
              <w:rPr>
                <w:rFonts w:cs="Times New Roman"/>
              </w:rPr>
            </w:pPr>
          </w:p>
        </w:tc>
        <w:tc>
          <w:tcPr>
            <w:tcW w:w="601" w:type="pct"/>
            <w:vAlign w:val="center"/>
          </w:tcPr>
          <w:p w14:paraId="2AA565C5">
            <w:pPr>
              <w:jc w:val="right"/>
              <w:rPr>
                <w:rFonts w:cs="Times New Roman"/>
              </w:rPr>
            </w:pPr>
          </w:p>
        </w:tc>
      </w:tr>
      <w:tr w14:paraId="1953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369" w:type="pct"/>
          </w:tcPr>
          <w:p w14:paraId="6316F30D">
            <w:pPr>
              <w:autoSpaceDE w:val="0"/>
              <w:autoSpaceDN w:val="0"/>
              <w:adjustRightInd w:val="0"/>
              <w:snapToGri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666" w:type="pct"/>
            <w:vAlign w:val="center"/>
          </w:tcPr>
          <w:p w14:paraId="1E0AF98F">
            <w:pPr>
              <w:jc w:val="right"/>
              <w:textAlignment w:val="center"/>
              <w:rPr>
                <w:rFonts w:cs="Times New Roman"/>
              </w:rPr>
            </w:pPr>
            <w:r>
              <w:rPr>
                <w:rFonts w:eastAsia="Arial Narrow" w:cs="Times New Roman"/>
                <w:color w:val="000000"/>
                <w:lang w:bidi="ar"/>
              </w:rPr>
              <w:t>1,780,178,318.61</w:t>
            </w:r>
          </w:p>
        </w:tc>
        <w:tc>
          <w:tcPr>
            <w:tcW w:w="628" w:type="pct"/>
            <w:vAlign w:val="center"/>
          </w:tcPr>
          <w:p w14:paraId="255AE547">
            <w:pPr>
              <w:jc w:val="right"/>
              <w:textAlignment w:val="center"/>
              <w:rPr>
                <w:rFonts w:cs="Times New Roman"/>
              </w:rPr>
            </w:pPr>
            <w:r>
              <w:rPr>
                <w:rFonts w:eastAsia="Arial Narrow" w:cs="Times New Roman"/>
                <w:color w:val="000000"/>
                <w:lang w:bidi="ar"/>
              </w:rPr>
              <w:t>2,198,640,803.38</w:t>
            </w:r>
          </w:p>
        </w:tc>
        <w:tc>
          <w:tcPr>
            <w:tcW w:w="563" w:type="pct"/>
            <w:vAlign w:val="center"/>
          </w:tcPr>
          <w:p w14:paraId="56741C7D">
            <w:pPr>
              <w:jc w:val="right"/>
              <w:textAlignment w:val="center"/>
              <w:rPr>
                <w:rFonts w:cs="Times New Roman"/>
              </w:rPr>
            </w:pPr>
            <w:r>
              <w:rPr>
                <w:rFonts w:eastAsia="Arial Narrow" w:cs="Times New Roman"/>
                <w:color w:val="000000"/>
                <w:lang w:bidi="ar"/>
              </w:rPr>
              <w:t>42,370,473.05</w:t>
            </w:r>
          </w:p>
        </w:tc>
        <w:tc>
          <w:tcPr>
            <w:tcW w:w="595" w:type="pct"/>
            <w:vAlign w:val="center"/>
          </w:tcPr>
          <w:p w14:paraId="7ABDF303">
            <w:pPr>
              <w:jc w:val="right"/>
              <w:textAlignment w:val="center"/>
              <w:rPr>
                <w:rFonts w:cs="Times New Roman"/>
              </w:rPr>
            </w:pPr>
            <w:r>
              <w:rPr>
                <w:rFonts w:eastAsia="Arial Narrow" w:cs="Times New Roman"/>
                <w:color w:val="000000"/>
                <w:lang w:bidi="ar"/>
              </w:rPr>
              <w:t>415,628,510.39</w:t>
            </w:r>
          </w:p>
        </w:tc>
        <w:tc>
          <w:tcPr>
            <w:tcW w:w="575" w:type="pct"/>
            <w:vAlign w:val="center"/>
          </w:tcPr>
          <w:p w14:paraId="6089502D">
            <w:pPr>
              <w:jc w:val="right"/>
              <w:textAlignment w:val="center"/>
              <w:rPr>
                <w:rFonts w:cs="Times New Roman"/>
              </w:rPr>
            </w:pPr>
            <w:r>
              <w:rPr>
                <w:rFonts w:eastAsia="Arial Narrow" w:cs="Times New Roman"/>
                <w:color w:val="000000"/>
                <w:lang w:bidi="ar"/>
              </w:rPr>
              <w:t>580,701.38</w:t>
            </w:r>
          </w:p>
        </w:tc>
        <w:tc>
          <w:tcPr>
            <w:tcW w:w="601" w:type="pct"/>
            <w:vAlign w:val="center"/>
          </w:tcPr>
          <w:p w14:paraId="61C98167">
            <w:pPr>
              <w:jc w:val="right"/>
              <w:textAlignment w:val="center"/>
              <w:rPr>
                <w:rFonts w:cs="Times New Roman"/>
              </w:rPr>
            </w:pPr>
            <w:r>
              <w:rPr>
                <w:rFonts w:eastAsia="Arial Narrow" w:cs="Times New Roman"/>
                <w:color w:val="000000"/>
                <w:lang w:bidi="ar"/>
              </w:rPr>
              <w:t>3,604,980,383.27</w:t>
            </w:r>
          </w:p>
        </w:tc>
      </w:tr>
    </w:tbl>
    <w:p w14:paraId="6FAACCE4">
      <w:pPr>
        <w:rPr>
          <w:color w:val="000000" w:themeColor="text1"/>
          <w14:textFill>
            <w14:solidFill>
              <w14:schemeClr w14:val="tx1"/>
            </w14:solidFill>
          </w14:textFill>
        </w:rPr>
      </w:pPr>
    </w:p>
    <w:p w14:paraId="30F1E77F">
      <w:pPr>
        <w:pStyle w:val="58"/>
        <w:numPr>
          <w:ilvl w:val="0"/>
          <w:numId w:val="90"/>
        </w:numPr>
        <w:rPr>
          <w:color w:val="000000" w:themeColor="text1"/>
          <w14:textFill>
            <w14:solidFill>
              <w14:schemeClr w14:val="tx1"/>
            </w14:solidFill>
          </w14:textFill>
        </w:rPr>
      </w:pPr>
      <w:r>
        <w:rPr>
          <w:rFonts w:hint="eastAsia"/>
          <w:color w:val="000000" w:themeColor="text1"/>
          <w14:textFill>
            <w14:solidFill>
              <w14:schemeClr w14:val="tx1"/>
            </w14:solidFill>
          </w14:textFill>
        </w:rPr>
        <w:t>以净额列报现金流量的说明</w:t>
      </w:r>
    </w:p>
    <w:sdt>
      <w:sdtPr>
        <w:rPr>
          <w:color w:val="000000" w:themeColor="text1"/>
          <w14:textFill>
            <w14:solidFill>
              <w14:schemeClr w14:val="tx1"/>
            </w14:solidFill>
          </w14:textFill>
        </w:rPr>
        <w:alias w:val="是否适用：以净额列报现金流量的说明[双击切换]"/>
        <w:tag w:val="_GBC_7e5edd2dccad4675a4426511c2fa01e0"/>
        <w:id w:val="147457452"/>
        <w:placeholder>
          <w:docPart w:val="GBC22222222222222222222222222222"/>
        </w:placeholder>
      </w:sdtPr>
      <w:sdtEndPr>
        <w:rPr>
          <w:color w:val="000000" w:themeColor="text1"/>
          <w14:textFill>
            <w14:solidFill>
              <w14:schemeClr w14:val="tx1"/>
            </w14:solidFill>
          </w14:textFill>
        </w:rPr>
      </w:sdtEndPr>
      <w:sdtContent>
        <w:p w14:paraId="761B30CE">
          <w:pPr>
            <w:ind w:right="5"/>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99591CE">
      <w:pPr>
        <w:ind w:right="5"/>
        <w:rPr>
          <w:color w:val="000000" w:themeColor="text1"/>
          <w14:textFill>
            <w14:solidFill>
              <w14:schemeClr w14:val="tx1"/>
            </w14:solidFill>
          </w14:textFill>
        </w:rPr>
      </w:pPr>
    </w:p>
    <w:p w14:paraId="475BA013">
      <w:pPr>
        <w:pStyle w:val="58"/>
        <w:numPr>
          <w:ilvl w:val="0"/>
          <w:numId w:val="90"/>
        </w:numPr>
        <w:rPr>
          <w:color w:val="000000" w:themeColor="text1"/>
          <w14:textFill>
            <w14:solidFill>
              <w14:schemeClr w14:val="tx1"/>
            </w14:solidFill>
          </w14:textFill>
        </w:rPr>
      </w:pPr>
      <w:r>
        <w:rPr>
          <w:rFonts w:hint="eastAsia"/>
          <w:color w:val="000000" w:themeColor="text1"/>
          <w14:textFill>
            <w14:solidFill>
              <w14:schemeClr w14:val="tx1"/>
            </w14:solidFill>
          </w14:textFill>
        </w:rPr>
        <w:t>不涉及当期现金收支、但影响企业财务状况或在未来可能影响企业现金流量的重大活动及财务影响</w:t>
      </w:r>
    </w:p>
    <w:sdt>
      <w:sdtPr>
        <w:rPr>
          <w:color w:val="000000" w:themeColor="text1"/>
          <w14:textFill>
            <w14:solidFill>
              <w14:schemeClr w14:val="tx1"/>
            </w14:solidFill>
          </w14:textFill>
        </w:rPr>
        <w:alias w:val="是否适用：不涉及当期现金收支、但影响企业财务状况或在未来可能影响企业现金流量的重大活动及财务影响[双击切换]"/>
        <w:tag w:val="_GBC_07ea2264f8804cb2922afb33860595fb"/>
        <w:id w:val="147462276"/>
        <w:placeholder>
          <w:docPart w:val="GBC22222222222222222222222222222"/>
        </w:placeholder>
      </w:sdtPr>
      <w:sdtEndPr>
        <w:rPr>
          <w:color w:val="000000" w:themeColor="text1"/>
          <w14:textFill>
            <w14:solidFill>
              <w14:schemeClr w14:val="tx1"/>
            </w14:solidFill>
          </w14:textFill>
        </w:rPr>
      </w:sdtEndPr>
      <w:sdtContent>
        <w:p w14:paraId="0D8C64FF">
          <w:pPr>
            <w:ind w:right="5"/>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A0F91E">
      <w:pPr>
        <w:ind w:right="5"/>
        <w:rPr>
          <w:rFonts w:ascii="Calibri" w:hAnsi="Calibri" w:cs="Times New Roman"/>
          <w:color w:val="000000" w:themeColor="text1"/>
          <w:kern w:val="2"/>
          <w:szCs w:val="22"/>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702F8EF">
      <w:pPr>
        <w:ind w:right="5"/>
        <w:rPr>
          <w:rFonts w:ascii="Calibri" w:hAnsi="Calibri" w:cs="Times New Roman"/>
          <w:color w:val="000000" w:themeColor="text1"/>
          <w:kern w:val="2"/>
          <w:szCs w:val="22"/>
          <w14:textFill>
            <w14:solidFill>
              <w14:schemeClr w14:val="tx1"/>
            </w14:solidFill>
          </w14:textFill>
        </w:rPr>
      </w:pPr>
    </w:p>
    <w:bookmarkEnd w:id="394"/>
    <w:p w14:paraId="64AE1339">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现金流量表补充资料</w:t>
      </w:r>
    </w:p>
    <w:p w14:paraId="0B9F01D5">
      <w:pPr>
        <w:pStyle w:val="58"/>
        <w:numPr>
          <w:ilvl w:val="0"/>
          <w:numId w:val="9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现金流量表补充资料</w:t>
      </w:r>
    </w:p>
    <w:sdt>
      <w:sdtPr>
        <w:rPr>
          <w:color w:val="000000" w:themeColor="text1"/>
          <w14:textFill>
            <w14:solidFill>
              <w14:schemeClr w14:val="tx1"/>
            </w14:solidFill>
          </w14:textFill>
        </w:rPr>
        <w:alias w:val="是否适用：现金流量表补充资料[双击切换]"/>
        <w:tag w:val="_GBC_3ee8e178479245ea907bff86e4dcd54a"/>
        <w:id w:val="147481894"/>
        <w:placeholder>
          <w:docPart w:val="GBC22222222222222222222222222222"/>
        </w:placeholder>
      </w:sdtPr>
      <w:sdtEndPr>
        <w:rPr>
          <w:color w:val="000000" w:themeColor="text1"/>
          <w14:textFill>
            <w14:solidFill>
              <w14:schemeClr w14:val="tx1"/>
            </w14:solidFill>
          </w14:textFill>
        </w:rPr>
      </w:sdtEndPr>
      <w:sdtContent>
        <w:p w14:paraId="0459C56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7DC5BC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现金流量表补充资料"/>
          <w:tag w:val="_GBC_ba7cd13a54fa44929e0fd4c276876d0e"/>
          <w:id w:val="1474701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现金流量表补充资料"/>
          <w:tag w:val="_GBC_715164ef2f2b4f258a0908b254229361"/>
          <w:id w:val="14747962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3"/>
        <w:gridCol w:w="1906"/>
        <w:gridCol w:w="2150"/>
      </w:tblGrid>
      <w:tr w14:paraId="50E9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a6ea455751354381bc869d5865ef3d8f"/>
            <w:id w:val="147459102"/>
          </w:sdtPr>
          <w:sdtEndPr>
            <w:rPr>
              <w:rFonts w:cs="Times New Roman"/>
            </w:rPr>
          </w:sdtEndPr>
          <w:sdtContent>
            <w:tc>
              <w:tcPr>
                <w:tcW w:w="2759" w:type="pct"/>
                <w:vAlign w:val="center"/>
              </w:tcPr>
              <w:p w14:paraId="143E559C">
                <w:pPr>
                  <w:jc w:val="center"/>
                  <w:rPr>
                    <w:rFonts w:cs="Times New Roman"/>
                    <w:bCs w:val="0"/>
                    <w:color w:val="000000" w:themeColor="text1"/>
                    <w14:textFill>
                      <w14:solidFill>
                        <w14:schemeClr w14:val="tx1"/>
                      </w14:solidFill>
                    </w14:textFill>
                  </w:rPr>
                </w:pPr>
                <w:r>
                  <w:rPr>
                    <w:rFonts w:cs="Times New Roman"/>
                    <w:color w:val="000000" w:themeColor="text1"/>
                    <w14:textFill>
                      <w14:solidFill>
                        <w14:schemeClr w14:val="tx1"/>
                      </w14:solidFill>
                    </w14:textFill>
                  </w:rPr>
                  <w:t>补充资料</w:t>
                </w:r>
              </w:p>
            </w:tc>
          </w:sdtContent>
        </w:sdt>
        <w:sdt>
          <w:sdtPr>
            <w:rPr>
              <w:rFonts w:cs="Times New Roman"/>
            </w:rPr>
            <w:tag w:val="_PLD_0687e3743a4e4e2db7b08855f23641e8"/>
            <w:id w:val="147469817"/>
          </w:sdtPr>
          <w:sdtEndPr>
            <w:rPr>
              <w:rFonts w:cs="Times New Roman"/>
            </w:rPr>
          </w:sdtEndPr>
          <w:sdtContent>
            <w:tc>
              <w:tcPr>
                <w:tcW w:w="1053" w:type="pct"/>
                <w:vAlign w:val="center"/>
              </w:tcPr>
              <w:p w14:paraId="4CE3985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本期金额</w:t>
                </w:r>
              </w:p>
            </w:tc>
          </w:sdtContent>
        </w:sdt>
        <w:sdt>
          <w:sdtPr>
            <w:rPr>
              <w:rFonts w:cs="Times New Roman"/>
            </w:rPr>
            <w:tag w:val="_PLD_f90342638d124edea40aa264bbe65e8e"/>
            <w:id w:val="147468559"/>
          </w:sdtPr>
          <w:sdtEndPr>
            <w:rPr>
              <w:rFonts w:cs="Times New Roman"/>
            </w:rPr>
          </w:sdtEndPr>
          <w:sdtContent>
            <w:tc>
              <w:tcPr>
                <w:tcW w:w="1186" w:type="pct"/>
                <w:vAlign w:val="center"/>
              </w:tcPr>
              <w:p w14:paraId="28E3F30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上期金额</w:t>
                </w:r>
              </w:p>
            </w:tc>
          </w:sdtContent>
        </w:sdt>
      </w:tr>
      <w:tr w14:paraId="5AAA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0a799a1250f946df9181881c4b1f3829"/>
            <w:id w:val="147466088"/>
          </w:sdtPr>
          <w:sdtEndPr>
            <w:rPr>
              <w:rFonts w:cs="Times New Roman"/>
            </w:rPr>
          </w:sdtEndPr>
          <w:sdtContent>
            <w:tc>
              <w:tcPr>
                <w:tcW w:w="5000" w:type="pct"/>
                <w:gridSpan w:val="3"/>
              </w:tcPr>
              <w:p w14:paraId="1F899E09">
                <w:pPr>
                  <w:jc w:val="both"/>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1．将净利润调节为经营活动现金流量：</w:t>
                </w:r>
              </w:p>
            </w:tc>
          </w:sdtContent>
        </w:sdt>
      </w:tr>
      <w:tr w14:paraId="6C64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6171EAE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净利润</w:t>
            </w:r>
          </w:p>
        </w:tc>
        <w:tc>
          <w:tcPr>
            <w:tcW w:w="1053" w:type="pct"/>
            <w:vAlign w:val="center"/>
          </w:tcPr>
          <w:p w14:paraId="41C59AAA">
            <w:pPr>
              <w:jc w:val="right"/>
              <w:textAlignment w:val="center"/>
              <w:rPr>
                <w:rFonts w:cs="Times New Roman"/>
                <w:highlight w:val="cyan"/>
              </w:rPr>
            </w:pPr>
            <w:r>
              <w:rPr>
                <w:rFonts w:eastAsia="Arial Narrow" w:cs="Times New Roman"/>
                <w:color w:val="000000"/>
                <w:lang w:bidi="ar"/>
              </w:rPr>
              <w:t>-79,668,596.62</w:t>
            </w:r>
          </w:p>
        </w:tc>
        <w:tc>
          <w:tcPr>
            <w:tcW w:w="1186" w:type="pct"/>
            <w:vAlign w:val="center"/>
          </w:tcPr>
          <w:p w14:paraId="6C330C27">
            <w:pPr>
              <w:jc w:val="right"/>
              <w:textAlignment w:val="center"/>
              <w:rPr>
                <w:rFonts w:cs="Times New Roman"/>
              </w:rPr>
            </w:pPr>
            <w:r>
              <w:rPr>
                <w:rFonts w:cs="Times New Roman"/>
                <w:color w:val="000000"/>
              </w:rPr>
              <w:t>-52,385,831.67</w:t>
            </w:r>
          </w:p>
        </w:tc>
      </w:tr>
      <w:tr w14:paraId="7D59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4A0A37B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加：资产减值准备</w:t>
            </w:r>
          </w:p>
        </w:tc>
        <w:tc>
          <w:tcPr>
            <w:tcW w:w="1053" w:type="pct"/>
            <w:vAlign w:val="center"/>
          </w:tcPr>
          <w:p w14:paraId="62E88F91">
            <w:pPr>
              <w:jc w:val="right"/>
              <w:textAlignment w:val="center"/>
              <w:rPr>
                <w:rFonts w:cs="Times New Roman"/>
                <w:highlight w:val="cyan"/>
              </w:rPr>
            </w:pPr>
            <w:r>
              <w:rPr>
                <w:rFonts w:eastAsia="Arial Narrow" w:cs="Times New Roman"/>
                <w:color w:val="000000"/>
                <w:lang w:bidi="ar"/>
              </w:rPr>
              <w:t>17,510,642.11</w:t>
            </w:r>
          </w:p>
        </w:tc>
        <w:tc>
          <w:tcPr>
            <w:tcW w:w="1186" w:type="pct"/>
            <w:vAlign w:val="center"/>
          </w:tcPr>
          <w:p w14:paraId="6B743D8C">
            <w:pPr>
              <w:jc w:val="right"/>
              <w:rPr>
                <w:rFonts w:cs="Times New Roman"/>
              </w:rPr>
            </w:pPr>
          </w:p>
        </w:tc>
      </w:tr>
      <w:tr w14:paraId="0E3C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3BCE18D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信用减值损失</w:t>
            </w:r>
          </w:p>
        </w:tc>
        <w:tc>
          <w:tcPr>
            <w:tcW w:w="1053" w:type="pct"/>
            <w:vAlign w:val="center"/>
          </w:tcPr>
          <w:p w14:paraId="7866305C">
            <w:pPr>
              <w:jc w:val="right"/>
              <w:textAlignment w:val="center"/>
              <w:rPr>
                <w:rFonts w:cs="Times New Roman"/>
                <w:highlight w:val="cyan"/>
              </w:rPr>
            </w:pPr>
            <w:r>
              <w:rPr>
                <w:rFonts w:eastAsia="Arial Narrow" w:cs="Times New Roman"/>
                <w:color w:val="000000"/>
                <w:lang w:bidi="ar"/>
              </w:rPr>
              <w:t>20,724,573.95</w:t>
            </w:r>
          </w:p>
        </w:tc>
        <w:tc>
          <w:tcPr>
            <w:tcW w:w="1186" w:type="pct"/>
            <w:vAlign w:val="center"/>
          </w:tcPr>
          <w:p w14:paraId="35F930ED">
            <w:pPr>
              <w:jc w:val="right"/>
              <w:textAlignment w:val="center"/>
              <w:rPr>
                <w:rFonts w:cs="Times New Roman"/>
              </w:rPr>
            </w:pPr>
            <w:r>
              <w:rPr>
                <w:rFonts w:cs="Times New Roman"/>
                <w:color w:val="000000"/>
              </w:rPr>
              <w:t>-3,689,827.51</w:t>
            </w:r>
          </w:p>
        </w:tc>
      </w:tr>
      <w:tr w14:paraId="2DCC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29D8F43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固定资产折旧、油气资产折耗、生产性生物资产折旧</w:t>
            </w:r>
          </w:p>
        </w:tc>
        <w:tc>
          <w:tcPr>
            <w:tcW w:w="1053" w:type="pct"/>
            <w:vAlign w:val="center"/>
          </w:tcPr>
          <w:p w14:paraId="286C7A3E">
            <w:pPr>
              <w:jc w:val="right"/>
              <w:textAlignment w:val="center"/>
              <w:rPr>
                <w:rFonts w:cs="Times New Roman"/>
                <w:highlight w:val="cyan"/>
              </w:rPr>
            </w:pPr>
            <w:r>
              <w:rPr>
                <w:rFonts w:eastAsia="Arial Narrow" w:cs="Times New Roman"/>
                <w:color w:val="000000"/>
                <w:lang w:bidi="ar"/>
              </w:rPr>
              <w:t>158,572,282.91</w:t>
            </w:r>
          </w:p>
        </w:tc>
        <w:tc>
          <w:tcPr>
            <w:tcW w:w="1186" w:type="pct"/>
            <w:vAlign w:val="center"/>
          </w:tcPr>
          <w:p w14:paraId="4DDA7491">
            <w:pPr>
              <w:jc w:val="right"/>
              <w:textAlignment w:val="center"/>
              <w:rPr>
                <w:rFonts w:cs="Times New Roman"/>
              </w:rPr>
            </w:pPr>
            <w:r>
              <w:rPr>
                <w:rFonts w:cs="Times New Roman"/>
                <w:color w:val="000000"/>
              </w:rPr>
              <w:t>153,023,473.99</w:t>
            </w:r>
          </w:p>
        </w:tc>
      </w:tr>
      <w:tr w14:paraId="085E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0BD32049">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使用权资产摊销</w:t>
            </w:r>
          </w:p>
        </w:tc>
        <w:tc>
          <w:tcPr>
            <w:tcW w:w="1053" w:type="pct"/>
            <w:vAlign w:val="center"/>
          </w:tcPr>
          <w:p w14:paraId="28C73C76">
            <w:pPr>
              <w:jc w:val="right"/>
              <w:textAlignment w:val="center"/>
              <w:rPr>
                <w:rFonts w:cs="Times New Roman"/>
                <w:highlight w:val="cyan"/>
              </w:rPr>
            </w:pPr>
            <w:r>
              <w:rPr>
                <w:rFonts w:eastAsia="Arial Narrow" w:cs="Times New Roman"/>
                <w:color w:val="000000"/>
                <w:lang w:bidi="ar"/>
              </w:rPr>
              <w:t>709,745.55</w:t>
            </w:r>
          </w:p>
        </w:tc>
        <w:tc>
          <w:tcPr>
            <w:tcW w:w="1186" w:type="pct"/>
            <w:vAlign w:val="center"/>
          </w:tcPr>
          <w:p w14:paraId="7285993D">
            <w:pPr>
              <w:jc w:val="right"/>
              <w:textAlignment w:val="center"/>
              <w:rPr>
                <w:rFonts w:cs="Times New Roman"/>
              </w:rPr>
            </w:pPr>
            <w:r>
              <w:rPr>
                <w:rFonts w:cs="Times New Roman"/>
                <w:color w:val="000000"/>
              </w:rPr>
              <w:t>3,632,609.10</w:t>
            </w:r>
          </w:p>
        </w:tc>
      </w:tr>
      <w:tr w14:paraId="1361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64DFCB9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无形资产摊销</w:t>
            </w:r>
          </w:p>
        </w:tc>
        <w:tc>
          <w:tcPr>
            <w:tcW w:w="1053" w:type="pct"/>
            <w:vAlign w:val="center"/>
          </w:tcPr>
          <w:p w14:paraId="7865CC51">
            <w:pPr>
              <w:jc w:val="right"/>
              <w:textAlignment w:val="center"/>
              <w:rPr>
                <w:rFonts w:cs="Times New Roman"/>
                <w:highlight w:val="cyan"/>
              </w:rPr>
            </w:pPr>
            <w:r>
              <w:rPr>
                <w:rFonts w:eastAsia="Arial Narrow" w:cs="Times New Roman"/>
                <w:color w:val="000000"/>
                <w:lang w:bidi="ar"/>
              </w:rPr>
              <w:t>21,259,240.02</w:t>
            </w:r>
          </w:p>
        </w:tc>
        <w:tc>
          <w:tcPr>
            <w:tcW w:w="1186" w:type="pct"/>
            <w:vAlign w:val="center"/>
          </w:tcPr>
          <w:p w14:paraId="7EBD9D93">
            <w:pPr>
              <w:jc w:val="right"/>
              <w:textAlignment w:val="center"/>
              <w:rPr>
                <w:rFonts w:cs="Times New Roman"/>
              </w:rPr>
            </w:pPr>
            <w:r>
              <w:rPr>
                <w:rFonts w:cs="Times New Roman"/>
                <w:color w:val="000000"/>
              </w:rPr>
              <w:t>29,108,454.02</w:t>
            </w:r>
          </w:p>
        </w:tc>
      </w:tr>
      <w:tr w14:paraId="2422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54B20A4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长期待摊费用摊销</w:t>
            </w:r>
          </w:p>
        </w:tc>
        <w:tc>
          <w:tcPr>
            <w:tcW w:w="1053" w:type="pct"/>
            <w:vAlign w:val="center"/>
          </w:tcPr>
          <w:p w14:paraId="44B4BE64">
            <w:pPr>
              <w:jc w:val="right"/>
              <w:textAlignment w:val="center"/>
              <w:rPr>
                <w:rFonts w:cs="Times New Roman"/>
                <w:highlight w:val="cyan"/>
              </w:rPr>
            </w:pPr>
            <w:r>
              <w:rPr>
                <w:rFonts w:eastAsia="Arial Narrow" w:cs="Times New Roman"/>
                <w:color w:val="000000"/>
                <w:lang w:bidi="ar"/>
              </w:rPr>
              <w:t>5,348,592.25</w:t>
            </w:r>
          </w:p>
        </w:tc>
        <w:tc>
          <w:tcPr>
            <w:tcW w:w="1186" w:type="pct"/>
            <w:vAlign w:val="center"/>
          </w:tcPr>
          <w:p w14:paraId="4507B05C">
            <w:pPr>
              <w:jc w:val="right"/>
              <w:textAlignment w:val="center"/>
              <w:rPr>
                <w:rFonts w:cs="Times New Roman"/>
              </w:rPr>
            </w:pPr>
            <w:r>
              <w:rPr>
                <w:rFonts w:cs="Times New Roman"/>
                <w:color w:val="000000"/>
              </w:rPr>
              <w:t>4,085,216.70</w:t>
            </w:r>
          </w:p>
        </w:tc>
      </w:tr>
      <w:tr w14:paraId="157F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16C663D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处置固定资产、无形资产和其他长期资产的损失（收益以“－”号填列）</w:t>
            </w:r>
          </w:p>
        </w:tc>
        <w:tc>
          <w:tcPr>
            <w:tcW w:w="1053" w:type="pct"/>
            <w:vAlign w:val="center"/>
          </w:tcPr>
          <w:p w14:paraId="0D7C2F5B">
            <w:pPr>
              <w:jc w:val="right"/>
              <w:textAlignment w:val="center"/>
              <w:rPr>
                <w:rFonts w:cs="Times New Roman"/>
                <w:highlight w:val="cyan"/>
              </w:rPr>
            </w:pPr>
            <w:r>
              <w:rPr>
                <w:rFonts w:eastAsia="Arial Narrow" w:cs="Times New Roman"/>
                <w:color w:val="000000"/>
                <w:lang w:bidi="ar"/>
              </w:rPr>
              <w:t>-1,077,259.35</w:t>
            </w:r>
          </w:p>
        </w:tc>
        <w:tc>
          <w:tcPr>
            <w:tcW w:w="1186" w:type="pct"/>
            <w:vAlign w:val="center"/>
          </w:tcPr>
          <w:p w14:paraId="0C322B6A">
            <w:pPr>
              <w:jc w:val="right"/>
              <w:textAlignment w:val="center"/>
              <w:rPr>
                <w:rFonts w:cs="Times New Roman"/>
              </w:rPr>
            </w:pPr>
            <w:r>
              <w:rPr>
                <w:rFonts w:cs="Times New Roman"/>
                <w:color w:val="000000"/>
              </w:rPr>
              <w:t>-78,391.18</w:t>
            </w:r>
          </w:p>
        </w:tc>
      </w:tr>
      <w:tr w14:paraId="1FC2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1937D95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固定资产报废损失（收益以“－”号填列）</w:t>
            </w:r>
          </w:p>
        </w:tc>
        <w:tc>
          <w:tcPr>
            <w:tcW w:w="1053" w:type="pct"/>
            <w:vAlign w:val="center"/>
          </w:tcPr>
          <w:p w14:paraId="74A33903">
            <w:pPr>
              <w:jc w:val="right"/>
              <w:rPr>
                <w:rFonts w:cs="Times New Roman"/>
                <w:highlight w:val="cyan"/>
              </w:rPr>
            </w:pPr>
          </w:p>
        </w:tc>
        <w:tc>
          <w:tcPr>
            <w:tcW w:w="1186" w:type="pct"/>
            <w:vAlign w:val="center"/>
          </w:tcPr>
          <w:p w14:paraId="4A38856F">
            <w:pPr>
              <w:jc w:val="right"/>
              <w:textAlignment w:val="center"/>
              <w:rPr>
                <w:rFonts w:cs="Times New Roman"/>
              </w:rPr>
            </w:pPr>
            <w:r>
              <w:rPr>
                <w:rFonts w:cs="Times New Roman"/>
                <w:color w:val="000000"/>
              </w:rPr>
              <w:t>167,606.31</w:t>
            </w:r>
          </w:p>
        </w:tc>
      </w:tr>
      <w:tr w14:paraId="4076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3C5D281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财务费用（收益以“－”号填列）</w:t>
            </w:r>
          </w:p>
        </w:tc>
        <w:tc>
          <w:tcPr>
            <w:tcW w:w="1053" w:type="pct"/>
            <w:vAlign w:val="center"/>
          </w:tcPr>
          <w:p w14:paraId="25A5FC66">
            <w:pPr>
              <w:jc w:val="right"/>
              <w:textAlignment w:val="center"/>
              <w:rPr>
                <w:rFonts w:cs="Times New Roman"/>
                <w:highlight w:val="cyan"/>
              </w:rPr>
            </w:pPr>
            <w:r>
              <w:rPr>
                <w:rFonts w:eastAsia="Arial Narrow" w:cs="Times New Roman"/>
                <w:color w:val="000000"/>
                <w:lang w:bidi="ar"/>
              </w:rPr>
              <w:t>44,450,782.37</w:t>
            </w:r>
          </w:p>
        </w:tc>
        <w:tc>
          <w:tcPr>
            <w:tcW w:w="1186" w:type="pct"/>
            <w:vAlign w:val="center"/>
          </w:tcPr>
          <w:p w14:paraId="5318B9F9">
            <w:pPr>
              <w:jc w:val="right"/>
              <w:textAlignment w:val="center"/>
              <w:rPr>
                <w:rFonts w:cs="Times New Roman"/>
              </w:rPr>
            </w:pPr>
            <w:r>
              <w:rPr>
                <w:rFonts w:cs="Times New Roman"/>
                <w:color w:val="000000"/>
              </w:rPr>
              <w:t>33,398,694.13</w:t>
            </w:r>
          </w:p>
        </w:tc>
      </w:tr>
      <w:tr w14:paraId="0FB9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71496D5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投资损失（收益以“－”号填列）</w:t>
            </w:r>
          </w:p>
        </w:tc>
        <w:tc>
          <w:tcPr>
            <w:tcW w:w="1053" w:type="pct"/>
            <w:vAlign w:val="center"/>
          </w:tcPr>
          <w:p w14:paraId="0BC5917F">
            <w:pPr>
              <w:jc w:val="right"/>
              <w:textAlignment w:val="center"/>
              <w:rPr>
                <w:rFonts w:cs="Times New Roman"/>
                <w:highlight w:val="cyan"/>
              </w:rPr>
            </w:pPr>
            <w:r>
              <w:rPr>
                <w:rFonts w:eastAsia="Arial Narrow" w:cs="Times New Roman"/>
                <w:color w:val="000000"/>
                <w:lang w:bidi="ar"/>
              </w:rPr>
              <w:t>-30,312,923.31</w:t>
            </w:r>
          </w:p>
        </w:tc>
        <w:tc>
          <w:tcPr>
            <w:tcW w:w="1186" w:type="pct"/>
            <w:vAlign w:val="center"/>
          </w:tcPr>
          <w:p w14:paraId="350B07C8">
            <w:pPr>
              <w:jc w:val="right"/>
              <w:textAlignment w:val="center"/>
              <w:rPr>
                <w:rFonts w:cs="Times New Roman"/>
              </w:rPr>
            </w:pPr>
            <w:r>
              <w:rPr>
                <w:rFonts w:cs="Times New Roman"/>
                <w:color w:val="000000"/>
              </w:rPr>
              <w:t>3,586,240.83</w:t>
            </w:r>
          </w:p>
        </w:tc>
      </w:tr>
      <w:tr w14:paraId="0E3B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28B106C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递延所得税资产减少（增加以“－”号填列）</w:t>
            </w:r>
          </w:p>
        </w:tc>
        <w:tc>
          <w:tcPr>
            <w:tcW w:w="1053" w:type="pct"/>
            <w:vAlign w:val="center"/>
          </w:tcPr>
          <w:p w14:paraId="6F80B635">
            <w:pPr>
              <w:jc w:val="right"/>
              <w:textAlignment w:val="center"/>
              <w:rPr>
                <w:rFonts w:cs="Times New Roman"/>
                <w:highlight w:val="cyan"/>
              </w:rPr>
            </w:pPr>
            <w:r>
              <w:rPr>
                <w:rFonts w:eastAsia="Arial Narrow" w:cs="Times New Roman"/>
                <w:color w:val="000000"/>
                <w:lang w:bidi="ar"/>
              </w:rPr>
              <w:t>6,493,284.97</w:t>
            </w:r>
          </w:p>
        </w:tc>
        <w:tc>
          <w:tcPr>
            <w:tcW w:w="1186" w:type="pct"/>
            <w:vAlign w:val="center"/>
          </w:tcPr>
          <w:p w14:paraId="0B12E7A6">
            <w:pPr>
              <w:jc w:val="right"/>
              <w:textAlignment w:val="center"/>
              <w:rPr>
                <w:rFonts w:cs="Times New Roman"/>
              </w:rPr>
            </w:pPr>
            <w:r>
              <w:rPr>
                <w:rFonts w:cs="Times New Roman"/>
                <w:color w:val="000000"/>
              </w:rPr>
              <w:t>3,200,948.67</w:t>
            </w:r>
          </w:p>
        </w:tc>
      </w:tr>
      <w:tr w14:paraId="6764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0755DAF9">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递延所得税负债增加（减少以“－”号填列）</w:t>
            </w:r>
          </w:p>
        </w:tc>
        <w:tc>
          <w:tcPr>
            <w:tcW w:w="1053" w:type="pct"/>
            <w:vAlign w:val="center"/>
          </w:tcPr>
          <w:p w14:paraId="1ECB0AB2">
            <w:pPr>
              <w:jc w:val="right"/>
              <w:textAlignment w:val="center"/>
              <w:rPr>
                <w:rFonts w:cs="Times New Roman"/>
                <w:highlight w:val="cyan"/>
              </w:rPr>
            </w:pPr>
            <w:r>
              <w:rPr>
                <w:rFonts w:eastAsia="Arial Narrow" w:cs="Times New Roman"/>
                <w:color w:val="000000"/>
                <w:lang w:bidi="ar"/>
              </w:rPr>
              <w:t>-106,461.85</w:t>
            </w:r>
          </w:p>
        </w:tc>
        <w:tc>
          <w:tcPr>
            <w:tcW w:w="1186" w:type="pct"/>
            <w:vAlign w:val="center"/>
          </w:tcPr>
          <w:p w14:paraId="6676CA5D">
            <w:pPr>
              <w:jc w:val="right"/>
              <w:textAlignment w:val="center"/>
              <w:rPr>
                <w:rFonts w:cs="Times New Roman"/>
              </w:rPr>
            </w:pPr>
            <w:r>
              <w:rPr>
                <w:rFonts w:cs="Times New Roman"/>
                <w:color w:val="000000"/>
              </w:rPr>
              <w:t>-544,891.37</w:t>
            </w:r>
          </w:p>
        </w:tc>
      </w:tr>
      <w:tr w14:paraId="1BD7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3AF518A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存货的减少（增加以“－”号填列）</w:t>
            </w:r>
          </w:p>
        </w:tc>
        <w:tc>
          <w:tcPr>
            <w:tcW w:w="1053" w:type="pct"/>
            <w:vAlign w:val="center"/>
          </w:tcPr>
          <w:p w14:paraId="084F1E53">
            <w:pPr>
              <w:jc w:val="right"/>
              <w:textAlignment w:val="center"/>
              <w:rPr>
                <w:rFonts w:cs="Times New Roman"/>
                <w:highlight w:val="cyan"/>
              </w:rPr>
            </w:pPr>
            <w:r>
              <w:rPr>
                <w:rFonts w:eastAsia="Arial Narrow" w:cs="Times New Roman"/>
                <w:color w:val="000000"/>
                <w:lang w:bidi="ar"/>
              </w:rPr>
              <w:t>356,992,613.04</w:t>
            </w:r>
          </w:p>
        </w:tc>
        <w:tc>
          <w:tcPr>
            <w:tcW w:w="1186" w:type="pct"/>
            <w:vAlign w:val="center"/>
          </w:tcPr>
          <w:p w14:paraId="4125E8FD">
            <w:pPr>
              <w:jc w:val="right"/>
              <w:textAlignment w:val="center"/>
              <w:rPr>
                <w:rFonts w:cs="Times New Roman"/>
              </w:rPr>
            </w:pPr>
            <w:r>
              <w:rPr>
                <w:rFonts w:cs="Times New Roman"/>
                <w:color w:val="000000"/>
              </w:rPr>
              <w:t>257,544,150.89</w:t>
            </w:r>
          </w:p>
        </w:tc>
      </w:tr>
      <w:tr w14:paraId="4C2D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3B0E8D0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经营性应收项目的减少（增加以“－”号填列）</w:t>
            </w:r>
          </w:p>
        </w:tc>
        <w:tc>
          <w:tcPr>
            <w:tcW w:w="1053" w:type="pct"/>
            <w:vAlign w:val="center"/>
          </w:tcPr>
          <w:p w14:paraId="57226BA7">
            <w:pPr>
              <w:jc w:val="right"/>
              <w:textAlignment w:val="center"/>
              <w:rPr>
                <w:rFonts w:cs="Times New Roman"/>
                <w:highlight w:val="cyan"/>
              </w:rPr>
            </w:pPr>
            <w:r>
              <w:rPr>
                <w:rFonts w:eastAsia="Arial Narrow" w:cs="Times New Roman"/>
                <w:color w:val="000000"/>
                <w:lang w:bidi="ar"/>
              </w:rPr>
              <w:t>-106,306,693.39</w:t>
            </w:r>
          </w:p>
        </w:tc>
        <w:tc>
          <w:tcPr>
            <w:tcW w:w="1186" w:type="pct"/>
            <w:vAlign w:val="center"/>
          </w:tcPr>
          <w:p w14:paraId="253E9544">
            <w:pPr>
              <w:jc w:val="right"/>
              <w:textAlignment w:val="center"/>
              <w:rPr>
                <w:rFonts w:cs="Times New Roman"/>
              </w:rPr>
            </w:pPr>
            <w:r>
              <w:rPr>
                <w:rFonts w:cs="Times New Roman"/>
                <w:color w:val="000000"/>
              </w:rPr>
              <w:t>-1,467,940,637.79</w:t>
            </w:r>
          </w:p>
        </w:tc>
      </w:tr>
      <w:tr w14:paraId="2E19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25A7287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经营性应付项目的增加（减少以“－”号填列）</w:t>
            </w:r>
          </w:p>
        </w:tc>
        <w:tc>
          <w:tcPr>
            <w:tcW w:w="1053" w:type="pct"/>
            <w:vAlign w:val="center"/>
          </w:tcPr>
          <w:p w14:paraId="1CC94953">
            <w:pPr>
              <w:jc w:val="right"/>
              <w:textAlignment w:val="center"/>
              <w:rPr>
                <w:rFonts w:cs="Times New Roman"/>
                <w:highlight w:val="cyan"/>
              </w:rPr>
            </w:pPr>
            <w:r>
              <w:rPr>
                <w:rFonts w:eastAsia="Arial Narrow" w:cs="Times New Roman"/>
                <w:color w:val="000000"/>
                <w:lang w:bidi="ar"/>
              </w:rPr>
              <w:t>-1,311,301,887.81</w:t>
            </w:r>
          </w:p>
        </w:tc>
        <w:tc>
          <w:tcPr>
            <w:tcW w:w="1186" w:type="pct"/>
            <w:vAlign w:val="center"/>
          </w:tcPr>
          <w:p w14:paraId="04CB97D3">
            <w:pPr>
              <w:jc w:val="right"/>
              <w:textAlignment w:val="center"/>
              <w:rPr>
                <w:rFonts w:cs="Times New Roman"/>
              </w:rPr>
            </w:pPr>
            <w:r>
              <w:rPr>
                <w:rFonts w:cs="Times New Roman"/>
                <w:color w:val="000000"/>
              </w:rPr>
              <w:t>-581,464,571.89</w:t>
            </w:r>
          </w:p>
        </w:tc>
      </w:tr>
      <w:tr w14:paraId="36B28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68CA721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w:t>
            </w:r>
          </w:p>
        </w:tc>
        <w:tc>
          <w:tcPr>
            <w:tcW w:w="1053" w:type="pct"/>
            <w:vAlign w:val="center"/>
          </w:tcPr>
          <w:p w14:paraId="03C95006">
            <w:pPr>
              <w:jc w:val="right"/>
              <w:rPr>
                <w:rFonts w:cs="Times New Roman"/>
                <w:highlight w:val="cyan"/>
              </w:rPr>
            </w:pPr>
          </w:p>
        </w:tc>
        <w:tc>
          <w:tcPr>
            <w:tcW w:w="1186" w:type="pct"/>
            <w:vAlign w:val="center"/>
          </w:tcPr>
          <w:p w14:paraId="51126613">
            <w:pPr>
              <w:jc w:val="right"/>
              <w:rPr>
                <w:rFonts w:cs="Times New Roman"/>
              </w:rPr>
            </w:pPr>
          </w:p>
        </w:tc>
      </w:tr>
      <w:tr w14:paraId="20AC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163C29B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经营活动产生的现金流量净额</w:t>
            </w:r>
          </w:p>
        </w:tc>
        <w:tc>
          <w:tcPr>
            <w:tcW w:w="1053" w:type="pct"/>
            <w:vAlign w:val="center"/>
          </w:tcPr>
          <w:p w14:paraId="2B1588AE">
            <w:pPr>
              <w:jc w:val="right"/>
              <w:textAlignment w:val="center"/>
              <w:rPr>
                <w:rFonts w:cs="Times New Roman"/>
                <w:highlight w:val="cyan"/>
              </w:rPr>
            </w:pPr>
            <w:r>
              <w:rPr>
                <w:rFonts w:eastAsia="Arial Narrow" w:cs="Times New Roman"/>
                <w:color w:val="000000"/>
                <w:lang w:bidi="ar"/>
              </w:rPr>
              <w:t>-896,712,065.16</w:t>
            </w:r>
          </w:p>
        </w:tc>
        <w:tc>
          <w:tcPr>
            <w:tcW w:w="1186" w:type="pct"/>
            <w:vAlign w:val="center"/>
          </w:tcPr>
          <w:p w14:paraId="13EB8CE3">
            <w:pPr>
              <w:jc w:val="right"/>
              <w:textAlignment w:val="center"/>
              <w:rPr>
                <w:rFonts w:cs="Times New Roman"/>
              </w:rPr>
            </w:pPr>
            <w:r>
              <w:rPr>
                <w:rFonts w:cs="Times New Roman"/>
                <w:color w:val="000000"/>
              </w:rPr>
              <w:t>-1,618,356,756.77</w:t>
            </w:r>
          </w:p>
        </w:tc>
      </w:tr>
      <w:tr w14:paraId="72AD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db693429a97d44a2848da029ca6a724c"/>
            <w:id w:val="147478750"/>
          </w:sdtPr>
          <w:sdtEndPr>
            <w:rPr>
              <w:rFonts w:cs="Times New Roman"/>
            </w:rPr>
          </w:sdtEndPr>
          <w:sdtContent>
            <w:tc>
              <w:tcPr>
                <w:tcW w:w="5000" w:type="pct"/>
                <w:gridSpan w:val="3"/>
              </w:tcPr>
              <w:p w14:paraId="25E1D42C">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2．不涉及现金收支的重大投资和筹资活动：</w:t>
                </w:r>
              </w:p>
            </w:tc>
          </w:sdtContent>
        </w:sdt>
      </w:tr>
      <w:tr w14:paraId="4BC8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1294459fe7ee46638b8d4b78b8d8c436"/>
            <w:id w:val="147481869"/>
          </w:sdtPr>
          <w:sdtEndPr>
            <w:rPr>
              <w:rFonts w:cs="Times New Roman"/>
            </w:rPr>
          </w:sdtEndPr>
          <w:sdtContent>
            <w:tc>
              <w:tcPr>
                <w:tcW w:w="5000" w:type="pct"/>
                <w:gridSpan w:val="3"/>
              </w:tcPr>
              <w:p w14:paraId="6A890CC6">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3．现金及现金等价物净变动情况：</w:t>
                </w:r>
              </w:p>
            </w:tc>
          </w:sdtContent>
        </w:sdt>
      </w:tr>
      <w:tr w14:paraId="6306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69CFF53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现金的期末余额</w:t>
            </w:r>
          </w:p>
        </w:tc>
        <w:tc>
          <w:tcPr>
            <w:tcW w:w="1053" w:type="pct"/>
            <w:vAlign w:val="center"/>
          </w:tcPr>
          <w:p w14:paraId="2AE7F362">
            <w:pPr>
              <w:jc w:val="right"/>
              <w:textAlignment w:val="center"/>
              <w:rPr>
                <w:rFonts w:cs="Times New Roman"/>
              </w:rPr>
            </w:pPr>
            <w:r>
              <w:rPr>
                <w:rFonts w:eastAsia="Arial Narrow" w:cs="Times New Roman"/>
                <w:color w:val="000000"/>
                <w:lang w:bidi="ar"/>
              </w:rPr>
              <w:t>5,843,170,997.80</w:t>
            </w:r>
          </w:p>
        </w:tc>
        <w:tc>
          <w:tcPr>
            <w:tcW w:w="1186" w:type="pct"/>
            <w:vAlign w:val="center"/>
          </w:tcPr>
          <w:p w14:paraId="49E5AE17">
            <w:pPr>
              <w:jc w:val="right"/>
              <w:textAlignment w:val="center"/>
              <w:rPr>
                <w:rFonts w:cs="Times New Roman"/>
              </w:rPr>
            </w:pPr>
            <w:r>
              <w:rPr>
                <w:rFonts w:cs="Times New Roman"/>
                <w:color w:val="000000"/>
              </w:rPr>
              <w:t>4,056,315,669.33</w:t>
            </w:r>
          </w:p>
        </w:tc>
      </w:tr>
      <w:tr w14:paraId="48A1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69C6024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减：现金的期初余额</w:t>
            </w:r>
          </w:p>
        </w:tc>
        <w:tc>
          <w:tcPr>
            <w:tcW w:w="1053" w:type="pct"/>
            <w:vAlign w:val="center"/>
          </w:tcPr>
          <w:p w14:paraId="744F93B2">
            <w:pPr>
              <w:jc w:val="right"/>
              <w:textAlignment w:val="center"/>
              <w:rPr>
                <w:rFonts w:cs="Times New Roman"/>
                <w:bCs w:val="0"/>
              </w:rPr>
            </w:pPr>
            <w:r>
              <w:rPr>
                <w:rFonts w:eastAsia="Arial Narrow" w:cs="Times New Roman"/>
                <w:color w:val="000000"/>
                <w:lang w:bidi="ar"/>
              </w:rPr>
              <w:t>5,365,543,602.37</w:t>
            </w:r>
          </w:p>
        </w:tc>
        <w:tc>
          <w:tcPr>
            <w:tcW w:w="1186" w:type="pct"/>
            <w:vAlign w:val="center"/>
          </w:tcPr>
          <w:p w14:paraId="30F4F5A8">
            <w:pPr>
              <w:jc w:val="right"/>
              <w:textAlignment w:val="center"/>
              <w:rPr>
                <w:rFonts w:cs="Times New Roman"/>
                <w:bCs w:val="0"/>
              </w:rPr>
            </w:pPr>
            <w:r>
              <w:rPr>
                <w:rFonts w:cs="Times New Roman"/>
                <w:color w:val="000000"/>
              </w:rPr>
              <w:t>6,495,626,671.63</w:t>
            </w:r>
          </w:p>
        </w:tc>
      </w:tr>
      <w:tr w14:paraId="5250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1B1C7F3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加：现金等价物的期末余额</w:t>
            </w:r>
          </w:p>
        </w:tc>
        <w:tc>
          <w:tcPr>
            <w:tcW w:w="1053" w:type="pct"/>
            <w:vAlign w:val="center"/>
          </w:tcPr>
          <w:p w14:paraId="0EB63FE2">
            <w:pPr>
              <w:jc w:val="right"/>
              <w:rPr>
                <w:rFonts w:cs="Times New Roman"/>
              </w:rPr>
            </w:pPr>
          </w:p>
        </w:tc>
        <w:tc>
          <w:tcPr>
            <w:tcW w:w="1186" w:type="pct"/>
            <w:vAlign w:val="center"/>
          </w:tcPr>
          <w:p w14:paraId="30DCA3D0">
            <w:pPr>
              <w:jc w:val="right"/>
              <w:rPr>
                <w:rFonts w:cs="Times New Roman"/>
              </w:rPr>
            </w:pPr>
          </w:p>
        </w:tc>
      </w:tr>
      <w:tr w14:paraId="2F1F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533772C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减：现金等价物的期初余额</w:t>
            </w:r>
          </w:p>
        </w:tc>
        <w:tc>
          <w:tcPr>
            <w:tcW w:w="1053" w:type="pct"/>
            <w:vAlign w:val="center"/>
          </w:tcPr>
          <w:p w14:paraId="18E92B72">
            <w:pPr>
              <w:jc w:val="right"/>
              <w:rPr>
                <w:rFonts w:cs="Times New Roman"/>
                <w:bCs w:val="0"/>
              </w:rPr>
            </w:pPr>
          </w:p>
        </w:tc>
        <w:tc>
          <w:tcPr>
            <w:tcW w:w="1186" w:type="pct"/>
            <w:vAlign w:val="center"/>
          </w:tcPr>
          <w:p w14:paraId="7E74EF56">
            <w:pPr>
              <w:jc w:val="right"/>
              <w:rPr>
                <w:rFonts w:cs="Times New Roman"/>
                <w:bCs w:val="0"/>
              </w:rPr>
            </w:pPr>
          </w:p>
        </w:tc>
      </w:tr>
      <w:tr w14:paraId="20C0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9" w:type="pct"/>
          </w:tcPr>
          <w:p w14:paraId="0280AEA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现金及现金等价物净增加额</w:t>
            </w:r>
          </w:p>
        </w:tc>
        <w:tc>
          <w:tcPr>
            <w:tcW w:w="1053" w:type="pct"/>
            <w:vAlign w:val="center"/>
          </w:tcPr>
          <w:p w14:paraId="54A1CE1B">
            <w:pPr>
              <w:jc w:val="right"/>
              <w:textAlignment w:val="center"/>
              <w:rPr>
                <w:rFonts w:cs="Times New Roman"/>
              </w:rPr>
            </w:pPr>
            <w:r>
              <w:rPr>
                <w:rFonts w:eastAsia="Arial Narrow" w:cs="Times New Roman"/>
                <w:color w:val="000000"/>
                <w:lang w:bidi="ar"/>
              </w:rPr>
              <w:t>477,627,395.43</w:t>
            </w:r>
          </w:p>
        </w:tc>
        <w:tc>
          <w:tcPr>
            <w:tcW w:w="1186" w:type="pct"/>
            <w:vAlign w:val="center"/>
          </w:tcPr>
          <w:p w14:paraId="5F551AB8">
            <w:pPr>
              <w:jc w:val="right"/>
              <w:textAlignment w:val="center"/>
              <w:rPr>
                <w:rFonts w:cs="Times New Roman"/>
                <w:bCs w:val="0"/>
              </w:rPr>
            </w:pPr>
            <w:r>
              <w:rPr>
                <w:rFonts w:cs="Times New Roman"/>
                <w:color w:val="000000"/>
              </w:rPr>
              <w:t>-2,439,311,002.30</w:t>
            </w:r>
          </w:p>
        </w:tc>
      </w:tr>
    </w:tbl>
    <w:p w14:paraId="79C2F8F1">
      <w:pPr>
        <w:rPr>
          <w:color w:val="000000" w:themeColor="text1"/>
          <w14:textFill>
            <w14:solidFill>
              <w14:schemeClr w14:val="tx1"/>
            </w14:solidFill>
          </w14:textFill>
        </w:rPr>
      </w:pPr>
    </w:p>
    <w:p w14:paraId="7D939DA5">
      <w:pPr>
        <w:pStyle w:val="58"/>
        <w:numPr>
          <w:ilvl w:val="0"/>
          <w:numId w:val="9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本期支付的取得子公司的现金净额</w:t>
      </w:r>
    </w:p>
    <w:sdt>
      <w:sdtPr>
        <w:rPr>
          <w:color w:val="000000" w:themeColor="text1"/>
          <w14:textFill>
            <w14:solidFill>
              <w14:schemeClr w14:val="tx1"/>
            </w14:solidFill>
          </w14:textFill>
        </w:rPr>
        <w:alias w:val="是否适用：本期支付的取得子公司的现金净额[双击切换]"/>
        <w:tag w:val="_GBC_903abae67cad448caac446eb8c11fd79"/>
        <w:id w:val="147457185"/>
        <w:placeholder>
          <w:docPart w:val="GBC22222222222222222222222222222"/>
        </w:placeholder>
      </w:sdtPr>
      <w:sdtEndPr>
        <w:rPr>
          <w:color w:val="000000" w:themeColor="text1"/>
          <w14:textFill>
            <w14:solidFill>
              <w14:schemeClr w14:val="tx1"/>
            </w14:solidFill>
          </w14:textFill>
        </w:rPr>
      </w:sdtEndPr>
      <w:sdtContent>
        <w:p w14:paraId="06F38B8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FE8FB1">
      <w:pPr>
        <w:rPr>
          <w:color w:val="000000" w:themeColor="text1"/>
          <w14:textFill>
            <w14:solidFill>
              <w14:schemeClr w14:val="tx1"/>
            </w14:solidFill>
          </w14:textFill>
        </w:rPr>
      </w:pPr>
    </w:p>
    <w:p w14:paraId="7AD539B2">
      <w:pPr>
        <w:pStyle w:val="58"/>
        <w:numPr>
          <w:ilvl w:val="0"/>
          <w:numId w:val="9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本期收到的处置子公司的现金净额</w:t>
      </w:r>
    </w:p>
    <w:sdt>
      <w:sdtPr>
        <w:rPr>
          <w:color w:val="000000" w:themeColor="text1"/>
          <w14:textFill>
            <w14:solidFill>
              <w14:schemeClr w14:val="tx1"/>
            </w14:solidFill>
          </w14:textFill>
        </w:rPr>
        <w:alias w:val="是否适用：本期收到的处置子公司的现金净额[双击切换]"/>
        <w:tag w:val="_GBC_2b4b13c85bb94d13bb7b7edebe0a9f5a"/>
        <w:id w:val="147466252"/>
        <w:placeholder>
          <w:docPart w:val="GBC22222222222222222222222222222"/>
        </w:placeholder>
      </w:sdtPr>
      <w:sdtEndPr>
        <w:rPr>
          <w:color w:val="000000" w:themeColor="text1"/>
          <w14:textFill>
            <w14:solidFill>
              <w14:schemeClr w14:val="tx1"/>
            </w14:solidFill>
          </w14:textFill>
        </w:rPr>
      </w:sdtEndPr>
      <w:sdtContent>
        <w:p w14:paraId="06346D5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E289B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本期收到的处置子公司的现金净额"/>
          <w:tag w:val="_GBC_b8f558a6c7ea4df9bdecf023dc5e7f6d"/>
          <w:id w:val="147458977"/>
          <w:placeholder>
            <w:docPart w:val="{b6f0efa9-5a0c-4ad6-9409-e6dd685b4eab}"/>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本期收到的处置子公司的现金净额"/>
          <w:tag w:val="_GBC_aabc7f14e423432c85fbfdaba3624aff"/>
          <w:id w:val="147470962"/>
          <w:placeholder>
            <w:docPart w:val="{b6f0efa9-5a0c-4ad6-9409-e6dd685b4ea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5"/>
        <w:gridCol w:w="3144"/>
      </w:tblGrid>
      <w:tr w14:paraId="5511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vAlign w:val="center"/>
          </w:tcPr>
          <w:p w14:paraId="3AA009AA">
            <w:pPr>
              <w:jc w:val="center"/>
              <w:rPr>
                <w:rFonts w:cs="Times New Roman"/>
                <w:color w:val="000000" w:themeColor="text1"/>
                <w:lang w:val="en-GB"/>
                <w14:textFill>
                  <w14:solidFill>
                    <w14:schemeClr w14:val="tx1"/>
                  </w14:solidFill>
                </w14:textFill>
              </w:rPr>
            </w:pPr>
          </w:p>
        </w:tc>
        <w:sdt>
          <w:sdtPr>
            <w:rPr>
              <w:rFonts w:cs="Times New Roman"/>
            </w:rPr>
            <w:tag w:val="_PLD_03eee480e0eb4c079c767d3b7d110519"/>
            <w:id w:val="147462179"/>
          </w:sdtPr>
          <w:sdtEndPr>
            <w:rPr>
              <w:rFonts w:cs="Times New Roman"/>
            </w:rPr>
          </w:sdtEndPr>
          <w:sdtContent>
            <w:tc>
              <w:tcPr>
                <w:tcW w:w="1737" w:type="pct"/>
                <w:vAlign w:val="center"/>
              </w:tcPr>
              <w:p w14:paraId="3C6DBE3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tr>
      <w:tr w14:paraId="5F8D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2FB6C71D">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本期处置子公司于本期收到的现金或现金等价物</w:t>
            </w:r>
          </w:p>
        </w:tc>
        <w:tc>
          <w:tcPr>
            <w:tcW w:w="1737" w:type="pct"/>
          </w:tcPr>
          <w:p w14:paraId="3615E76F">
            <w:pPr>
              <w:jc w:val="right"/>
              <w:rPr>
                <w:rFonts w:cs="Times New Roman"/>
              </w:rPr>
            </w:pPr>
          </w:p>
        </w:tc>
      </w:tr>
      <w:tr w14:paraId="3268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21A8B0BC">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减：丧失控制权日子公司持有的现金及现金等价物</w:t>
            </w:r>
          </w:p>
        </w:tc>
        <w:tc>
          <w:tcPr>
            <w:tcW w:w="3144" w:type="dxa"/>
            <w:vAlign w:val="center"/>
          </w:tcPr>
          <w:p w14:paraId="394CB89C">
            <w:pPr>
              <w:jc w:val="right"/>
              <w:textAlignment w:val="center"/>
              <w:rPr>
                <w:rFonts w:cs="Times New Roman"/>
              </w:rPr>
            </w:pPr>
            <w:r>
              <w:rPr>
                <w:rFonts w:eastAsia="Arial Narrow" w:cs="Times New Roman"/>
                <w:color w:val="000000"/>
                <w:lang w:bidi="ar"/>
              </w:rPr>
              <w:t>182,679.76</w:t>
            </w:r>
          </w:p>
        </w:tc>
      </w:tr>
      <w:tr w14:paraId="61EE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7354C222">
            <w:pPr>
              <w:ind w:firstLine="420" w:firstLineChars="200"/>
              <w:textAlignment w:val="top"/>
              <w:rPr>
                <w:rFonts w:cs="Times New Roman"/>
                <w:lang w:val="en-GB"/>
              </w:rPr>
            </w:pPr>
            <w:r>
              <w:rPr>
                <w:rFonts w:cs="Times New Roman"/>
                <w:color w:val="000000"/>
                <w:lang w:bidi="ar"/>
              </w:rPr>
              <w:t>其中：西双版纳南博有限责任公司</w:t>
            </w:r>
          </w:p>
        </w:tc>
        <w:tc>
          <w:tcPr>
            <w:tcW w:w="3144" w:type="dxa"/>
            <w:vAlign w:val="center"/>
          </w:tcPr>
          <w:p w14:paraId="7A5D9D46">
            <w:pPr>
              <w:jc w:val="right"/>
              <w:textAlignment w:val="center"/>
              <w:rPr>
                <w:rFonts w:cs="Times New Roman"/>
              </w:rPr>
            </w:pPr>
            <w:r>
              <w:rPr>
                <w:rFonts w:eastAsia="Arial Narrow" w:cs="Times New Roman"/>
                <w:color w:val="000000"/>
                <w:lang w:bidi="ar"/>
              </w:rPr>
              <w:t>182,679.76</w:t>
            </w:r>
          </w:p>
        </w:tc>
      </w:tr>
      <w:tr w14:paraId="1209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726E3F97">
            <w:pP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加：以前期间处置子公司于本期收到的现金或现金等价物</w:t>
            </w:r>
          </w:p>
        </w:tc>
        <w:tc>
          <w:tcPr>
            <w:tcW w:w="3144" w:type="dxa"/>
            <w:vAlign w:val="center"/>
          </w:tcPr>
          <w:p w14:paraId="20391E42">
            <w:pPr>
              <w:jc w:val="right"/>
              <w:rPr>
                <w:rFonts w:cs="Times New Roman"/>
              </w:rPr>
            </w:pPr>
          </w:p>
        </w:tc>
      </w:tr>
      <w:tr w14:paraId="68E2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2" w:type="pct"/>
          </w:tcPr>
          <w:p w14:paraId="529717C5">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处置子公司收到的现金净额</w:t>
            </w:r>
          </w:p>
        </w:tc>
        <w:tc>
          <w:tcPr>
            <w:tcW w:w="3144" w:type="dxa"/>
            <w:vAlign w:val="center"/>
          </w:tcPr>
          <w:p w14:paraId="508A641A">
            <w:pPr>
              <w:jc w:val="right"/>
              <w:textAlignment w:val="center"/>
              <w:rPr>
                <w:rFonts w:cs="Times New Roman"/>
              </w:rPr>
            </w:pPr>
            <w:r>
              <w:rPr>
                <w:rFonts w:eastAsia="Arial Narrow" w:cs="Times New Roman"/>
                <w:color w:val="000000"/>
                <w:lang w:bidi="ar"/>
              </w:rPr>
              <w:t>-182,679.76</w:t>
            </w:r>
          </w:p>
        </w:tc>
      </w:tr>
    </w:tbl>
    <w:p w14:paraId="5B086291">
      <w:pPr>
        <w:rPr>
          <w:color w:val="000000" w:themeColor="text1"/>
          <w14:textFill>
            <w14:solidFill>
              <w14:schemeClr w14:val="tx1"/>
            </w14:solidFill>
          </w14:textFill>
        </w:rPr>
      </w:pPr>
    </w:p>
    <w:p w14:paraId="0E2D20E2">
      <w:pPr>
        <w:rPr>
          <w:color w:val="000000" w:themeColor="text1"/>
          <w14:textFill>
            <w14:solidFill>
              <w14:schemeClr w14:val="tx1"/>
            </w14:solidFill>
          </w14:textFill>
        </w:rPr>
      </w:pPr>
    </w:p>
    <w:p w14:paraId="5E39BAAA">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r>
        <w:rPr>
          <w:color w:val="000000" w:themeColor="text1"/>
          <w14:textFill>
            <w14:solidFill>
              <w14:schemeClr w14:val="tx1"/>
            </w14:solidFill>
          </w14:textFill>
        </w:rPr>
        <w:t>：</w:t>
      </w:r>
    </w:p>
    <w:sdt>
      <w:sdtPr>
        <w:rPr>
          <w:color w:val="000000" w:themeColor="text1"/>
          <w14:textFill>
            <w14:solidFill>
              <w14:schemeClr w14:val="tx1"/>
            </w14:solidFill>
          </w14:textFill>
        </w:rPr>
        <w:alias w:val="处置子公司收到的现金净额的其他说明"/>
        <w:tag w:val="_GBC_832bdab473c74eca866291099d3bd834"/>
        <w:id w:val="147463227"/>
        <w:placeholder>
          <w:docPart w:val="{b6f0efa9-5a0c-4ad6-9409-e6dd685b4eab}"/>
        </w:placeholder>
      </w:sdtPr>
      <w:sdtEndPr>
        <w:rPr>
          <w:color w:val="000000" w:themeColor="text1"/>
          <w14:textFill>
            <w14:solidFill>
              <w14:schemeClr w14:val="tx1"/>
            </w14:solidFill>
          </w14:textFill>
        </w:rPr>
      </w:sdtEndPr>
      <w:sdtContent>
        <w:p w14:paraId="5B22F377">
          <w:r>
            <w:rPr>
              <w:rFonts w:hint="eastAsia"/>
              <w:color w:val="000000" w:themeColor="text1"/>
              <w14:textFill>
                <w14:solidFill>
                  <w14:schemeClr w14:val="tx1"/>
                </w14:solidFill>
              </w14:textFill>
            </w:rPr>
            <w:t>无</w:t>
          </w:r>
        </w:p>
      </w:sdtContent>
    </w:sdt>
    <w:p w14:paraId="114A29C4">
      <w:pPr>
        <w:rPr>
          <w:color w:val="000000" w:themeColor="text1"/>
          <w14:textFill>
            <w14:solidFill>
              <w14:schemeClr w14:val="tx1"/>
            </w14:solidFill>
          </w14:textFill>
        </w:rPr>
      </w:pPr>
    </w:p>
    <w:p w14:paraId="385785F6">
      <w:pPr>
        <w:pStyle w:val="58"/>
        <w:numPr>
          <w:ilvl w:val="0"/>
          <w:numId w:val="9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现金和现金等价物的构成</w:t>
      </w:r>
    </w:p>
    <w:sdt>
      <w:sdtPr>
        <w:rPr>
          <w:color w:val="000000" w:themeColor="text1"/>
          <w14:textFill>
            <w14:solidFill>
              <w14:schemeClr w14:val="tx1"/>
            </w14:solidFill>
          </w14:textFill>
        </w:rPr>
        <w:alias w:val="是否适用：现金和现金等价物的构成[双击切换]"/>
        <w:tag w:val="_GBC_4f1d477972634410a6ea7bdfaf766947"/>
        <w:id w:val="147482049"/>
        <w:placeholder>
          <w:docPart w:val="GBC22222222222222222222222222222"/>
        </w:placeholder>
      </w:sdtPr>
      <w:sdtEndPr>
        <w:rPr>
          <w:color w:val="000000" w:themeColor="text1"/>
          <w14:textFill>
            <w14:solidFill>
              <w14:schemeClr w14:val="tx1"/>
            </w14:solidFill>
          </w14:textFill>
        </w:rPr>
      </w:sdtEndPr>
      <w:sdtContent>
        <w:p w14:paraId="15DCC88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420784E">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现金和现金等价物的构成"/>
          <w:tag w:val="_GBC_b65333ba6aec402382c4acbbb6696560"/>
          <w:id w:val="1474723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现金和现金等价物的构成"/>
          <w:tag w:val="_GBC_15cada3a52264083942ef83a40fa25a0"/>
          <w:id w:val="1474656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7"/>
        <w:gridCol w:w="2538"/>
        <w:gridCol w:w="2414"/>
      </w:tblGrid>
      <w:tr w14:paraId="5CC0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rPr>
              <w:rFonts w:cs="Times New Roman"/>
            </w:rPr>
            <w:tag w:val="_PLD_d5bf85e9303e4843a7623f09eae933c6"/>
            <w:id w:val="147460420"/>
          </w:sdtPr>
          <w:sdtEndPr>
            <w:rPr>
              <w:rFonts w:cs="Times New Roman"/>
            </w:rPr>
          </w:sdtEndPr>
          <w:sdtContent>
            <w:tc>
              <w:tcPr>
                <w:tcW w:w="2263" w:type="pct"/>
                <w:tcBorders>
                  <w:bottom w:val="single" w:color="auto" w:sz="4" w:space="0"/>
                </w:tcBorders>
                <w:vAlign w:val="center"/>
              </w:tcPr>
              <w:p w14:paraId="373EE05A">
                <w:pPr>
                  <w:ind w:left="-107" w:leftChars="-51"/>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e3a960d2f6474687b9cbaec3f1075e19"/>
            <w:id w:val="147475899"/>
          </w:sdtPr>
          <w:sdtEndPr>
            <w:rPr>
              <w:rFonts w:cs="Times New Roman"/>
            </w:rPr>
          </w:sdtEndPr>
          <w:sdtContent>
            <w:tc>
              <w:tcPr>
                <w:tcW w:w="1402" w:type="pct"/>
                <w:vAlign w:val="center"/>
              </w:tcPr>
              <w:p w14:paraId="539E194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0d0909eba9344c8ab96c7fb88f0b117a"/>
            <w:id w:val="147478114"/>
          </w:sdtPr>
          <w:sdtEndPr>
            <w:rPr>
              <w:rFonts w:cs="Times New Roman"/>
            </w:rPr>
          </w:sdtEndPr>
          <w:sdtContent>
            <w:tc>
              <w:tcPr>
                <w:tcW w:w="1333" w:type="pct"/>
              </w:tcPr>
              <w:p w14:paraId="4CCEF01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7A4A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19A9A5F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一、现金</w:t>
            </w:r>
          </w:p>
        </w:tc>
        <w:tc>
          <w:tcPr>
            <w:tcW w:w="1402" w:type="pct"/>
            <w:vAlign w:val="center"/>
          </w:tcPr>
          <w:p w14:paraId="37FFAF0F">
            <w:pPr>
              <w:jc w:val="right"/>
              <w:textAlignment w:val="center"/>
              <w:rPr>
                <w:rFonts w:cs="Times New Roman"/>
              </w:rPr>
            </w:pPr>
            <w:r>
              <w:rPr>
                <w:rFonts w:eastAsia="Arial Narrow" w:cs="Times New Roman"/>
                <w:color w:val="000000"/>
                <w:lang w:bidi="ar"/>
              </w:rPr>
              <w:t>5,843,170,997.80</w:t>
            </w:r>
          </w:p>
        </w:tc>
        <w:tc>
          <w:tcPr>
            <w:tcW w:w="1333" w:type="pct"/>
            <w:vAlign w:val="center"/>
          </w:tcPr>
          <w:p w14:paraId="7E33F837">
            <w:pPr>
              <w:jc w:val="right"/>
              <w:textAlignment w:val="center"/>
              <w:rPr>
                <w:rFonts w:cs="Times New Roman"/>
              </w:rPr>
            </w:pPr>
            <w:r>
              <w:rPr>
                <w:rFonts w:eastAsia="Arial Narrow" w:cs="Times New Roman"/>
                <w:color w:val="000000"/>
                <w:lang w:bidi="ar"/>
              </w:rPr>
              <w:t>5,365,543,602.37</w:t>
            </w:r>
          </w:p>
        </w:tc>
      </w:tr>
      <w:tr w14:paraId="6ED3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240AE4A9">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其中：库存现金</w:t>
            </w:r>
          </w:p>
        </w:tc>
        <w:tc>
          <w:tcPr>
            <w:tcW w:w="1402" w:type="pct"/>
            <w:vAlign w:val="center"/>
          </w:tcPr>
          <w:p w14:paraId="0DB409A6">
            <w:pPr>
              <w:jc w:val="right"/>
              <w:textAlignment w:val="center"/>
              <w:rPr>
                <w:rFonts w:cs="Times New Roman"/>
              </w:rPr>
            </w:pPr>
            <w:r>
              <w:rPr>
                <w:rFonts w:eastAsia="Arial Narrow" w:cs="Times New Roman"/>
                <w:color w:val="000000"/>
                <w:lang w:bidi="ar"/>
              </w:rPr>
              <w:t>18,011.50</w:t>
            </w:r>
          </w:p>
        </w:tc>
        <w:tc>
          <w:tcPr>
            <w:tcW w:w="1333" w:type="pct"/>
            <w:vAlign w:val="center"/>
          </w:tcPr>
          <w:p w14:paraId="5B61CA66">
            <w:pPr>
              <w:jc w:val="right"/>
              <w:textAlignment w:val="center"/>
              <w:rPr>
                <w:rFonts w:cs="Times New Roman"/>
              </w:rPr>
            </w:pPr>
            <w:r>
              <w:rPr>
                <w:rFonts w:eastAsia="Arial Narrow" w:cs="Times New Roman"/>
                <w:color w:val="000000"/>
                <w:lang w:bidi="ar"/>
              </w:rPr>
              <w:t>10,209.00</w:t>
            </w:r>
          </w:p>
        </w:tc>
      </w:tr>
      <w:tr w14:paraId="4C7F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61A417F4">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可随时用于支付的银行存款</w:t>
            </w:r>
          </w:p>
        </w:tc>
        <w:tc>
          <w:tcPr>
            <w:tcW w:w="1402" w:type="pct"/>
            <w:vAlign w:val="center"/>
          </w:tcPr>
          <w:p w14:paraId="69E43770">
            <w:pPr>
              <w:jc w:val="right"/>
              <w:textAlignment w:val="center"/>
              <w:rPr>
                <w:rFonts w:cs="Times New Roman"/>
              </w:rPr>
            </w:pPr>
            <w:r>
              <w:rPr>
                <w:rFonts w:eastAsia="Arial Narrow" w:cs="Times New Roman"/>
                <w:color w:val="000000"/>
                <w:lang w:bidi="ar"/>
              </w:rPr>
              <w:t>5,841,945,120.78</w:t>
            </w:r>
          </w:p>
        </w:tc>
        <w:tc>
          <w:tcPr>
            <w:tcW w:w="1333" w:type="pct"/>
            <w:vAlign w:val="center"/>
          </w:tcPr>
          <w:p w14:paraId="57B9895F">
            <w:pPr>
              <w:jc w:val="right"/>
              <w:textAlignment w:val="center"/>
              <w:rPr>
                <w:rFonts w:cs="Times New Roman"/>
              </w:rPr>
            </w:pPr>
            <w:r>
              <w:rPr>
                <w:rFonts w:eastAsia="Arial Narrow" w:cs="Times New Roman"/>
                <w:color w:val="000000"/>
                <w:lang w:bidi="ar"/>
              </w:rPr>
              <w:t>5,361,852,189.84</w:t>
            </w:r>
          </w:p>
        </w:tc>
      </w:tr>
      <w:tr w14:paraId="069B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45AEC5EF">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可随时用于支付的其他货币资金</w:t>
            </w:r>
          </w:p>
        </w:tc>
        <w:tc>
          <w:tcPr>
            <w:tcW w:w="1402" w:type="pct"/>
            <w:vAlign w:val="center"/>
          </w:tcPr>
          <w:p w14:paraId="6407CBE9">
            <w:pPr>
              <w:jc w:val="right"/>
              <w:textAlignment w:val="center"/>
              <w:rPr>
                <w:rFonts w:cs="Times New Roman"/>
              </w:rPr>
            </w:pPr>
            <w:r>
              <w:rPr>
                <w:rFonts w:eastAsia="Arial Narrow" w:cs="Times New Roman"/>
                <w:color w:val="000000"/>
                <w:lang w:bidi="ar"/>
              </w:rPr>
              <w:t>1,207,865.52</w:t>
            </w:r>
          </w:p>
        </w:tc>
        <w:tc>
          <w:tcPr>
            <w:tcW w:w="1333" w:type="pct"/>
            <w:vAlign w:val="center"/>
          </w:tcPr>
          <w:p w14:paraId="654CA93C">
            <w:pPr>
              <w:jc w:val="right"/>
              <w:textAlignment w:val="center"/>
              <w:rPr>
                <w:rFonts w:cs="Times New Roman"/>
              </w:rPr>
            </w:pPr>
            <w:r>
              <w:rPr>
                <w:rFonts w:eastAsia="Arial Narrow" w:cs="Times New Roman"/>
                <w:color w:val="000000"/>
                <w:lang w:bidi="ar"/>
              </w:rPr>
              <w:t>3,681,203.53</w:t>
            </w:r>
          </w:p>
        </w:tc>
      </w:tr>
      <w:tr w14:paraId="73E4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6CBEEEA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二、现金等价物</w:t>
            </w:r>
          </w:p>
        </w:tc>
        <w:tc>
          <w:tcPr>
            <w:tcW w:w="1402" w:type="pct"/>
            <w:vAlign w:val="center"/>
          </w:tcPr>
          <w:p w14:paraId="491C2B24">
            <w:pPr>
              <w:jc w:val="right"/>
              <w:rPr>
                <w:rFonts w:cs="Times New Roman"/>
              </w:rPr>
            </w:pPr>
          </w:p>
        </w:tc>
        <w:tc>
          <w:tcPr>
            <w:tcW w:w="1333" w:type="pct"/>
            <w:vAlign w:val="center"/>
          </w:tcPr>
          <w:p w14:paraId="574AA0A4">
            <w:pPr>
              <w:jc w:val="right"/>
              <w:rPr>
                <w:rFonts w:cs="Times New Roman"/>
              </w:rPr>
            </w:pPr>
          </w:p>
        </w:tc>
      </w:tr>
      <w:tr w14:paraId="6342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4BEB2CD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三、期末现金及现金等价物余额</w:t>
            </w:r>
          </w:p>
        </w:tc>
        <w:tc>
          <w:tcPr>
            <w:tcW w:w="1402" w:type="pct"/>
            <w:vAlign w:val="center"/>
          </w:tcPr>
          <w:p w14:paraId="4B11C64E">
            <w:pPr>
              <w:jc w:val="right"/>
              <w:textAlignment w:val="center"/>
              <w:rPr>
                <w:rFonts w:cs="Times New Roman"/>
              </w:rPr>
            </w:pPr>
            <w:r>
              <w:rPr>
                <w:rFonts w:eastAsia="Arial Narrow" w:cs="Times New Roman"/>
                <w:color w:val="000000"/>
                <w:lang w:bidi="ar"/>
              </w:rPr>
              <w:t>5,843,170,997.80</w:t>
            </w:r>
          </w:p>
        </w:tc>
        <w:tc>
          <w:tcPr>
            <w:tcW w:w="1333" w:type="pct"/>
            <w:vAlign w:val="center"/>
          </w:tcPr>
          <w:p w14:paraId="0C543751">
            <w:pPr>
              <w:jc w:val="right"/>
              <w:textAlignment w:val="center"/>
              <w:rPr>
                <w:rFonts w:cs="Times New Roman"/>
              </w:rPr>
            </w:pPr>
            <w:r>
              <w:rPr>
                <w:rFonts w:eastAsia="Arial Narrow" w:cs="Times New Roman"/>
                <w:color w:val="000000"/>
                <w:lang w:bidi="ar"/>
              </w:rPr>
              <w:t>5,365,543,602.37</w:t>
            </w:r>
          </w:p>
        </w:tc>
      </w:tr>
      <w:tr w14:paraId="55D0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263" w:type="pct"/>
            <w:vAlign w:val="center"/>
          </w:tcPr>
          <w:p w14:paraId="090B549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其中：母公司或集团内子公司使用受限制的现金和现金等价物</w:t>
            </w:r>
          </w:p>
        </w:tc>
        <w:tc>
          <w:tcPr>
            <w:tcW w:w="1402" w:type="pct"/>
            <w:vAlign w:val="center"/>
          </w:tcPr>
          <w:p w14:paraId="577A1BB7">
            <w:pPr>
              <w:jc w:val="right"/>
              <w:textAlignment w:val="center"/>
              <w:rPr>
                <w:rFonts w:cs="Times New Roman"/>
              </w:rPr>
            </w:pPr>
            <w:r>
              <w:rPr>
                <w:rFonts w:eastAsia="Arial Narrow" w:cs="Times New Roman"/>
                <w:color w:val="000000"/>
                <w:lang w:bidi="ar"/>
              </w:rPr>
              <w:t>146,412,978.92</w:t>
            </w:r>
          </w:p>
        </w:tc>
        <w:tc>
          <w:tcPr>
            <w:tcW w:w="1333" w:type="pct"/>
            <w:vAlign w:val="center"/>
          </w:tcPr>
          <w:p w14:paraId="08840E3C">
            <w:pPr>
              <w:jc w:val="right"/>
              <w:textAlignment w:val="center"/>
              <w:rPr>
                <w:rFonts w:cs="Times New Roman"/>
              </w:rPr>
            </w:pPr>
            <w:r>
              <w:rPr>
                <w:rFonts w:eastAsia="Arial Narrow" w:cs="Times New Roman"/>
                <w:color w:val="000000"/>
                <w:lang w:bidi="ar"/>
              </w:rPr>
              <w:t>80,994,497.32</w:t>
            </w:r>
          </w:p>
        </w:tc>
      </w:tr>
    </w:tbl>
    <w:p w14:paraId="2263EA87">
      <w:pPr>
        <w:rPr>
          <w:color w:val="000000" w:themeColor="text1"/>
          <w14:textFill>
            <w14:solidFill>
              <w14:schemeClr w14:val="tx1"/>
            </w14:solidFill>
          </w14:textFill>
        </w:rPr>
      </w:pPr>
    </w:p>
    <w:p w14:paraId="05EC1138">
      <w:pPr>
        <w:pStyle w:val="58"/>
        <w:numPr>
          <w:ilvl w:val="0"/>
          <w:numId w:val="91"/>
        </w:numPr>
        <w:rPr>
          <w:rFonts w:ascii="宋体" w:hAnsi="宋体"/>
          <w:color w:val="000000" w:themeColor="text1"/>
          <w14:textFill>
            <w14:solidFill>
              <w14:schemeClr w14:val="tx1"/>
            </w14:solidFill>
          </w14:textFill>
        </w:rPr>
      </w:pPr>
      <w:bookmarkStart w:id="395" w:name="_Hlk167970923"/>
      <w:r>
        <w:rPr>
          <w:rFonts w:hint="eastAsia" w:ascii="宋体" w:hAnsi="宋体"/>
          <w:color w:val="000000" w:themeColor="text1"/>
          <w14:textFill>
            <w14:solidFill>
              <w14:schemeClr w14:val="tx1"/>
            </w14:solidFill>
          </w14:textFill>
        </w:rPr>
        <w:t>使用范围受限但仍作为现金和现金等价物列示的情况</w:t>
      </w:r>
    </w:p>
    <w:sdt>
      <w:sdtPr>
        <w:rPr>
          <w:color w:val="000000" w:themeColor="text1"/>
          <w14:textFill>
            <w14:solidFill>
              <w14:schemeClr w14:val="tx1"/>
            </w14:solidFill>
          </w14:textFill>
        </w:rPr>
        <w:alias w:val="是否适用：使用范围受限但仍作为现金和现金等价物列示的情况[双击切换]"/>
        <w:tag w:val="_GBC_dcbbdbc5a8524c8299b810908077aebe"/>
        <w:id w:val="147458842"/>
        <w:placeholder>
          <w:docPart w:val="GBC22222222222222222222222222222"/>
        </w:placeholder>
      </w:sdtPr>
      <w:sdtEndPr>
        <w:rPr>
          <w:color w:val="000000" w:themeColor="text1"/>
          <w14:textFill>
            <w14:solidFill>
              <w14:schemeClr w14:val="tx1"/>
            </w14:solidFill>
          </w14:textFill>
        </w:rPr>
      </w:sdtEndPr>
      <w:sdtContent>
        <w:p w14:paraId="37A166A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D55A832">
      <w:pPr>
        <w:rPr>
          <w:color w:val="000000" w:themeColor="text1"/>
          <w14:textFill>
            <w14:solidFill>
              <w14:schemeClr w14:val="tx1"/>
            </w14:solidFill>
          </w14:textFill>
        </w:rPr>
      </w:pPr>
    </w:p>
    <w:p w14:paraId="710A3120">
      <w:pPr>
        <w:pStyle w:val="58"/>
        <w:numPr>
          <w:ilvl w:val="0"/>
          <w:numId w:val="9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不属于现金及现金等价物的货币资金</w:t>
      </w:r>
    </w:p>
    <w:sdt>
      <w:sdtPr>
        <w:rPr>
          <w:color w:val="000000" w:themeColor="text1"/>
          <w14:textFill>
            <w14:solidFill>
              <w14:schemeClr w14:val="tx1"/>
            </w14:solidFill>
          </w14:textFill>
        </w:rPr>
        <w:alias w:val="是否适用：不属于现金及现金等价物的货币资金[双击切换]"/>
        <w:tag w:val="_GBC_191a966fa63441a7bf4a17ba6bb3802a"/>
        <w:id w:val="147465854"/>
        <w:placeholder>
          <w:docPart w:val="GBC22222222222222222222222222222"/>
        </w:placeholder>
      </w:sdtPr>
      <w:sdtEndPr>
        <w:rPr>
          <w:color w:val="000000" w:themeColor="text1"/>
          <w14:textFill>
            <w14:solidFill>
              <w14:schemeClr w14:val="tx1"/>
            </w14:solidFill>
          </w14:textFill>
        </w:rPr>
      </w:sdtEndPr>
      <w:sdtContent>
        <w:p w14:paraId="0C9B3E3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82CEB02">
      <w:pPr>
        <w:rPr>
          <w:color w:val="000000" w:themeColor="text1"/>
          <w14:textFill>
            <w14:solidFill>
              <w14:schemeClr w14:val="tx1"/>
            </w14:solidFill>
          </w14:textFill>
        </w:rPr>
      </w:pPr>
    </w:p>
    <w:bookmarkEnd w:id="395"/>
    <w:p w14:paraId="51DD1F29">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现金流量表补充资料的说明[双击切换]"/>
        <w:tag w:val="_GBC_2212775a699e4804b260767f3ce34d12"/>
        <w:id w:val="147453694"/>
        <w:placeholder>
          <w:docPart w:val="GBC22222222222222222222222222222"/>
        </w:placeholder>
      </w:sdtPr>
      <w:sdtEndPr>
        <w:rPr>
          <w:color w:val="000000" w:themeColor="text1"/>
          <w14:textFill>
            <w14:solidFill>
              <w14:schemeClr w14:val="tx1"/>
            </w14:solidFill>
          </w14:textFill>
        </w:rPr>
      </w:sdtEndPr>
      <w:sdtContent>
        <w:p w14:paraId="0C99311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DEE2C12">
      <w:pPr>
        <w:rPr>
          <w:color w:val="000000" w:themeColor="text1"/>
          <w14:textFill>
            <w14:solidFill>
              <w14:schemeClr w14:val="tx1"/>
            </w14:solidFill>
          </w14:textFill>
        </w:rPr>
      </w:pPr>
    </w:p>
    <w:p w14:paraId="3A9257C8">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所有者权益变动表项目注释</w:t>
      </w:r>
    </w:p>
    <w:p w14:paraId="7F683F5D">
      <w:pPr>
        <w:rPr>
          <w:color w:val="000000" w:themeColor="text1"/>
          <w14:textFill>
            <w14:solidFill>
              <w14:schemeClr w14:val="tx1"/>
            </w14:solidFill>
          </w14:textFill>
        </w:rPr>
      </w:pPr>
      <w:r>
        <w:rPr>
          <w:rFonts w:hint="eastAsia"/>
          <w:color w:val="000000" w:themeColor="text1"/>
          <w14:textFill>
            <w14:solidFill>
              <w14:schemeClr w14:val="tx1"/>
            </w14:solidFill>
          </w14:textFill>
        </w:rPr>
        <w:t>说明对上年期末余额进行调整的“其他”项目名称及调整金额等事项：</w:t>
      </w:r>
    </w:p>
    <w:sdt>
      <w:sdtPr>
        <w:rPr>
          <w:color w:val="000000" w:themeColor="text1"/>
          <w14:textFill>
            <w14:solidFill>
              <w14:schemeClr w14:val="tx1"/>
            </w14:solidFill>
          </w14:textFill>
        </w:rPr>
        <w:alias w:val="是否适用：所有者权益变动表项目注释[双击切换]"/>
        <w:tag w:val="_GBC_61e84760a3fd4a58bb2421e95114d9b8"/>
        <w:id w:val="147451784"/>
        <w:placeholder>
          <w:docPart w:val="GBC22222222222222222222222222222"/>
        </w:placeholder>
      </w:sdtPr>
      <w:sdtEndPr>
        <w:rPr>
          <w:color w:val="000000" w:themeColor="text1"/>
          <w14:textFill>
            <w14:solidFill>
              <w14:schemeClr w14:val="tx1"/>
            </w14:solidFill>
          </w14:textFill>
        </w:rPr>
      </w:sdtEndPr>
      <w:sdtContent>
        <w:p w14:paraId="7FDB327A">
          <w:pPr>
            <w:tabs>
              <w:tab w:val="left" w:pos="10440"/>
            </w:tabs>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DF4E193">
      <w:pPr>
        <w:rPr>
          <w:color w:val="000000" w:themeColor="text1"/>
          <w14:textFill>
            <w14:solidFill>
              <w14:schemeClr w14:val="tx1"/>
            </w14:solidFill>
          </w14:textFill>
        </w:rPr>
      </w:pPr>
    </w:p>
    <w:p w14:paraId="5823ACB2">
      <w:pPr>
        <w:pStyle w:val="57"/>
        <w:numPr>
          <w:ilvl w:val="0"/>
          <w:numId w:val="54"/>
        </w:numPr>
        <w:rPr>
          <w:color w:val="000000" w:themeColor="text1"/>
          <w:szCs w:val="21"/>
          <w14:textFill>
            <w14:solidFill>
              <w14:schemeClr w14:val="tx1"/>
            </w14:solidFill>
          </w14:textFill>
        </w:rPr>
      </w:pPr>
      <w:bookmarkStart w:id="396" w:name="_Hlk42158948"/>
      <w:r>
        <w:rPr>
          <w:color w:val="000000" w:themeColor="text1"/>
          <w:szCs w:val="21"/>
          <w14:textFill>
            <w14:solidFill>
              <w14:schemeClr w14:val="tx1"/>
            </w14:solidFill>
          </w14:textFill>
        </w:rPr>
        <w:t>外币货币性项目</w:t>
      </w:r>
    </w:p>
    <w:p w14:paraId="4489897D">
      <w:pPr>
        <w:pStyle w:val="58"/>
        <w:numPr>
          <w:ilvl w:val="0"/>
          <w:numId w:val="92"/>
        </w:numPr>
        <w:rPr>
          <w:b w:val="0"/>
          <w:bCs/>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外币货币性项目</w:t>
      </w:r>
    </w:p>
    <w:sdt>
      <w:sdtPr>
        <w:rPr>
          <w:color w:val="000000" w:themeColor="text1"/>
          <w14:textFill>
            <w14:solidFill>
              <w14:schemeClr w14:val="tx1"/>
            </w14:solidFill>
          </w14:textFill>
        </w:rPr>
        <w:alias w:val="是否适用：外币货币性项目[双击切换]"/>
        <w:tag w:val="_GBC_7b0870ec262840d78495babcff3639aa"/>
        <w:id w:val="147469867"/>
        <w:placeholder>
          <w:docPart w:val="GBC22222222222222222222222222222"/>
        </w:placeholder>
      </w:sdtPr>
      <w:sdtEndPr>
        <w:rPr>
          <w:color w:val="000000" w:themeColor="text1"/>
          <w14:textFill>
            <w14:solidFill>
              <w14:schemeClr w14:val="tx1"/>
            </w14:solidFill>
          </w14:textFill>
        </w:rPr>
      </w:sdtEndPr>
      <w:sdtContent>
        <w:p w14:paraId="195452C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2E686F">
      <w:pPr>
        <w:pStyle w:val="63"/>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外币货币性项目"/>
          <w:tag w:val="_GBC_52ed5330bd884651892991446f0f1ae0"/>
          <w:id w:val="1474806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7"/>
        <w:gridCol w:w="2051"/>
        <w:gridCol w:w="2058"/>
        <w:gridCol w:w="2043"/>
      </w:tblGrid>
      <w:tr w14:paraId="5345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28ce5153e9cf4914a550a6d253e7c465"/>
            <w:id w:val="147468443"/>
          </w:sdtPr>
          <w:sdtEndPr>
            <w:rPr>
              <w:rFonts w:cs="Times New Roman"/>
            </w:rPr>
          </w:sdtEndPr>
          <w:sdtContent>
            <w:tc>
              <w:tcPr>
                <w:tcW w:w="1601" w:type="pct"/>
                <w:tcBorders>
                  <w:top w:val="single" w:color="auto" w:sz="4" w:space="0"/>
                  <w:left w:val="single" w:color="auto" w:sz="4" w:space="0"/>
                  <w:bottom w:val="single" w:color="auto" w:sz="4" w:space="0"/>
                  <w:right w:val="single" w:color="auto" w:sz="4" w:space="0"/>
                </w:tcBorders>
                <w:vAlign w:val="center"/>
              </w:tcPr>
              <w:p w14:paraId="1B7C35B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295b6f310e534b62bde0e2c632482ed9"/>
            <w:id w:val="147457242"/>
          </w:sdtPr>
          <w:sdtEndPr>
            <w:rPr>
              <w:rFonts w:cs="Times New Roman"/>
            </w:rPr>
          </w:sdtEndPr>
          <w:sdtContent>
            <w:tc>
              <w:tcPr>
                <w:tcW w:w="1133" w:type="pct"/>
                <w:tcBorders>
                  <w:top w:val="single" w:color="auto" w:sz="4" w:space="0"/>
                  <w:left w:val="single" w:color="auto" w:sz="4" w:space="0"/>
                  <w:bottom w:val="single" w:color="auto" w:sz="4" w:space="0"/>
                  <w:right w:val="single" w:color="auto" w:sz="4" w:space="0"/>
                </w:tcBorders>
                <w:vAlign w:val="center"/>
              </w:tcPr>
              <w:p w14:paraId="0B20884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期末外币余额</w:t>
                </w:r>
              </w:p>
            </w:tc>
          </w:sdtContent>
        </w:sdt>
        <w:sdt>
          <w:sdtPr>
            <w:rPr>
              <w:rFonts w:cs="Times New Roman"/>
            </w:rPr>
            <w:tag w:val="_PLD_aa43af2545cb40668f2670b6f1569a92"/>
            <w:id w:val="147481817"/>
          </w:sdtPr>
          <w:sdtEndPr>
            <w:rPr>
              <w:rFonts w:cs="Times New Roman"/>
            </w:rPr>
          </w:sdtEndPr>
          <w:sdtContent>
            <w:tc>
              <w:tcPr>
                <w:tcW w:w="1137" w:type="pct"/>
                <w:tcBorders>
                  <w:top w:val="single" w:color="auto" w:sz="4" w:space="0"/>
                  <w:left w:val="single" w:color="auto" w:sz="4" w:space="0"/>
                  <w:bottom w:val="single" w:color="auto" w:sz="4" w:space="0"/>
                  <w:right w:val="single" w:color="auto" w:sz="4" w:space="0"/>
                </w:tcBorders>
                <w:vAlign w:val="center"/>
              </w:tcPr>
              <w:p w14:paraId="44B9458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折算汇率</w:t>
                </w:r>
              </w:p>
            </w:tc>
          </w:sdtContent>
        </w:sdt>
        <w:sdt>
          <w:sdtPr>
            <w:rPr>
              <w:rFonts w:cs="Times New Roman"/>
            </w:rPr>
            <w:tag w:val="_PLD_8cdd9579b3964f01966c0b0c4cbacb2f"/>
            <w:id w:val="147483256"/>
          </w:sdtPr>
          <w:sdtEndPr>
            <w:rPr>
              <w:rFonts w:cs="Times New Roman"/>
            </w:rPr>
          </w:sdtEndPr>
          <w:sdtContent>
            <w:tc>
              <w:tcPr>
                <w:tcW w:w="1129" w:type="pct"/>
                <w:tcBorders>
                  <w:top w:val="single" w:color="auto" w:sz="4" w:space="0"/>
                  <w:left w:val="single" w:color="auto" w:sz="4" w:space="0"/>
                  <w:bottom w:val="single" w:color="auto" w:sz="4" w:space="0"/>
                  <w:right w:val="single" w:color="auto" w:sz="4" w:space="0"/>
                </w:tcBorders>
                <w:vAlign w:val="center"/>
              </w:tcPr>
              <w:p w14:paraId="38E4661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期末折算人民币</w:t>
                </w:r>
              </w:p>
              <w:p w14:paraId="30186A3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余额</w:t>
                </w:r>
              </w:p>
            </w:tc>
          </w:sdtContent>
        </w:sdt>
      </w:tr>
      <w:tr w14:paraId="6252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26716DF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货币资金</w:t>
            </w:r>
          </w:p>
        </w:tc>
        <w:tc>
          <w:tcPr>
            <w:tcW w:w="1133" w:type="pct"/>
            <w:tcBorders>
              <w:top w:val="single" w:color="auto" w:sz="4" w:space="0"/>
              <w:left w:val="single" w:color="auto" w:sz="4" w:space="0"/>
              <w:bottom w:val="single" w:color="auto" w:sz="4" w:space="0"/>
              <w:right w:val="single" w:color="auto" w:sz="4" w:space="0"/>
            </w:tcBorders>
          </w:tcPr>
          <w:p w14:paraId="3B93022F">
            <w:pPr>
              <w:jc w:val="right"/>
              <w:rPr>
                <w:rFonts w:cs="Times New Roman"/>
                <w:color w:val="000000" w:themeColor="text1"/>
                <w14:textFill>
                  <w14:solidFill>
                    <w14:schemeClr w14:val="tx1"/>
                  </w14:solidFill>
                </w14:textFill>
              </w:rPr>
            </w:pPr>
          </w:p>
        </w:tc>
        <w:tc>
          <w:tcPr>
            <w:tcW w:w="1137" w:type="pct"/>
            <w:tcBorders>
              <w:top w:val="single" w:color="auto" w:sz="4" w:space="0"/>
              <w:left w:val="single" w:color="auto" w:sz="4" w:space="0"/>
              <w:bottom w:val="single" w:color="auto" w:sz="4" w:space="0"/>
              <w:right w:val="single" w:color="auto" w:sz="4" w:space="0"/>
            </w:tcBorders>
          </w:tcPr>
          <w:p w14:paraId="292AE97F">
            <w:pPr>
              <w:jc w:val="right"/>
              <w:rPr>
                <w:rFonts w:cs="Times New Roman"/>
                <w:color w:val="000000" w:themeColor="text1"/>
                <w14:textFill>
                  <w14:solidFill>
                    <w14:schemeClr w14:val="tx1"/>
                  </w14:solidFill>
                </w14:textFill>
              </w:rPr>
            </w:pPr>
          </w:p>
        </w:tc>
        <w:tc>
          <w:tcPr>
            <w:tcW w:w="1129" w:type="pct"/>
            <w:tcBorders>
              <w:top w:val="single" w:color="auto" w:sz="4" w:space="0"/>
              <w:left w:val="single" w:color="auto" w:sz="4" w:space="0"/>
              <w:bottom w:val="single" w:color="auto" w:sz="4" w:space="0"/>
              <w:right w:val="single" w:color="auto" w:sz="4" w:space="0"/>
            </w:tcBorders>
            <w:vAlign w:val="center"/>
          </w:tcPr>
          <w:p w14:paraId="6CEECB11">
            <w:pPr>
              <w:jc w:val="right"/>
              <w:textAlignment w:val="center"/>
              <w:rPr>
                <w:rFonts w:cs="Times New Roman"/>
              </w:rPr>
            </w:pPr>
            <w:r>
              <w:rPr>
                <w:rFonts w:cs="Times New Roman"/>
                <w:color w:val="000000"/>
              </w:rPr>
              <w:t>51,586,138.05</w:t>
            </w:r>
          </w:p>
        </w:tc>
      </w:tr>
      <w:tr w14:paraId="1E8C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748B40D9">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sdt>
              <w:sdtPr>
                <w:rPr>
                  <w:rFonts w:cs="Times New Roman"/>
                  <w:color w:val="000000" w:themeColor="text1"/>
                  <w14:textFill>
                    <w14:solidFill>
                      <w14:schemeClr w14:val="tx1"/>
                    </w14:solidFill>
                  </w14:textFill>
                </w:rPr>
                <w:alias w:val="以外币核算的币种明细-币种名称"/>
                <w:tag w:val="_GBC_21765b5e64364f62971250478e4ff572"/>
                <w:id w:val="147453276"/>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rPr>
                  <w:rFonts w:cs="Times New Roman"/>
                  <w:color w:val="000000" w:themeColor="text1"/>
                  <w14:textFill>
                    <w14:solidFill>
                      <w14:schemeClr w14:val="tx1"/>
                    </w14:solidFill>
                  </w14:textFill>
                </w:rPr>
              </w:sdtEndPr>
              <w:sdtContent>
                <w:r>
                  <w:rPr>
                    <w:rFonts w:cs="Times New Roman"/>
                    <w:color w:val="000000" w:themeColor="text1"/>
                    <w14:textFill>
                      <w14:solidFill>
                        <w14:schemeClr w14:val="tx1"/>
                      </w14:solidFill>
                    </w14:textFill>
                  </w:rPr>
                  <w:t>美元</w:t>
                </w:r>
              </w:sdtContent>
            </w:sdt>
          </w:p>
        </w:tc>
        <w:tc>
          <w:tcPr>
            <w:tcW w:w="1133" w:type="pct"/>
            <w:tcBorders>
              <w:top w:val="single" w:color="auto" w:sz="4" w:space="0"/>
              <w:left w:val="single" w:color="auto" w:sz="4" w:space="0"/>
              <w:bottom w:val="single" w:color="auto" w:sz="4" w:space="0"/>
              <w:right w:val="single" w:color="auto" w:sz="4" w:space="0"/>
            </w:tcBorders>
            <w:vAlign w:val="center"/>
          </w:tcPr>
          <w:p w14:paraId="439E890A">
            <w:pPr>
              <w:jc w:val="right"/>
              <w:textAlignment w:val="center"/>
              <w:rPr>
                <w:rFonts w:cs="Times New Roman"/>
              </w:rPr>
            </w:pPr>
            <w:r>
              <w:rPr>
                <w:rFonts w:cs="Times New Roman"/>
                <w:color w:val="000000"/>
              </w:rPr>
              <w:t>1,268,677.78</w:t>
            </w:r>
          </w:p>
        </w:tc>
        <w:tc>
          <w:tcPr>
            <w:tcW w:w="1137" w:type="pct"/>
            <w:tcBorders>
              <w:top w:val="single" w:color="auto" w:sz="4" w:space="0"/>
              <w:left w:val="single" w:color="auto" w:sz="4" w:space="0"/>
              <w:bottom w:val="single" w:color="auto" w:sz="4" w:space="0"/>
              <w:right w:val="single" w:color="auto" w:sz="4" w:space="0"/>
            </w:tcBorders>
            <w:vAlign w:val="center"/>
          </w:tcPr>
          <w:p w14:paraId="2DC303F0">
            <w:pPr>
              <w:jc w:val="right"/>
              <w:textAlignment w:val="center"/>
              <w:rPr>
                <w:rFonts w:cs="Times New Roman"/>
              </w:rPr>
            </w:pPr>
            <w:r>
              <w:rPr>
                <w:rFonts w:cs="Times New Roman"/>
                <w:color w:val="000000"/>
              </w:rPr>
              <w:t>7.1586</w:t>
            </w:r>
          </w:p>
        </w:tc>
        <w:tc>
          <w:tcPr>
            <w:tcW w:w="1129" w:type="pct"/>
            <w:tcBorders>
              <w:top w:val="single" w:color="auto" w:sz="4" w:space="0"/>
              <w:left w:val="single" w:color="auto" w:sz="4" w:space="0"/>
              <w:bottom w:val="single" w:color="auto" w:sz="4" w:space="0"/>
              <w:right w:val="single" w:color="auto" w:sz="4" w:space="0"/>
            </w:tcBorders>
            <w:vAlign w:val="center"/>
          </w:tcPr>
          <w:p w14:paraId="60C572F4">
            <w:pPr>
              <w:jc w:val="right"/>
              <w:textAlignment w:val="center"/>
              <w:rPr>
                <w:rFonts w:cs="Times New Roman"/>
              </w:rPr>
            </w:pPr>
            <w:r>
              <w:rPr>
                <w:rFonts w:cs="Times New Roman"/>
                <w:color w:val="000000"/>
              </w:rPr>
              <w:t>9,081,956.76</w:t>
            </w:r>
          </w:p>
        </w:tc>
      </w:tr>
      <w:tr w14:paraId="34ED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E2F4582">
            <w:pPr>
              <w:rPr>
                <w:rFonts w:cs="Times New Roman"/>
                <w:color w:val="000000" w:themeColor="text1"/>
                <w14:textFill>
                  <w14:solidFill>
                    <w14:schemeClr w14:val="tx1"/>
                  </w14:solidFill>
                </w14:textFill>
              </w:rPr>
            </w:pPr>
            <w:r>
              <w:rPr>
                <w:rFonts w:cs="Times New Roman"/>
              </w:rPr>
              <w:t>　　　</w:t>
            </w:r>
            <w:r>
              <w:rPr>
                <w:rFonts w:cs="Times New Roman"/>
                <w:color w:val="000000" w:themeColor="text1"/>
                <w14:textFill>
                  <w14:solidFill>
                    <w14:schemeClr w14:val="tx1"/>
                  </w14:solidFill>
                </w14:textFill>
              </w:rPr>
              <w:t>欧元</w:t>
            </w:r>
          </w:p>
        </w:tc>
        <w:tc>
          <w:tcPr>
            <w:tcW w:w="1133" w:type="pct"/>
            <w:tcBorders>
              <w:top w:val="single" w:color="auto" w:sz="4" w:space="0"/>
              <w:left w:val="single" w:color="auto" w:sz="4" w:space="0"/>
              <w:bottom w:val="single" w:color="auto" w:sz="4" w:space="0"/>
              <w:right w:val="single" w:color="auto" w:sz="4" w:space="0"/>
            </w:tcBorders>
            <w:vAlign w:val="center"/>
          </w:tcPr>
          <w:p w14:paraId="55D4C692">
            <w:pPr>
              <w:jc w:val="right"/>
              <w:textAlignment w:val="center"/>
              <w:rPr>
                <w:rFonts w:cs="Times New Roman"/>
              </w:rPr>
            </w:pPr>
            <w:r>
              <w:rPr>
                <w:rFonts w:cs="Times New Roman"/>
                <w:color w:val="000000"/>
              </w:rPr>
              <w:t>3.81</w:t>
            </w:r>
          </w:p>
        </w:tc>
        <w:tc>
          <w:tcPr>
            <w:tcW w:w="1137" w:type="pct"/>
            <w:tcBorders>
              <w:top w:val="single" w:color="auto" w:sz="4" w:space="0"/>
              <w:left w:val="single" w:color="auto" w:sz="4" w:space="0"/>
              <w:bottom w:val="single" w:color="auto" w:sz="4" w:space="0"/>
              <w:right w:val="single" w:color="auto" w:sz="4" w:space="0"/>
            </w:tcBorders>
            <w:vAlign w:val="center"/>
          </w:tcPr>
          <w:p w14:paraId="5F4AFDCB">
            <w:pPr>
              <w:jc w:val="right"/>
              <w:textAlignment w:val="center"/>
              <w:rPr>
                <w:rFonts w:cs="Times New Roman"/>
              </w:rPr>
            </w:pPr>
            <w:r>
              <w:rPr>
                <w:rFonts w:cs="Times New Roman"/>
                <w:color w:val="000000"/>
              </w:rPr>
              <w:t>8.4024</w:t>
            </w:r>
          </w:p>
        </w:tc>
        <w:tc>
          <w:tcPr>
            <w:tcW w:w="1129" w:type="pct"/>
            <w:tcBorders>
              <w:top w:val="single" w:color="auto" w:sz="4" w:space="0"/>
              <w:left w:val="single" w:color="auto" w:sz="4" w:space="0"/>
              <w:bottom w:val="single" w:color="auto" w:sz="4" w:space="0"/>
              <w:right w:val="single" w:color="auto" w:sz="4" w:space="0"/>
            </w:tcBorders>
            <w:vAlign w:val="center"/>
          </w:tcPr>
          <w:p w14:paraId="298B9705">
            <w:pPr>
              <w:jc w:val="right"/>
              <w:textAlignment w:val="center"/>
              <w:rPr>
                <w:rFonts w:cs="Times New Roman"/>
              </w:rPr>
            </w:pPr>
            <w:r>
              <w:rPr>
                <w:rFonts w:cs="Times New Roman"/>
                <w:color w:val="000000"/>
              </w:rPr>
              <w:t>32.01</w:t>
            </w:r>
          </w:p>
        </w:tc>
      </w:tr>
      <w:tr w14:paraId="6901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39A01171">
            <w:pPr>
              <w:rPr>
                <w:rFonts w:cs="Times New Roman"/>
                <w:color w:val="000000" w:themeColor="text1"/>
                <w14:textFill>
                  <w14:solidFill>
                    <w14:schemeClr w14:val="tx1"/>
                  </w14:solidFill>
                </w14:textFill>
              </w:rPr>
            </w:pPr>
            <w:r>
              <w:rPr>
                <w:rFonts w:cs="Times New Roman"/>
              </w:rPr>
              <w:t>　　　</w:t>
            </w:r>
            <w:r>
              <w:rPr>
                <w:rFonts w:cs="Times New Roman"/>
                <w:color w:val="000000" w:themeColor="text1"/>
                <w14:textFill>
                  <w14:solidFill>
                    <w14:schemeClr w14:val="tx1"/>
                  </w14:solidFill>
                </w14:textFill>
              </w:rPr>
              <w:t>港币</w:t>
            </w:r>
          </w:p>
        </w:tc>
        <w:tc>
          <w:tcPr>
            <w:tcW w:w="1133" w:type="pct"/>
            <w:tcBorders>
              <w:top w:val="single" w:color="auto" w:sz="4" w:space="0"/>
              <w:left w:val="single" w:color="auto" w:sz="4" w:space="0"/>
              <w:bottom w:val="single" w:color="auto" w:sz="4" w:space="0"/>
              <w:right w:val="single" w:color="auto" w:sz="4" w:space="0"/>
            </w:tcBorders>
            <w:vAlign w:val="center"/>
          </w:tcPr>
          <w:p w14:paraId="465DD9CD">
            <w:pPr>
              <w:jc w:val="right"/>
              <w:textAlignment w:val="center"/>
              <w:rPr>
                <w:rFonts w:cs="Times New Roman"/>
              </w:rPr>
            </w:pPr>
            <w:r>
              <w:rPr>
                <w:rFonts w:cs="Times New Roman"/>
                <w:color w:val="000000"/>
              </w:rPr>
              <w:t>46,607,982.10</w:t>
            </w:r>
          </w:p>
        </w:tc>
        <w:tc>
          <w:tcPr>
            <w:tcW w:w="1137" w:type="pct"/>
            <w:tcBorders>
              <w:top w:val="single" w:color="auto" w:sz="4" w:space="0"/>
              <w:left w:val="single" w:color="auto" w:sz="4" w:space="0"/>
              <w:bottom w:val="single" w:color="auto" w:sz="4" w:space="0"/>
              <w:right w:val="single" w:color="auto" w:sz="4" w:space="0"/>
            </w:tcBorders>
            <w:vAlign w:val="center"/>
          </w:tcPr>
          <w:p w14:paraId="5664A9A9">
            <w:pPr>
              <w:jc w:val="right"/>
              <w:textAlignment w:val="center"/>
              <w:rPr>
                <w:rFonts w:cs="Times New Roman"/>
              </w:rPr>
            </w:pPr>
            <w:r>
              <w:rPr>
                <w:rFonts w:cs="Times New Roman"/>
                <w:color w:val="000000"/>
              </w:rPr>
              <w:t>0.91195</w:t>
            </w:r>
          </w:p>
        </w:tc>
        <w:tc>
          <w:tcPr>
            <w:tcW w:w="1129" w:type="pct"/>
            <w:tcBorders>
              <w:top w:val="single" w:color="auto" w:sz="4" w:space="0"/>
              <w:left w:val="single" w:color="auto" w:sz="4" w:space="0"/>
              <w:bottom w:val="single" w:color="auto" w:sz="4" w:space="0"/>
              <w:right w:val="single" w:color="auto" w:sz="4" w:space="0"/>
            </w:tcBorders>
            <w:vAlign w:val="center"/>
          </w:tcPr>
          <w:p w14:paraId="320E08B5">
            <w:pPr>
              <w:jc w:val="right"/>
              <w:textAlignment w:val="center"/>
              <w:rPr>
                <w:rFonts w:cs="Times New Roman"/>
              </w:rPr>
            </w:pPr>
            <w:r>
              <w:rPr>
                <w:rFonts w:cs="Times New Roman"/>
                <w:color w:val="000000"/>
              </w:rPr>
              <w:t>42,504,149.28</w:t>
            </w:r>
          </w:p>
        </w:tc>
      </w:tr>
      <w:tr w14:paraId="6B23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6582703F">
            <w:pPr>
              <w:pStyle w:val="55"/>
              <w:rPr>
                <w:rFonts w:cs="Times New Roman"/>
              </w:rPr>
            </w:pPr>
            <w:r>
              <w:rPr>
                <w:rFonts w:cs="Times New Roman"/>
              </w:rPr>
              <w:t>应收账款</w:t>
            </w:r>
          </w:p>
        </w:tc>
        <w:tc>
          <w:tcPr>
            <w:tcW w:w="1133" w:type="pct"/>
            <w:tcBorders>
              <w:top w:val="single" w:color="auto" w:sz="4" w:space="0"/>
              <w:left w:val="single" w:color="auto" w:sz="4" w:space="0"/>
              <w:bottom w:val="single" w:color="auto" w:sz="4" w:space="0"/>
              <w:right w:val="single" w:color="auto" w:sz="4" w:space="0"/>
            </w:tcBorders>
          </w:tcPr>
          <w:p w14:paraId="480B539D">
            <w:pPr>
              <w:jc w:val="right"/>
              <w:rPr>
                <w:rFonts w:cs="Times New Roman"/>
                <w:color w:val="000000" w:themeColor="text1"/>
                <w14:textFill>
                  <w14:solidFill>
                    <w14:schemeClr w14:val="tx1"/>
                  </w14:solidFill>
                </w14:textFill>
              </w:rPr>
            </w:pPr>
          </w:p>
        </w:tc>
        <w:tc>
          <w:tcPr>
            <w:tcW w:w="1137" w:type="pct"/>
            <w:tcBorders>
              <w:top w:val="single" w:color="auto" w:sz="4" w:space="0"/>
              <w:left w:val="single" w:color="auto" w:sz="4" w:space="0"/>
              <w:bottom w:val="single" w:color="auto" w:sz="4" w:space="0"/>
              <w:right w:val="single" w:color="auto" w:sz="4" w:space="0"/>
            </w:tcBorders>
          </w:tcPr>
          <w:p w14:paraId="236C34F2">
            <w:pPr>
              <w:jc w:val="right"/>
              <w:rPr>
                <w:rFonts w:cs="Times New Roman"/>
                <w:color w:val="000000" w:themeColor="text1"/>
                <w14:textFill>
                  <w14:solidFill>
                    <w14:schemeClr w14:val="tx1"/>
                  </w14:solidFill>
                </w14:textFill>
              </w:rPr>
            </w:pPr>
          </w:p>
        </w:tc>
        <w:tc>
          <w:tcPr>
            <w:tcW w:w="1129" w:type="pct"/>
            <w:tcBorders>
              <w:top w:val="single" w:color="auto" w:sz="4" w:space="0"/>
              <w:left w:val="single" w:color="auto" w:sz="4" w:space="0"/>
              <w:bottom w:val="single" w:color="auto" w:sz="4" w:space="0"/>
              <w:right w:val="single" w:color="auto" w:sz="4" w:space="0"/>
            </w:tcBorders>
            <w:vAlign w:val="center"/>
          </w:tcPr>
          <w:p w14:paraId="793A90B7">
            <w:pPr>
              <w:jc w:val="right"/>
              <w:textAlignment w:val="center"/>
              <w:rPr>
                <w:rFonts w:cs="Times New Roman"/>
              </w:rPr>
            </w:pPr>
            <w:r>
              <w:rPr>
                <w:rFonts w:cs="Times New Roman"/>
                <w:color w:val="000000"/>
              </w:rPr>
              <w:t>129,217,391.09</w:t>
            </w:r>
          </w:p>
        </w:tc>
      </w:tr>
      <w:tr w14:paraId="3D46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11C00E0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r>
              <w:rPr>
                <w:rFonts w:cs="Times New Roman"/>
              </w:rPr>
              <w:t>美元</w:t>
            </w:r>
          </w:p>
        </w:tc>
        <w:tc>
          <w:tcPr>
            <w:tcW w:w="1133" w:type="pct"/>
            <w:tcBorders>
              <w:top w:val="single" w:color="auto" w:sz="4" w:space="0"/>
              <w:left w:val="single" w:color="auto" w:sz="4" w:space="0"/>
              <w:bottom w:val="single" w:color="auto" w:sz="4" w:space="0"/>
              <w:right w:val="single" w:color="auto" w:sz="4" w:space="0"/>
            </w:tcBorders>
            <w:vAlign w:val="center"/>
          </w:tcPr>
          <w:p w14:paraId="5AD8CC75">
            <w:pPr>
              <w:jc w:val="right"/>
              <w:textAlignment w:val="center"/>
              <w:rPr>
                <w:rFonts w:cs="Times New Roman"/>
              </w:rPr>
            </w:pPr>
            <w:r>
              <w:rPr>
                <w:rFonts w:cs="Times New Roman"/>
                <w:color w:val="000000"/>
              </w:rPr>
              <w:t>17,977,218.02</w:t>
            </w:r>
          </w:p>
        </w:tc>
        <w:tc>
          <w:tcPr>
            <w:tcW w:w="1137" w:type="pct"/>
            <w:tcBorders>
              <w:top w:val="single" w:color="auto" w:sz="4" w:space="0"/>
              <w:left w:val="single" w:color="auto" w:sz="4" w:space="0"/>
              <w:bottom w:val="single" w:color="auto" w:sz="4" w:space="0"/>
              <w:right w:val="single" w:color="auto" w:sz="4" w:space="0"/>
            </w:tcBorders>
            <w:vAlign w:val="center"/>
          </w:tcPr>
          <w:p w14:paraId="770B1AF6">
            <w:pPr>
              <w:jc w:val="right"/>
              <w:textAlignment w:val="center"/>
              <w:rPr>
                <w:rFonts w:cs="Times New Roman"/>
              </w:rPr>
            </w:pPr>
            <w:r>
              <w:rPr>
                <w:rFonts w:cs="Times New Roman"/>
                <w:color w:val="000000"/>
              </w:rPr>
              <w:t>7.1586</w:t>
            </w:r>
          </w:p>
        </w:tc>
        <w:tc>
          <w:tcPr>
            <w:tcW w:w="1129" w:type="pct"/>
            <w:tcBorders>
              <w:top w:val="single" w:color="auto" w:sz="4" w:space="0"/>
              <w:left w:val="single" w:color="auto" w:sz="4" w:space="0"/>
              <w:bottom w:val="single" w:color="auto" w:sz="4" w:space="0"/>
              <w:right w:val="single" w:color="auto" w:sz="4" w:space="0"/>
            </w:tcBorders>
            <w:vAlign w:val="center"/>
          </w:tcPr>
          <w:p w14:paraId="02BFBB14">
            <w:pPr>
              <w:jc w:val="right"/>
              <w:textAlignment w:val="center"/>
              <w:rPr>
                <w:rFonts w:cs="Times New Roman"/>
              </w:rPr>
            </w:pPr>
            <w:r>
              <w:rPr>
                <w:rFonts w:cs="Times New Roman"/>
                <w:color w:val="000000"/>
              </w:rPr>
              <w:t>128,691,712.92</w:t>
            </w:r>
          </w:p>
        </w:tc>
      </w:tr>
      <w:tr w14:paraId="0E41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14:paraId="16BD9090">
            <w:pPr>
              <w:rPr>
                <w:rFonts w:cs="Times New Roman"/>
                <w:color w:val="000000" w:themeColor="text1"/>
                <w14:textFill>
                  <w14:solidFill>
                    <w14:schemeClr w14:val="tx1"/>
                  </w14:solidFill>
                </w14:textFill>
              </w:rPr>
            </w:pPr>
            <w:r>
              <w:rPr>
                <w:rFonts w:cs="Times New Roman"/>
              </w:rPr>
              <w:t>　　　欧元</w:t>
            </w:r>
          </w:p>
        </w:tc>
        <w:tc>
          <w:tcPr>
            <w:tcW w:w="1133" w:type="pct"/>
            <w:tcBorders>
              <w:top w:val="single" w:color="auto" w:sz="4" w:space="0"/>
              <w:left w:val="single" w:color="auto" w:sz="4" w:space="0"/>
              <w:bottom w:val="single" w:color="auto" w:sz="4" w:space="0"/>
              <w:right w:val="single" w:color="auto" w:sz="4" w:space="0"/>
            </w:tcBorders>
            <w:vAlign w:val="center"/>
          </w:tcPr>
          <w:p w14:paraId="6D1959CC">
            <w:pPr>
              <w:jc w:val="right"/>
              <w:textAlignment w:val="center"/>
              <w:rPr>
                <w:rFonts w:cs="Times New Roman"/>
              </w:rPr>
            </w:pPr>
            <w:r>
              <w:rPr>
                <w:rFonts w:cs="Times New Roman"/>
                <w:color w:val="000000"/>
              </w:rPr>
              <w:t>62,562.86</w:t>
            </w:r>
          </w:p>
        </w:tc>
        <w:tc>
          <w:tcPr>
            <w:tcW w:w="1137" w:type="pct"/>
            <w:tcBorders>
              <w:top w:val="single" w:color="auto" w:sz="4" w:space="0"/>
              <w:left w:val="single" w:color="auto" w:sz="4" w:space="0"/>
              <w:bottom w:val="single" w:color="auto" w:sz="4" w:space="0"/>
              <w:right w:val="single" w:color="auto" w:sz="4" w:space="0"/>
            </w:tcBorders>
            <w:vAlign w:val="center"/>
          </w:tcPr>
          <w:p w14:paraId="294D596B">
            <w:pPr>
              <w:jc w:val="right"/>
              <w:textAlignment w:val="center"/>
              <w:rPr>
                <w:rFonts w:cs="Times New Roman"/>
              </w:rPr>
            </w:pPr>
            <w:r>
              <w:rPr>
                <w:rFonts w:cs="Times New Roman"/>
                <w:color w:val="000000"/>
              </w:rPr>
              <w:t>8.4024</w:t>
            </w:r>
          </w:p>
        </w:tc>
        <w:tc>
          <w:tcPr>
            <w:tcW w:w="1129" w:type="pct"/>
            <w:tcBorders>
              <w:top w:val="single" w:color="auto" w:sz="4" w:space="0"/>
              <w:left w:val="single" w:color="auto" w:sz="4" w:space="0"/>
              <w:bottom w:val="single" w:color="auto" w:sz="4" w:space="0"/>
              <w:right w:val="single" w:color="auto" w:sz="4" w:space="0"/>
            </w:tcBorders>
            <w:vAlign w:val="center"/>
          </w:tcPr>
          <w:p w14:paraId="3E8AF837">
            <w:pPr>
              <w:jc w:val="right"/>
              <w:textAlignment w:val="center"/>
              <w:rPr>
                <w:rFonts w:cs="Times New Roman"/>
              </w:rPr>
            </w:pPr>
            <w:r>
              <w:rPr>
                <w:rFonts w:cs="Times New Roman"/>
                <w:color w:val="000000"/>
              </w:rPr>
              <w:t>525,678.17</w:t>
            </w:r>
          </w:p>
        </w:tc>
      </w:tr>
    </w:tbl>
    <w:p w14:paraId="68109EE2">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外币货币性项目的其他说明"/>
        <w:tag w:val="_GBC_a16b850d98e24762adbee5a1d5628893"/>
        <w:id w:val="147463096"/>
        <w:placeholder>
          <w:docPart w:val="GBC22222222222222222222222222222"/>
        </w:placeholder>
      </w:sdtPr>
      <w:sdtEndPr>
        <w:rPr>
          <w:color w:val="000000" w:themeColor="text1"/>
          <w14:textFill>
            <w14:solidFill>
              <w14:schemeClr w14:val="tx1"/>
            </w14:solidFill>
          </w14:textFill>
        </w:rPr>
      </w:sdtEndPr>
      <w:sdtContent>
        <w:p w14:paraId="2E827717">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5A36953">
      <w:pPr>
        <w:rPr>
          <w:color w:val="000000" w:themeColor="text1"/>
          <w14:textFill>
            <w14:solidFill>
              <w14:schemeClr w14:val="tx1"/>
            </w14:solidFill>
          </w14:textFill>
        </w:rPr>
      </w:pPr>
    </w:p>
    <w:p w14:paraId="68645549">
      <w:pPr>
        <w:pStyle w:val="58"/>
        <w:numPr>
          <w:ilvl w:val="0"/>
          <w:numId w:val="92"/>
        </w:numPr>
        <w:rPr>
          <w:b w:val="0"/>
          <w:bCs/>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境外经营实体说明，包括对于重要的境外经营实体，应披露其境外主要经营地、记账本位币及选择依据，记账本位币发生变化的还应披露原因</w:t>
      </w:r>
    </w:p>
    <w:p w14:paraId="03B0B01A">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境外经营实体主要报表项目的折算汇率[双击切换]"/>
          <w:tag w:val="_GBC_4ad16f5c306d4c6ead144dfd007fb925"/>
          <w:id w:val="147473562"/>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sdt>
      <w:sdtPr>
        <w:rPr>
          <w:color w:val="000000" w:themeColor="text1"/>
          <w14:textFill>
            <w14:solidFill>
              <w14:schemeClr w14:val="tx1"/>
            </w14:solidFill>
          </w14:textFill>
        </w:rPr>
        <w:alias w:val="境外经营实体主要报表项目的折算汇率"/>
        <w:tag w:val="_GBC_4148864437ea4c5bb9934a188232a73c"/>
        <w:id w:val="147481316"/>
        <w:placeholder>
          <w:docPart w:val="GBC22222222222222222222222222222"/>
        </w:placeholder>
      </w:sdtPr>
      <w:sdtEndPr>
        <w:rPr>
          <w:color w:val="000000" w:themeColor="text1"/>
          <w14:textFill>
            <w14:solidFill>
              <w14:schemeClr w14:val="tx1"/>
            </w14:solidFill>
          </w14:textFill>
        </w:rPr>
      </w:sdtEndPr>
      <w:sdtContent>
        <w:p w14:paraId="1885A714">
          <w:pPr>
            <w:rPr>
              <w:color w:val="000000" w:themeColor="text1"/>
              <w14:textFill>
                <w14:solidFill>
                  <w14:schemeClr w14:val="tx1"/>
                </w14:solidFill>
              </w14:textFill>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1"/>
            <w:gridCol w:w="1653"/>
            <w:gridCol w:w="2262"/>
            <w:gridCol w:w="2263"/>
          </w:tblGrid>
          <w:tr w14:paraId="50FE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vAlign w:val="center"/>
              </w:tcPr>
              <w:p w14:paraId="0EB064E9">
                <w:pPr>
                  <w:widowControl/>
                  <w:jc w:val="center"/>
                  <w:textAlignment w:val="center"/>
                  <w:rPr>
                    <w:color w:val="000000" w:themeColor="text1"/>
                    <w14:textFill>
                      <w14:solidFill>
                        <w14:schemeClr w14:val="tx1"/>
                      </w14:solidFill>
                    </w14:textFill>
                  </w:rPr>
                </w:pPr>
                <w:r>
                  <w:rPr>
                    <w:rFonts w:hint="eastAsia" w:ascii="宋体" w:hAnsi="宋体"/>
                    <w:color w:val="000000"/>
                    <w:lang w:bidi="ar"/>
                  </w:rPr>
                  <w:t>境外经营实体</w:t>
                </w:r>
              </w:p>
            </w:tc>
            <w:tc>
              <w:tcPr>
                <w:tcW w:w="1653" w:type="dxa"/>
                <w:vAlign w:val="center"/>
              </w:tcPr>
              <w:p w14:paraId="0CB84FDB">
                <w:pPr>
                  <w:widowControl/>
                  <w:jc w:val="center"/>
                  <w:textAlignment w:val="center"/>
                  <w:rPr>
                    <w:color w:val="000000" w:themeColor="text1"/>
                    <w14:textFill>
                      <w14:solidFill>
                        <w14:schemeClr w14:val="tx1"/>
                      </w14:solidFill>
                    </w14:textFill>
                  </w:rPr>
                </w:pPr>
                <w:r>
                  <w:rPr>
                    <w:rFonts w:hint="eastAsia" w:ascii="宋体" w:hAnsi="宋体"/>
                    <w:color w:val="000000"/>
                    <w:lang w:bidi="ar"/>
                  </w:rPr>
                  <w:t>经营地</w:t>
                </w:r>
              </w:p>
            </w:tc>
            <w:tc>
              <w:tcPr>
                <w:tcW w:w="2262" w:type="dxa"/>
                <w:vAlign w:val="center"/>
              </w:tcPr>
              <w:p w14:paraId="10114E4F">
                <w:pPr>
                  <w:widowControl/>
                  <w:jc w:val="center"/>
                  <w:textAlignment w:val="center"/>
                  <w:rPr>
                    <w:color w:val="000000" w:themeColor="text1"/>
                    <w14:textFill>
                      <w14:solidFill>
                        <w14:schemeClr w14:val="tx1"/>
                      </w14:solidFill>
                    </w14:textFill>
                  </w:rPr>
                </w:pPr>
                <w:r>
                  <w:rPr>
                    <w:rFonts w:hint="eastAsia" w:ascii="宋体" w:hAnsi="宋体"/>
                    <w:color w:val="000000"/>
                    <w:lang w:bidi="ar"/>
                  </w:rPr>
                  <w:t>记账本位币</w:t>
                </w:r>
              </w:p>
            </w:tc>
            <w:tc>
              <w:tcPr>
                <w:tcW w:w="2263" w:type="dxa"/>
                <w:vAlign w:val="center"/>
              </w:tcPr>
              <w:p w14:paraId="5C7B1A41">
                <w:pPr>
                  <w:widowControl/>
                  <w:jc w:val="center"/>
                  <w:textAlignment w:val="center"/>
                  <w:rPr>
                    <w:color w:val="000000" w:themeColor="text1"/>
                    <w14:textFill>
                      <w14:solidFill>
                        <w14:schemeClr w14:val="tx1"/>
                      </w14:solidFill>
                    </w14:textFill>
                  </w:rPr>
                </w:pPr>
                <w:r>
                  <w:rPr>
                    <w:rFonts w:hint="eastAsia" w:ascii="宋体" w:hAnsi="宋体"/>
                    <w:color w:val="000000"/>
                    <w:lang w:bidi="ar"/>
                  </w:rPr>
                  <w:t>记账本位币选择依据</w:t>
                </w:r>
              </w:p>
            </w:tc>
          </w:tr>
          <w:tr w14:paraId="6E12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1" w:type="dxa"/>
                <w:vAlign w:val="center"/>
              </w:tcPr>
              <w:p w14:paraId="0AACCC1D">
                <w:pPr>
                  <w:widowControl/>
                  <w:jc w:val="center"/>
                  <w:textAlignment w:val="center"/>
                  <w:rPr>
                    <w:color w:val="000000" w:themeColor="text1"/>
                    <w14:textFill>
                      <w14:solidFill>
                        <w14:schemeClr w14:val="tx1"/>
                      </w14:solidFill>
                    </w14:textFill>
                  </w:rPr>
                </w:pPr>
                <w:r>
                  <w:rPr>
                    <w:rFonts w:hint="eastAsia" w:ascii="宋体" w:hAnsi="宋体"/>
                    <w:color w:val="000000"/>
                    <w:lang w:bidi="ar"/>
                  </w:rPr>
                  <w:t>际华海外投资有限公司</w:t>
                </w:r>
              </w:p>
            </w:tc>
            <w:tc>
              <w:tcPr>
                <w:tcW w:w="1653" w:type="dxa"/>
                <w:vAlign w:val="center"/>
              </w:tcPr>
              <w:p w14:paraId="338F5175">
                <w:pPr>
                  <w:widowControl/>
                  <w:jc w:val="center"/>
                  <w:textAlignment w:val="center"/>
                  <w:rPr>
                    <w:color w:val="000000" w:themeColor="text1"/>
                    <w14:textFill>
                      <w14:solidFill>
                        <w14:schemeClr w14:val="tx1"/>
                      </w14:solidFill>
                    </w14:textFill>
                  </w:rPr>
                </w:pPr>
                <w:r>
                  <w:rPr>
                    <w:rFonts w:hint="eastAsia" w:ascii="宋体" w:hAnsi="宋体"/>
                    <w:color w:val="000000"/>
                    <w:lang w:bidi="ar"/>
                  </w:rPr>
                  <w:t>北京市</w:t>
                </w:r>
              </w:p>
            </w:tc>
            <w:tc>
              <w:tcPr>
                <w:tcW w:w="2262" w:type="dxa"/>
                <w:vAlign w:val="center"/>
              </w:tcPr>
              <w:p w14:paraId="2766621A">
                <w:pPr>
                  <w:widowControl/>
                  <w:jc w:val="center"/>
                  <w:textAlignment w:val="center"/>
                  <w:rPr>
                    <w:color w:val="000000" w:themeColor="text1"/>
                    <w14:textFill>
                      <w14:solidFill>
                        <w14:schemeClr w14:val="tx1"/>
                      </w14:solidFill>
                    </w14:textFill>
                  </w:rPr>
                </w:pPr>
                <w:r>
                  <w:rPr>
                    <w:rFonts w:hint="eastAsia" w:ascii="宋体" w:hAnsi="宋体"/>
                    <w:color w:val="000000"/>
                    <w:lang w:bidi="ar"/>
                  </w:rPr>
                  <w:t>欧元</w:t>
                </w:r>
              </w:p>
            </w:tc>
            <w:tc>
              <w:tcPr>
                <w:tcW w:w="2263" w:type="dxa"/>
                <w:vAlign w:val="center"/>
              </w:tcPr>
              <w:p w14:paraId="2BD0B68C">
                <w:pPr>
                  <w:widowControl/>
                  <w:jc w:val="center"/>
                  <w:textAlignment w:val="center"/>
                  <w:rPr>
                    <w:color w:val="000000" w:themeColor="text1"/>
                    <w14:textFill>
                      <w14:solidFill>
                        <w14:schemeClr w14:val="tx1"/>
                      </w14:solidFill>
                    </w14:textFill>
                  </w:rPr>
                </w:pPr>
                <w:r>
                  <w:rPr>
                    <w:rFonts w:hint="eastAsia" w:ascii="宋体" w:hAnsi="宋体"/>
                    <w:color w:val="000000"/>
                    <w:lang w:bidi="ar"/>
                  </w:rPr>
                  <w:t>主要结算货币</w:t>
                </w:r>
              </w:p>
            </w:tc>
          </w:tr>
        </w:tbl>
        <w:p w14:paraId="4F04C015">
          <w:pPr>
            <w:rPr>
              <w:color w:val="000000" w:themeColor="text1"/>
              <w14:textFill>
                <w14:solidFill>
                  <w14:schemeClr w14:val="tx1"/>
                </w14:solidFill>
              </w14:textFill>
            </w:rPr>
          </w:pPr>
        </w:p>
      </w:sdtContent>
    </w:sdt>
    <w:p w14:paraId="454226FD">
      <w:pPr>
        <w:rPr>
          <w:color w:val="000000" w:themeColor="text1"/>
          <w14:textFill>
            <w14:solidFill>
              <w14:schemeClr w14:val="tx1"/>
            </w14:solidFill>
          </w14:textFill>
        </w:rPr>
      </w:pPr>
    </w:p>
    <w:bookmarkEnd w:id="396"/>
    <w:p w14:paraId="1D396471">
      <w:pPr>
        <w:pStyle w:val="57"/>
        <w:numPr>
          <w:ilvl w:val="0"/>
          <w:numId w:val="54"/>
        </w:numPr>
        <w:rPr>
          <w:color w:val="000000" w:themeColor="text1"/>
          <w:szCs w:val="21"/>
          <w14:textFill>
            <w14:solidFill>
              <w14:schemeClr w14:val="tx1"/>
            </w14:solidFill>
          </w14:textFill>
        </w:rPr>
      </w:pPr>
      <w:bookmarkStart w:id="397" w:name="_Hlk167971524"/>
      <w:r>
        <w:rPr>
          <w:color w:val="000000" w:themeColor="text1"/>
          <w:szCs w:val="21"/>
          <w14:textFill>
            <w14:solidFill>
              <w14:schemeClr w14:val="tx1"/>
            </w14:solidFill>
          </w14:textFill>
        </w:rPr>
        <w:t>租赁</w:t>
      </w:r>
    </w:p>
    <w:p w14:paraId="5F26CE5D">
      <w:pPr>
        <w:pStyle w:val="58"/>
        <w:numPr>
          <w:ilvl w:val="0"/>
          <w:numId w:val="93"/>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作为承租人</w:t>
      </w:r>
    </w:p>
    <w:sdt>
      <w:sdtPr>
        <w:rPr>
          <w:color w:val="000000" w:themeColor="text1"/>
          <w14:textFill>
            <w14:solidFill>
              <w14:schemeClr w14:val="tx1"/>
            </w14:solidFill>
          </w14:textFill>
        </w:rPr>
        <w:alias w:val="是否适用：作为承租人[双击切换]"/>
        <w:tag w:val="_GBC_1a127bd18c664ed8bca6a513c43f1fa2"/>
        <w:id w:val="147456277"/>
        <w:lock w:val="contentLocked"/>
        <w:placeholder>
          <w:docPart w:val="GBC22222222222222222222222222222"/>
        </w:placeholder>
      </w:sdtPr>
      <w:sdtEndPr>
        <w:rPr>
          <w:color w:val="000000" w:themeColor="text1"/>
          <w14:textFill>
            <w14:solidFill>
              <w14:schemeClr w14:val="tx1"/>
            </w14:solidFill>
          </w14:textFill>
        </w:rPr>
      </w:sdtEndPr>
      <w:sdtContent>
        <w:p w14:paraId="7B12190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06F211">
      <w:pPr>
        <w:rPr>
          <w:color w:val="000000" w:themeColor="text1"/>
          <w14:textFill>
            <w14:solidFill>
              <w14:schemeClr w14:val="tx1"/>
            </w14:solidFill>
          </w14:textFill>
        </w:rPr>
      </w:pPr>
    </w:p>
    <w:p w14:paraId="3E21C5FB">
      <w:pPr>
        <w:rPr>
          <w:color w:val="000000" w:themeColor="text1"/>
          <w14:textFill>
            <w14:solidFill>
              <w14:schemeClr w14:val="tx1"/>
            </w14:solidFill>
          </w14:textFill>
        </w:rPr>
      </w:pPr>
      <w:r>
        <w:rPr>
          <w:rFonts w:hint="eastAsia"/>
          <w:color w:val="000000" w:themeColor="text1"/>
          <w14:textFill>
            <w14:solidFill>
              <w14:schemeClr w14:val="tx1"/>
            </w14:solidFill>
          </w14:textFill>
        </w:rPr>
        <w:t>未纳入租赁负债计量的可变租赁付款额</w:t>
      </w:r>
    </w:p>
    <w:sdt>
      <w:sdtPr>
        <w:rPr>
          <w:color w:val="000000" w:themeColor="text1"/>
          <w14:textFill>
            <w14:solidFill>
              <w14:schemeClr w14:val="tx1"/>
            </w14:solidFill>
          </w14:textFill>
        </w:rPr>
        <w:alias w:val="是否适用：未纳入租赁负债计量的可变租赁付款额[双击切换]"/>
        <w:tag w:val="_GBC_bd2e1ace9f86422a8f860b71955642d7"/>
        <w:id w:val="147477381"/>
        <w:placeholder>
          <w:docPart w:val="GBC22222222222222222222222222222"/>
        </w:placeholder>
      </w:sdtPr>
      <w:sdtEndPr>
        <w:rPr>
          <w:color w:val="000000" w:themeColor="text1"/>
          <w14:textFill>
            <w14:solidFill>
              <w14:schemeClr w14:val="tx1"/>
            </w14:solidFill>
          </w14:textFill>
        </w:rPr>
      </w:sdtEndPr>
      <w:sdtContent>
        <w:p w14:paraId="106CD58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57724CE">
      <w:pPr>
        <w:rPr>
          <w:color w:val="000000" w:themeColor="text1"/>
          <w14:textFill>
            <w14:solidFill>
              <w14:schemeClr w14:val="tx1"/>
            </w14:solidFill>
          </w14:textFill>
        </w:rPr>
      </w:pPr>
    </w:p>
    <w:p w14:paraId="29C446AB">
      <w:pPr>
        <w:rPr>
          <w:color w:val="000000" w:themeColor="text1"/>
          <w14:textFill>
            <w14:solidFill>
              <w14:schemeClr w14:val="tx1"/>
            </w14:solidFill>
          </w14:textFill>
        </w:rPr>
      </w:pPr>
      <w:r>
        <w:rPr>
          <w:rFonts w:hint="eastAsia"/>
          <w:color w:val="000000" w:themeColor="text1"/>
          <w14:textFill>
            <w14:solidFill>
              <w14:schemeClr w14:val="tx1"/>
            </w14:solidFill>
          </w14:textFill>
        </w:rPr>
        <w:t>简化处理的短期租赁或低价值资产的租赁费用</w:t>
      </w:r>
    </w:p>
    <w:sdt>
      <w:sdtPr>
        <w:rPr>
          <w:color w:val="000000" w:themeColor="text1"/>
          <w14:textFill>
            <w14:solidFill>
              <w14:schemeClr w14:val="tx1"/>
            </w14:solidFill>
          </w14:textFill>
        </w:rPr>
        <w:alias w:val="是否适用：简化处理的短期租赁或低价值资产的租赁费用[双击切换]"/>
        <w:tag w:val="_GBC_f3c273f8bb6d4e099c00c1591f5a5a4f"/>
        <w:id w:val="147475652"/>
        <w:placeholder>
          <w:docPart w:val="GBC22222222222222222222222222222"/>
        </w:placeholder>
      </w:sdtPr>
      <w:sdtEndPr>
        <w:rPr>
          <w:color w:val="000000" w:themeColor="text1"/>
          <w14:textFill>
            <w14:solidFill>
              <w14:schemeClr w14:val="tx1"/>
            </w14:solidFill>
          </w14:textFill>
        </w:rPr>
      </w:sdtEndPr>
      <w:sdtContent>
        <w:p w14:paraId="5969DCF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ascii="Times New Roman" w:hAnsi="Times New Roman" w:cs="宋体"/>
          <w:color w:val="000000" w:themeColor="text1"/>
          <w:kern w:val="0"/>
          <w:szCs w:val="21"/>
          <w14:textFill>
            <w14:solidFill>
              <w14:schemeClr w14:val="tx1"/>
            </w14:solidFill>
          </w14:textFill>
        </w:rPr>
        <w:alias w:val="简化处理的短期租赁或低价值资产的租赁费用"/>
        <w:tag w:val="_GBC_36bcbd6cb13f43938e3736b9a975fb9b"/>
        <w:id w:val="147470884"/>
        <w:placeholder>
          <w:docPart w:val="GBC22222222222222222222222222222"/>
        </w:placeholder>
      </w:sdtPr>
      <w:sdtEndPr>
        <w:rPr>
          <w:rFonts w:ascii="Times New Roman" w:hAnsi="Times New Roman" w:cs="宋体"/>
          <w:color w:val="000000" w:themeColor="text1"/>
          <w:kern w:val="0"/>
          <w:szCs w:val="21"/>
          <w14:textFill>
            <w14:solidFill>
              <w14:schemeClr w14:val="tx1"/>
            </w14:solidFill>
          </w14:textFill>
        </w:rPr>
      </w:sdtEndPr>
      <w:sdtContent>
        <w:sdt>
          <w:sdtPr>
            <w:rPr>
              <w:rFonts w:ascii="宋体" w:hAnsi="宋体" w:cs="宋体"/>
              <w:kern w:val="0"/>
              <w:szCs w:val="24"/>
            </w:rPr>
            <w:alias w:val="简化处理的短期租赁或低价值资产的租赁费用"/>
            <w:tag w:val="_GBC_3b8234b2706245babde4cf12e0a046e4"/>
            <w:id w:val="147477115"/>
            <w:lock w:val="sdtLocked"/>
            <w:placeholder>
              <w:docPart w:val="{33573e51-eb93-4283-a3ad-7ec12f67c762}"/>
            </w:placeholder>
          </w:sdtPr>
          <w:sdtEndPr>
            <w:rPr>
              <w:rFonts w:ascii="宋体" w:hAnsi="宋体" w:cs="宋体"/>
              <w:kern w:val="0"/>
              <w:szCs w:val="24"/>
            </w:rPr>
          </w:sdtEndPr>
          <w:sdtContent>
            <w:p w14:paraId="13627F62">
              <w:pPr>
                <w:pStyle w:val="50"/>
                <w:ind w:left="420" w:firstLine="0" w:firstLineChars="0"/>
                <w:jc w:val="right"/>
                <w:rPr>
                  <w:szCs w:val="21"/>
                </w:rPr>
              </w:pPr>
              <w:r>
                <w:rPr>
                  <w:rFonts w:hint="eastAsia"/>
                  <w:szCs w:val="21"/>
                </w:rPr>
                <w:t>单位：</w:t>
              </w:r>
              <w:sdt>
                <w:sdtPr>
                  <w:rPr>
                    <w:rFonts w:hint="eastAsia"/>
                    <w:szCs w:val="21"/>
                  </w:rPr>
                  <w:alias w:val="单位：研发费用"/>
                  <w:tag w:val="_GBC_cf8eb084313b4a1daa3dbb7d47c6cc60"/>
                  <w:id w:val="147470952"/>
                  <w:placeholder>
                    <w:docPart w:val="{178369bf-19eb-4e0e-9999-b0c5a82a2cd7}"/>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rFonts w:hint="eastAsia"/>
                  <w:szCs w:val="21"/>
                </w:rPr>
                <w:t xml:space="preserve">  币种：</w:t>
              </w:r>
              <w:sdt>
                <w:sdtPr>
                  <w:rPr>
                    <w:rFonts w:hint="eastAsia"/>
                    <w:szCs w:val="21"/>
                  </w:rPr>
                  <w:alias w:val="币种：研发费用"/>
                  <w:tag w:val="_GBC_572bef247e4247e09454933a69c36e65"/>
                  <w:id w:val="147465254"/>
                  <w:placeholder>
                    <w:docPart w:val="{178369bf-19eb-4e0e-9999-b0c5a82a2cd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1"/>
                <w:gridCol w:w="2941"/>
                <w:gridCol w:w="2941"/>
              </w:tblGrid>
              <w:tr w14:paraId="6153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29042513">
                    <w:pPr>
                      <w:widowControl w:val="0"/>
                      <w:jc w:val="center"/>
                      <w:rPr>
                        <w:rFonts w:cs="Times New Roman" w:eastAsiaTheme="minorEastAsia"/>
                      </w:rPr>
                    </w:pPr>
                    <w:r>
                      <w:rPr>
                        <w:rFonts w:cs="Times New Roman" w:eastAsiaTheme="minorEastAsia"/>
                        <w:color w:val="000000"/>
                      </w:rPr>
                      <w:t>项目</w:t>
                    </w:r>
                  </w:p>
                </w:tc>
                <w:tc>
                  <w:tcPr>
                    <w:tcW w:w="2941" w:type="dxa"/>
                    <w:vAlign w:val="center"/>
                  </w:tcPr>
                  <w:p w14:paraId="5383FBB3">
                    <w:pPr>
                      <w:widowControl w:val="0"/>
                      <w:jc w:val="center"/>
                      <w:rPr>
                        <w:rFonts w:cs="Times New Roman" w:eastAsiaTheme="minorEastAsia"/>
                      </w:rPr>
                    </w:pPr>
                    <w:r>
                      <w:rPr>
                        <w:rFonts w:cs="Times New Roman" w:eastAsiaTheme="minorEastAsia"/>
                        <w:color w:val="000000"/>
                      </w:rPr>
                      <w:t>本期发生额</w:t>
                    </w:r>
                  </w:p>
                </w:tc>
                <w:tc>
                  <w:tcPr>
                    <w:tcW w:w="2941" w:type="dxa"/>
                    <w:vAlign w:val="center"/>
                  </w:tcPr>
                  <w:p w14:paraId="1501A18A">
                    <w:pPr>
                      <w:widowControl w:val="0"/>
                      <w:jc w:val="center"/>
                      <w:rPr>
                        <w:rFonts w:cs="Times New Roman" w:eastAsiaTheme="minorEastAsia"/>
                      </w:rPr>
                    </w:pPr>
                    <w:r>
                      <w:rPr>
                        <w:rFonts w:cs="Times New Roman" w:eastAsiaTheme="minorEastAsia"/>
                        <w:color w:val="000000"/>
                      </w:rPr>
                      <w:t>上期发生额</w:t>
                    </w:r>
                  </w:p>
                </w:tc>
              </w:tr>
              <w:tr w14:paraId="37F2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4274DDBC">
                    <w:pPr>
                      <w:widowControl w:val="0"/>
                      <w:jc w:val="both"/>
                      <w:rPr>
                        <w:rFonts w:cs="Times New Roman" w:eastAsiaTheme="minorEastAsia"/>
                      </w:rPr>
                    </w:pPr>
                    <w:r>
                      <w:rPr>
                        <w:rFonts w:cs="Times New Roman" w:eastAsiaTheme="minorEastAsia"/>
                        <w:color w:val="000000"/>
                      </w:rPr>
                      <w:t>租赁负债的利息</w:t>
                    </w:r>
                  </w:p>
                </w:tc>
                <w:tc>
                  <w:tcPr>
                    <w:tcW w:w="2941" w:type="dxa"/>
                    <w:vAlign w:val="center"/>
                  </w:tcPr>
                  <w:p w14:paraId="50C056CF">
                    <w:pPr>
                      <w:widowControl/>
                      <w:jc w:val="right"/>
                      <w:textAlignment w:val="center"/>
                      <w:rPr>
                        <w:rFonts w:cs="Times New Roman" w:eastAsiaTheme="minorEastAsia"/>
                      </w:rPr>
                    </w:pPr>
                    <w:r>
                      <w:rPr>
                        <w:rFonts w:cs="Times New Roman"/>
                        <w:color w:val="000000"/>
                      </w:rPr>
                      <w:t>273,002.88</w:t>
                    </w:r>
                  </w:p>
                </w:tc>
                <w:tc>
                  <w:tcPr>
                    <w:tcW w:w="2941" w:type="dxa"/>
                    <w:vAlign w:val="center"/>
                  </w:tcPr>
                  <w:p w14:paraId="0E52242B">
                    <w:pPr>
                      <w:widowControl/>
                      <w:jc w:val="right"/>
                      <w:textAlignment w:val="center"/>
                      <w:rPr>
                        <w:rFonts w:cs="Times New Roman" w:eastAsiaTheme="minorEastAsia"/>
                      </w:rPr>
                    </w:pPr>
                    <w:r>
                      <w:rPr>
                        <w:rFonts w:cs="Times New Roman"/>
                        <w:color w:val="000000"/>
                      </w:rPr>
                      <w:t>365,913.15</w:t>
                    </w:r>
                  </w:p>
                </w:tc>
              </w:tr>
              <w:tr w14:paraId="57BA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47CC3205">
                    <w:pPr>
                      <w:widowControl w:val="0"/>
                      <w:jc w:val="both"/>
                      <w:rPr>
                        <w:rFonts w:cs="Times New Roman" w:eastAsiaTheme="minorEastAsia"/>
                      </w:rPr>
                    </w:pPr>
                    <w:r>
                      <w:rPr>
                        <w:rFonts w:cs="Times New Roman" w:eastAsiaTheme="minorEastAsia"/>
                        <w:color w:val="000000"/>
                      </w:rPr>
                      <w:t>短期租赁费用</w:t>
                    </w:r>
                  </w:p>
                </w:tc>
                <w:tc>
                  <w:tcPr>
                    <w:tcW w:w="2941" w:type="dxa"/>
                    <w:vAlign w:val="center"/>
                  </w:tcPr>
                  <w:p w14:paraId="142971B3">
                    <w:pPr>
                      <w:widowControl/>
                      <w:jc w:val="right"/>
                      <w:textAlignment w:val="center"/>
                      <w:rPr>
                        <w:rFonts w:cs="Times New Roman" w:eastAsiaTheme="minorEastAsia"/>
                      </w:rPr>
                    </w:pPr>
                    <w:r>
                      <w:rPr>
                        <w:rFonts w:cs="Times New Roman"/>
                        <w:color w:val="000000"/>
                      </w:rPr>
                      <w:t>4,779,412.85</w:t>
                    </w:r>
                  </w:p>
                </w:tc>
                <w:tc>
                  <w:tcPr>
                    <w:tcW w:w="2941" w:type="dxa"/>
                    <w:vAlign w:val="center"/>
                  </w:tcPr>
                  <w:p w14:paraId="70E50E4D">
                    <w:pPr>
                      <w:widowControl/>
                      <w:jc w:val="right"/>
                      <w:textAlignment w:val="center"/>
                      <w:rPr>
                        <w:rFonts w:cs="Times New Roman" w:eastAsiaTheme="minorEastAsia"/>
                      </w:rPr>
                    </w:pPr>
                    <w:r>
                      <w:rPr>
                        <w:rFonts w:cs="Times New Roman"/>
                        <w:color w:val="000000"/>
                      </w:rPr>
                      <w:t>8,498,098.39</w:t>
                    </w:r>
                  </w:p>
                </w:tc>
              </w:tr>
              <w:tr w14:paraId="03FD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1" w:type="dxa"/>
                    <w:vAlign w:val="center"/>
                  </w:tcPr>
                  <w:p w14:paraId="00E580FD">
                    <w:pPr>
                      <w:widowControl w:val="0"/>
                      <w:jc w:val="both"/>
                      <w:rPr>
                        <w:rFonts w:cs="Times New Roman" w:eastAsiaTheme="minorEastAsia"/>
                      </w:rPr>
                    </w:pPr>
                    <w:r>
                      <w:rPr>
                        <w:rFonts w:cs="Times New Roman" w:eastAsiaTheme="minorEastAsia"/>
                        <w:color w:val="000000"/>
                      </w:rPr>
                      <w:t>低价值资产租赁费用</w:t>
                    </w:r>
                  </w:p>
                </w:tc>
                <w:tc>
                  <w:tcPr>
                    <w:tcW w:w="2941" w:type="dxa"/>
                    <w:vAlign w:val="center"/>
                  </w:tcPr>
                  <w:p w14:paraId="1F32AC77">
                    <w:pPr>
                      <w:widowControl/>
                      <w:jc w:val="right"/>
                      <w:textAlignment w:val="center"/>
                      <w:rPr>
                        <w:rFonts w:cs="Times New Roman" w:eastAsiaTheme="minorEastAsia"/>
                      </w:rPr>
                    </w:pPr>
                    <w:r>
                      <w:rPr>
                        <w:rFonts w:cs="Times New Roman"/>
                        <w:color w:val="000000"/>
                      </w:rPr>
                      <w:t>186,605.72</w:t>
                    </w:r>
                  </w:p>
                </w:tc>
                <w:tc>
                  <w:tcPr>
                    <w:tcW w:w="2941" w:type="dxa"/>
                    <w:vAlign w:val="center"/>
                  </w:tcPr>
                  <w:p w14:paraId="1C2DF949">
                    <w:pPr>
                      <w:widowControl/>
                      <w:jc w:val="right"/>
                      <w:textAlignment w:val="center"/>
                      <w:rPr>
                        <w:rFonts w:cs="Times New Roman" w:eastAsiaTheme="minorEastAsia"/>
                      </w:rPr>
                    </w:pPr>
                    <w:r>
                      <w:rPr>
                        <w:rFonts w:cs="Times New Roman"/>
                        <w:color w:val="000000"/>
                      </w:rPr>
                      <w:t>29,100.00</w:t>
                    </w:r>
                  </w:p>
                </w:tc>
              </w:tr>
            </w:tbl>
            <w:p w14:paraId="2FF9BBA2">
              <w:pPr>
                <w:rPr>
                  <w:color w:val="000000" w:themeColor="text1"/>
                  <w14:textFill>
                    <w14:solidFill>
                      <w14:schemeClr w14:val="tx1"/>
                    </w14:solidFill>
                  </w14:textFill>
                </w:rPr>
              </w:pPr>
            </w:p>
          </w:sdtContent>
        </w:sdt>
      </w:sdtContent>
    </w:sdt>
    <w:p w14:paraId="1B36239A">
      <w:pPr>
        <w:rPr>
          <w:color w:val="000000" w:themeColor="text1"/>
          <w14:textFill>
            <w14:solidFill>
              <w14:schemeClr w14:val="tx1"/>
            </w14:solidFill>
          </w14:textFill>
        </w:rPr>
      </w:pPr>
    </w:p>
    <w:p w14:paraId="670F6520">
      <w:pPr>
        <w:rPr>
          <w:color w:val="000000" w:themeColor="text1"/>
          <w14:textFill>
            <w14:solidFill>
              <w14:schemeClr w14:val="tx1"/>
            </w14:solidFill>
          </w14:textFill>
        </w:rPr>
      </w:pPr>
      <w:r>
        <w:rPr>
          <w:rFonts w:hint="eastAsia"/>
          <w:color w:val="000000" w:themeColor="text1"/>
          <w14:textFill>
            <w14:solidFill>
              <w14:schemeClr w14:val="tx1"/>
            </w14:solidFill>
          </w14:textFill>
        </w:rPr>
        <w:t>售后租回交易及判断依据</w:t>
      </w:r>
    </w:p>
    <w:sdt>
      <w:sdtPr>
        <w:rPr>
          <w:color w:val="000000" w:themeColor="text1"/>
          <w14:textFill>
            <w14:solidFill>
              <w14:schemeClr w14:val="tx1"/>
            </w14:solidFill>
          </w14:textFill>
        </w:rPr>
        <w:alias w:val="是否适用：售后租回交易及判断依据[双击切换]"/>
        <w:tag w:val="_GBC_1ca4680bb4e9497e80b8d3a59c79d5a1"/>
        <w:id w:val="147475264"/>
        <w:placeholder>
          <w:docPart w:val="GBC22222222222222222222222222222"/>
        </w:placeholder>
      </w:sdtPr>
      <w:sdtEndPr>
        <w:rPr>
          <w:color w:val="000000" w:themeColor="text1"/>
          <w14:textFill>
            <w14:solidFill>
              <w14:schemeClr w14:val="tx1"/>
            </w14:solidFill>
          </w14:textFill>
        </w:rPr>
      </w:sdtEndPr>
      <w:sdtContent>
        <w:p w14:paraId="6EB5B17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F567E38">
      <w:pPr>
        <w:rPr>
          <w:color w:val="000000" w:themeColor="text1"/>
          <w14:textFill>
            <w14:solidFill>
              <w14:schemeClr w14:val="tx1"/>
            </w14:solidFill>
          </w14:textFill>
        </w:rPr>
      </w:pPr>
    </w:p>
    <w:p w14:paraId="5FD84125">
      <w:pPr>
        <w:rPr>
          <w:color w:val="000000" w:themeColor="text1"/>
          <w14:textFill>
            <w14:solidFill>
              <w14:schemeClr w14:val="tx1"/>
            </w14:solidFill>
          </w14:textFill>
        </w:rPr>
      </w:pPr>
      <w:r>
        <w:rPr>
          <w:rFonts w:hint="eastAsia"/>
          <w:color w:val="000000" w:themeColor="text1"/>
          <w14:textFill>
            <w14:solidFill>
              <w14:schemeClr w14:val="tx1"/>
            </w14:solidFill>
          </w14:textFill>
        </w:rPr>
        <w:t>与租赁相关的现金流出总额</w:t>
      </w:r>
      <w:sdt>
        <w:sdtPr>
          <w:rPr>
            <w:rFonts w:hint="eastAsia"/>
            <w:color w:val="000000" w:themeColor="text1"/>
            <w14:textFill>
              <w14:solidFill>
                <w14:schemeClr w14:val="tx1"/>
              </w14:solidFill>
            </w14:textFill>
          </w:rPr>
          <w:alias w:val="与租赁相关的现金流出总额"/>
          <w:tag w:val="_GBC_d78e0355036a45b9afc0eca5988d4956"/>
          <w:id w:val="147467438"/>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8,322,601.25</w:t>
          </w:r>
        </w:sdtContent>
      </w:sdt>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与租赁相关的现金流出总额"/>
          <w:tag w:val="_GBC_57a12ad185f640248e4c9dce377f5f57"/>
          <w:id w:val="14747384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与租赁相关的现金流出总额"/>
          <w:tag w:val="_GBC_a5553fa6fd6f4fefa66550584159c745"/>
          <w:id w:val="1474799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w:t>
      </w:r>
    </w:p>
    <w:p w14:paraId="659D3143">
      <w:pPr>
        <w:rPr>
          <w:color w:val="000000" w:themeColor="text1"/>
          <w14:textFill>
            <w14:solidFill>
              <w14:schemeClr w14:val="tx1"/>
            </w14:solidFill>
          </w14:textFill>
        </w:rPr>
      </w:pPr>
    </w:p>
    <w:p w14:paraId="180FE83B">
      <w:pPr>
        <w:pStyle w:val="58"/>
        <w:numPr>
          <w:ilvl w:val="0"/>
          <w:numId w:val="93"/>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作为出租人</w:t>
      </w:r>
    </w:p>
    <w:p w14:paraId="3D2EB3BD">
      <w:pPr>
        <w:rPr>
          <w:color w:val="000000" w:themeColor="text1"/>
          <w14:textFill>
            <w14:solidFill>
              <w14:schemeClr w14:val="tx1"/>
            </w14:solidFill>
          </w14:textFill>
        </w:rPr>
      </w:pPr>
      <w:r>
        <w:rPr>
          <w:color w:val="000000" w:themeColor="text1"/>
          <w14:textFill>
            <w14:solidFill>
              <w14:schemeClr w14:val="tx1"/>
            </w14:solidFill>
          </w14:textFill>
        </w:rPr>
        <w:t>作为出租人的经营</w:t>
      </w:r>
      <w:r>
        <w:rPr>
          <w:rFonts w:hint="eastAsia"/>
          <w:color w:val="000000" w:themeColor="text1"/>
          <w14:textFill>
            <w14:solidFill>
              <w14:schemeClr w14:val="tx1"/>
            </w14:solidFill>
          </w14:textFill>
        </w:rPr>
        <w:t>租赁</w:t>
      </w:r>
    </w:p>
    <w:sdt>
      <w:sdtPr>
        <w:rPr>
          <w:rFonts w:hint="eastAsia"/>
          <w:color w:val="000000" w:themeColor="text1"/>
          <w14:textFill>
            <w14:solidFill>
              <w14:schemeClr w14:val="tx1"/>
            </w14:solidFill>
          </w14:textFill>
        </w:rPr>
        <w:alias w:val="是否适用：作为出租人的经营租赁[双击切换]"/>
        <w:tag w:val="_GBC_8caa55cbe72d4d8cacd2b07a9782c9d1"/>
        <w:id w:val="391013597"/>
      </w:sdtPr>
      <w:sdtEndPr>
        <w:rPr>
          <w:rFonts w:hint="eastAsia"/>
          <w:color w:val="000000" w:themeColor="text1"/>
          <w14:textFill>
            <w14:solidFill>
              <w14:schemeClr w14:val="tx1"/>
            </w14:solidFill>
          </w14:textFill>
        </w:rPr>
      </w:sdtEndPr>
      <w:sdtContent>
        <w:p w14:paraId="71D3D6C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5D8845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作为出租人的经营租赁"/>
          <w:tag w:val="_GBC_de6eb571fbe04adb9912546313da8056"/>
          <w:id w:val="-993567028"/>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作为出租人的经营租赁"/>
          <w:tag w:val="_GBC_3b9dbcc6234241c6ad9c2cb82be0f4e6"/>
          <w:id w:val="-44919010"/>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6"/>
        <w:gridCol w:w="1968"/>
      </w:tblGrid>
      <w:tr w14:paraId="166D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cs="Times New Roman"/>
            </w:rPr>
            <w:tag w:val="_PLD_592ea8def48e4d70a449933471ee6d8a"/>
            <w:id w:val="-1398967534"/>
          </w:sdtPr>
          <w:sdtEndPr>
            <w:rPr>
              <w:rFonts w:cs="Times New Roman"/>
            </w:rPr>
          </w:sdtEndPr>
          <w:sdtContent>
            <w:tc>
              <w:tcPr>
                <w:tcW w:w="3911" w:type="pct"/>
                <w:vAlign w:val="center"/>
              </w:tcPr>
              <w:p w14:paraId="48DBA2E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fb99ae08176e462e8f93a77b1a3bf67d"/>
            <w:id w:val="-895436404"/>
          </w:sdtPr>
          <w:sdtEndPr>
            <w:rPr>
              <w:rFonts w:cs="Times New Roman"/>
            </w:rPr>
          </w:sdtEndPr>
          <w:sdtContent>
            <w:tc>
              <w:tcPr>
                <w:tcW w:w="1088" w:type="pct"/>
                <w:vAlign w:val="center"/>
              </w:tcPr>
              <w:p w14:paraId="7BE2F8D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租赁收入</w:t>
                </w:r>
              </w:p>
            </w:tc>
          </w:sdtContent>
        </w:sdt>
      </w:tr>
      <w:sdt>
        <w:sdtPr>
          <w:rPr>
            <w:rFonts w:cs="Times New Roman"/>
            <w:color w:val="000000" w:themeColor="text1"/>
            <w14:textFill>
              <w14:solidFill>
                <w14:schemeClr w14:val="tx1"/>
              </w14:solidFill>
            </w14:textFill>
          </w:rPr>
          <w:alias w:val="作为出租人的经营租赁明细"/>
          <w:tag w:val="_TUP_19495608967c4a2b8a1a0c0941998ad7"/>
          <w:id w:val="-2081742441"/>
          <w:placeholder>
            <w:docPart w:val="{e13e1838-74b0-4c10-a2d9-b7ed71a53cc5}"/>
          </w:placeholder>
        </w:sdtPr>
        <w:sdtEndPr>
          <w:rPr>
            <w:rFonts w:cs="Times New Roman"/>
            <w:color w:val="000000" w:themeColor="text1"/>
            <w14:textFill>
              <w14:solidFill>
                <w14:schemeClr w14:val="tx1"/>
              </w14:solidFill>
            </w14:textFill>
          </w:rPr>
        </w:sdtEndPr>
        <w:sdtContent>
          <w:tr w14:paraId="17DF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0974B3F9">
                <w:pPr>
                  <w:rPr>
                    <w:rFonts w:cs="Times New Roman"/>
                  </w:rPr>
                </w:pPr>
                <w:r>
                  <w:rPr>
                    <w:rFonts w:cs="Times New Roman"/>
                  </w:rPr>
                  <w:t>际华三五零二职业装有限公司房屋及建筑物租赁</w:t>
                </w:r>
              </w:p>
            </w:tc>
            <w:tc>
              <w:tcPr>
                <w:tcW w:w="1088" w:type="pct"/>
                <w:vAlign w:val="center"/>
              </w:tcPr>
              <w:p w14:paraId="4A7D82CB">
                <w:pPr>
                  <w:jc w:val="right"/>
                  <w:rPr>
                    <w:rFonts w:cs="Times New Roman"/>
                  </w:rPr>
                </w:pPr>
                <w:r>
                  <w:rPr>
                    <w:rFonts w:cs="Times New Roman"/>
                  </w:rPr>
                  <w:t>1,215,581.29</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573126419"/>
          <w:placeholder>
            <w:docPart w:val="{e13e1838-74b0-4c10-a2d9-b7ed71a53cc5}"/>
          </w:placeholder>
        </w:sdtPr>
        <w:sdtEndPr>
          <w:rPr>
            <w:rFonts w:cs="Times New Roman"/>
            <w:color w:val="000000" w:themeColor="text1"/>
            <w14:textFill>
              <w14:solidFill>
                <w14:schemeClr w14:val="tx1"/>
              </w14:solidFill>
            </w14:textFill>
          </w:rPr>
        </w:sdtEndPr>
        <w:sdtContent>
          <w:tr w14:paraId="76B3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01A7FA61">
                <w:pPr>
                  <w:rPr>
                    <w:rFonts w:cs="Times New Roman"/>
                  </w:rPr>
                </w:pPr>
                <w:r>
                  <w:rPr>
                    <w:rFonts w:cs="Times New Roman"/>
                  </w:rPr>
                  <w:t>南京际华三五〇三服装有限公司房屋及建筑物租赁</w:t>
                </w:r>
              </w:p>
            </w:tc>
            <w:tc>
              <w:tcPr>
                <w:tcW w:w="1088" w:type="pct"/>
                <w:vAlign w:val="center"/>
              </w:tcPr>
              <w:p w14:paraId="4F5C3143">
                <w:pPr>
                  <w:jc w:val="right"/>
                  <w:rPr>
                    <w:rFonts w:cs="Times New Roman"/>
                  </w:rPr>
                </w:pPr>
                <w:r>
                  <w:rPr>
                    <w:rFonts w:cs="Times New Roman"/>
                  </w:rPr>
                  <w:t>779,128.45</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1900737335"/>
          <w:placeholder>
            <w:docPart w:val="{e13e1838-74b0-4c10-a2d9-b7ed71a53cc5}"/>
          </w:placeholder>
        </w:sdtPr>
        <w:sdtEndPr>
          <w:rPr>
            <w:rFonts w:cs="Times New Roman"/>
            <w:color w:val="000000" w:themeColor="text1"/>
            <w14:textFill>
              <w14:solidFill>
                <w14:schemeClr w14:val="tx1"/>
              </w14:solidFill>
            </w14:textFill>
          </w:rPr>
        </w:sdtEndPr>
        <w:sdtContent>
          <w:tr w14:paraId="7D3D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1951D80D">
                <w:pPr>
                  <w:rPr>
                    <w:rFonts w:cs="Times New Roman"/>
                  </w:rPr>
                </w:pPr>
                <w:r>
                  <w:rPr>
                    <w:rFonts w:cs="Times New Roman"/>
                  </w:rPr>
                  <w:t>际华三五零六纺织服装有限公司房屋及建筑物租赁</w:t>
                </w:r>
              </w:p>
            </w:tc>
            <w:tc>
              <w:tcPr>
                <w:tcW w:w="1088" w:type="pct"/>
                <w:vAlign w:val="center"/>
              </w:tcPr>
              <w:p w14:paraId="4051208F">
                <w:pPr>
                  <w:jc w:val="right"/>
                  <w:rPr>
                    <w:rFonts w:cs="Times New Roman"/>
                  </w:rPr>
                </w:pPr>
                <w:r>
                  <w:rPr>
                    <w:rFonts w:cs="Times New Roman"/>
                  </w:rPr>
                  <w:t>6,501,609.97</w:t>
                </w:r>
              </w:p>
            </w:tc>
          </w:tr>
        </w:sdtContent>
      </w:sdt>
      <w:sdt>
        <w:sdtPr>
          <w:alias w:val="作为出租人的经营租赁明细"/>
          <w:tag w:val="_TUP_19495608967c4a2b8a1a0c0941998ad7"/>
          <w:id w:val="-848107837"/>
          <w:placeholder>
            <w:docPart w:val="{e13e1838-74b0-4c10-a2d9-b7ed71a53cc5}"/>
          </w:placeholder>
        </w:sdtPr>
        <w:sdtContent>
          <w:sdt>
            <w:sdtPr>
              <w:alias w:val="作为出租人的经营租赁明细"/>
              <w:tag w:val="_TUP_19495608967c4a2b8a1a0c0941998ad7"/>
              <w:id w:val="-838460934"/>
              <w:placeholder>
                <w:docPart w:val="{e13e1838-74b0-4c10-a2d9-b7ed71a53cc5}"/>
              </w:placeholder>
            </w:sdtPr>
            <w:sdtEndPr>
              <w:rPr>
                <w:rFonts w:cs="Times New Roman"/>
                <w:color w:val="000000" w:themeColor="text1"/>
                <w14:textFill>
                  <w14:solidFill>
                    <w14:schemeClr w14:val="tx1"/>
                  </w14:solidFill>
                </w14:textFill>
              </w:rPr>
            </w:sdtEndPr>
            <w:sdtContent>
              <w:tr w14:paraId="3E41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4D5D6D32">
                    <w:pPr>
                      <w:rPr>
                        <w:rFonts w:cs="Times New Roman"/>
                      </w:rPr>
                    </w:pPr>
                    <w:r>
                      <w:rPr>
                        <w:rFonts w:cs="Times New Roman"/>
                      </w:rPr>
                      <w:t>际华三五一一实业有限公司房屋建筑物及土地租赁</w:t>
                    </w:r>
                  </w:p>
                </w:tc>
                <w:tc>
                  <w:tcPr>
                    <w:tcW w:w="1088" w:type="pct"/>
                    <w:vAlign w:val="center"/>
                  </w:tcPr>
                  <w:p w14:paraId="1E4BA7B0">
                    <w:pPr>
                      <w:jc w:val="right"/>
                      <w:rPr>
                        <w:rFonts w:cs="Times New Roman"/>
                      </w:rPr>
                    </w:pPr>
                    <w:r>
                      <w:rPr>
                        <w:rFonts w:cs="Times New Roman"/>
                      </w:rPr>
                      <w:t>9,684,277.57</w:t>
                    </w:r>
                  </w:p>
                </w:tc>
              </w:tr>
            </w:sdtContent>
          </w:sdt>
        </w:sdtContent>
      </w:sdt>
      <w:sdt>
        <w:sdtPr>
          <w:rPr>
            <w:rFonts w:cs="Times New Roman"/>
            <w:color w:val="000000" w:themeColor="text1"/>
            <w14:textFill>
              <w14:solidFill>
                <w14:schemeClr w14:val="tx1"/>
              </w14:solidFill>
            </w14:textFill>
          </w:rPr>
          <w:alias w:val="作为出租人的经营租赁明细"/>
          <w:tag w:val="_TUP_19495608967c4a2b8a1a0c0941998ad7"/>
          <w:id w:val="591440086"/>
          <w:placeholder>
            <w:docPart w:val="{e13e1838-74b0-4c10-a2d9-b7ed71a53cc5}"/>
          </w:placeholder>
        </w:sdtPr>
        <w:sdtEndPr>
          <w:rPr>
            <w:rFonts w:cs="Times New Roman"/>
            <w:color w:val="000000" w:themeColor="text1"/>
            <w14:textFill>
              <w14:solidFill>
                <w14:schemeClr w14:val="tx1"/>
              </w14:solidFill>
            </w14:textFill>
          </w:rPr>
        </w:sdtEndPr>
        <w:sdtContent>
          <w:tr w14:paraId="7052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1453E191">
                <w:pPr>
                  <w:rPr>
                    <w:rFonts w:cs="Times New Roman"/>
                  </w:rPr>
                </w:pPr>
                <w:r>
                  <w:rPr>
                    <w:rFonts w:cs="Times New Roman"/>
                  </w:rPr>
                  <w:t>际华三五一二皮革服装有限公司房屋建筑物及土地租赁</w:t>
                </w:r>
              </w:p>
            </w:tc>
            <w:tc>
              <w:tcPr>
                <w:tcW w:w="1088" w:type="pct"/>
                <w:vAlign w:val="center"/>
              </w:tcPr>
              <w:p w14:paraId="77F872CA">
                <w:pPr>
                  <w:jc w:val="right"/>
                  <w:rPr>
                    <w:rFonts w:cs="Times New Roman"/>
                  </w:rPr>
                </w:pPr>
                <w:r>
                  <w:rPr>
                    <w:rFonts w:cs="Times New Roman"/>
                  </w:rPr>
                  <w:t>2,531,619.05</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2143219668"/>
          <w:placeholder>
            <w:docPart w:val="{e13e1838-74b0-4c10-a2d9-b7ed71a53cc5}"/>
          </w:placeholder>
        </w:sdtPr>
        <w:sdtEndPr>
          <w:rPr>
            <w:rFonts w:cs="Times New Roman"/>
            <w:color w:val="000000" w:themeColor="text1"/>
            <w14:textFill>
              <w14:solidFill>
                <w14:schemeClr w14:val="tx1"/>
              </w14:solidFill>
            </w14:textFill>
          </w:rPr>
        </w:sdtEndPr>
        <w:sdtContent>
          <w:tr w14:paraId="266A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7ABC905C">
                <w:pPr>
                  <w:rPr>
                    <w:rFonts w:cs="Times New Roman"/>
                  </w:rPr>
                </w:pPr>
                <w:r>
                  <w:rPr>
                    <w:rFonts w:cs="Times New Roman"/>
                  </w:rPr>
                  <w:t>际华三五一三实业有限公司房屋及建筑物租赁</w:t>
                </w:r>
              </w:p>
            </w:tc>
            <w:tc>
              <w:tcPr>
                <w:tcW w:w="1088" w:type="pct"/>
                <w:vAlign w:val="center"/>
              </w:tcPr>
              <w:p w14:paraId="68E11DB2">
                <w:pPr>
                  <w:jc w:val="right"/>
                  <w:rPr>
                    <w:rFonts w:cs="Times New Roman"/>
                  </w:rPr>
                </w:pPr>
                <w:r>
                  <w:rPr>
                    <w:rFonts w:cs="Times New Roman"/>
                  </w:rPr>
                  <w:t>13,405,045.17</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118651678"/>
          <w:placeholder>
            <w:docPart w:val="{e13e1838-74b0-4c10-a2d9-b7ed71a53cc5}"/>
          </w:placeholder>
        </w:sdtPr>
        <w:sdtEndPr>
          <w:rPr>
            <w:rFonts w:cs="Times New Roman"/>
            <w:color w:val="000000" w:themeColor="text1"/>
            <w14:textFill>
              <w14:solidFill>
                <w14:schemeClr w14:val="tx1"/>
              </w14:solidFill>
            </w14:textFill>
          </w:rPr>
        </w:sdtEndPr>
        <w:sdtContent>
          <w:tr w14:paraId="0D5B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290E2C48">
                <w:pPr>
                  <w:rPr>
                    <w:rFonts w:cs="Times New Roman"/>
                  </w:rPr>
                </w:pPr>
                <w:r>
                  <w:rPr>
                    <w:rFonts w:cs="Times New Roman"/>
                  </w:rPr>
                  <w:t>际华三五一四制革制鞋有限公司房屋及建筑物租赁</w:t>
                </w:r>
              </w:p>
            </w:tc>
            <w:tc>
              <w:tcPr>
                <w:tcW w:w="1088" w:type="pct"/>
                <w:vAlign w:val="center"/>
              </w:tcPr>
              <w:p w14:paraId="23D0CF01">
                <w:pPr>
                  <w:jc w:val="right"/>
                  <w:rPr>
                    <w:rFonts w:cs="Times New Roman"/>
                  </w:rPr>
                </w:pPr>
                <w:r>
                  <w:rPr>
                    <w:rFonts w:cs="Times New Roman"/>
                  </w:rPr>
                  <w:t>7,259,146.78</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1890801554"/>
          <w:placeholder>
            <w:docPart w:val="{e13e1838-74b0-4c10-a2d9-b7ed71a53cc5}"/>
          </w:placeholder>
        </w:sdtPr>
        <w:sdtEndPr>
          <w:rPr>
            <w:rFonts w:cs="Times New Roman"/>
            <w:color w:val="000000" w:themeColor="text1"/>
            <w14:textFill>
              <w14:solidFill>
                <w14:schemeClr w14:val="tx1"/>
              </w14:solidFill>
            </w14:textFill>
          </w:rPr>
        </w:sdtEndPr>
        <w:sdtContent>
          <w:tr w14:paraId="12AB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71D7CBFD">
                <w:pPr>
                  <w:rPr>
                    <w:rFonts w:cs="Times New Roman"/>
                  </w:rPr>
                </w:pPr>
                <w:r>
                  <w:rPr>
                    <w:rFonts w:cs="Times New Roman"/>
                  </w:rPr>
                  <w:t>际华三五一五皮革皮鞋有限公司房屋及设备租赁</w:t>
                </w:r>
              </w:p>
            </w:tc>
            <w:tc>
              <w:tcPr>
                <w:tcW w:w="1088" w:type="pct"/>
                <w:vAlign w:val="center"/>
              </w:tcPr>
              <w:p w14:paraId="74D357E1">
                <w:pPr>
                  <w:jc w:val="right"/>
                  <w:rPr>
                    <w:rFonts w:cs="Times New Roman"/>
                  </w:rPr>
                </w:pPr>
                <w:r>
                  <w:rPr>
                    <w:rFonts w:cs="Times New Roman"/>
                  </w:rPr>
                  <w:t>5,817,600.66</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339074941"/>
          <w:placeholder>
            <w:docPart w:val="{e13e1838-74b0-4c10-a2d9-b7ed71a53cc5}"/>
          </w:placeholder>
        </w:sdtPr>
        <w:sdtEndPr>
          <w:rPr>
            <w:rFonts w:cs="Times New Roman"/>
            <w:color w:val="000000" w:themeColor="text1"/>
            <w14:textFill>
              <w14:solidFill>
                <w14:schemeClr w14:val="tx1"/>
              </w14:solidFill>
            </w14:textFill>
          </w:rPr>
        </w:sdtEndPr>
        <w:sdtContent>
          <w:tr w14:paraId="688D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3F99FB6E">
                <w:pPr>
                  <w:rPr>
                    <w:rFonts w:cs="Times New Roman"/>
                  </w:rPr>
                </w:pPr>
                <w:r>
                  <w:rPr>
                    <w:rFonts w:cs="Times New Roman"/>
                  </w:rPr>
                  <w:t>南京际华三五二一特种装备有限公司房屋及设备租赁</w:t>
                </w:r>
              </w:p>
            </w:tc>
            <w:tc>
              <w:tcPr>
                <w:tcW w:w="1088" w:type="pct"/>
                <w:vAlign w:val="center"/>
              </w:tcPr>
              <w:p w14:paraId="271379EE">
                <w:pPr>
                  <w:jc w:val="right"/>
                  <w:rPr>
                    <w:rFonts w:cs="Times New Roman"/>
                  </w:rPr>
                </w:pPr>
                <w:r>
                  <w:rPr>
                    <w:rFonts w:cs="Times New Roman"/>
                  </w:rPr>
                  <w:t>3,673,759.06</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1704630415"/>
          <w:placeholder>
            <w:docPart w:val="{e13e1838-74b0-4c10-a2d9-b7ed71a53cc5}"/>
          </w:placeholder>
        </w:sdtPr>
        <w:sdtEndPr>
          <w:rPr>
            <w:rFonts w:cs="Times New Roman"/>
            <w:color w:val="000000" w:themeColor="text1"/>
            <w14:textFill>
              <w14:solidFill>
                <w14:schemeClr w14:val="tx1"/>
              </w14:solidFill>
            </w14:textFill>
          </w:rPr>
        </w:sdtEndPr>
        <w:sdtContent>
          <w:tr w14:paraId="1AB6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1148A148">
                <w:pPr>
                  <w:rPr>
                    <w:rFonts w:cs="Times New Roman"/>
                  </w:rPr>
                </w:pPr>
                <w:r>
                  <w:rPr>
                    <w:rFonts w:cs="Times New Roman"/>
                  </w:rPr>
                  <w:t>际华三五二二装具饰品有限公司房屋及建筑物租赁</w:t>
                </w:r>
              </w:p>
            </w:tc>
            <w:tc>
              <w:tcPr>
                <w:tcW w:w="1088" w:type="pct"/>
                <w:vAlign w:val="center"/>
              </w:tcPr>
              <w:p w14:paraId="047CE251">
                <w:pPr>
                  <w:jc w:val="right"/>
                  <w:rPr>
                    <w:rFonts w:cs="Times New Roman"/>
                  </w:rPr>
                </w:pPr>
                <w:r>
                  <w:rPr>
                    <w:rFonts w:cs="Times New Roman"/>
                  </w:rPr>
                  <w:t>4,592,173.73</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1107884072"/>
          <w:placeholder>
            <w:docPart w:val="{e13e1838-74b0-4c10-a2d9-b7ed71a53cc5}"/>
          </w:placeholder>
        </w:sdtPr>
        <w:sdtEndPr>
          <w:rPr>
            <w:rFonts w:cs="Times New Roman"/>
            <w:color w:val="000000" w:themeColor="text1"/>
            <w14:textFill>
              <w14:solidFill>
                <w14:schemeClr w14:val="tx1"/>
              </w14:solidFill>
            </w14:textFill>
          </w:rPr>
        </w:sdtEndPr>
        <w:sdtContent>
          <w:tr w14:paraId="6C51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09101587">
                <w:pPr>
                  <w:rPr>
                    <w:rFonts w:cs="Times New Roman"/>
                  </w:rPr>
                </w:pPr>
                <w:r>
                  <w:rPr>
                    <w:rFonts w:cs="Times New Roman"/>
                  </w:rPr>
                  <w:t>际华三五三四制衣有限公司房屋设备及土地租赁</w:t>
                </w:r>
              </w:p>
            </w:tc>
            <w:tc>
              <w:tcPr>
                <w:tcW w:w="1088" w:type="pct"/>
                <w:vAlign w:val="center"/>
              </w:tcPr>
              <w:p w14:paraId="3807CBF6">
                <w:pPr>
                  <w:jc w:val="right"/>
                  <w:rPr>
                    <w:rFonts w:cs="Times New Roman"/>
                  </w:rPr>
                </w:pPr>
                <w:r>
                  <w:rPr>
                    <w:rFonts w:cs="Times New Roman"/>
                  </w:rPr>
                  <w:t>8,237,608.47</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907732454"/>
          <w:placeholder>
            <w:docPart w:val="{e13e1838-74b0-4c10-a2d9-b7ed71a53cc5}"/>
          </w:placeholder>
        </w:sdtPr>
        <w:sdtEndPr>
          <w:rPr>
            <w:rFonts w:cs="Times New Roman"/>
            <w:color w:val="000000" w:themeColor="text1"/>
            <w14:textFill>
              <w14:solidFill>
                <w14:schemeClr w14:val="tx1"/>
              </w14:solidFill>
            </w14:textFill>
          </w:rPr>
        </w:sdtEndPr>
        <w:sdtContent>
          <w:tr w14:paraId="1798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635F7635">
                <w:pPr>
                  <w:rPr>
                    <w:rFonts w:cs="Times New Roman"/>
                  </w:rPr>
                </w:pPr>
                <w:r>
                  <w:rPr>
                    <w:rFonts w:cs="Times New Roman"/>
                  </w:rPr>
                  <w:t>际华三五三六实业有限公司房屋及建筑物租赁</w:t>
                </w:r>
              </w:p>
            </w:tc>
            <w:tc>
              <w:tcPr>
                <w:tcW w:w="1088" w:type="pct"/>
                <w:vAlign w:val="center"/>
              </w:tcPr>
              <w:p w14:paraId="2221F01F">
                <w:pPr>
                  <w:jc w:val="right"/>
                  <w:rPr>
                    <w:rFonts w:cs="Times New Roman"/>
                  </w:rPr>
                </w:pPr>
                <w:r>
                  <w:rPr>
                    <w:rFonts w:cs="Times New Roman"/>
                  </w:rPr>
                  <w:t>112,330.27</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527757983"/>
          <w:placeholder>
            <w:docPart w:val="{e13e1838-74b0-4c10-a2d9-b7ed71a53cc5}"/>
          </w:placeholder>
        </w:sdtPr>
        <w:sdtEndPr>
          <w:rPr>
            <w:rFonts w:cs="Times New Roman"/>
            <w:color w:val="000000" w:themeColor="text1"/>
            <w14:textFill>
              <w14:solidFill>
                <w14:schemeClr w14:val="tx1"/>
              </w14:solidFill>
            </w14:textFill>
          </w:rPr>
        </w:sdtEndPr>
        <w:sdtContent>
          <w:tr w14:paraId="2FA65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26B83153">
                <w:pPr>
                  <w:rPr>
                    <w:rFonts w:cs="Times New Roman"/>
                  </w:rPr>
                </w:pPr>
                <w:r>
                  <w:rPr>
                    <w:rFonts w:cs="Times New Roman"/>
                  </w:rPr>
                  <w:t>际华三五四二纺织有限公司房屋及建筑物租赁</w:t>
                </w:r>
              </w:p>
            </w:tc>
            <w:tc>
              <w:tcPr>
                <w:tcW w:w="1088" w:type="pct"/>
                <w:vAlign w:val="center"/>
              </w:tcPr>
              <w:p w14:paraId="25BB8F31">
                <w:pPr>
                  <w:jc w:val="right"/>
                  <w:rPr>
                    <w:rFonts w:cs="Times New Roman"/>
                  </w:rPr>
                </w:pPr>
                <w:r>
                  <w:rPr>
                    <w:rFonts w:cs="Times New Roman"/>
                  </w:rPr>
                  <w:t>62,465.14</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996068254"/>
          <w:placeholder>
            <w:docPart w:val="{e13e1838-74b0-4c10-a2d9-b7ed71a53cc5}"/>
          </w:placeholder>
        </w:sdtPr>
        <w:sdtEndPr>
          <w:rPr>
            <w:rFonts w:cs="Times New Roman"/>
            <w:color w:val="000000" w:themeColor="text1"/>
            <w14:textFill>
              <w14:solidFill>
                <w14:schemeClr w14:val="tx1"/>
              </w14:solidFill>
            </w14:textFill>
          </w:rPr>
        </w:sdtEndPr>
        <w:sdtContent>
          <w:tr w14:paraId="5278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38C8D365">
                <w:pPr>
                  <w:rPr>
                    <w:rFonts w:cs="Times New Roman"/>
                  </w:rPr>
                </w:pPr>
                <w:r>
                  <w:rPr>
                    <w:rFonts w:cs="Times New Roman"/>
                  </w:rPr>
                  <w:t>际华三五四三针织服饰有限公司房屋及建筑物租赁</w:t>
                </w:r>
              </w:p>
            </w:tc>
            <w:tc>
              <w:tcPr>
                <w:tcW w:w="1088" w:type="pct"/>
                <w:vAlign w:val="center"/>
              </w:tcPr>
              <w:p w14:paraId="23BD0516">
                <w:pPr>
                  <w:jc w:val="right"/>
                  <w:rPr>
                    <w:rFonts w:cs="Times New Roman"/>
                  </w:rPr>
                </w:pPr>
                <w:r>
                  <w:rPr>
                    <w:rFonts w:cs="Times New Roman"/>
                  </w:rPr>
                  <w:t>2,082,796.83</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992709976"/>
          <w:placeholder>
            <w:docPart w:val="{e13e1838-74b0-4c10-a2d9-b7ed71a53cc5}"/>
          </w:placeholder>
        </w:sdtPr>
        <w:sdtEndPr>
          <w:rPr>
            <w:rFonts w:cs="Times New Roman"/>
            <w:color w:val="000000" w:themeColor="text1"/>
            <w14:textFill>
              <w14:solidFill>
                <w14:schemeClr w14:val="tx1"/>
              </w14:solidFill>
            </w14:textFill>
          </w:rPr>
        </w:sdtEndPr>
        <w:sdtContent>
          <w:tr w14:paraId="5A38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194BBA1C">
                <w:pPr>
                  <w:rPr>
                    <w:rFonts w:cs="Times New Roman"/>
                  </w:rPr>
                </w:pPr>
                <w:r>
                  <w:rPr>
                    <w:rFonts w:cs="Times New Roman"/>
                  </w:rPr>
                  <w:t>沈阳际华三五四七特种装具有限公司房屋及建筑物租赁</w:t>
                </w:r>
              </w:p>
            </w:tc>
            <w:tc>
              <w:tcPr>
                <w:tcW w:w="1088" w:type="pct"/>
                <w:vAlign w:val="center"/>
              </w:tcPr>
              <w:p w14:paraId="403B5884">
                <w:pPr>
                  <w:jc w:val="right"/>
                  <w:rPr>
                    <w:rFonts w:cs="Times New Roman"/>
                  </w:rPr>
                </w:pPr>
                <w:r>
                  <w:rPr>
                    <w:rFonts w:cs="Times New Roman"/>
                  </w:rPr>
                  <w:t>294,766.43</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41261538"/>
          <w:placeholder>
            <w:docPart w:val="{e13e1838-74b0-4c10-a2d9-b7ed71a53cc5}"/>
          </w:placeholder>
        </w:sdtPr>
        <w:sdtEndPr>
          <w:rPr>
            <w:rFonts w:cs="Times New Roman"/>
            <w:color w:val="000000" w:themeColor="text1"/>
            <w14:textFill>
              <w14:solidFill>
                <w14:schemeClr w14:val="tx1"/>
              </w14:solidFill>
            </w14:textFill>
          </w:rPr>
        </w:sdtEndPr>
        <w:sdtContent>
          <w:tr w14:paraId="5AE3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02C2B389">
                <w:pPr>
                  <w:rPr>
                    <w:rFonts w:cs="Times New Roman"/>
                  </w:rPr>
                </w:pPr>
                <w:r>
                  <w:rPr>
                    <w:rFonts w:cs="Times New Roman"/>
                  </w:rPr>
                  <w:t>际华橡胶工业有限公司房屋土地及设备租赁</w:t>
                </w:r>
              </w:p>
            </w:tc>
            <w:tc>
              <w:tcPr>
                <w:tcW w:w="1088" w:type="pct"/>
                <w:vAlign w:val="center"/>
              </w:tcPr>
              <w:p w14:paraId="1221302F">
                <w:pPr>
                  <w:jc w:val="right"/>
                  <w:rPr>
                    <w:rFonts w:cs="Times New Roman"/>
                  </w:rPr>
                </w:pPr>
                <w:r>
                  <w:rPr>
                    <w:rFonts w:cs="Times New Roman"/>
                  </w:rPr>
                  <w:t>11,258,328.30</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866445491"/>
          <w:placeholder>
            <w:docPart w:val="{e13e1838-74b0-4c10-a2d9-b7ed71a53cc5}"/>
          </w:placeholder>
        </w:sdtPr>
        <w:sdtEndPr>
          <w:rPr>
            <w:rFonts w:cs="Times New Roman"/>
            <w:color w:val="000000" w:themeColor="text1"/>
            <w14:textFill>
              <w14:solidFill>
                <w14:schemeClr w14:val="tx1"/>
              </w14:solidFill>
            </w14:textFill>
          </w:rPr>
        </w:sdtEndPr>
        <w:sdtContent>
          <w:tr w14:paraId="0241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5C9345BE">
                <w:pPr>
                  <w:rPr>
                    <w:rFonts w:cs="Times New Roman"/>
                  </w:rPr>
                </w:pPr>
                <w:r>
                  <w:rPr>
                    <w:rFonts w:cs="Times New Roman"/>
                  </w:rPr>
                  <w:t>内蒙古际华森普利服装皮业有限公司房屋及建筑物租赁</w:t>
                </w:r>
              </w:p>
            </w:tc>
            <w:tc>
              <w:tcPr>
                <w:tcW w:w="1088" w:type="pct"/>
                <w:vAlign w:val="center"/>
              </w:tcPr>
              <w:p w14:paraId="463FBFF6">
                <w:pPr>
                  <w:jc w:val="right"/>
                  <w:rPr>
                    <w:rFonts w:cs="Times New Roman"/>
                  </w:rPr>
                </w:pPr>
                <w:r>
                  <w:rPr>
                    <w:rFonts w:cs="Times New Roman"/>
                  </w:rPr>
                  <w:t>97,701.68</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967401738"/>
          <w:placeholder>
            <w:docPart w:val="{e13e1838-74b0-4c10-a2d9-b7ed71a53cc5}"/>
          </w:placeholder>
        </w:sdtPr>
        <w:sdtEndPr>
          <w:rPr>
            <w:rFonts w:cs="Times New Roman"/>
            <w:color w:val="000000" w:themeColor="text1"/>
            <w14:textFill>
              <w14:solidFill>
                <w14:schemeClr w14:val="tx1"/>
              </w14:solidFill>
            </w14:textFill>
          </w:rPr>
        </w:sdtEndPr>
        <w:sdtContent>
          <w:tr w14:paraId="6F8E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2D5D4E0F">
                <w:pPr>
                  <w:rPr>
                    <w:rFonts w:cs="Times New Roman"/>
                  </w:rPr>
                </w:pPr>
                <w:r>
                  <w:rPr>
                    <w:rFonts w:cs="Times New Roman"/>
                  </w:rPr>
                  <w:t>重庆际华目的地中心实业有限公司房屋建筑物及土地租赁</w:t>
                </w:r>
              </w:p>
            </w:tc>
            <w:tc>
              <w:tcPr>
                <w:tcW w:w="1088" w:type="pct"/>
                <w:vAlign w:val="center"/>
              </w:tcPr>
              <w:p w14:paraId="47D97438">
                <w:pPr>
                  <w:jc w:val="right"/>
                  <w:rPr>
                    <w:rFonts w:cs="Times New Roman"/>
                  </w:rPr>
                </w:pPr>
                <w:r>
                  <w:rPr>
                    <w:rFonts w:cs="Times New Roman"/>
                  </w:rPr>
                  <w:t>1,636,983.68</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181790355"/>
          <w:placeholder>
            <w:docPart w:val="{e13e1838-74b0-4c10-a2d9-b7ed71a53cc5}"/>
          </w:placeholder>
        </w:sdtPr>
        <w:sdtEndPr>
          <w:rPr>
            <w:rFonts w:cs="Times New Roman"/>
            <w:color w:val="000000" w:themeColor="text1"/>
            <w14:textFill>
              <w14:solidFill>
                <w14:schemeClr w14:val="tx1"/>
              </w14:solidFill>
            </w14:textFill>
          </w:rPr>
        </w:sdtEndPr>
        <w:sdtContent>
          <w:tr w14:paraId="4FE7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5766B94C">
                <w:pPr>
                  <w:rPr>
                    <w:rFonts w:cs="Times New Roman"/>
                  </w:rPr>
                </w:pPr>
                <w:r>
                  <w:rPr>
                    <w:rFonts w:cs="Times New Roman"/>
                  </w:rPr>
                  <w:t>新疆际华七五五五职业装有限公司房屋建筑物及土地租赁</w:t>
                </w:r>
              </w:p>
            </w:tc>
            <w:tc>
              <w:tcPr>
                <w:tcW w:w="1088" w:type="pct"/>
                <w:vAlign w:val="center"/>
              </w:tcPr>
              <w:p w14:paraId="0426EBB8">
                <w:pPr>
                  <w:jc w:val="right"/>
                  <w:rPr>
                    <w:rFonts w:cs="Times New Roman"/>
                  </w:rPr>
                </w:pPr>
                <w:r>
                  <w:rPr>
                    <w:rFonts w:cs="Times New Roman"/>
                  </w:rPr>
                  <w:t>1,293,860.82</w:t>
                </w:r>
              </w:p>
            </w:tc>
          </w:tr>
        </w:sdtContent>
      </w:sdt>
      <w:sdt>
        <w:sdtPr>
          <w:rPr>
            <w:rFonts w:cs="Times New Roman"/>
            <w:color w:val="000000" w:themeColor="text1"/>
            <w14:textFill>
              <w14:solidFill>
                <w14:schemeClr w14:val="tx1"/>
              </w14:solidFill>
            </w14:textFill>
          </w:rPr>
          <w:alias w:val="作为出租人的经营租赁明细"/>
          <w:tag w:val="_TUP_19495608967c4a2b8a1a0c0941998ad7"/>
          <w:id w:val="-248973093"/>
          <w:placeholder>
            <w:docPart w:val="{e13e1838-74b0-4c10-a2d9-b7ed71a53cc5}"/>
          </w:placeholder>
        </w:sdtPr>
        <w:sdtEndPr>
          <w:rPr>
            <w:rFonts w:cs="Times New Roman"/>
            <w:color w:val="000000" w:themeColor="text1"/>
            <w14:textFill>
              <w14:solidFill>
                <w14:schemeClr w14:val="tx1"/>
              </w14:solidFill>
            </w14:textFill>
          </w:rPr>
        </w:sdtEndPr>
        <w:sdtContent>
          <w:tr w14:paraId="3987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p w14:paraId="76AF0187">
                <w:pPr>
                  <w:rPr>
                    <w:rFonts w:cs="Times New Roman"/>
                  </w:rPr>
                </w:pPr>
                <w:r>
                  <w:rPr>
                    <w:rFonts w:cs="Times New Roman"/>
                  </w:rPr>
                  <w:t>际华（邢台）投资有限公司房屋及建筑物租赁</w:t>
                </w:r>
              </w:p>
            </w:tc>
            <w:tc>
              <w:tcPr>
                <w:tcW w:w="1088" w:type="pct"/>
                <w:vAlign w:val="center"/>
              </w:tcPr>
              <w:p w14:paraId="51F405DD">
                <w:pPr>
                  <w:jc w:val="right"/>
                  <w:rPr>
                    <w:rFonts w:cs="Times New Roman"/>
                  </w:rPr>
                </w:pPr>
                <w:r>
                  <w:rPr>
                    <w:rFonts w:cs="Times New Roman"/>
                  </w:rPr>
                  <w:t>1,117,757.52</w:t>
                </w:r>
              </w:p>
            </w:tc>
          </w:tr>
        </w:sdtContent>
      </w:sdt>
      <w:sdt>
        <w:sdtPr>
          <w:alias w:val="作为出租人的经营租赁明细"/>
          <w:tag w:val="_TUP_19495608967c4a2b8a1a0c0941998ad7"/>
          <w:id w:val="443043722"/>
          <w:placeholder>
            <w:docPart w:val="{e13e1838-74b0-4c10-a2d9-b7ed71a53cc5}"/>
          </w:placeholder>
        </w:sdtPr>
        <w:sdtContent>
          <w:tr w14:paraId="30FC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1" w:type="pct"/>
                <w:vAlign w:val="center"/>
              </w:tcPr>
              <w:sdt>
                <w:sdtPr>
                  <w:rPr>
                    <w:rFonts w:cs="Times New Roman"/>
                  </w:rPr>
                  <w:tag w:val="_PLD_0c36d354a6c84ad48f18f534870328d9"/>
                  <w:id w:val="1414670531"/>
                </w:sdtPr>
                <w:sdtEndPr>
                  <w:rPr>
                    <w:rFonts w:cs="Times New Roman"/>
                  </w:rPr>
                </w:sdtEndPr>
                <w:sdtContent>
                  <w:p w14:paraId="38E09DC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sdtContent>
              </w:sdt>
            </w:tc>
            <w:tc>
              <w:tcPr>
                <w:tcW w:w="1088" w:type="pct"/>
                <w:vAlign w:val="center"/>
              </w:tcPr>
              <w:p w14:paraId="02C22E19">
                <w:pPr>
                  <w:jc w:val="right"/>
                  <w:rPr>
                    <w:rFonts w:cs="Times New Roman"/>
                  </w:rPr>
                </w:pPr>
                <w:r>
                  <w:rPr>
                    <w:rFonts w:cs="Times New Roman"/>
                  </w:rPr>
                  <w:t>81,654,540.87</w:t>
                </w:r>
              </w:p>
            </w:tc>
          </w:tr>
        </w:sdtContent>
      </w:sdt>
    </w:tbl>
    <w:p w14:paraId="71AE89AD"/>
    <w:p w14:paraId="23E792D1">
      <w:pPr>
        <w:rPr>
          <w:color w:val="000000" w:themeColor="text1"/>
          <w14:textFill>
            <w14:solidFill>
              <w14:schemeClr w14:val="tx1"/>
            </w14:solidFill>
          </w14:textFill>
        </w:rPr>
      </w:pPr>
      <w:r>
        <w:rPr>
          <w:color w:val="000000" w:themeColor="text1"/>
          <w14:textFill>
            <w14:solidFill>
              <w14:schemeClr w14:val="tx1"/>
            </w14:solidFill>
          </w14:textFill>
        </w:rPr>
        <w:t>作为出租人的融资租赁</w:t>
      </w:r>
    </w:p>
    <w:sdt>
      <w:sdtPr>
        <w:rPr>
          <w:color w:val="000000" w:themeColor="text1"/>
          <w14:textFill>
            <w14:solidFill>
              <w14:schemeClr w14:val="tx1"/>
            </w14:solidFill>
          </w14:textFill>
        </w:rPr>
        <w:alias w:val="是否适用：作为出租人的融资租赁[双击切换]"/>
        <w:tag w:val="_GBC_b8e25c7d290240c1ad7a8b299dddafda"/>
        <w:id w:val="147456219"/>
        <w:placeholder>
          <w:docPart w:val="GBC22222222222222222222222222222"/>
        </w:placeholder>
      </w:sdtPr>
      <w:sdtEndPr>
        <w:rPr>
          <w:color w:val="000000" w:themeColor="text1"/>
          <w14:textFill>
            <w14:solidFill>
              <w14:schemeClr w14:val="tx1"/>
            </w14:solidFill>
          </w14:textFill>
        </w:rPr>
      </w:sdtEndPr>
      <w:sdtContent>
        <w:p w14:paraId="3CD76E9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B3F75AF">
      <w:pPr>
        <w:rPr>
          <w:color w:val="000000" w:themeColor="text1"/>
          <w14:textFill>
            <w14:solidFill>
              <w14:schemeClr w14:val="tx1"/>
            </w14:solidFill>
          </w14:textFill>
        </w:rPr>
      </w:pPr>
    </w:p>
    <w:p w14:paraId="07A8D97E">
      <w:pPr>
        <w:rPr>
          <w:color w:val="000000" w:themeColor="text1"/>
          <w14:textFill>
            <w14:solidFill>
              <w14:schemeClr w14:val="tx1"/>
            </w14:solidFill>
          </w14:textFill>
        </w:rPr>
      </w:pPr>
      <w:r>
        <w:rPr>
          <w:color w:val="000000" w:themeColor="text1"/>
          <w14:textFill>
            <w14:solidFill>
              <w14:schemeClr w14:val="tx1"/>
            </w14:solidFill>
          </w14:textFill>
        </w:rPr>
        <w:t>未折现租赁收款额与租赁投资净额的调节表</w:t>
      </w:r>
    </w:p>
    <w:sdt>
      <w:sdtPr>
        <w:rPr>
          <w:color w:val="000000" w:themeColor="text1"/>
          <w14:textFill>
            <w14:solidFill>
              <w14:schemeClr w14:val="tx1"/>
            </w14:solidFill>
          </w14:textFill>
        </w:rPr>
        <w:alias w:val="是否适用：未折现租赁收款额与租赁投资净额的调节表?[双击切换]"/>
        <w:tag w:val="_GBC_24749e03a4f14d0186b6eef9cbb8456c"/>
        <w:id w:val="147465742"/>
        <w:placeholder>
          <w:docPart w:val="GBC22222222222222222222222222222"/>
        </w:placeholder>
      </w:sdtPr>
      <w:sdtEndPr>
        <w:rPr>
          <w:color w:val="000000" w:themeColor="text1"/>
          <w14:textFill>
            <w14:solidFill>
              <w14:schemeClr w14:val="tx1"/>
            </w14:solidFill>
          </w14:textFill>
        </w:rPr>
      </w:sdtEndPr>
      <w:sdtContent>
        <w:p w14:paraId="27A56CD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86B70B2">
      <w:pPr>
        <w:rPr>
          <w:b/>
          <w:color w:val="000000" w:themeColor="text1"/>
          <w14:textFill>
            <w14:solidFill>
              <w14:schemeClr w14:val="tx1"/>
            </w14:solidFill>
          </w14:textFill>
        </w:rPr>
      </w:pPr>
    </w:p>
    <w:p w14:paraId="2C1F350B">
      <w:pPr>
        <w:rPr>
          <w:color w:val="000000" w:themeColor="text1"/>
          <w14:textFill>
            <w14:solidFill>
              <w14:schemeClr w14:val="tx1"/>
            </w14:solidFill>
          </w14:textFill>
        </w:rPr>
      </w:pPr>
      <w:r>
        <w:rPr>
          <w:color w:val="000000" w:themeColor="text1"/>
          <w14:textFill>
            <w14:solidFill>
              <w14:schemeClr w14:val="tx1"/>
            </w14:solidFill>
          </w14:textFill>
        </w:rPr>
        <w:t>未来五年</w:t>
      </w:r>
      <w:r>
        <w:rPr>
          <w:rFonts w:hint="eastAsia"/>
          <w:color w:val="000000" w:themeColor="text1"/>
          <w14:textFill>
            <w14:solidFill>
              <w14:schemeClr w14:val="tx1"/>
            </w14:solidFill>
          </w14:textFill>
        </w:rPr>
        <w:t>未</w:t>
      </w:r>
      <w:r>
        <w:rPr>
          <w:color w:val="000000" w:themeColor="text1"/>
          <w14:textFill>
            <w14:solidFill>
              <w14:schemeClr w14:val="tx1"/>
            </w14:solidFill>
          </w14:textFill>
        </w:rPr>
        <w:t>折现租赁收款额</w:t>
      </w:r>
    </w:p>
    <w:sdt>
      <w:sdtPr>
        <w:rPr>
          <w:color w:val="000000" w:themeColor="text1"/>
          <w14:textFill>
            <w14:solidFill>
              <w14:schemeClr w14:val="tx1"/>
            </w14:solidFill>
          </w14:textFill>
        </w:rPr>
        <w:alias w:val="是否适用：未来五年未折现租赁收款额[双击切换]"/>
        <w:tag w:val="_GBC_6011fa033af24e8c940b4fc9b0df290d"/>
        <w:id w:val="147452320"/>
        <w:placeholder>
          <w:docPart w:val="GBC22222222222222222222222222222"/>
        </w:placeholder>
      </w:sdtPr>
      <w:sdtEndPr>
        <w:rPr>
          <w:color w:val="000000" w:themeColor="text1"/>
          <w14:textFill>
            <w14:solidFill>
              <w14:schemeClr w14:val="tx1"/>
            </w14:solidFill>
          </w14:textFill>
        </w:rPr>
      </w:sdtEndPr>
      <w:sdtContent>
        <w:p w14:paraId="403088B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D05609">
      <w:pPr>
        <w:rPr>
          <w:color w:val="000000" w:themeColor="text1"/>
          <w14:textFill>
            <w14:solidFill>
              <w14:schemeClr w14:val="tx1"/>
            </w14:solidFill>
          </w14:textFill>
        </w:rPr>
      </w:pPr>
    </w:p>
    <w:p w14:paraId="01AFE26B">
      <w:pPr>
        <w:pStyle w:val="58"/>
        <w:numPr>
          <w:ilvl w:val="0"/>
          <w:numId w:val="93"/>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作为生产商或经销商确认融资租赁销售损益</w:t>
      </w:r>
    </w:p>
    <w:sdt>
      <w:sdtPr>
        <w:rPr>
          <w:color w:val="000000" w:themeColor="text1"/>
          <w14:textFill>
            <w14:solidFill>
              <w14:schemeClr w14:val="tx1"/>
            </w14:solidFill>
          </w14:textFill>
        </w:rPr>
        <w:alias w:val="是否适用：作为生产商或经销商确认融资租赁销售损益[双击切换]"/>
        <w:tag w:val="_GBC_213bb116a7f04deab5b21583470b1e43"/>
        <w:id w:val="147456058"/>
        <w:placeholder>
          <w:docPart w:val="GBC22222222222222222222222222222"/>
        </w:placeholder>
      </w:sdtPr>
      <w:sdtEndPr>
        <w:rPr>
          <w:color w:val="000000" w:themeColor="text1"/>
          <w14:textFill>
            <w14:solidFill>
              <w14:schemeClr w14:val="tx1"/>
            </w14:solidFill>
          </w14:textFill>
        </w:rPr>
      </w:sdtEndPr>
      <w:sdtContent>
        <w:p w14:paraId="589ED04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84497B">
      <w:pPr>
        <w:rPr>
          <w:color w:val="000000" w:themeColor="text1"/>
          <w14:textFill>
            <w14:solidFill>
              <w14:schemeClr w14:val="tx1"/>
            </w14:solidFill>
          </w14:textFill>
        </w:rPr>
      </w:pPr>
    </w:p>
    <w:p w14:paraId="2395517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租赁其他说明"/>
        <w:tag w:val="_GBC_7b832cbbef274cceadb68c4291f1d973"/>
        <w:id w:val="147478538"/>
        <w:placeholder>
          <w:docPart w:val="GBC22222222222222222222222222222"/>
        </w:placeholder>
      </w:sdtPr>
      <w:sdtEndPr>
        <w:rPr>
          <w:color w:val="000000" w:themeColor="text1"/>
          <w14:textFill>
            <w14:solidFill>
              <w14:schemeClr w14:val="tx1"/>
            </w14:solidFill>
          </w14:textFill>
        </w:rPr>
      </w:sdtEndPr>
      <w:sdtContent>
        <w:p w14:paraId="0B08AEB4">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5E370962">
      <w:pPr>
        <w:rPr>
          <w:color w:val="000000" w:themeColor="text1"/>
          <w14:textFill>
            <w14:solidFill>
              <w14:schemeClr w14:val="tx1"/>
            </w14:solidFill>
          </w14:textFill>
        </w:rPr>
      </w:pPr>
    </w:p>
    <w:bookmarkEnd w:id="397"/>
    <w:p w14:paraId="37D15535">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数据资源</w:t>
      </w:r>
    </w:p>
    <w:sdt>
      <w:sdtPr>
        <w:rPr>
          <w:color w:val="000000" w:themeColor="text1"/>
          <w14:textFill>
            <w14:solidFill>
              <w14:schemeClr w14:val="tx1"/>
            </w14:solidFill>
          </w14:textFill>
        </w:rPr>
        <w:alias w:val="是否适用：附注数据资源需要说明的事项[双击切换]"/>
        <w:tag w:val="_GBC_69b3c483faf0482e86f2ca96cb446815"/>
        <w:id w:val="147455760"/>
        <w:placeholder>
          <w:docPart w:val="GBC22222222222222222222222222222"/>
        </w:placeholder>
      </w:sdtPr>
      <w:sdtEndPr>
        <w:rPr>
          <w:color w:val="000000" w:themeColor="text1"/>
          <w14:textFill>
            <w14:solidFill>
              <w14:schemeClr w14:val="tx1"/>
            </w14:solidFill>
          </w14:textFill>
        </w:rPr>
      </w:sdtEndPr>
      <w:sdtContent>
        <w:p w14:paraId="7C0FC78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259640">
      <w:pPr>
        <w:rPr>
          <w:color w:val="000000" w:themeColor="text1"/>
          <w14:textFill>
            <w14:solidFill>
              <w14:schemeClr w14:val="tx1"/>
            </w14:solidFill>
          </w14:textFill>
        </w:rPr>
      </w:pPr>
    </w:p>
    <w:p w14:paraId="4B626F28">
      <w:pPr>
        <w:pStyle w:val="57"/>
        <w:numPr>
          <w:ilvl w:val="0"/>
          <w:numId w:val="54"/>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合并财务报表项目注释其他需要说明的事项[双击切换]"/>
        <w:tag w:val="_GBC_d9335575f6594653aa8718dc633c644c"/>
        <w:id w:val="147460781"/>
        <w:placeholder>
          <w:docPart w:val="GBC22222222222222222222222222222"/>
        </w:placeholder>
      </w:sdtPr>
      <w:sdtEndPr>
        <w:rPr>
          <w:color w:val="000000" w:themeColor="text1"/>
          <w14:textFill>
            <w14:solidFill>
              <w14:schemeClr w14:val="tx1"/>
            </w14:solidFill>
          </w14:textFill>
        </w:rPr>
      </w:sdtEndPr>
      <w:sdtContent>
        <w:p w14:paraId="769E1D0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7E51E79">
      <w:pPr>
        <w:rPr>
          <w:color w:val="000000" w:themeColor="text1"/>
          <w14:textFill>
            <w14:solidFill>
              <w14:schemeClr w14:val="tx1"/>
            </w14:solidFill>
          </w14:textFill>
        </w:rPr>
      </w:pPr>
    </w:p>
    <w:p w14:paraId="78E2189D">
      <w:pPr>
        <w:pStyle w:val="56"/>
        <w:numPr>
          <w:ilvl w:val="0"/>
          <w:numId w:val="43"/>
        </w:numPr>
        <w:ind w:left="420" w:hanging="420"/>
        <w:rPr>
          <w:rFonts w:ascii="宋体" w:hAnsi="宋体"/>
          <w:color w:val="000000" w:themeColor="text1"/>
          <w14:textFill>
            <w14:solidFill>
              <w14:schemeClr w14:val="tx1"/>
            </w14:solidFill>
          </w14:textFill>
        </w:rPr>
      </w:pPr>
      <w:bookmarkStart w:id="398" w:name="_Hlk40108415"/>
      <w:bookmarkStart w:id="399" w:name="_Hlk167971708"/>
      <w:r>
        <w:rPr>
          <w:rFonts w:hint="eastAsia" w:ascii="宋体" w:hAnsi="宋体"/>
          <w:color w:val="000000" w:themeColor="text1"/>
          <w14:textFill>
            <w14:solidFill>
              <w14:schemeClr w14:val="tx1"/>
            </w14:solidFill>
          </w14:textFill>
        </w:rPr>
        <w:t>研发支出</w:t>
      </w:r>
    </w:p>
    <w:p w14:paraId="3F38FC4E">
      <w:pPr>
        <w:pStyle w:val="57"/>
        <w:numPr>
          <w:ilvl w:val="0"/>
          <w:numId w:val="94"/>
        </w:numPr>
        <w:ind w:left="360" w:hanging="360"/>
        <w:rPr>
          <w:color w:val="000000" w:themeColor="text1"/>
          <w14:textFill>
            <w14:solidFill>
              <w14:schemeClr w14:val="tx1"/>
            </w14:solidFill>
          </w14:textFill>
        </w:rPr>
      </w:pPr>
      <w:r>
        <w:rPr>
          <w:rFonts w:hint="eastAsia"/>
          <w:color w:val="000000" w:themeColor="text1"/>
          <w14:textFill>
            <w14:solidFill>
              <w14:schemeClr w14:val="tx1"/>
            </w14:solidFill>
          </w14:textFill>
        </w:rPr>
        <w:t>按费用性质列示</w:t>
      </w:r>
    </w:p>
    <w:sdt>
      <w:sdtPr>
        <w:rPr>
          <w:color w:val="000000" w:themeColor="text1"/>
          <w14:textFill>
            <w14:solidFill>
              <w14:schemeClr w14:val="tx1"/>
            </w14:solidFill>
          </w14:textFill>
        </w:rPr>
        <w:alias w:val="是否适用：研发费用[双击切换]"/>
        <w:tag w:val="_GBC_c038265fdb0b49dea367e73fadbd1bf3"/>
        <w:id w:val="147477912"/>
        <w:placeholder>
          <w:docPart w:val="GBC22222222222222222222222222222"/>
        </w:placeholder>
      </w:sdtPr>
      <w:sdtEndPr>
        <w:rPr>
          <w:color w:val="000000" w:themeColor="text1"/>
          <w14:textFill>
            <w14:solidFill>
              <w14:schemeClr w14:val="tx1"/>
            </w14:solidFill>
          </w14:textFill>
        </w:rPr>
      </w:sdtEndPr>
      <w:sdtContent>
        <w:p w14:paraId="3FA606F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D5878E7">
      <w:pPr>
        <w:pStyle w:val="63"/>
        <w:ind w:left="420"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研发费用"/>
          <w:tag w:val="_GBC_ba6e122abfd8443283c681cd38b3d395"/>
          <w:id w:val="1474627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研发费用"/>
          <w:tag w:val="_GBC_d5e978ec78684853899851ff1623b4fc"/>
          <w:id w:val="1474598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14:paraId="55EA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0d7c4dfc9e774f139ca83d0601e815ea"/>
            <w:id w:val="147473442"/>
          </w:sdtPr>
          <w:sdtEndPr>
            <w:rPr>
              <w:rFonts w:cs="Times New Roman"/>
            </w:rPr>
          </w:sdtEndPr>
          <w:sdtContent>
            <w:tc>
              <w:tcPr>
                <w:tcW w:w="2213" w:type="pct"/>
                <w:tcBorders>
                  <w:top w:val="single" w:color="auto" w:sz="4" w:space="0"/>
                  <w:left w:val="single" w:color="auto" w:sz="4" w:space="0"/>
                  <w:bottom w:val="single" w:color="auto" w:sz="4" w:space="0"/>
                  <w:right w:val="single" w:color="auto" w:sz="4" w:space="0"/>
                </w:tcBorders>
              </w:tcPr>
              <w:p w14:paraId="0CABA57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1d1e5baa8c6741cda3956270e192cc79"/>
            <w:id w:val="147462731"/>
          </w:sdtPr>
          <w:sdtEndPr>
            <w:rPr>
              <w:rFonts w:cs="Times New Roman"/>
            </w:rPr>
          </w:sdtEndPr>
          <w:sdtContent>
            <w:tc>
              <w:tcPr>
                <w:tcW w:w="1439" w:type="pct"/>
                <w:tcBorders>
                  <w:top w:val="single" w:color="auto" w:sz="4" w:space="0"/>
                  <w:left w:val="single" w:color="auto" w:sz="4" w:space="0"/>
                  <w:bottom w:val="single" w:color="auto" w:sz="4" w:space="0"/>
                  <w:right w:val="single" w:color="auto" w:sz="4" w:space="0"/>
                </w:tcBorders>
              </w:tcPr>
              <w:p w14:paraId="47A857A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91cd6ee02fbd4f6e86f6503667dce560"/>
            <w:id w:val="147483590"/>
          </w:sdtPr>
          <w:sdtEndPr>
            <w:rPr>
              <w:rFonts w:cs="Times New Roman"/>
            </w:rPr>
          </w:sdtEndPr>
          <w:sdtContent>
            <w:tc>
              <w:tcPr>
                <w:tcW w:w="1348" w:type="pct"/>
                <w:tcBorders>
                  <w:top w:val="single" w:color="auto" w:sz="4" w:space="0"/>
                  <w:left w:val="single" w:color="auto" w:sz="4" w:space="0"/>
                  <w:bottom w:val="single" w:color="auto" w:sz="4" w:space="0"/>
                  <w:right w:val="single" w:color="auto" w:sz="4" w:space="0"/>
                </w:tcBorders>
              </w:tcPr>
              <w:p w14:paraId="0745509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7DF6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21AA8B00">
            <w:pPr>
              <w:textAlignment w:val="center"/>
              <w:rPr>
                <w:rFonts w:cs="Times New Roman"/>
              </w:rPr>
            </w:pPr>
            <w:r>
              <w:rPr>
                <w:rFonts w:cs="Times New Roman"/>
                <w:color w:val="000000"/>
                <w:lang w:bidi="ar"/>
              </w:rPr>
              <w:t>人工成本</w:t>
            </w:r>
          </w:p>
        </w:tc>
        <w:tc>
          <w:tcPr>
            <w:tcW w:w="1439" w:type="pct"/>
            <w:tcBorders>
              <w:top w:val="single" w:color="auto" w:sz="4" w:space="0"/>
              <w:left w:val="single" w:color="auto" w:sz="4" w:space="0"/>
              <w:bottom w:val="single" w:color="auto" w:sz="4" w:space="0"/>
              <w:right w:val="single" w:color="auto" w:sz="4" w:space="0"/>
            </w:tcBorders>
            <w:vAlign w:val="center"/>
          </w:tcPr>
          <w:p w14:paraId="0EB903A3">
            <w:pPr>
              <w:jc w:val="right"/>
              <w:textAlignment w:val="center"/>
              <w:rPr>
                <w:rFonts w:cs="Times New Roman"/>
              </w:rPr>
            </w:pPr>
            <w:r>
              <w:rPr>
                <w:rFonts w:cs="Times New Roman"/>
                <w:color w:val="000000"/>
              </w:rPr>
              <w:t>58,441,985.57</w:t>
            </w:r>
          </w:p>
        </w:tc>
        <w:tc>
          <w:tcPr>
            <w:tcW w:w="1348" w:type="pct"/>
            <w:tcBorders>
              <w:top w:val="single" w:color="auto" w:sz="4" w:space="0"/>
              <w:left w:val="single" w:color="auto" w:sz="4" w:space="0"/>
              <w:bottom w:val="single" w:color="auto" w:sz="4" w:space="0"/>
              <w:right w:val="single" w:color="auto" w:sz="4" w:space="0"/>
            </w:tcBorders>
            <w:vAlign w:val="center"/>
          </w:tcPr>
          <w:p w14:paraId="0A0322C9">
            <w:pPr>
              <w:jc w:val="right"/>
              <w:textAlignment w:val="center"/>
              <w:rPr>
                <w:rFonts w:cs="Times New Roman"/>
              </w:rPr>
            </w:pPr>
            <w:r>
              <w:rPr>
                <w:rFonts w:cs="Times New Roman"/>
                <w:color w:val="000000"/>
              </w:rPr>
              <w:t>80,791,721.19</w:t>
            </w:r>
          </w:p>
        </w:tc>
      </w:tr>
      <w:tr w14:paraId="4F8F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7DAC461F">
            <w:pPr>
              <w:textAlignment w:val="center"/>
              <w:rPr>
                <w:rFonts w:cs="Times New Roman"/>
              </w:rPr>
            </w:pPr>
            <w:r>
              <w:rPr>
                <w:rFonts w:cs="Times New Roman"/>
                <w:color w:val="000000"/>
                <w:lang w:bidi="ar"/>
              </w:rPr>
              <w:t>材料、动力费</w:t>
            </w:r>
          </w:p>
        </w:tc>
        <w:tc>
          <w:tcPr>
            <w:tcW w:w="1439" w:type="pct"/>
            <w:tcBorders>
              <w:top w:val="single" w:color="auto" w:sz="4" w:space="0"/>
              <w:left w:val="single" w:color="auto" w:sz="4" w:space="0"/>
              <w:bottom w:val="single" w:color="auto" w:sz="4" w:space="0"/>
              <w:right w:val="single" w:color="auto" w:sz="4" w:space="0"/>
            </w:tcBorders>
            <w:vAlign w:val="center"/>
          </w:tcPr>
          <w:p w14:paraId="0463FC1D">
            <w:pPr>
              <w:jc w:val="right"/>
              <w:textAlignment w:val="center"/>
              <w:rPr>
                <w:rFonts w:cs="Times New Roman"/>
              </w:rPr>
            </w:pPr>
            <w:r>
              <w:rPr>
                <w:rFonts w:cs="Times New Roman"/>
                <w:color w:val="000000"/>
              </w:rPr>
              <w:t>32,536,966.96</w:t>
            </w:r>
          </w:p>
        </w:tc>
        <w:tc>
          <w:tcPr>
            <w:tcW w:w="1348" w:type="pct"/>
            <w:tcBorders>
              <w:top w:val="single" w:color="auto" w:sz="4" w:space="0"/>
              <w:left w:val="single" w:color="auto" w:sz="4" w:space="0"/>
              <w:bottom w:val="single" w:color="auto" w:sz="4" w:space="0"/>
              <w:right w:val="single" w:color="auto" w:sz="4" w:space="0"/>
            </w:tcBorders>
            <w:vAlign w:val="center"/>
          </w:tcPr>
          <w:p w14:paraId="133840B7">
            <w:pPr>
              <w:jc w:val="right"/>
              <w:textAlignment w:val="center"/>
              <w:rPr>
                <w:rFonts w:cs="Times New Roman"/>
              </w:rPr>
            </w:pPr>
            <w:r>
              <w:rPr>
                <w:rFonts w:cs="Times New Roman"/>
                <w:color w:val="000000"/>
              </w:rPr>
              <w:t>43,023,919.12</w:t>
            </w:r>
          </w:p>
        </w:tc>
      </w:tr>
      <w:tr w14:paraId="72FA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13" w:type="pct"/>
            <w:tcBorders>
              <w:top w:val="single" w:color="auto" w:sz="4" w:space="0"/>
              <w:left w:val="single" w:color="auto" w:sz="4" w:space="0"/>
              <w:bottom w:val="single" w:color="auto" w:sz="4" w:space="0"/>
              <w:right w:val="single" w:color="auto" w:sz="4" w:space="0"/>
            </w:tcBorders>
            <w:vAlign w:val="center"/>
          </w:tcPr>
          <w:p w14:paraId="6D19E8D5">
            <w:pPr>
              <w:textAlignment w:val="center"/>
              <w:rPr>
                <w:rFonts w:cs="Times New Roman"/>
              </w:rPr>
            </w:pPr>
            <w:r>
              <w:rPr>
                <w:rFonts w:cs="Times New Roman"/>
                <w:color w:val="000000"/>
                <w:lang w:bidi="ar"/>
              </w:rPr>
              <w:t>折旧及摊销费</w:t>
            </w:r>
          </w:p>
        </w:tc>
        <w:tc>
          <w:tcPr>
            <w:tcW w:w="1439" w:type="pct"/>
            <w:tcBorders>
              <w:top w:val="single" w:color="auto" w:sz="4" w:space="0"/>
              <w:left w:val="single" w:color="auto" w:sz="4" w:space="0"/>
              <w:bottom w:val="single" w:color="auto" w:sz="4" w:space="0"/>
              <w:right w:val="single" w:color="auto" w:sz="4" w:space="0"/>
            </w:tcBorders>
            <w:vAlign w:val="center"/>
          </w:tcPr>
          <w:p w14:paraId="2F0FF721">
            <w:pPr>
              <w:jc w:val="right"/>
              <w:textAlignment w:val="center"/>
              <w:rPr>
                <w:rFonts w:cs="Times New Roman"/>
              </w:rPr>
            </w:pPr>
            <w:r>
              <w:rPr>
                <w:rFonts w:cs="Times New Roman"/>
                <w:color w:val="000000"/>
              </w:rPr>
              <w:t>7,822,485.11</w:t>
            </w:r>
          </w:p>
        </w:tc>
        <w:tc>
          <w:tcPr>
            <w:tcW w:w="1348" w:type="pct"/>
            <w:tcBorders>
              <w:top w:val="single" w:color="auto" w:sz="4" w:space="0"/>
              <w:left w:val="single" w:color="auto" w:sz="4" w:space="0"/>
              <w:bottom w:val="single" w:color="auto" w:sz="4" w:space="0"/>
              <w:right w:val="single" w:color="auto" w:sz="4" w:space="0"/>
            </w:tcBorders>
            <w:vAlign w:val="center"/>
          </w:tcPr>
          <w:p w14:paraId="3C3DB960">
            <w:pPr>
              <w:jc w:val="right"/>
              <w:textAlignment w:val="center"/>
              <w:rPr>
                <w:rFonts w:cs="Times New Roman"/>
              </w:rPr>
            </w:pPr>
            <w:r>
              <w:rPr>
                <w:rFonts w:cs="Times New Roman"/>
                <w:color w:val="000000"/>
              </w:rPr>
              <w:t>9,598,766.92</w:t>
            </w:r>
          </w:p>
        </w:tc>
      </w:tr>
      <w:tr w14:paraId="19B1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161FD2FB">
            <w:pPr>
              <w:textAlignment w:val="center"/>
              <w:rPr>
                <w:rFonts w:cs="Times New Roman"/>
              </w:rPr>
            </w:pPr>
            <w:r>
              <w:rPr>
                <w:rFonts w:cs="Times New Roman"/>
                <w:color w:val="000000"/>
                <w:lang w:bidi="ar"/>
              </w:rPr>
              <w:t>检验检测费</w:t>
            </w:r>
          </w:p>
        </w:tc>
        <w:tc>
          <w:tcPr>
            <w:tcW w:w="1439" w:type="pct"/>
            <w:tcBorders>
              <w:top w:val="single" w:color="auto" w:sz="4" w:space="0"/>
              <w:left w:val="single" w:color="auto" w:sz="4" w:space="0"/>
              <w:bottom w:val="single" w:color="auto" w:sz="4" w:space="0"/>
              <w:right w:val="single" w:color="auto" w:sz="4" w:space="0"/>
            </w:tcBorders>
            <w:vAlign w:val="center"/>
          </w:tcPr>
          <w:p w14:paraId="114A1AFF">
            <w:pPr>
              <w:jc w:val="right"/>
              <w:textAlignment w:val="center"/>
              <w:rPr>
                <w:rFonts w:cs="Times New Roman"/>
              </w:rPr>
            </w:pPr>
            <w:r>
              <w:rPr>
                <w:rFonts w:cs="Times New Roman"/>
                <w:color w:val="000000"/>
              </w:rPr>
              <w:t>4,993,687.52</w:t>
            </w:r>
          </w:p>
        </w:tc>
        <w:tc>
          <w:tcPr>
            <w:tcW w:w="1348" w:type="pct"/>
            <w:tcBorders>
              <w:top w:val="single" w:color="auto" w:sz="4" w:space="0"/>
              <w:left w:val="single" w:color="auto" w:sz="4" w:space="0"/>
              <w:bottom w:val="single" w:color="auto" w:sz="4" w:space="0"/>
              <w:right w:val="single" w:color="auto" w:sz="4" w:space="0"/>
            </w:tcBorders>
            <w:vAlign w:val="center"/>
          </w:tcPr>
          <w:p w14:paraId="237C861F">
            <w:pPr>
              <w:jc w:val="right"/>
              <w:textAlignment w:val="center"/>
              <w:rPr>
                <w:rFonts w:cs="Times New Roman"/>
              </w:rPr>
            </w:pPr>
            <w:r>
              <w:rPr>
                <w:rFonts w:cs="Times New Roman"/>
                <w:color w:val="000000"/>
              </w:rPr>
              <w:t>6,799,075.67</w:t>
            </w:r>
          </w:p>
        </w:tc>
      </w:tr>
      <w:tr w14:paraId="634E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2520CF95">
            <w:pPr>
              <w:textAlignment w:val="center"/>
              <w:rPr>
                <w:rFonts w:cs="Times New Roman"/>
              </w:rPr>
            </w:pPr>
            <w:r>
              <w:rPr>
                <w:rFonts w:cs="Times New Roman"/>
                <w:color w:val="000000"/>
                <w:lang w:bidi="ar"/>
              </w:rPr>
              <w:t>其他</w:t>
            </w:r>
          </w:p>
        </w:tc>
        <w:tc>
          <w:tcPr>
            <w:tcW w:w="1439" w:type="pct"/>
            <w:tcBorders>
              <w:top w:val="single" w:color="auto" w:sz="4" w:space="0"/>
              <w:left w:val="single" w:color="auto" w:sz="4" w:space="0"/>
              <w:bottom w:val="single" w:color="auto" w:sz="4" w:space="0"/>
              <w:right w:val="single" w:color="auto" w:sz="4" w:space="0"/>
            </w:tcBorders>
            <w:vAlign w:val="center"/>
          </w:tcPr>
          <w:p w14:paraId="3F0FD961">
            <w:pPr>
              <w:jc w:val="right"/>
              <w:textAlignment w:val="center"/>
              <w:rPr>
                <w:rFonts w:cs="Times New Roman"/>
              </w:rPr>
            </w:pPr>
            <w:r>
              <w:rPr>
                <w:rFonts w:cs="Times New Roman"/>
                <w:color w:val="000000"/>
              </w:rPr>
              <w:t>14,980,776.36</w:t>
            </w:r>
          </w:p>
        </w:tc>
        <w:tc>
          <w:tcPr>
            <w:tcW w:w="1348" w:type="pct"/>
            <w:tcBorders>
              <w:top w:val="single" w:color="auto" w:sz="4" w:space="0"/>
              <w:left w:val="single" w:color="auto" w:sz="4" w:space="0"/>
              <w:bottom w:val="single" w:color="auto" w:sz="4" w:space="0"/>
              <w:right w:val="single" w:color="auto" w:sz="4" w:space="0"/>
            </w:tcBorders>
            <w:vAlign w:val="center"/>
          </w:tcPr>
          <w:p w14:paraId="43C42174">
            <w:pPr>
              <w:jc w:val="right"/>
              <w:textAlignment w:val="center"/>
              <w:rPr>
                <w:rFonts w:cs="Times New Roman"/>
              </w:rPr>
            </w:pPr>
            <w:r>
              <w:rPr>
                <w:rFonts w:cs="Times New Roman"/>
                <w:color w:val="000000"/>
              </w:rPr>
              <w:t>17,804,379.53</w:t>
            </w:r>
          </w:p>
        </w:tc>
      </w:tr>
      <w:tr w14:paraId="3C99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62EE63F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vAlign w:val="center"/>
          </w:tcPr>
          <w:p w14:paraId="6ED67275">
            <w:pPr>
              <w:jc w:val="right"/>
              <w:textAlignment w:val="center"/>
              <w:rPr>
                <w:rFonts w:cs="Times New Roman"/>
              </w:rPr>
            </w:pPr>
            <w:r>
              <w:rPr>
                <w:rFonts w:cs="Times New Roman"/>
                <w:color w:val="000000"/>
              </w:rPr>
              <w:t>118,775,901.52</w:t>
            </w:r>
          </w:p>
        </w:tc>
        <w:tc>
          <w:tcPr>
            <w:tcW w:w="1348" w:type="pct"/>
            <w:tcBorders>
              <w:top w:val="single" w:color="auto" w:sz="4" w:space="0"/>
              <w:left w:val="single" w:color="auto" w:sz="4" w:space="0"/>
              <w:bottom w:val="single" w:color="auto" w:sz="4" w:space="0"/>
              <w:right w:val="single" w:color="auto" w:sz="4" w:space="0"/>
            </w:tcBorders>
            <w:vAlign w:val="center"/>
          </w:tcPr>
          <w:p w14:paraId="00A4C71A">
            <w:pPr>
              <w:jc w:val="right"/>
              <w:textAlignment w:val="center"/>
              <w:rPr>
                <w:rFonts w:cs="Times New Roman"/>
              </w:rPr>
            </w:pPr>
            <w:r>
              <w:rPr>
                <w:rFonts w:cs="Times New Roman"/>
                <w:color w:val="000000"/>
              </w:rPr>
              <w:t>158,017,862.43</w:t>
            </w:r>
          </w:p>
        </w:tc>
      </w:tr>
      <w:tr w14:paraId="7199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5B4A68F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其中：费用化研发支出</w:t>
            </w:r>
          </w:p>
        </w:tc>
        <w:tc>
          <w:tcPr>
            <w:tcW w:w="1439" w:type="pct"/>
            <w:tcBorders>
              <w:top w:val="single" w:color="auto" w:sz="4" w:space="0"/>
              <w:left w:val="single" w:color="auto" w:sz="4" w:space="0"/>
              <w:bottom w:val="single" w:color="auto" w:sz="4" w:space="0"/>
              <w:right w:val="single" w:color="auto" w:sz="4" w:space="0"/>
            </w:tcBorders>
            <w:vAlign w:val="center"/>
          </w:tcPr>
          <w:p w14:paraId="05B50FC5">
            <w:pPr>
              <w:jc w:val="right"/>
              <w:textAlignment w:val="center"/>
              <w:rPr>
                <w:rFonts w:cs="Times New Roman"/>
              </w:rPr>
            </w:pPr>
            <w:r>
              <w:rPr>
                <w:rFonts w:cs="Times New Roman"/>
                <w:color w:val="000000"/>
              </w:rPr>
              <w:t>118,775,901.52</w:t>
            </w:r>
          </w:p>
        </w:tc>
        <w:tc>
          <w:tcPr>
            <w:tcW w:w="1348" w:type="pct"/>
            <w:tcBorders>
              <w:top w:val="single" w:color="auto" w:sz="4" w:space="0"/>
              <w:left w:val="single" w:color="auto" w:sz="4" w:space="0"/>
              <w:bottom w:val="single" w:color="auto" w:sz="4" w:space="0"/>
              <w:right w:val="single" w:color="auto" w:sz="4" w:space="0"/>
            </w:tcBorders>
            <w:vAlign w:val="center"/>
          </w:tcPr>
          <w:p w14:paraId="5293F5B2">
            <w:pPr>
              <w:jc w:val="right"/>
              <w:textAlignment w:val="center"/>
              <w:rPr>
                <w:rFonts w:cs="Times New Roman"/>
              </w:rPr>
            </w:pPr>
            <w:r>
              <w:rPr>
                <w:rFonts w:cs="Times New Roman"/>
                <w:color w:val="000000"/>
              </w:rPr>
              <w:t>158,017,862.43</w:t>
            </w:r>
          </w:p>
        </w:tc>
      </w:tr>
      <w:tr w14:paraId="22C4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14:paraId="4A4789D0">
            <w:pPr>
              <w:ind w:firstLine="630" w:firstLineChars="3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资本化研发支出</w:t>
            </w:r>
          </w:p>
        </w:tc>
        <w:tc>
          <w:tcPr>
            <w:tcW w:w="1439" w:type="pct"/>
            <w:tcBorders>
              <w:top w:val="single" w:color="auto" w:sz="4" w:space="0"/>
              <w:left w:val="single" w:color="auto" w:sz="4" w:space="0"/>
              <w:bottom w:val="single" w:color="auto" w:sz="4" w:space="0"/>
              <w:right w:val="single" w:color="auto" w:sz="4" w:space="0"/>
            </w:tcBorders>
          </w:tcPr>
          <w:p w14:paraId="774F69AC">
            <w:pPr>
              <w:jc w:val="right"/>
              <w:rPr>
                <w:rFonts w:cs="Times New Roman"/>
              </w:rPr>
            </w:pPr>
          </w:p>
        </w:tc>
        <w:tc>
          <w:tcPr>
            <w:tcW w:w="1348" w:type="pct"/>
            <w:tcBorders>
              <w:top w:val="single" w:color="auto" w:sz="4" w:space="0"/>
              <w:left w:val="single" w:color="auto" w:sz="4" w:space="0"/>
              <w:bottom w:val="single" w:color="auto" w:sz="4" w:space="0"/>
              <w:right w:val="single" w:color="auto" w:sz="4" w:space="0"/>
            </w:tcBorders>
          </w:tcPr>
          <w:p w14:paraId="529B28C5">
            <w:pPr>
              <w:jc w:val="right"/>
              <w:rPr>
                <w:rFonts w:cs="Times New Roman"/>
              </w:rPr>
            </w:pPr>
          </w:p>
        </w:tc>
      </w:tr>
    </w:tbl>
    <w:p w14:paraId="248ED49D">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研发支出按费用性质列示的其他说明"/>
        <w:tag w:val="_GBC_6b3d42161462405e8011d40253de8df9"/>
        <w:id w:val="147462658"/>
        <w:placeholder>
          <w:docPart w:val="GBC22222222222222222222222222222"/>
        </w:placeholder>
      </w:sdtPr>
      <w:sdtEndPr>
        <w:rPr>
          <w:color w:val="000000" w:themeColor="text1"/>
          <w14:textFill>
            <w14:solidFill>
              <w14:schemeClr w14:val="tx1"/>
            </w14:solidFill>
          </w14:textFill>
        </w:rPr>
      </w:sdtEndPr>
      <w:sdtContent>
        <w:p w14:paraId="5F00E9F8">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68B1A1CB">
      <w:pPr>
        <w:rPr>
          <w:color w:val="000000" w:themeColor="text1"/>
          <w14:textFill>
            <w14:solidFill>
              <w14:schemeClr w14:val="tx1"/>
            </w14:solidFill>
          </w14:textFill>
        </w:rPr>
      </w:pPr>
    </w:p>
    <w:bookmarkEnd w:id="398"/>
    <w:p w14:paraId="7159C90A">
      <w:pPr>
        <w:pStyle w:val="57"/>
        <w:numPr>
          <w:ilvl w:val="0"/>
          <w:numId w:val="94"/>
        </w:numPr>
        <w:ind w:left="360" w:hanging="360"/>
        <w:rPr>
          <w:color w:val="000000" w:themeColor="text1"/>
          <w14:textFill>
            <w14:solidFill>
              <w14:schemeClr w14:val="tx1"/>
            </w14:solidFill>
          </w14:textFill>
        </w:rPr>
      </w:pPr>
      <w:bookmarkStart w:id="400" w:name="_Hlk153266294"/>
      <w:r>
        <w:rPr>
          <w:rFonts w:hint="eastAsia"/>
          <w:color w:val="000000" w:themeColor="text1"/>
          <w14:textFill>
            <w14:solidFill>
              <w14:schemeClr w14:val="tx1"/>
            </w14:solidFill>
          </w14:textFill>
        </w:rPr>
        <w:t>符合资本化条件的研发项目开发支出</w:t>
      </w:r>
    </w:p>
    <w:sdt>
      <w:sdtPr>
        <w:rPr>
          <w:color w:val="000000" w:themeColor="text1"/>
          <w14:textFill>
            <w14:solidFill>
              <w14:schemeClr w14:val="tx1"/>
            </w14:solidFill>
          </w14:textFill>
        </w:rPr>
        <w:alias w:val="是否适用：开发支出[双击切换]"/>
        <w:tag w:val="_GBC_c4491189045f4579aa1097e6d5456e9e"/>
        <w:id w:val="147458968"/>
        <w:placeholder>
          <w:docPart w:val="GBC22222222222222222222222222222"/>
        </w:placeholder>
      </w:sdtPr>
      <w:sdtEndPr>
        <w:rPr>
          <w:color w:val="000000" w:themeColor="text1"/>
          <w14:textFill>
            <w14:solidFill>
              <w14:schemeClr w14:val="tx1"/>
            </w14:solidFill>
          </w14:textFill>
        </w:rPr>
      </w:sdtEndPr>
      <w:sdtContent>
        <w:p w14:paraId="290AB2A1">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D42430">
      <w:pPr>
        <w:snapToGrid w:val="0"/>
        <w:spacing w:line="240" w:lineRule="atLeast"/>
        <w:rPr>
          <w:color w:val="000000" w:themeColor="text1"/>
          <w14:textFill>
            <w14:solidFill>
              <w14:schemeClr w14:val="tx1"/>
            </w14:solidFill>
          </w14:textFill>
        </w:rPr>
      </w:pPr>
    </w:p>
    <w:bookmarkEnd w:id="400"/>
    <w:p w14:paraId="1557CCA1">
      <w:pPr>
        <w:rPr>
          <w:color w:val="000000" w:themeColor="text1"/>
          <w14:textFill>
            <w14:solidFill>
              <w14:schemeClr w14:val="tx1"/>
            </w14:solidFill>
          </w14:textFill>
        </w:rPr>
      </w:pPr>
      <w:r>
        <w:rPr>
          <w:color w:val="000000" w:themeColor="text1"/>
          <w14:textFill>
            <w14:solidFill>
              <w14:schemeClr w14:val="tx1"/>
            </w14:solidFill>
          </w14:textFill>
        </w:rPr>
        <w:t>重要的资本化研发项目</w:t>
      </w:r>
    </w:p>
    <w:sdt>
      <w:sdtPr>
        <w:rPr>
          <w:color w:val="000000" w:themeColor="text1"/>
          <w14:textFill>
            <w14:solidFill>
              <w14:schemeClr w14:val="tx1"/>
            </w14:solidFill>
          </w14:textFill>
        </w:rPr>
        <w:alias w:val="是否适用：重要的资本化研发项目[双击切换]"/>
        <w:tag w:val="_GBC_1cd050ceff7c445bb12c764341f77187"/>
        <w:id w:val="147477769"/>
        <w:placeholder>
          <w:docPart w:val="GBC22222222222222222222222222222"/>
        </w:placeholder>
      </w:sdtPr>
      <w:sdtEndPr>
        <w:rPr>
          <w:color w:val="000000" w:themeColor="text1"/>
          <w14:textFill>
            <w14:solidFill>
              <w14:schemeClr w14:val="tx1"/>
            </w14:solidFill>
          </w14:textFill>
        </w:rPr>
      </w:sdtEndPr>
      <w:sdtContent>
        <w:p w14:paraId="65AB59D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022DE8C">
      <w:pPr>
        <w:rPr>
          <w:color w:val="000000" w:themeColor="text1"/>
          <w14:textFill>
            <w14:solidFill>
              <w14:schemeClr w14:val="tx1"/>
            </w14:solidFill>
          </w14:textFill>
        </w:rPr>
      </w:pPr>
    </w:p>
    <w:p w14:paraId="219D83D1">
      <w:pPr>
        <w:rPr>
          <w:color w:val="000000" w:themeColor="text1"/>
          <w14:textFill>
            <w14:solidFill>
              <w14:schemeClr w14:val="tx1"/>
            </w14:solidFill>
          </w14:textFill>
        </w:rPr>
      </w:pPr>
      <w:r>
        <w:rPr>
          <w:color w:val="000000" w:themeColor="text1"/>
          <w14:textFill>
            <w14:solidFill>
              <w14:schemeClr w14:val="tx1"/>
            </w14:solidFill>
          </w14:textFill>
        </w:rPr>
        <w:t>开发支出减值准备</w:t>
      </w:r>
    </w:p>
    <w:sdt>
      <w:sdtPr>
        <w:rPr>
          <w:color w:val="000000" w:themeColor="text1"/>
          <w14:textFill>
            <w14:solidFill>
              <w14:schemeClr w14:val="tx1"/>
            </w14:solidFill>
          </w14:textFill>
        </w:rPr>
        <w:alias w:val="是否适用：开发支出减值准备[双击切换]"/>
        <w:tag w:val="_GBC_61f8745227c4412fa050b0628c64a40a"/>
        <w:id w:val="147465450"/>
        <w:placeholder>
          <w:docPart w:val="GBC22222222222222222222222222222"/>
        </w:placeholder>
      </w:sdtPr>
      <w:sdtEndPr>
        <w:rPr>
          <w:color w:val="000000" w:themeColor="text1"/>
          <w14:textFill>
            <w14:solidFill>
              <w14:schemeClr w14:val="tx1"/>
            </w14:solidFill>
          </w14:textFill>
        </w:rPr>
      </w:sdtEndPr>
      <w:sdtContent>
        <w:p w14:paraId="73F630F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17EF80">
      <w:pPr>
        <w:rPr>
          <w:color w:val="000000" w:themeColor="text1"/>
          <w14:textFill>
            <w14:solidFill>
              <w14:schemeClr w14:val="tx1"/>
            </w14:solidFill>
          </w14:textFill>
        </w:rPr>
      </w:pPr>
    </w:p>
    <w:p w14:paraId="388143D6">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符合资本化条件的研发项目开发支出的其他说明"/>
        <w:tag w:val="_GBC_6f5dba19dcad4294ab6f74834cfe3448"/>
        <w:id w:val="147479607"/>
        <w:placeholder>
          <w:docPart w:val="GBC22222222222222222222222222222"/>
        </w:placeholder>
      </w:sdtPr>
      <w:sdtEndPr>
        <w:rPr>
          <w:color w:val="000000" w:themeColor="text1"/>
          <w14:textFill>
            <w14:solidFill>
              <w14:schemeClr w14:val="tx1"/>
            </w14:solidFill>
          </w14:textFill>
        </w:rPr>
      </w:sdtEndPr>
      <w:sdtContent>
        <w:p w14:paraId="58E285F0">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52915FC">
      <w:pPr>
        <w:rPr>
          <w:color w:val="000000" w:themeColor="text1"/>
          <w14:textFill>
            <w14:solidFill>
              <w14:schemeClr w14:val="tx1"/>
            </w14:solidFill>
          </w14:textFill>
        </w:rPr>
      </w:pPr>
    </w:p>
    <w:p w14:paraId="12F96086">
      <w:pPr>
        <w:pStyle w:val="57"/>
        <w:numPr>
          <w:ilvl w:val="0"/>
          <w:numId w:val="94"/>
        </w:numPr>
        <w:ind w:left="360" w:hanging="360"/>
        <w:rPr>
          <w:color w:val="000000" w:themeColor="text1"/>
          <w14:textFill>
            <w14:solidFill>
              <w14:schemeClr w14:val="tx1"/>
            </w14:solidFill>
          </w14:textFill>
        </w:rPr>
      </w:pPr>
      <w:r>
        <w:rPr>
          <w:rFonts w:hint="eastAsia"/>
          <w:color w:val="000000" w:themeColor="text1"/>
          <w14:textFill>
            <w14:solidFill>
              <w14:schemeClr w14:val="tx1"/>
            </w14:solidFill>
          </w14:textFill>
        </w:rPr>
        <w:t>重要的外购在研项目</w:t>
      </w:r>
    </w:p>
    <w:sdt>
      <w:sdtPr>
        <w:rPr>
          <w:color w:val="000000" w:themeColor="text1"/>
          <w14:textFill>
            <w14:solidFill>
              <w14:schemeClr w14:val="tx1"/>
            </w14:solidFill>
          </w14:textFill>
        </w:rPr>
        <w:alias w:val="是否适用：重要的外购在研项目[双击切换]"/>
        <w:tag w:val="_GBC_d8453a2bfa274fa6906f48d9a4c81bac"/>
        <w:id w:val="147455699"/>
        <w:placeholder>
          <w:docPart w:val="GBC22222222222222222222222222222"/>
        </w:placeholder>
      </w:sdtPr>
      <w:sdtEndPr>
        <w:rPr>
          <w:color w:val="000000" w:themeColor="text1"/>
          <w14:textFill>
            <w14:solidFill>
              <w14:schemeClr w14:val="tx1"/>
            </w14:solidFill>
          </w14:textFill>
        </w:rPr>
      </w:sdtEndPr>
      <w:sdtContent>
        <w:p w14:paraId="33A8161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99"/>
    <w:p w14:paraId="4B280030">
      <w:pPr>
        <w:rPr>
          <w:color w:val="000000" w:themeColor="text1"/>
          <w14:textFill>
            <w14:solidFill>
              <w14:schemeClr w14:val="tx1"/>
            </w14:solidFill>
          </w14:textFill>
        </w:rPr>
      </w:pPr>
    </w:p>
    <w:p w14:paraId="3E09F79E">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合并范围的变更</w:t>
      </w:r>
    </w:p>
    <w:p w14:paraId="24FD9B08">
      <w:pPr>
        <w:pStyle w:val="57"/>
        <w:numPr>
          <w:ilvl w:val="0"/>
          <w:numId w:val="95"/>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非同一控制下企业合并</w:t>
      </w:r>
    </w:p>
    <w:sdt>
      <w:sdtPr>
        <w:rPr>
          <w:color w:val="000000" w:themeColor="text1"/>
          <w14:textFill>
            <w14:solidFill>
              <w14:schemeClr w14:val="tx1"/>
            </w14:solidFill>
          </w14:textFill>
        </w:rPr>
        <w:alias w:val="是否适用：非同一控制下企业合并[双击切换]"/>
        <w:tag w:val="_GBC_2f9a65b0b4644b14ab5af1407e6467f1"/>
        <w:id w:val="147480844"/>
        <w:placeholder>
          <w:docPart w:val="GBC22222222222222222222222222222"/>
        </w:placeholder>
      </w:sdtPr>
      <w:sdtEndPr>
        <w:rPr>
          <w:color w:val="000000" w:themeColor="text1"/>
          <w14:textFill>
            <w14:solidFill>
              <w14:schemeClr w14:val="tx1"/>
            </w14:solidFill>
          </w14:textFill>
        </w:rPr>
      </w:sdtEndPr>
      <w:sdtContent>
        <w:p w14:paraId="1BD7485D">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F303552">
      <w:pPr>
        <w:rPr>
          <w:color w:val="000000" w:themeColor="text1"/>
          <w14:textFill>
            <w14:solidFill>
              <w14:schemeClr w14:val="tx1"/>
            </w14:solidFill>
          </w14:textFill>
        </w:rPr>
      </w:pPr>
    </w:p>
    <w:p w14:paraId="09A783A1">
      <w:pPr>
        <w:pStyle w:val="57"/>
        <w:numPr>
          <w:ilvl w:val="0"/>
          <w:numId w:val="95"/>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同一控制下企业合并</w:t>
      </w:r>
    </w:p>
    <w:sdt>
      <w:sdtPr>
        <w:rPr>
          <w:color w:val="000000" w:themeColor="text1"/>
          <w14:textFill>
            <w14:solidFill>
              <w14:schemeClr w14:val="tx1"/>
            </w14:solidFill>
          </w14:textFill>
        </w:rPr>
        <w:alias w:val="是否适用：同一控制下企业合并[双击切换]"/>
        <w:tag w:val="_GBC_cde296136a1d4f2094eb79d21291eae2"/>
        <w:id w:val="147465930"/>
        <w:placeholder>
          <w:docPart w:val="GBC22222222222222222222222222222"/>
        </w:placeholder>
      </w:sdtPr>
      <w:sdtEndPr>
        <w:rPr>
          <w:color w:val="000000" w:themeColor="text1"/>
          <w14:textFill>
            <w14:solidFill>
              <w14:schemeClr w14:val="tx1"/>
            </w14:solidFill>
          </w14:textFill>
        </w:rPr>
      </w:sdtEndPr>
      <w:sdtContent>
        <w:p w14:paraId="2A9A69B7">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5D7FA3">
      <w:pPr>
        <w:pStyle w:val="57"/>
        <w:numPr>
          <w:ilvl w:val="0"/>
          <w:numId w:val="95"/>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反向购买</w:t>
      </w:r>
    </w:p>
    <w:sdt>
      <w:sdtPr>
        <w:rPr>
          <w:color w:val="000000" w:themeColor="text1"/>
          <w14:textFill>
            <w14:solidFill>
              <w14:schemeClr w14:val="tx1"/>
            </w14:solidFill>
          </w14:textFill>
        </w:rPr>
        <w:alias w:val="是否适用：反向购买[双击切换]"/>
        <w:tag w:val="_GBC_973cde3cea5d460790de47cc49169bde"/>
        <w:id w:val="147465935"/>
        <w:placeholder>
          <w:docPart w:val="GBC22222222222222222222222222222"/>
        </w:placeholder>
      </w:sdtPr>
      <w:sdtEndPr>
        <w:rPr>
          <w:color w:val="000000" w:themeColor="text1"/>
          <w14:textFill>
            <w14:solidFill>
              <w14:schemeClr w14:val="tx1"/>
            </w14:solidFill>
          </w14:textFill>
        </w:rPr>
      </w:sdtEndPr>
      <w:sdtContent>
        <w:p w14:paraId="0BE2399B">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93B842A">
      <w:pPr>
        <w:rPr>
          <w:rFonts w:cs="Arial"/>
          <w:color w:val="000000" w:themeColor="text1"/>
          <w:lang w:val="en-GB"/>
          <w14:textFill>
            <w14:solidFill>
              <w14:schemeClr w14:val="tx1"/>
            </w14:solidFill>
          </w14:textFill>
        </w:rPr>
      </w:pPr>
    </w:p>
    <w:p w14:paraId="159070E8">
      <w:pPr>
        <w:pStyle w:val="57"/>
        <w:numPr>
          <w:ilvl w:val="0"/>
          <w:numId w:val="95"/>
        </w:numPr>
        <w:rPr>
          <w:rFonts w:ascii="宋体" w:hAnsi="宋体" w:cs="Arial"/>
          <w:color w:val="000000" w:themeColor="text1"/>
          <w:szCs w:val="21"/>
          <w14:textFill>
            <w14:solidFill>
              <w14:schemeClr w14:val="tx1"/>
            </w14:solidFill>
          </w14:textFill>
        </w:rPr>
      </w:pPr>
      <w:bookmarkStart w:id="401" w:name="_Hlk167975840"/>
      <w:r>
        <w:rPr>
          <w:rFonts w:hint="eastAsia" w:ascii="宋体" w:hAnsi="宋体" w:cs="Arial"/>
          <w:color w:val="000000" w:themeColor="text1"/>
          <w:szCs w:val="21"/>
          <w14:textFill>
            <w14:solidFill>
              <w14:schemeClr w14:val="tx1"/>
            </w14:solidFill>
          </w14:textFill>
        </w:rPr>
        <w:t>处置子公司</w:t>
      </w:r>
    </w:p>
    <w:p w14:paraId="0C0DEF35">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本期是否存在</w:t>
      </w:r>
      <w:r>
        <w:rPr>
          <w:color w:val="000000" w:themeColor="text1"/>
          <w14:textFill>
            <w14:solidFill>
              <w14:schemeClr w14:val="tx1"/>
            </w14:solidFill>
          </w14:textFill>
        </w:rPr>
        <w:t>丧失</w:t>
      </w:r>
      <w:r>
        <w:rPr>
          <w:rFonts w:hint="eastAsia"/>
          <w:color w:val="000000" w:themeColor="text1"/>
          <w14:textFill>
            <w14:solidFill>
              <w14:schemeClr w14:val="tx1"/>
            </w14:solidFill>
          </w14:textFill>
        </w:rPr>
        <w:t>子公司</w:t>
      </w:r>
      <w:r>
        <w:rPr>
          <w:color w:val="000000" w:themeColor="text1"/>
          <w14:textFill>
            <w14:solidFill>
              <w14:schemeClr w14:val="tx1"/>
            </w14:solidFill>
          </w14:textFill>
        </w:rPr>
        <w:t>控制权</w:t>
      </w:r>
      <w:r>
        <w:rPr>
          <w:rFonts w:hint="eastAsia"/>
          <w:color w:val="000000" w:themeColor="text1"/>
          <w14:textFill>
            <w14:solidFill>
              <w14:schemeClr w14:val="tx1"/>
            </w14:solidFill>
          </w14:textFill>
        </w:rPr>
        <w:t>的交易或事项</w:t>
      </w:r>
    </w:p>
    <w:sdt>
      <w:sdtPr>
        <w:rPr>
          <w:rFonts w:hint="eastAsia" w:cs="Arial"/>
          <w:color w:val="000000" w:themeColor="text1"/>
          <w14:textFill>
            <w14:solidFill>
              <w14:schemeClr w14:val="tx1"/>
            </w14:solidFill>
          </w14:textFill>
        </w:rPr>
        <w:alias w:val="是否存在单次交易处置对子公司投资即丧失控制权的情形[双击切换]"/>
        <w:tag w:val="_GBC_3326559ea8a84c1f80452d301a368ec5"/>
        <w:id w:val="147466384"/>
        <w:placeholder>
          <w:docPart w:val="GBC22222222222222222222222222222"/>
        </w:placeholder>
      </w:sdtPr>
      <w:sdtEndPr>
        <w:rPr>
          <w:rFonts w:hint="eastAsia" w:cs="Arial"/>
          <w:color w:val="000000" w:themeColor="text1"/>
          <w14:textFill>
            <w14:solidFill>
              <w14:schemeClr w14:val="tx1"/>
            </w14:solidFill>
          </w14:textFill>
        </w:rPr>
      </w:sdtEndPr>
      <w:sdtContent>
        <w:p w14:paraId="6BF06294">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14:paraId="1FAB42CB">
      <w:pPr>
        <w:rPr>
          <w:rFonts w:cs="Arial"/>
          <w:color w:val="000000" w:themeColor="text1"/>
          <w14:textFill>
            <w14:solidFill>
              <w14:schemeClr w14:val="tx1"/>
            </w14:solidFill>
          </w14:textFill>
        </w:rPr>
      </w:pPr>
    </w:p>
    <w:p w14:paraId="354A62C7">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单次交易处置对子公司投资即丧失控制权的情形的说明[双击切换]"/>
        <w:tag w:val="_GBC_29528d4c1c444136b1c9a196f82e0e52"/>
        <w:id w:val="147455279"/>
        <w:placeholder>
          <w:docPart w:val="GBC22222222222222222222222222222"/>
        </w:placeholder>
      </w:sdtPr>
      <w:sdtEndPr>
        <w:rPr>
          <w:rFonts w:cs="Arial"/>
          <w:color w:val="000000" w:themeColor="text1"/>
          <w14:textFill>
            <w14:solidFill>
              <w14:schemeClr w14:val="tx1"/>
            </w14:solidFill>
          </w14:textFill>
        </w:rPr>
      </w:sdtEndPr>
      <w:sdtContent>
        <w:p w14:paraId="263CD698">
          <w:pPr>
            <w:rPr>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14:paraId="5FCB59F3">
      <w:pPr>
        <w:pStyle w:val="62"/>
        <w:rPr>
          <w:color w:val="000000" w:themeColor="text1"/>
          <w14:textFill>
            <w14:solidFill>
              <w14:schemeClr w14:val="tx1"/>
            </w14:solidFill>
          </w14:textFill>
        </w:rPr>
      </w:pPr>
    </w:p>
    <w:p w14:paraId="0844DB47">
      <w:pPr>
        <w:rPr>
          <w:rFonts w:cs="Arial"/>
          <w:color w:val="000000" w:themeColor="text1"/>
          <w14:textFill>
            <w14:solidFill>
              <w14:schemeClr w14:val="tx1"/>
            </w14:solidFill>
          </w14:textFill>
        </w:rPr>
      </w:pPr>
      <w:bookmarkStart w:id="402" w:name="_Hlk153549147"/>
      <w:r>
        <w:rPr>
          <w:rFonts w:hint="eastAsia" w:cs="Arial"/>
          <w:color w:val="000000" w:themeColor="text1"/>
          <w14:textFill>
            <w14:solidFill>
              <w14:schemeClr w14:val="tx1"/>
            </w14:solidFill>
          </w14:textFill>
        </w:rPr>
        <w:t>是否存在通过多次交易分步处置对子公司投资且在本期丧失控制权的情形</w:t>
      </w:r>
    </w:p>
    <w:sdt>
      <w:sdtPr>
        <w:rPr>
          <w:rFonts w:hint="eastAsia"/>
          <w:color w:val="000000" w:themeColor="text1"/>
          <w14:textFill>
            <w14:solidFill>
              <w14:schemeClr w14:val="tx1"/>
            </w14:solidFill>
          </w14:textFill>
        </w:rPr>
        <w:alias w:val="是否存在通过多次交易分步处置对子公司投资且在本期丧失控制权的情形[双击切换]"/>
        <w:tag w:val="_GBC_1aa1c46a77684c9fbd35fa14e4e37b0c"/>
        <w:id w:val="147461055"/>
        <w:placeholder>
          <w:docPart w:val="GBC22222222222222222222222222222"/>
        </w:placeholder>
      </w:sdtPr>
      <w:sdtEndPr>
        <w:rPr>
          <w:rFonts w:hint="eastAsia"/>
          <w:color w:val="000000" w:themeColor="text1"/>
          <w14:textFill>
            <w14:solidFill>
              <w14:schemeClr w14:val="tx1"/>
            </w14:solidFill>
          </w14:textFill>
        </w:rPr>
      </w:sdtEndPr>
      <w:sdtContent>
        <w:p w14:paraId="5F4318B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FF35B4">
      <w:pPr>
        <w:rPr>
          <w:color w:val="000000" w:themeColor="text1"/>
          <w14:textFill>
            <w14:solidFill>
              <w14:schemeClr w14:val="tx1"/>
            </w14:solidFill>
          </w14:textFill>
        </w:rPr>
      </w:pPr>
    </w:p>
    <w:bookmarkEnd w:id="402"/>
    <w:p w14:paraId="77328D1D">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是否存在通过多次交易分步处置对子公司投资且在本期丧失控制权的情形的说明[双击切换]"/>
        <w:tag w:val="_GBC_4d734455db284d62936c6dddb9394149"/>
        <w:id w:val="147451034"/>
        <w:placeholder>
          <w:docPart w:val="GBC22222222222222222222222222222"/>
        </w:placeholder>
      </w:sdtPr>
      <w:sdtEndPr>
        <w:rPr>
          <w:rFonts w:cs="Arial"/>
          <w:color w:val="000000" w:themeColor="text1"/>
          <w14:textFill>
            <w14:solidFill>
              <w14:schemeClr w14:val="tx1"/>
            </w14:solidFill>
          </w14:textFill>
        </w:rPr>
      </w:sdtEndPr>
      <w:sdtContent>
        <w:p w14:paraId="4DCF93C0">
          <w:pPr>
            <w:rPr>
              <w:rFonts w:ascii="Calibri" w:hAnsi="Calibri"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14:paraId="0FAA5FF6">
      <w:pPr>
        <w:rPr>
          <w:rFonts w:ascii="Calibri" w:hAnsi="Calibri" w:cs="Arial"/>
          <w:color w:val="000000" w:themeColor="text1"/>
          <w14:textFill>
            <w14:solidFill>
              <w14:schemeClr w14:val="tx1"/>
            </w14:solidFill>
          </w14:textFill>
        </w:rPr>
      </w:pPr>
    </w:p>
    <w:bookmarkEnd w:id="401"/>
    <w:p w14:paraId="6E8E8DA2">
      <w:pPr>
        <w:pStyle w:val="57"/>
        <w:numPr>
          <w:ilvl w:val="0"/>
          <w:numId w:val="95"/>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其他原因的合并范围变动</w:t>
      </w:r>
    </w:p>
    <w:p w14:paraId="3EBF91E4">
      <w:pPr>
        <w:rPr>
          <w:color w:val="000000" w:themeColor="text1"/>
          <w14:textFill>
            <w14:solidFill>
              <w14:schemeClr w14:val="tx1"/>
            </w14:solidFill>
          </w14:textFill>
        </w:rPr>
      </w:pPr>
      <w:r>
        <w:rPr>
          <w:rFonts w:hint="eastAsia"/>
          <w:color w:val="000000" w:themeColor="text1"/>
          <w14:textFill>
            <w14:solidFill>
              <w14:schemeClr w14:val="tx1"/>
            </w14:solidFill>
          </w14:textFill>
        </w:rPr>
        <w:t>说明其他原因导致的合并范围变动（如，新设子公司、清算子公司等）及其相关情况：</w:t>
      </w:r>
    </w:p>
    <w:sdt>
      <w:sdtPr>
        <w:rPr>
          <w:color w:val="000000" w:themeColor="text1"/>
          <w14:textFill>
            <w14:solidFill>
              <w14:schemeClr w14:val="tx1"/>
            </w14:solidFill>
          </w14:textFill>
        </w:rPr>
        <w:alias w:val="是否适用：其他原因导致的合并范围变动及其相关情况[双击切换]"/>
        <w:tag w:val="_GBC_55cbf4f78793498cb1532f08bfbb61f4"/>
        <w:id w:val="147472120"/>
        <w:placeholder>
          <w:docPart w:val="GBC22222222222222222222222222222"/>
        </w:placeholder>
      </w:sdtPr>
      <w:sdtEndPr>
        <w:rPr>
          <w:color w:val="000000" w:themeColor="text1"/>
          <w14:textFill>
            <w14:solidFill>
              <w14:schemeClr w14:val="tx1"/>
            </w14:solidFill>
          </w14:textFill>
        </w:rPr>
      </w:sdtEndPr>
      <w:sdtContent>
        <w:p w14:paraId="2F0AF76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cs="Arial"/>
          <w:color w:val="000000" w:themeColor="text1"/>
          <w14:textFill>
            <w14:solidFill>
              <w14:schemeClr w14:val="tx1"/>
            </w14:solidFill>
          </w14:textFill>
        </w:rPr>
        <w:alias w:val="其他原因的合并范围变动"/>
        <w:tag w:val="_GBC_c83a0d19a27e42c0927cf85c8c6221e2"/>
        <w:id w:val="147478884"/>
        <w:placeholder>
          <w:docPart w:val="GBC22222222222222222222222222222"/>
        </w:placeholder>
      </w:sdtPr>
      <w:sdtEndPr>
        <w:rPr>
          <w:rFonts w:cs="Arial"/>
          <w:color w:val="000000" w:themeColor="text1"/>
          <w14:textFill>
            <w14:solidFill>
              <w14:schemeClr w14:val="tx1"/>
            </w14:solidFill>
          </w14:textFill>
        </w:rPr>
      </w:sdtEndPr>
      <w:sdtContent>
        <w:p w14:paraId="4C539A10">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本公司子公司西双版纳南博有限责任公司已进入破产清算程序，由法院指定的破产管理人接管，不再纳入合并范围。</w:t>
          </w:r>
        </w:p>
      </w:sdtContent>
    </w:sdt>
    <w:p w14:paraId="09E6B100">
      <w:pPr>
        <w:rPr>
          <w:rFonts w:cs="Arial"/>
          <w:color w:val="000000" w:themeColor="text1"/>
          <w14:textFill>
            <w14:solidFill>
              <w14:schemeClr w14:val="tx1"/>
            </w14:solidFill>
          </w14:textFill>
        </w:rPr>
      </w:pPr>
    </w:p>
    <w:p w14:paraId="69226CBB">
      <w:pPr>
        <w:pStyle w:val="57"/>
        <w:numPr>
          <w:ilvl w:val="0"/>
          <w:numId w:val="95"/>
        </w:numP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合并范围的变更-其他说明[双击切换]"/>
        <w:tag w:val="_GBC_cca0ea12df6c44878cdcbeced06ed993"/>
        <w:id w:val="147463323"/>
        <w:placeholder>
          <w:docPart w:val="GBC22222222222222222222222222222"/>
        </w:placeholder>
      </w:sdtPr>
      <w:sdtEndPr>
        <w:rPr>
          <w:color w:val="000000" w:themeColor="text1"/>
          <w14:textFill>
            <w14:solidFill>
              <w14:schemeClr w14:val="tx1"/>
            </w14:solidFill>
          </w14:textFill>
        </w:rPr>
      </w:sdtEndPr>
      <w:sdtContent>
        <w:p w14:paraId="3CDC42F0">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E69B9A1">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EA0DA56">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在其他主体中的权益</w:t>
      </w:r>
    </w:p>
    <w:p w14:paraId="12F87988">
      <w:pPr>
        <w:pStyle w:val="57"/>
        <w:numPr>
          <w:ilvl w:val="2"/>
          <w:numId w:val="9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在子公司中的权益</w:t>
      </w:r>
    </w:p>
    <w:p w14:paraId="27731B65">
      <w:pPr>
        <w:pStyle w:val="58"/>
        <w:numPr>
          <w:ilvl w:val="3"/>
          <w:numId w:val="97"/>
        </w:numPr>
        <w:ind w:left="406" w:hanging="406" w:hangingChars="202"/>
        <w:rPr>
          <w:color w:val="000000" w:themeColor="text1"/>
          <w14:textFill>
            <w14:solidFill>
              <w14:schemeClr w14:val="tx1"/>
            </w14:solidFill>
          </w14:textFill>
        </w:rPr>
      </w:pPr>
      <w:bookmarkStart w:id="403" w:name="_Hlk167975969"/>
      <w:r>
        <w:rPr>
          <w:rFonts w:hint="eastAsia"/>
          <w:color w:val="000000" w:themeColor="text1"/>
          <w14:textFill>
            <w14:solidFill>
              <w14:schemeClr w14:val="tx1"/>
            </w14:solidFill>
          </w14:textFill>
        </w:rPr>
        <w:t>企业集团的构成</w:t>
      </w:r>
    </w:p>
    <w:sdt>
      <w:sdtPr>
        <w:rPr>
          <w:color w:val="000000" w:themeColor="text1"/>
          <w14:textFill>
            <w14:solidFill>
              <w14:schemeClr w14:val="tx1"/>
            </w14:solidFill>
          </w14:textFill>
        </w:rPr>
        <w:alias w:val="是否适用：企业集团的构成[双击切换]"/>
        <w:tag w:val="_GBC_d1c28d303a594095b9e1cc6b9a265571"/>
        <w:id w:val="147453543"/>
        <w:placeholder>
          <w:docPart w:val="GBC22222222222222222222222222222"/>
        </w:placeholder>
      </w:sdtPr>
      <w:sdtEndPr>
        <w:rPr>
          <w:color w:val="000000" w:themeColor="text1"/>
          <w14:textFill>
            <w14:solidFill>
              <w14:schemeClr w14:val="tx1"/>
            </w14:solidFill>
          </w14:textFill>
        </w:rPr>
      </w:sdtEndPr>
      <w:sdtContent>
        <w:p w14:paraId="347BBD9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078A52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企业集团的构成"/>
          <w:tag w:val="_GBC_02462820d05142eca3713abc443b34f5"/>
          <w:id w:val="14745668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企业集团的构成"/>
          <w:tag w:val="_GBC_9d84d297c94f41a5a9a7a18208389646"/>
          <w:id w:val="1474832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6"/>
        <w:gridCol w:w="2084"/>
        <w:gridCol w:w="1370"/>
        <w:gridCol w:w="2027"/>
        <w:gridCol w:w="1111"/>
        <w:gridCol w:w="939"/>
        <w:gridCol w:w="730"/>
        <w:gridCol w:w="2152"/>
      </w:tblGrid>
      <w:tr w14:paraId="1928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blHeader/>
        </w:trPr>
        <w:sdt>
          <w:sdtPr>
            <w:rPr>
              <w:rFonts w:cs="Times New Roman"/>
            </w:rPr>
            <w:tag w:val="_PLD_f9c2120a205a401daafe7d623ad6f73f"/>
            <w:id w:val="147478318"/>
          </w:sdtPr>
          <w:sdtEndPr>
            <w:rPr>
              <w:rFonts w:cs="Times New Roman"/>
            </w:rPr>
          </w:sdtEndPr>
          <w:sdtContent>
            <w:tc>
              <w:tcPr>
                <w:tcW w:w="1304" w:type="pct"/>
                <w:vMerge w:val="restart"/>
                <w:vAlign w:val="center"/>
              </w:tcPr>
              <w:p w14:paraId="2E32D7CA">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子公司名称</w:t>
                </w:r>
              </w:p>
            </w:tc>
          </w:sdtContent>
        </w:sdt>
        <w:sdt>
          <w:sdtPr>
            <w:rPr>
              <w:rFonts w:cs="Times New Roman"/>
            </w:rPr>
            <w:tag w:val="_PLD_723e5916e8d942aa8a0a08bb0a7836d4"/>
            <w:id w:val="147458086"/>
          </w:sdtPr>
          <w:sdtEndPr>
            <w:rPr>
              <w:rFonts w:cs="Times New Roman"/>
            </w:rPr>
          </w:sdtEndPr>
          <w:sdtContent>
            <w:tc>
              <w:tcPr>
                <w:tcW w:w="739" w:type="pct"/>
                <w:vMerge w:val="restart"/>
                <w:vAlign w:val="center"/>
              </w:tcPr>
              <w:p w14:paraId="6F4D94B0">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主要经营地</w:t>
                </w:r>
              </w:p>
            </w:tc>
          </w:sdtContent>
        </w:sdt>
        <w:tc>
          <w:tcPr>
            <w:tcW w:w="486" w:type="pct"/>
            <w:vMerge w:val="restart"/>
            <w:vAlign w:val="center"/>
          </w:tcPr>
          <w:sdt>
            <w:sdtPr>
              <w:rPr>
                <w:rFonts w:cs="Times New Roman"/>
              </w:rPr>
              <w:tag w:val="_PLD_d5e3d7a26fa0476b87e5fb13adf75c0b"/>
              <w:id w:val="147465571"/>
            </w:sdtPr>
            <w:sdtEndPr>
              <w:rPr>
                <w:rFonts w:cs="Times New Roman"/>
              </w:rPr>
            </w:sdtEndPr>
            <w:sdtContent>
              <w:p w14:paraId="03C9431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注册资本</w:t>
                </w:r>
              </w:p>
            </w:sdtContent>
          </w:sdt>
        </w:tc>
        <w:sdt>
          <w:sdtPr>
            <w:rPr>
              <w:rFonts w:cs="Times New Roman"/>
            </w:rPr>
            <w:tag w:val="_PLD_75992b931bd8473e8e862e94745012a5"/>
            <w:id w:val="147471118"/>
          </w:sdtPr>
          <w:sdtEndPr>
            <w:rPr>
              <w:rFonts w:cs="Times New Roman"/>
            </w:rPr>
          </w:sdtEndPr>
          <w:sdtContent>
            <w:tc>
              <w:tcPr>
                <w:tcW w:w="719" w:type="pct"/>
                <w:vMerge w:val="restart"/>
                <w:vAlign w:val="center"/>
              </w:tcPr>
              <w:p w14:paraId="5E5CDCF4">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注册地</w:t>
                </w:r>
              </w:p>
            </w:tc>
          </w:sdtContent>
        </w:sdt>
        <w:sdt>
          <w:sdtPr>
            <w:rPr>
              <w:rFonts w:cs="Times New Roman"/>
            </w:rPr>
            <w:tag w:val="_PLD_81986d200a3740efb1af7efc5e522b86"/>
            <w:id w:val="147454076"/>
          </w:sdtPr>
          <w:sdtEndPr>
            <w:rPr>
              <w:rFonts w:cs="Times New Roman"/>
            </w:rPr>
          </w:sdtEndPr>
          <w:sdtContent>
            <w:tc>
              <w:tcPr>
                <w:tcW w:w="394" w:type="pct"/>
                <w:vMerge w:val="restart"/>
                <w:vAlign w:val="center"/>
              </w:tcPr>
              <w:p w14:paraId="0F3A3246">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业务性质</w:t>
                </w:r>
              </w:p>
            </w:tc>
          </w:sdtContent>
        </w:sdt>
        <w:sdt>
          <w:sdtPr>
            <w:rPr>
              <w:rFonts w:cs="Times New Roman"/>
            </w:rPr>
            <w:tag w:val="_PLD_03c285667c254271b982c3c49476d597"/>
            <w:id w:val="147468598"/>
          </w:sdtPr>
          <w:sdtEndPr>
            <w:rPr>
              <w:rFonts w:cs="Times New Roman"/>
            </w:rPr>
          </w:sdtEndPr>
          <w:sdtContent>
            <w:tc>
              <w:tcPr>
                <w:tcW w:w="592" w:type="pct"/>
                <w:gridSpan w:val="2"/>
                <w:vAlign w:val="center"/>
              </w:tcPr>
              <w:p w14:paraId="6D60ADCA">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持股比例</w:t>
                </w:r>
                <w:r>
                  <w:rPr>
                    <w:rFonts w:cs="Times New Roman"/>
                    <w:color w:val="000000" w:themeColor="text1"/>
                    <w14:textFill>
                      <w14:solidFill>
                        <w14:schemeClr w14:val="tx1"/>
                      </w14:solidFill>
                    </w14:textFill>
                  </w:rPr>
                  <w:t>(%)</w:t>
                </w:r>
              </w:p>
            </w:tc>
          </w:sdtContent>
        </w:sdt>
        <w:sdt>
          <w:sdtPr>
            <w:rPr>
              <w:rFonts w:cs="Times New Roman"/>
            </w:rPr>
            <w:tag w:val="_PLD_b9a7fd2e9d044a72815c35f904479ae4"/>
            <w:id w:val="147468045"/>
          </w:sdtPr>
          <w:sdtEndPr>
            <w:rPr>
              <w:rFonts w:cs="Times New Roman"/>
            </w:rPr>
          </w:sdtEndPr>
          <w:sdtContent>
            <w:tc>
              <w:tcPr>
                <w:tcW w:w="763" w:type="pct"/>
                <w:vMerge w:val="restart"/>
                <w:vAlign w:val="center"/>
              </w:tcPr>
              <w:p w14:paraId="0FFDB962">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取得</w:t>
                </w:r>
              </w:p>
              <w:p w14:paraId="4AFB47BF">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方式</w:t>
                </w:r>
              </w:p>
            </w:tc>
          </w:sdtContent>
        </w:sdt>
      </w:tr>
      <w:tr w14:paraId="2969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blHeader/>
        </w:trPr>
        <w:tc>
          <w:tcPr>
            <w:tcW w:w="1304" w:type="pct"/>
            <w:vMerge w:val="continue"/>
            <w:vAlign w:val="center"/>
          </w:tcPr>
          <w:p w14:paraId="013B3103">
            <w:pPr>
              <w:rPr>
                <w:rFonts w:cs="Times New Roman"/>
                <w:color w:val="000000" w:themeColor="text1"/>
                <w14:textFill>
                  <w14:solidFill>
                    <w14:schemeClr w14:val="tx1"/>
                  </w14:solidFill>
                </w14:textFill>
              </w:rPr>
            </w:pPr>
          </w:p>
        </w:tc>
        <w:tc>
          <w:tcPr>
            <w:tcW w:w="739" w:type="pct"/>
            <w:vMerge w:val="continue"/>
            <w:vAlign w:val="center"/>
          </w:tcPr>
          <w:p w14:paraId="33CC4686">
            <w:pPr>
              <w:rPr>
                <w:rFonts w:cs="Times New Roman"/>
                <w:color w:val="000000" w:themeColor="text1"/>
                <w14:textFill>
                  <w14:solidFill>
                    <w14:schemeClr w14:val="tx1"/>
                  </w14:solidFill>
                </w14:textFill>
              </w:rPr>
            </w:pPr>
          </w:p>
        </w:tc>
        <w:tc>
          <w:tcPr>
            <w:tcW w:w="486" w:type="pct"/>
            <w:vMerge w:val="continue"/>
          </w:tcPr>
          <w:p w14:paraId="26CE3FE0">
            <w:pPr>
              <w:rPr>
                <w:rFonts w:cs="Times New Roman"/>
                <w:color w:val="000000" w:themeColor="text1"/>
                <w14:textFill>
                  <w14:solidFill>
                    <w14:schemeClr w14:val="tx1"/>
                  </w14:solidFill>
                </w14:textFill>
              </w:rPr>
            </w:pPr>
          </w:p>
        </w:tc>
        <w:tc>
          <w:tcPr>
            <w:tcW w:w="719" w:type="pct"/>
            <w:vMerge w:val="continue"/>
            <w:vAlign w:val="center"/>
          </w:tcPr>
          <w:p w14:paraId="767C2187">
            <w:pPr>
              <w:rPr>
                <w:rFonts w:cs="Times New Roman"/>
                <w:color w:val="000000" w:themeColor="text1"/>
                <w14:textFill>
                  <w14:solidFill>
                    <w14:schemeClr w14:val="tx1"/>
                  </w14:solidFill>
                </w14:textFill>
              </w:rPr>
            </w:pPr>
          </w:p>
        </w:tc>
        <w:tc>
          <w:tcPr>
            <w:tcW w:w="394" w:type="pct"/>
            <w:vMerge w:val="continue"/>
            <w:vAlign w:val="center"/>
          </w:tcPr>
          <w:p w14:paraId="1AD6845B">
            <w:pPr>
              <w:rPr>
                <w:rFonts w:cs="Times New Roman"/>
                <w:color w:val="000000" w:themeColor="text1"/>
                <w14:textFill>
                  <w14:solidFill>
                    <w14:schemeClr w14:val="tx1"/>
                  </w14:solidFill>
                </w14:textFill>
              </w:rPr>
            </w:pPr>
          </w:p>
        </w:tc>
        <w:sdt>
          <w:sdtPr>
            <w:rPr>
              <w:rFonts w:cs="Times New Roman"/>
            </w:rPr>
            <w:tag w:val="_PLD_de578ebcf9ae4a679d3c9d71857b038a"/>
            <w:id w:val="147459144"/>
          </w:sdtPr>
          <w:sdtEndPr>
            <w:rPr>
              <w:rFonts w:cs="Times New Roman"/>
            </w:rPr>
          </w:sdtEndPr>
          <w:sdtContent>
            <w:tc>
              <w:tcPr>
                <w:tcW w:w="333" w:type="pct"/>
                <w:vAlign w:val="center"/>
              </w:tcPr>
              <w:p w14:paraId="3C1F6AEB">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直接</w:t>
                </w:r>
              </w:p>
            </w:tc>
          </w:sdtContent>
        </w:sdt>
        <w:sdt>
          <w:sdtPr>
            <w:rPr>
              <w:rFonts w:cs="Times New Roman"/>
            </w:rPr>
            <w:tag w:val="_PLD_154fe2dd001b4c93b14ff5f5aec1fbc8"/>
            <w:id w:val="147453031"/>
          </w:sdtPr>
          <w:sdtEndPr>
            <w:rPr>
              <w:rFonts w:cs="Times New Roman"/>
            </w:rPr>
          </w:sdtEndPr>
          <w:sdtContent>
            <w:tc>
              <w:tcPr>
                <w:tcW w:w="259" w:type="pct"/>
                <w:vAlign w:val="center"/>
              </w:tcPr>
              <w:p w14:paraId="1C790D49">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间接</w:t>
                </w:r>
              </w:p>
            </w:tc>
          </w:sdtContent>
        </w:sdt>
        <w:tc>
          <w:tcPr>
            <w:tcW w:w="763" w:type="pct"/>
            <w:vMerge w:val="continue"/>
          </w:tcPr>
          <w:p w14:paraId="074830BD">
            <w:pPr>
              <w:rPr>
                <w:rFonts w:cs="Times New Roman"/>
                <w:color w:val="000000" w:themeColor="text1"/>
                <w14:textFill>
                  <w14:solidFill>
                    <w14:schemeClr w14:val="tx1"/>
                  </w14:solidFill>
                </w14:textFill>
              </w:rPr>
            </w:pPr>
          </w:p>
        </w:tc>
      </w:tr>
      <w:tr w14:paraId="3AB6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6BBDA69">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际华三五零二职业装有限公司</w:t>
            </w:r>
          </w:p>
        </w:tc>
        <w:tc>
          <w:tcPr>
            <w:tcW w:w="739" w:type="pct"/>
            <w:vAlign w:val="center"/>
          </w:tcPr>
          <w:p w14:paraId="50D8ED1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河北省井陉县</w:t>
            </w:r>
          </w:p>
        </w:tc>
        <w:tc>
          <w:tcPr>
            <w:tcW w:w="486" w:type="pct"/>
            <w:vAlign w:val="center"/>
          </w:tcPr>
          <w:p w14:paraId="70AD2C49">
            <w:pPr>
              <w:jc w:val="right"/>
              <w:textAlignment w:val="center"/>
              <w:rPr>
                <w:rFonts w:cs="Times New Roman"/>
              </w:rPr>
            </w:pPr>
            <w:r>
              <w:rPr>
                <w:rFonts w:eastAsia="Arial Narrow" w:cs="Times New Roman"/>
                <w:color w:val="000000"/>
                <w:lang w:bidi="ar"/>
              </w:rPr>
              <w:t>30,000.00</w:t>
            </w:r>
          </w:p>
        </w:tc>
        <w:tc>
          <w:tcPr>
            <w:tcW w:w="719" w:type="pct"/>
            <w:vAlign w:val="center"/>
          </w:tcPr>
          <w:p w14:paraId="6FADAAC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河北省井陉县</w:t>
            </w:r>
          </w:p>
        </w:tc>
        <w:tc>
          <w:tcPr>
            <w:tcW w:w="394" w:type="pct"/>
            <w:vAlign w:val="center"/>
          </w:tcPr>
          <w:p w14:paraId="167BEE8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4E7CEAD8">
            <w:pPr>
              <w:jc w:val="right"/>
              <w:textAlignment w:val="center"/>
              <w:rPr>
                <w:rFonts w:cs="Times New Roman"/>
              </w:rPr>
            </w:pPr>
            <w:r>
              <w:rPr>
                <w:rFonts w:eastAsia="Arial Narrow" w:cs="Times New Roman"/>
                <w:color w:val="000000"/>
                <w:lang w:bidi="ar"/>
              </w:rPr>
              <w:t>100.00</w:t>
            </w:r>
          </w:p>
        </w:tc>
        <w:tc>
          <w:tcPr>
            <w:tcW w:w="259" w:type="pct"/>
            <w:vAlign w:val="center"/>
          </w:tcPr>
          <w:p w14:paraId="7DC262E2">
            <w:pPr>
              <w:jc w:val="right"/>
              <w:rPr>
                <w:rFonts w:cs="Times New Roman"/>
              </w:rPr>
            </w:pPr>
          </w:p>
        </w:tc>
        <w:tc>
          <w:tcPr>
            <w:tcW w:w="763" w:type="pct"/>
            <w:vAlign w:val="center"/>
          </w:tcPr>
          <w:p w14:paraId="0E3D375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3EB1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EEC79F5">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河北万润应急科技有限公司</w:t>
            </w:r>
          </w:p>
        </w:tc>
        <w:tc>
          <w:tcPr>
            <w:tcW w:w="739" w:type="pct"/>
            <w:vAlign w:val="center"/>
          </w:tcPr>
          <w:p w14:paraId="48C8125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河北省石家庄市</w:t>
            </w:r>
          </w:p>
        </w:tc>
        <w:tc>
          <w:tcPr>
            <w:tcW w:w="486" w:type="pct"/>
            <w:vAlign w:val="center"/>
          </w:tcPr>
          <w:p w14:paraId="347FD6C9">
            <w:pPr>
              <w:jc w:val="right"/>
              <w:textAlignment w:val="center"/>
              <w:rPr>
                <w:rFonts w:cs="Times New Roman"/>
              </w:rPr>
            </w:pPr>
            <w:r>
              <w:rPr>
                <w:rFonts w:eastAsia="Arial Narrow" w:cs="Times New Roman"/>
                <w:color w:val="000000"/>
                <w:lang w:bidi="ar"/>
              </w:rPr>
              <w:t>800.00</w:t>
            </w:r>
          </w:p>
        </w:tc>
        <w:tc>
          <w:tcPr>
            <w:tcW w:w="719" w:type="pct"/>
            <w:vAlign w:val="center"/>
          </w:tcPr>
          <w:p w14:paraId="6C0A166F">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河北省石家庄市</w:t>
            </w:r>
          </w:p>
        </w:tc>
        <w:tc>
          <w:tcPr>
            <w:tcW w:w="394" w:type="pct"/>
            <w:vAlign w:val="center"/>
          </w:tcPr>
          <w:p w14:paraId="0AA1A10F">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商贸</w:t>
            </w:r>
          </w:p>
        </w:tc>
        <w:tc>
          <w:tcPr>
            <w:tcW w:w="333" w:type="pct"/>
            <w:vAlign w:val="center"/>
          </w:tcPr>
          <w:p w14:paraId="2E3C05F2">
            <w:pPr>
              <w:jc w:val="right"/>
              <w:textAlignment w:val="center"/>
              <w:rPr>
                <w:rFonts w:cs="Times New Roman"/>
              </w:rPr>
            </w:pPr>
            <w:r>
              <w:rPr>
                <w:rFonts w:eastAsia="Arial Narrow" w:cs="Times New Roman"/>
                <w:color w:val="000000"/>
                <w:lang w:bidi="ar"/>
              </w:rPr>
              <w:t>100.00</w:t>
            </w:r>
          </w:p>
        </w:tc>
        <w:tc>
          <w:tcPr>
            <w:tcW w:w="259" w:type="pct"/>
            <w:vAlign w:val="center"/>
          </w:tcPr>
          <w:p w14:paraId="5AA7C216">
            <w:pPr>
              <w:jc w:val="right"/>
              <w:rPr>
                <w:rFonts w:cs="Times New Roman"/>
              </w:rPr>
            </w:pPr>
          </w:p>
        </w:tc>
        <w:tc>
          <w:tcPr>
            <w:tcW w:w="763" w:type="pct"/>
            <w:vAlign w:val="center"/>
          </w:tcPr>
          <w:p w14:paraId="5799036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1F48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CAF0142">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际华防护科技有限公司</w:t>
            </w:r>
          </w:p>
        </w:tc>
        <w:tc>
          <w:tcPr>
            <w:tcW w:w="739" w:type="pct"/>
            <w:vAlign w:val="center"/>
          </w:tcPr>
          <w:p w14:paraId="5F4E195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486" w:type="pct"/>
            <w:vAlign w:val="center"/>
          </w:tcPr>
          <w:p w14:paraId="19612C46">
            <w:pPr>
              <w:jc w:val="right"/>
              <w:textAlignment w:val="center"/>
              <w:rPr>
                <w:rFonts w:cs="Times New Roman"/>
              </w:rPr>
            </w:pPr>
            <w:r>
              <w:rPr>
                <w:rFonts w:eastAsia="Arial Narrow" w:cs="Times New Roman"/>
                <w:color w:val="000000"/>
                <w:lang w:bidi="ar"/>
              </w:rPr>
              <w:t>5,000.00</w:t>
            </w:r>
          </w:p>
        </w:tc>
        <w:tc>
          <w:tcPr>
            <w:tcW w:w="719" w:type="pct"/>
            <w:vAlign w:val="center"/>
          </w:tcPr>
          <w:p w14:paraId="27344EE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394" w:type="pct"/>
            <w:vAlign w:val="center"/>
          </w:tcPr>
          <w:p w14:paraId="11BD53D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2B4D9A75">
            <w:pPr>
              <w:jc w:val="right"/>
              <w:textAlignment w:val="center"/>
              <w:rPr>
                <w:rFonts w:cs="Times New Roman"/>
              </w:rPr>
            </w:pPr>
            <w:r>
              <w:rPr>
                <w:rFonts w:eastAsia="Arial Narrow" w:cs="Times New Roman"/>
                <w:color w:val="000000"/>
                <w:lang w:bidi="ar"/>
              </w:rPr>
              <w:t>60.00</w:t>
            </w:r>
          </w:p>
        </w:tc>
        <w:tc>
          <w:tcPr>
            <w:tcW w:w="259" w:type="pct"/>
            <w:vAlign w:val="center"/>
          </w:tcPr>
          <w:p w14:paraId="22298C70">
            <w:pPr>
              <w:jc w:val="right"/>
              <w:rPr>
                <w:rFonts w:cs="Times New Roman"/>
              </w:rPr>
            </w:pPr>
          </w:p>
        </w:tc>
        <w:tc>
          <w:tcPr>
            <w:tcW w:w="763" w:type="pct"/>
            <w:vAlign w:val="center"/>
          </w:tcPr>
          <w:p w14:paraId="54DFD2C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289E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2C3B8BC">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南京际华三五〇三服装有限公司</w:t>
            </w:r>
          </w:p>
        </w:tc>
        <w:tc>
          <w:tcPr>
            <w:tcW w:w="739" w:type="pct"/>
            <w:vAlign w:val="center"/>
          </w:tcPr>
          <w:p w14:paraId="355704C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486" w:type="pct"/>
            <w:vAlign w:val="center"/>
          </w:tcPr>
          <w:p w14:paraId="5A5F1A1D">
            <w:pPr>
              <w:jc w:val="right"/>
              <w:textAlignment w:val="center"/>
              <w:rPr>
                <w:rFonts w:cs="Times New Roman"/>
              </w:rPr>
            </w:pPr>
            <w:r>
              <w:rPr>
                <w:rFonts w:eastAsia="Arial Narrow" w:cs="Times New Roman"/>
                <w:color w:val="000000"/>
                <w:lang w:bidi="ar"/>
              </w:rPr>
              <w:t>15,000.00</w:t>
            </w:r>
          </w:p>
        </w:tc>
        <w:tc>
          <w:tcPr>
            <w:tcW w:w="719" w:type="pct"/>
            <w:vAlign w:val="center"/>
          </w:tcPr>
          <w:p w14:paraId="5D5742D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394" w:type="pct"/>
            <w:vAlign w:val="center"/>
          </w:tcPr>
          <w:p w14:paraId="2C6E0F5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67675604">
            <w:pPr>
              <w:jc w:val="right"/>
              <w:textAlignment w:val="center"/>
              <w:rPr>
                <w:rFonts w:cs="Times New Roman"/>
              </w:rPr>
            </w:pPr>
            <w:r>
              <w:rPr>
                <w:rFonts w:eastAsia="Arial Narrow" w:cs="Times New Roman"/>
                <w:color w:val="000000"/>
                <w:lang w:bidi="ar"/>
              </w:rPr>
              <w:t>100.00</w:t>
            </w:r>
          </w:p>
        </w:tc>
        <w:tc>
          <w:tcPr>
            <w:tcW w:w="259" w:type="pct"/>
            <w:vAlign w:val="center"/>
          </w:tcPr>
          <w:p w14:paraId="32118F31">
            <w:pPr>
              <w:jc w:val="right"/>
              <w:rPr>
                <w:rFonts w:cs="Times New Roman"/>
              </w:rPr>
            </w:pPr>
          </w:p>
        </w:tc>
        <w:tc>
          <w:tcPr>
            <w:tcW w:w="763" w:type="pct"/>
            <w:vAlign w:val="center"/>
          </w:tcPr>
          <w:p w14:paraId="283DA18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0275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1EC4CDA">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际华三五零六纺织服装有限公司</w:t>
            </w:r>
          </w:p>
        </w:tc>
        <w:tc>
          <w:tcPr>
            <w:tcW w:w="739" w:type="pct"/>
            <w:vAlign w:val="center"/>
          </w:tcPr>
          <w:p w14:paraId="5B5653F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湖北省武汉市</w:t>
            </w:r>
          </w:p>
        </w:tc>
        <w:tc>
          <w:tcPr>
            <w:tcW w:w="486" w:type="pct"/>
            <w:vAlign w:val="center"/>
          </w:tcPr>
          <w:p w14:paraId="309D499C">
            <w:pPr>
              <w:jc w:val="right"/>
              <w:textAlignment w:val="center"/>
              <w:rPr>
                <w:rFonts w:cs="Times New Roman"/>
              </w:rPr>
            </w:pPr>
            <w:r>
              <w:rPr>
                <w:rFonts w:eastAsia="Arial Narrow" w:cs="Times New Roman"/>
                <w:color w:val="000000"/>
                <w:lang w:bidi="ar"/>
              </w:rPr>
              <w:t>20,000.00</w:t>
            </w:r>
          </w:p>
        </w:tc>
        <w:tc>
          <w:tcPr>
            <w:tcW w:w="719" w:type="pct"/>
            <w:vAlign w:val="center"/>
          </w:tcPr>
          <w:p w14:paraId="7534A99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湖北省武汉市</w:t>
            </w:r>
          </w:p>
        </w:tc>
        <w:tc>
          <w:tcPr>
            <w:tcW w:w="394" w:type="pct"/>
            <w:vAlign w:val="center"/>
          </w:tcPr>
          <w:p w14:paraId="58A0A8C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3D573771">
            <w:pPr>
              <w:jc w:val="right"/>
              <w:textAlignment w:val="center"/>
              <w:rPr>
                <w:rFonts w:cs="Times New Roman"/>
              </w:rPr>
            </w:pPr>
            <w:r>
              <w:rPr>
                <w:rFonts w:eastAsia="Arial Narrow" w:cs="Times New Roman"/>
                <w:color w:val="000000"/>
                <w:lang w:bidi="ar"/>
              </w:rPr>
              <w:t>100.00</w:t>
            </w:r>
          </w:p>
        </w:tc>
        <w:tc>
          <w:tcPr>
            <w:tcW w:w="259" w:type="pct"/>
            <w:vAlign w:val="center"/>
          </w:tcPr>
          <w:p w14:paraId="0D2DC196">
            <w:pPr>
              <w:jc w:val="right"/>
              <w:rPr>
                <w:rFonts w:cs="Times New Roman"/>
              </w:rPr>
            </w:pPr>
          </w:p>
        </w:tc>
        <w:tc>
          <w:tcPr>
            <w:tcW w:w="763" w:type="pct"/>
            <w:vAlign w:val="center"/>
          </w:tcPr>
          <w:p w14:paraId="781BE94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64E2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11D6AE9">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武汉盛华投资管理有限公司</w:t>
            </w:r>
          </w:p>
        </w:tc>
        <w:tc>
          <w:tcPr>
            <w:tcW w:w="739" w:type="pct"/>
            <w:vAlign w:val="center"/>
          </w:tcPr>
          <w:p w14:paraId="5C8401B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湖北省武汉市</w:t>
            </w:r>
          </w:p>
        </w:tc>
        <w:tc>
          <w:tcPr>
            <w:tcW w:w="486" w:type="pct"/>
            <w:vAlign w:val="center"/>
          </w:tcPr>
          <w:p w14:paraId="1538E7BA">
            <w:pPr>
              <w:jc w:val="right"/>
              <w:textAlignment w:val="center"/>
              <w:rPr>
                <w:rFonts w:cs="Times New Roman"/>
              </w:rPr>
            </w:pPr>
            <w:r>
              <w:rPr>
                <w:rFonts w:eastAsia="Arial Narrow" w:cs="Times New Roman"/>
                <w:color w:val="000000"/>
                <w:lang w:bidi="ar"/>
              </w:rPr>
              <w:t>10,000.00</w:t>
            </w:r>
          </w:p>
        </w:tc>
        <w:tc>
          <w:tcPr>
            <w:tcW w:w="719" w:type="pct"/>
            <w:vAlign w:val="center"/>
          </w:tcPr>
          <w:p w14:paraId="2450467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湖北省武汉市</w:t>
            </w:r>
          </w:p>
        </w:tc>
        <w:tc>
          <w:tcPr>
            <w:tcW w:w="394" w:type="pct"/>
            <w:vAlign w:val="center"/>
          </w:tcPr>
          <w:p w14:paraId="397C797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投资管理</w:t>
            </w:r>
          </w:p>
        </w:tc>
        <w:tc>
          <w:tcPr>
            <w:tcW w:w="333" w:type="pct"/>
            <w:vAlign w:val="center"/>
          </w:tcPr>
          <w:p w14:paraId="15103ABE">
            <w:pPr>
              <w:jc w:val="right"/>
              <w:textAlignment w:val="center"/>
              <w:rPr>
                <w:rFonts w:cs="Times New Roman"/>
              </w:rPr>
            </w:pPr>
            <w:r>
              <w:rPr>
                <w:rFonts w:eastAsia="Arial Narrow" w:cs="Times New Roman"/>
                <w:color w:val="000000"/>
                <w:lang w:bidi="ar"/>
              </w:rPr>
              <w:t>75.00</w:t>
            </w:r>
          </w:p>
        </w:tc>
        <w:tc>
          <w:tcPr>
            <w:tcW w:w="259" w:type="pct"/>
            <w:vAlign w:val="center"/>
          </w:tcPr>
          <w:p w14:paraId="025A0AAE">
            <w:pPr>
              <w:jc w:val="right"/>
              <w:rPr>
                <w:rFonts w:cs="Times New Roman"/>
              </w:rPr>
            </w:pPr>
          </w:p>
        </w:tc>
        <w:tc>
          <w:tcPr>
            <w:tcW w:w="763" w:type="pct"/>
            <w:vAlign w:val="center"/>
          </w:tcPr>
          <w:p w14:paraId="7FB61A5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9B8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1934B63A">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际华三五三四制衣有限公司</w:t>
            </w:r>
          </w:p>
        </w:tc>
        <w:tc>
          <w:tcPr>
            <w:tcW w:w="739" w:type="pct"/>
            <w:vAlign w:val="center"/>
          </w:tcPr>
          <w:p w14:paraId="18CBF5E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山西省运城市</w:t>
            </w:r>
          </w:p>
        </w:tc>
        <w:tc>
          <w:tcPr>
            <w:tcW w:w="486" w:type="pct"/>
            <w:vAlign w:val="center"/>
          </w:tcPr>
          <w:p w14:paraId="0171AFED">
            <w:pPr>
              <w:jc w:val="right"/>
              <w:textAlignment w:val="center"/>
              <w:rPr>
                <w:rFonts w:cs="Times New Roman"/>
              </w:rPr>
            </w:pPr>
            <w:r>
              <w:rPr>
                <w:rFonts w:eastAsia="Arial Narrow" w:cs="Times New Roman"/>
                <w:color w:val="000000"/>
                <w:lang w:bidi="ar"/>
              </w:rPr>
              <w:t>15,000.00</w:t>
            </w:r>
          </w:p>
        </w:tc>
        <w:tc>
          <w:tcPr>
            <w:tcW w:w="719" w:type="pct"/>
            <w:vAlign w:val="center"/>
          </w:tcPr>
          <w:p w14:paraId="4B2B3D4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山西省运城市</w:t>
            </w:r>
          </w:p>
        </w:tc>
        <w:tc>
          <w:tcPr>
            <w:tcW w:w="394" w:type="pct"/>
            <w:vAlign w:val="center"/>
          </w:tcPr>
          <w:p w14:paraId="2160038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4347379A">
            <w:pPr>
              <w:jc w:val="right"/>
              <w:textAlignment w:val="center"/>
              <w:rPr>
                <w:rFonts w:cs="Times New Roman"/>
              </w:rPr>
            </w:pPr>
            <w:r>
              <w:rPr>
                <w:rFonts w:eastAsia="Arial Narrow" w:cs="Times New Roman"/>
                <w:color w:val="000000"/>
                <w:lang w:bidi="ar"/>
              </w:rPr>
              <w:t>100.00</w:t>
            </w:r>
          </w:p>
        </w:tc>
        <w:tc>
          <w:tcPr>
            <w:tcW w:w="259" w:type="pct"/>
            <w:vAlign w:val="center"/>
          </w:tcPr>
          <w:p w14:paraId="7A69D01E">
            <w:pPr>
              <w:jc w:val="right"/>
              <w:rPr>
                <w:rFonts w:cs="Times New Roman"/>
              </w:rPr>
            </w:pPr>
          </w:p>
        </w:tc>
        <w:tc>
          <w:tcPr>
            <w:tcW w:w="763" w:type="pct"/>
            <w:vAlign w:val="center"/>
          </w:tcPr>
          <w:p w14:paraId="2E71484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2E69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51013D5">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运城市空港开发区华禹房地产开发有限公司</w:t>
            </w:r>
          </w:p>
        </w:tc>
        <w:tc>
          <w:tcPr>
            <w:tcW w:w="739" w:type="pct"/>
            <w:vAlign w:val="center"/>
          </w:tcPr>
          <w:p w14:paraId="2CE0385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山西省运城市</w:t>
            </w:r>
          </w:p>
        </w:tc>
        <w:tc>
          <w:tcPr>
            <w:tcW w:w="486" w:type="pct"/>
            <w:vAlign w:val="center"/>
          </w:tcPr>
          <w:p w14:paraId="74505015">
            <w:pPr>
              <w:jc w:val="right"/>
              <w:textAlignment w:val="center"/>
              <w:rPr>
                <w:rFonts w:cs="Times New Roman"/>
              </w:rPr>
            </w:pPr>
            <w:r>
              <w:rPr>
                <w:rFonts w:eastAsia="Arial Narrow" w:cs="Times New Roman"/>
                <w:color w:val="000000"/>
                <w:lang w:bidi="ar"/>
              </w:rPr>
              <w:t>3,000.00</w:t>
            </w:r>
          </w:p>
        </w:tc>
        <w:tc>
          <w:tcPr>
            <w:tcW w:w="719" w:type="pct"/>
            <w:vAlign w:val="center"/>
          </w:tcPr>
          <w:p w14:paraId="7B415BD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山西省运城市</w:t>
            </w:r>
          </w:p>
        </w:tc>
        <w:tc>
          <w:tcPr>
            <w:tcW w:w="394" w:type="pct"/>
            <w:vAlign w:val="center"/>
          </w:tcPr>
          <w:p w14:paraId="4571E3F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房地产开发</w:t>
            </w:r>
          </w:p>
        </w:tc>
        <w:tc>
          <w:tcPr>
            <w:tcW w:w="333" w:type="pct"/>
            <w:vAlign w:val="center"/>
          </w:tcPr>
          <w:p w14:paraId="123E690D">
            <w:pPr>
              <w:jc w:val="right"/>
              <w:textAlignment w:val="center"/>
              <w:rPr>
                <w:rFonts w:cs="Times New Roman"/>
              </w:rPr>
            </w:pPr>
            <w:r>
              <w:rPr>
                <w:rFonts w:eastAsia="Arial Narrow" w:cs="Times New Roman"/>
                <w:color w:val="000000"/>
                <w:lang w:bidi="ar"/>
              </w:rPr>
              <w:t>100.00</w:t>
            </w:r>
          </w:p>
        </w:tc>
        <w:tc>
          <w:tcPr>
            <w:tcW w:w="259" w:type="pct"/>
            <w:vAlign w:val="center"/>
          </w:tcPr>
          <w:p w14:paraId="786F1ACA">
            <w:pPr>
              <w:jc w:val="right"/>
              <w:rPr>
                <w:rFonts w:cs="Times New Roman"/>
              </w:rPr>
            </w:pPr>
          </w:p>
        </w:tc>
        <w:tc>
          <w:tcPr>
            <w:tcW w:w="763" w:type="pct"/>
            <w:vAlign w:val="center"/>
          </w:tcPr>
          <w:p w14:paraId="754B323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C8A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B8700B6">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际华三五三六实业有限公司</w:t>
            </w:r>
          </w:p>
        </w:tc>
        <w:tc>
          <w:tcPr>
            <w:tcW w:w="739" w:type="pct"/>
            <w:vAlign w:val="center"/>
          </w:tcPr>
          <w:p w14:paraId="1FA8154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四川省绵阳市</w:t>
            </w:r>
          </w:p>
        </w:tc>
        <w:tc>
          <w:tcPr>
            <w:tcW w:w="486" w:type="pct"/>
            <w:vAlign w:val="center"/>
          </w:tcPr>
          <w:p w14:paraId="3582A2E7">
            <w:pPr>
              <w:jc w:val="right"/>
              <w:textAlignment w:val="center"/>
              <w:rPr>
                <w:rFonts w:cs="Times New Roman"/>
              </w:rPr>
            </w:pPr>
            <w:r>
              <w:rPr>
                <w:rFonts w:eastAsia="Arial Narrow" w:cs="Times New Roman"/>
                <w:color w:val="000000"/>
                <w:lang w:bidi="ar"/>
              </w:rPr>
              <w:t>22,000.00</w:t>
            </w:r>
          </w:p>
        </w:tc>
        <w:tc>
          <w:tcPr>
            <w:tcW w:w="719" w:type="pct"/>
            <w:vAlign w:val="center"/>
          </w:tcPr>
          <w:p w14:paraId="3817F7A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四川省绵阳市</w:t>
            </w:r>
          </w:p>
        </w:tc>
        <w:tc>
          <w:tcPr>
            <w:tcW w:w="394" w:type="pct"/>
            <w:vAlign w:val="center"/>
          </w:tcPr>
          <w:p w14:paraId="06A8F21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71623889">
            <w:pPr>
              <w:jc w:val="right"/>
              <w:textAlignment w:val="center"/>
              <w:rPr>
                <w:rFonts w:cs="Times New Roman"/>
              </w:rPr>
            </w:pPr>
            <w:r>
              <w:rPr>
                <w:rFonts w:eastAsia="Arial Narrow" w:cs="Times New Roman"/>
                <w:color w:val="000000"/>
                <w:lang w:bidi="ar"/>
              </w:rPr>
              <w:t>100.00</w:t>
            </w:r>
          </w:p>
        </w:tc>
        <w:tc>
          <w:tcPr>
            <w:tcW w:w="259" w:type="pct"/>
            <w:vAlign w:val="center"/>
          </w:tcPr>
          <w:p w14:paraId="1BD4DD07">
            <w:pPr>
              <w:jc w:val="right"/>
              <w:rPr>
                <w:rFonts w:cs="Times New Roman"/>
              </w:rPr>
            </w:pPr>
          </w:p>
        </w:tc>
        <w:tc>
          <w:tcPr>
            <w:tcW w:w="763" w:type="pct"/>
            <w:vAlign w:val="center"/>
          </w:tcPr>
          <w:p w14:paraId="52C16CC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426C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535A527">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南京际华五三零二服饰装具有限责任公司</w:t>
            </w:r>
          </w:p>
        </w:tc>
        <w:tc>
          <w:tcPr>
            <w:tcW w:w="739" w:type="pct"/>
            <w:vAlign w:val="center"/>
          </w:tcPr>
          <w:p w14:paraId="3BE267E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486" w:type="pct"/>
            <w:vAlign w:val="center"/>
          </w:tcPr>
          <w:p w14:paraId="169694EC">
            <w:pPr>
              <w:jc w:val="right"/>
              <w:textAlignment w:val="center"/>
              <w:rPr>
                <w:rFonts w:cs="Times New Roman"/>
              </w:rPr>
            </w:pPr>
            <w:r>
              <w:rPr>
                <w:rFonts w:eastAsia="Arial Narrow" w:cs="Times New Roman"/>
                <w:color w:val="000000"/>
                <w:lang w:bidi="ar"/>
              </w:rPr>
              <w:t>10,100.00</w:t>
            </w:r>
          </w:p>
        </w:tc>
        <w:tc>
          <w:tcPr>
            <w:tcW w:w="719" w:type="pct"/>
            <w:vAlign w:val="center"/>
          </w:tcPr>
          <w:p w14:paraId="2EA1968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394" w:type="pct"/>
            <w:vAlign w:val="center"/>
          </w:tcPr>
          <w:p w14:paraId="290B99A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156EB23F">
            <w:pPr>
              <w:jc w:val="right"/>
              <w:textAlignment w:val="center"/>
              <w:rPr>
                <w:rFonts w:cs="Times New Roman"/>
              </w:rPr>
            </w:pPr>
            <w:r>
              <w:rPr>
                <w:rFonts w:eastAsia="Arial Narrow" w:cs="Times New Roman"/>
                <w:color w:val="000000"/>
                <w:lang w:bidi="ar"/>
              </w:rPr>
              <w:t>100.00</w:t>
            </w:r>
          </w:p>
        </w:tc>
        <w:tc>
          <w:tcPr>
            <w:tcW w:w="259" w:type="pct"/>
            <w:vAlign w:val="center"/>
          </w:tcPr>
          <w:p w14:paraId="19B4A3E6">
            <w:pPr>
              <w:jc w:val="right"/>
              <w:rPr>
                <w:rFonts w:cs="Times New Roman"/>
              </w:rPr>
            </w:pPr>
          </w:p>
        </w:tc>
        <w:tc>
          <w:tcPr>
            <w:tcW w:w="763" w:type="pct"/>
            <w:vAlign w:val="center"/>
          </w:tcPr>
          <w:p w14:paraId="5B6076B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11EB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4016724">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新疆际华七五五五职业装有限公司</w:t>
            </w:r>
          </w:p>
        </w:tc>
        <w:tc>
          <w:tcPr>
            <w:tcW w:w="739" w:type="pct"/>
            <w:vAlign w:val="center"/>
          </w:tcPr>
          <w:p w14:paraId="6FCCA88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新疆昌吉市</w:t>
            </w:r>
          </w:p>
        </w:tc>
        <w:tc>
          <w:tcPr>
            <w:tcW w:w="486" w:type="pct"/>
            <w:vAlign w:val="center"/>
          </w:tcPr>
          <w:p w14:paraId="1588C01C">
            <w:pPr>
              <w:jc w:val="right"/>
              <w:textAlignment w:val="center"/>
              <w:rPr>
                <w:rFonts w:cs="Times New Roman"/>
              </w:rPr>
            </w:pPr>
            <w:r>
              <w:rPr>
                <w:rFonts w:eastAsia="Arial Narrow" w:cs="Times New Roman"/>
                <w:color w:val="000000"/>
                <w:lang w:bidi="ar"/>
              </w:rPr>
              <w:t>13,550.00</w:t>
            </w:r>
          </w:p>
        </w:tc>
        <w:tc>
          <w:tcPr>
            <w:tcW w:w="719" w:type="pct"/>
            <w:vAlign w:val="center"/>
          </w:tcPr>
          <w:p w14:paraId="67EE47D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新疆昌吉市</w:t>
            </w:r>
          </w:p>
        </w:tc>
        <w:tc>
          <w:tcPr>
            <w:tcW w:w="394" w:type="pct"/>
            <w:vAlign w:val="center"/>
          </w:tcPr>
          <w:p w14:paraId="71B0857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66DD7103">
            <w:pPr>
              <w:jc w:val="right"/>
              <w:textAlignment w:val="center"/>
              <w:rPr>
                <w:rFonts w:cs="Times New Roman"/>
              </w:rPr>
            </w:pPr>
            <w:r>
              <w:rPr>
                <w:rFonts w:eastAsia="Arial Narrow" w:cs="Times New Roman"/>
                <w:color w:val="000000"/>
                <w:lang w:bidi="ar"/>
              </w:rPr>
              <w:t>100.00</w:t>
            </w:r>
          </w:p>
        </w:tc>
        <w:tc>
          <w:tcPr>
            <w:tcW w:w="259" w:type="pct"/>
            <w:vAlign w:val="center"/>
          </w:tcPr>
          <w:p w14:paraId="5BAB008C">
            <w:pPr>
              <w:jc w:val="right"/>
              <w:rPr>
                <w:rFonts w:cs="Times New Roman"/>
              </w:rPr>
            </w:pPr>
          </w:p>
        </w:tc>
        <w:tc>
          <w:tcPr>
            <w:tcW w:w="763" w:type="pct"/>
            <w:vAlign w:val="center"/>
          </w:tcPr>
          <w:p w14:paraId="50872C1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6C34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E973509">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呼图壁县万源棉业有限公司</w:t>
            </w:r>
          </w:p>
        </w:tc>
        <w:tc>
          <w:tcPr>
            <w:tcW w:w="739" w:type="pct"/>
            <w:vAlign w:val="center"/>
          </w:tcPr>
          <w:p w14:paraId="460322E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新疆呼图壁县</w:t>
            </w:r>
          </w:p>
        </w:tc>
        <w:tc>
          <w:tcPr>
            <w:tcW w:w="486" w:type="pct"/>
            <w:vAlign w:val="center"/>
          </w:tcPr>
          <w:p w14:paraId="0183399F">
            <w:pPr>
              <w:jc w:val="right"/>
              <w:textAlignment w:val="center"/>
              <w:rPr>
                <w:rFonts w:cs="Times New Roman"/>
              </w:rPr>
            </w:pPr>
            <w:r>
              <w:rPr>
                <w:rFonts w:eastAsia="Arial Narrow" w:cs="Times New Roman"/>
                <w:color w:val="000000"/>
                <w:lang w:bidi="ar"/>
              </w:rPr>
              <w:t>1,600.00</w:t>
            </w:r>
          </w:p>
        </w:tc>
        <w:tc>
          <w:tcPr>
            <w:tcW w:w="719" w:type="pct"/>
            <w:vAlign w:val="center"/>
          </w:tcPr>
          <w:p w14:paraId="26FB465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新疆呼图壁县</w:t>
            </w:r>
          </w:p>
        </w:tc>
        <w:tc>
          <w:tcPr>
            <w:tcW w:w="394" w:type="pct"/>
            <w:vAlign w:val="center"/>
          </w:tcPr>
          <w:p w14:paraId="4A1CDAB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农产品加工销售</w:t>
            </w:r>
          </w:p>
        </w:tc>
        <w:tc>
          <w:tcPr>
            <w:tcW w:w="333" w:type="pct"/>
            <w:vAlign w:val="center"/>
          </w:tcPr>
          <w:p w14:paraId="09F235BB">
            <w:pPr>
              <w:jc w:val="right"/>
              <w:textAlignment w:val="center"/>
              <w:rPr>
                <w:rFonts w:cs="Times New Roman"/>
              </w:rPr>
            </w:pPr>
            <w:r>
              <w:rPr>
                <w:rFonts w:eastAsia="Arial Narrow" w:cs="Times New Roman"/>
                <w:color w:val="000000"/>
                <w:lang w:bidi="ar"/>
              </w:rPr>
              <w:t>100.00</w:t>
            </w:r>
          </w:p>
        </w:tc>
        <w:tc>
          <w:tcPr>
            <w:tcW w:w="259" w:type="pct"/>
            <w:vAlign w:val="center"/>
          </w:tcPr>
          <w:p w14:paraId="68CD5DDD">
            <w:pPr>
              <w:jc w:val="right"/>
              <w:rPr>
                <w:rFonts w:cs="Times New Roman"/>
              </w:rPr>
            </w:pPr>
          </w:p>
        </w:tc>
        <w:tc>
          <w:tcPr>
            <w:tcW w:w="763" w:type="pct"/>
            <w:vAlign w:val="center"/>
          </w:tcPr>
          <w:p w14:paraId="29731C0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非同一控制下企业合并</w:t>
            </w:r>
          </w:p>
        </w:tc>
      </w:tr>
      <w:tr w14:paraId="5905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09320BEF">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际华三五零九纺织有限公司</w:t>
            </w:r>
          </w:p>
        </w:tc>
        <w:tc>
          <w:tcPr>
            <w:tcW w:w="739" w:type="pct"/>
            <w:vAlign w:val="center"/>
          </w:tcPr>
          <w:p w14:paraId="75DE5A8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湖北省汉川市</w:t>
            </w:r>
          </w:p>
        </w:tc>
        <w:tc>
          <w:tcPr>
            <w:tcW w:w="486" w:type="pct"/>
            <w:vAlign w:val="center"/>
          </w:tcPr>
          <w:p w14:paraId="04DA112E">
            <w:pPr>
              <w:jc w:val="right"/>
              <w:textAlignment w:val="center"/>
              <w:rPr>
                <w:rFonts w:cs="Times New Roman"/>
              </w:rPr>
            </w:pPr>
            <w:r>
              <w:rPr>
                <w:rFonts w:eastAsia="Arial Narrow" w:cs="Times New Roman"/>
                <w:color w:val="000000"/>
                <w:lang w:bidi="ar"/>
              </w:rPr>
              <w:t>10,080.00</w:t>
            </w:r>
          </w:p>
        </w:tc>
        <w:tc>
          <w:tcPr>
            <w:tcW w:w="719" w:type="pct"/>
            <w:vAlign w:val="center"/>
          </w:tcPr>
          <w:p w14:paraId="6BA10FD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湖北省汉川市</w:t>
            </w:r>
          </w:p>
        </w:tc>
        <w:tc>
          <w:tcPr>
            <w:tcW w:w="394" w:type="pct"/>
            <w:vAlign w:val="center"/>
          </w:tcPr>
          <w:p w14:paraId="4A8C705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3B90CE59">
            <w:pPr>
              <w:jc w:val="right"/>
              <w:textAlignment w:val="center"/>
              <w:rPr>
                <w:rFonts w:cs="Times New Roman"/>
              </w:rPr>
            </w:pPr>
            <w:r>
              <w:rPr>
                <w:rFonts w:eastAsia="Arial Narrow" w:cs="Times New Roman"/>
                <w:color w:val="000000"/>
                <w:lang w:bidi="ar"/>
              </w:rPr>
              <w:t>100.00</w:t>
            </w:r>
          </w:p>
        </w:tc>
        <w:tc>
          <w:tcPr>
            <w:tcW w:w="259" w:type="pct"/>
            <w:vAlign w:val="center"/>
          </w:tcPr>
          <w:p w14:paraId="7249540A">
            <w:pPr>
              <w:jc w:val="right"/>
              <w:rPr>
                <w:rFonts w:cs="Times New Roman"/>
              </w:rPr>
            </w:pPr>
          </w:p>
        </w:tc>
        <w:tc>
          <w:tcPr>
            <w:tcW w:w="763" w:type="pct"/>
            <w:vAlign w:val="center"/>
          </w:tcPr>
          <w:p w14:paraId="11F3F95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7A06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78BB7A8">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际华三五一一实业有限公司</w:t>
            </w:r>
          </w:p>
        </w:tc>
        <w:tc>
          <w:tcPr>
            <w:tcW w:w="739" w:type="pct"/>
            <w:vAlign w:val="center"/>
          </w:tcPr>
          <w:p w14:paraId="59C0AFC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陕西省西安市</w:t>
            </w:r>
          </w:p>
        </w:tc>
        <w:tc>
          <w:tcPr>
            <w:tcW w:w="486" w:type="pct"/>
            <w:vAlign w:val="center"/>
          </w:tcPr>
          <w:p w14:paraId="661943D8">
            <w:pPr>
              <w:jc w:val="right"/>
              <w:textAlignment w:val="center"/>
              <w:rPr>
                <w:rFonts w:cs="Times New Roman"/>
              </w:rPr>
            </w:pPr>
            <w:r>
              <w:rPr>
                <w:rFonts w:eastAsia="Arial Narrow" w:cs="Times New Roman"/>
                <w:color w:val="000000"/>
                <w:lang w:bidi="ar"/>
              </w:rPr>
              <w:t>5,000.00</w:t>
            </w:r>
          </w:p>
        </w:tc>
        <w:tc>
          <w:tcPr>
            <w:tcW w:w="719" w:type="pct"/>
            <w:vAlign w:val="center"/>
          </w:tcPr>
          <w:p w14:paraId="463BC4B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陕西省西安市</w:t>
            </w:r>
          </w:p>
        </w:tc>
        <w:tc>
          <w:tcPr>
            <w:tcW w:w="394" w:type="pct"/>
            <w:vAlign w:val="center"/>
          </w:tcPr>
          <w:p w14:paraId="64F0541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588BEED0">
            <w:pPr>
              <w:jc w:val="right"/>
              <w:textAlignment w:val="center"/>
              <w:rPr>
                <w:rFonts w:cs="Times New Roman"/>
              </w:rPr>
            </w:pPr>
            <w:r>
              <w:rPr>
                <w:rFonts w:eastAsia="Arial Narrow" w:cs="Times New Roman"/>
                <w:color w:val="000000"/>
                <w:lang w:bidi="ar"/>
              </w:rPr>
              <w:t>100.00</w:t>
            </w:r>
          </w:p>
        </w:tc>
        <w:tc>
          <w:tcPr>
            <w:tcW w:w="259" w:type="pct"/>
            <w:vAlign w:val="center"/>
          </w:tcPr>
          <w:p w14:paraId="12B0955C">
            <w:pPr>
              <w:jc w:val="right"/>
              <w:rPr>
                <w:rFonts w:cs="Times New Roman"/>
              </w:rPr>
            </w:pPr>
          </w:p>
        </w:tc>
        <w:tc>
          <w:tcPr>
            <w:tcW w:w="763" w:type="pct"/>
            <w:vAlign w:val="center"/>
          </w:tcPr>
          <w:p w14:paraId="4323F8C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523E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29FE7D64">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际华三五四二纺织有限公司</w:t>
            </w:r>
          </w:p>
        </w:tc>
        <w:tc>
          <w:tcPr>
            <w:tcW w:w="739" w:type="pct"/>
            <w:vAlign w:val="center"/>
          </w:tcPr>
          <w:p w14:paraId="45BDD85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湖北省襄阳市</w:t>
            </w:r>
          </w:p>
        </w:tc>
        <w:tc>
          <w:tcPr>
            <w:tcW w:w="486" w:type="pct"/>
            <w:vAlign w:val="center"/>
          </w:tcPr>
          <w:p w14:paraId="11128647">
            <w:pPr>
              <w:jc w:val="right"/>
              <w:textAlignment w:val="center"/>
              <w:rPr>
                <w:rFonts w:cs="Times New Roman"/>
              </w:rPr>
            </w:pPr>
            <w:r>
              <w:rPr>
                <w:rFonts w:eastAsia="Arial Narrow" w:cs="Times New Roman"/>
                <w:color w:val="000000"/>
                <w:lang w:bidi="ar"/>
              </w:rPr>
              <w:t>16,051.60</w:t>
            </w:r>
          </w:p>
        </w:tc>
        <w:tc>
          <w:tcPr>
            <w:tcW w:w="719" w:type="pct"/>
            <w:vAlign w:val="center"/>
          </w:tcPr>
          <w:p w14:paraId="5D6A2CC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湖北省襄阳市</w:t>
            </w:r>
          </w:p>
        </w:tc>
        <w:tc>
          <w:tcPr>
            <w:tcW w:w="394" w:type="pct"/>
            <w:vAlign w:val="center"/>
          </w:tcPr>
          <w:p w14:paraId="73CE96C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0947408C">
            <w:pPr>
              <w:jc w:val="right"/>
              <w:textAlignment w:val="center"/>
              <w:rPr>
                <w:rFonts w:cs="Times New Roman"/>
              </w:rPr>
            </w:pPr>
            <w:r>
              <w:rPr>
                <w:rFonts w:eastAsia="Arial Narrow" w:cs="Times New Roman"/>
                <w:color w:val="000000"/>
                <w:lang w:bidi="ar"/>
              </w:rPr>
              <w:t>100.00</w:t>
            </w:r>
          </w:p>
        </w:tc>
        <w:tc>
          <w:tcPr>
            <w:tcW w:w="259" w:type="pct"/>
            <w:vAlign w:val="center"/>
          </w:tcPr>
          <w:p w14:paraId="03459C86">
            <w:pPr>
              <w:jc w:val="right"/>
              <w:rPr>
                <w:rFonts w:cs="Times New Roman"/>
              </w:rPr>
            </w:pPr>
          </w:p>
        </w:tc>
        <w:tc>
          <w:tcPr>
            <w:tcW w:w="763" w:type="pct"/>
            <w:vAlign w:val="center"/>
          </w:tcPr>
          <w:p w14:paraId="1A1D7E4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4AA0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8035CB6">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际华三五四三针织服饰有限公司</w:t>
            </w:r>
          </w:p>
        </w:tc>
        <w:tc>
          <w:tcPr>
            <w:tcW w:w="739" w:type="pct"/>
            <w:vAlign w:val="center"/>
          </w:tcPr>
          <w:p w14:paraId="151A6E5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河北省涿州市</w:t>
            </w:r>
          </w:p>
        </w:tc>
        <w:tc>
          <w:tcPr>
            <w:tcW w:w="486" w:type="pct"/>
            <w:vAlign w:val="center"/>
          </w:tcPr>
          <w:p w14:paraId="1E0B420B">
            <w:pPr>
              <w:jc w:val="right"/>
              <w:textAlignment w:val="center"/>
              <w:rPr>
                <w:rFonts w:cs="Times New Roman"/>
              </w:rPr>
            </w:pPr>
            <w:r>
              <w:rPr>
                <w:rFonts w:eastAsia="Arial Narrow" w:cs="Times New Roman"/>
                <w:color w:val="000000"/>
                <w:lang w:bidi="ar"/>
              </w:rPr>
              <w:t>30,000.00</w:t>
            </w:r>
          </w:p>
        </w:tc>
        <w:tc>
          <w:tcPr>
            <w:tcW w:w="719" w:type="pct"/>
            <w:vAlign w:val="center"/>
          </w:tcPr>
          <w:p w14:paraId="6E99A77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河北省涿州市</w:t>
            </w:r>
          </w:p>
        </w:tc>
        <w:tc>
          <w:tcPr>
            <w:tcW w:w="394" w:type="pct"/>
            <w:vAlign w:val="center"/>
          </w:tcPr>
          <w:p w14:paraId="794430D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6929A5A7">
            <w:pPr>
              <w:jc w:val="right"/>
              <w:textAlignment w:val="center"/>
              <w:rPr>
                <w:rFonts w:cs="Times New Roman"/>
              </w:rPr>
            </w:pPr>
            <w:r>
              <w:rPr>
                <w:rFonts w:eastAsia="Arial Narrow" w:cs="Times New Roman"/>
                <w:color w:val="000000"/>
                <w:lang w:bidi="ar"/>
              </w:rPr>
              <w:t>100.00</w:t>
            </w:r>
          </w:p>
        </w:tc>
        <w:tc>
          <w:tcPr>
            <w:tcW w:w="259" w:type="pct"/>
            <w:vAlign w:val="center"/>
          </w:tcPr>
          <w:p w14:paraId="67B46F1A">
            <w:pPr>
              <w:jc w:val="right"/>
              <w:rPr>
                <w:rFonts w:cs="Times New Roman"/>
              </w:rPr>
            </w:pPr>
          </w:p>
        </w:tc>
        <w:tc>
          <w:tcPr>
            <w:tcW w:w="763" w:type="pct"/>
            <w:vAlign w:val="center"/>
          </w:tcPr>
          <w:p w14:paraId="732E804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6CFB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0BDD4A09">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湖北际华针织有限公司</w:t>
            </w:r>
          </w:p>
        </w:tc>
        <w:tc>
          <w:tcPr>
            <w:tcW w:w="739" w:type="pct"/>
            <w:vAlign w:val="center"/>
          </w:tcPr>
          <w:p w14:paraId="3E894B9F">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湖北省孝感市</w:t>
            </w:r>
          </w:p>
        </w:tc>
        <w:tc>
          <w:tcPr>
            <w:tcW w:w="486" w:type="pct"/>
            <w:vAlign w:val="center"/>
          </w:tcPr>
          <w:p w14:paraId="27A7A363">
            <w:pPr>
              <w:jc w:val="right"/>
              <w:textAlignment w:val="center"/>
              <w:rPr>
                <w:rFonts w:cs="Times New Roman"/>
              </w:rPr>
            </w:pPr>
            <w:r>
              <w:rPr>
                <w:rFonts w:eastAsia="Arial Narrow" w:cs="Times New Roman"/>
                <w:color w:val="000000"/>
                <w:lang w:bidi="ar"/>
              </w:rPr>
              <w:t>800.00</w:t>
            </w:r>
          </w:p>
        </w:tc>
        <w:tc>
          <w:tcPr>
            <w:tcW w:w="719" w:type="pct"/>
            <w:vAlign w:val="center"/>
          </w:tcPr>
          <w:p w14:paraId="1E24154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湖北省孝感市</w:t>
            </w:r>
          </w:p>
        </w:tc>
        <w:tc>
          <w:tcPr>
            <w:tcW w:w="394" w:type="pct"/>
            <w:vAlign w:val="center"/>
          </w:tcPr>
          <w:p w14:paraId="53E18DB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2E2CE2E0">
            <w:pPr>
              <w:jc w:val="right"/>
              <w:textAlignment w:val="center"/>
              <w:rPr>
                <w:rFonts w:cs="Times New Roman"/>
              </w:rPr>
            </w:pPr>
            <w:r>
              <w:rPr>
                <w:rFonts w:eastAsia="Arial Narrow" w:cs="Times New Roman"/>
                <w:color w:val="000000"/>
                <w:lang w:bidi="ar"/>
              </w:rPr>
              <w:t>51.00</w:t>
            </w:r>
          </w:p>
        </w:tc>
        <w:tc>
          <w:tcPr>
            <w:tcW w:w="259" w:type="pct"/>
            <w:vAlign w:val="center"/>
          </w:tcPr>
          <w:p w14:paraId="7736B40E">
            <w:pPr>
              <w:jc w:val="right"/>
              <w:rPr>
                <w:rFonts w:cs="Times New Roman"/>
              </w:rPr>
            </w:pPr>
          </w:p>
        </w:tc>
        <w:tc>
          <w:tcPr>
            <w:tcW w:w="763" w:type="pct"/>
            <w:vAlign w:val="center"/>
          </w:tcPr>
          <w:p w14:paraId="5DC907A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04F9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4F6D459">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咸阳际华新三零印染有限公司</w:t>
            </w:r>
          </w:p>
        </w:tc>
        <w:tc>
          <w:tcPr>
            <w:tcW w:w="739" w:type="pct"/>
            <w:vAlign w:val="center"/>
          </w:tcPr>
          <w:p w14:paraId="3461F6E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陕西省咸阳市</w:t>
            </w:r>
          </w:p>
        </w:tc>
        <w:tc>
          <w:tcPr>
            <w:tcW w:w="486" w:type="pct"/>
            <w:vAlign w:val="center"/>
          </w:tcPr>
          <w:p w14:paraId="660265E6">
            <w:pPr>
              <w:jc w:val="right"/>
              <w:textAlignment w:val="center"/>
              <w:rPr>
                <w:rFonts w:cs="Times New Roman"/>
              </w:rPr>
            </w:pPr>
            <w:r>
              <w:rPr>
                <w:rFonts w:eastAsia="Arial Narrow" w:cs="Times New Roman"/>
                <w:color w:val="000000"/>
                <w:lang w:bidi="ar"/>
              </w:rPr>
              <w:t>5,000.00</w:t>
            </w:r>
          </w:p>
        </w:tc>
        <w:tc>
          <w:tcPr>
            <w:tcW w:w="719" w:type="pct"/>
            <w:vAlign w:val="center"/>
          </w:tcPr>
          <w:p w14:paraId="3B404D0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陕西省咸阳市</w:t>
            </w:r>
          </w:p>
        </w:tc>
        <w:tc>
          <w:tcPr>
            <w:tcW w:w="394" w:type="pct"/>
            <w:vAlign w:val="center"/>
          </w:tcPr>
          <w:p w14:paraId="221B052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2C46E920">
            <w:pPr>
              <w:jc w:val="right"/>
              <w:textAlignment w:val="center"/>
              <w:rPr>
                <w:rFonts w:cs="Times New Roman"/>
              </w:rPr>
            </w:pPr>
            <w:r>
              <w:rPr>
                <w:rFonts w:eastAsia="Arial Narrow" w:cs="Times New Roman"/>
                <w:color w:val="000000"/>
                <w:lang w:bidi="ar"/>
              </w:rPr>
              <w:t>68.10</w:t>
            </w:r>
          </w:p>
        </w:tc>
        <w:tc>
          <w:tcPr>
            <w:tcW w:w="259" w:type="pct"/>
            <w:vAlign w:val="center"/>
          </w:tcPr>
          <w:p w14:paraId="67F46FD7">
            <w:pPr>
              <w:jc w:val="right"/>
              <w:rPr>
                <w:rFonts w:cs="Times New Roman"/>
              </w:rPr>
            </w:pPr>
          </w:p>
        </w:tc>
        <w:tc>
          <w:tcPr>
            <w:tcW w:w="763" w:type="pct"/>
            <w:vAlign w:val="center"/>
          </w:tcPr>
          <w:p w14:paraId="3B77274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48FD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66CFE685">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际华三五一二皮革服装有限公司</w:t>
            </w:r>
          </w:p>
        </w:tc>
        <w:tc>
          <w:tcPr>
            <w:tcW w:w="739" w:type="pct"/>
            <w:vAlign w:val="center"/>
          </w:tcPr>
          <w:p w14:paraId="01106C2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甘肃省兰州市</w:t>
            </w:r>
          </w:p>
        </w:tc>
        <w:tc>
          <w:tcPr>
            <w:tcW w:w="486" w:type="pct"/>
            <w:vAlign w:val="center"/>
          </w:tcPr>
          <w:p w14:paraId="6400CD66">
            <w:pPr>
              <w:jc w:val="right"/>
              <w:textAlignment w:val="center"/>
              <w:rPr>
                <w:rFonts w:cs="Times New Roman"/>
              </w:rPr>
            </w:pPr>
            <w:r>
              <w:rPr>
                <w:rFonts w:eastAsia="Arial Narrow" w:cs="Times New Roman"/>
                <w:color w:val="000000"/>
                <w:lang w:bidi="ar"/>
              </w:rPr>
              <w:t>15,000.00</w:t>
            </w:r>
          </w:p>
        </w:tc>
        <w:tc>
          <w:tcPr>
            <w:tcW w:w="719" w:type="pct"/>
            <w:vAlign w:val="center"/>
          </w:tcPr>
          <w:p w14:paraId="4CD3A1D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甘肃省兰州市</w:t>
            </w:r>
          </w:p>
        </w:tc>
        <w:tc>
          <w:tcPr>
            <w:tcW w:w="394" w:type="pct"/>
            <w:vAlign w:val="center"/>
          </w:tcPr>
          <w:p w14:paraId="065C0C2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0B507B94">
            <w:pPr>
              <w:jc w:val="right"/>
              <w:textAlignment w:val="center"/>
              <w:rPr>
                <w:rFonts w:cs="Times New Roman"/>
              </w:rPr>
            </w:pPr>
            <w:r>
              <w:rPr>
                <w:rFonts w:eastAsia="Arial Narrow" w:cs="Times New Roman"/>
                <w:color w:val="000000"/>
                <w:lang w:bidi="ar"/>
              </w:rPr>
              <w:t>100.00</w:t>
            </w:r>
          </w:p>
        </w:tc>
        <w:tc>
          <w:tcPr>
            <w:tcW w:w="259" w:type="pct"/>
            <w:vAlign w:val="center"/>
          </w:tcPr>
          <w:p w14:paraId="25AA8982">
            <w:pPr>
              <w:jc w:val="right"/>
              <w:rPr>
                <w:rFonts w:cs="Times New Roman"/>
              </w:rPr>
            </w:pPr>
          </w:p>
        </w:tc>
        <w:tc>
          <w:tcPr>
            <w:tcW w:w="763" w:type="pct"/>
            <w:vAlign w:val="center"/>
          </w:tcPr>
          <w:p w14:paraId="2CA18D6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11C7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664B760">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际华三五一三实业有限公司</w:t>
            </w:r>
          </w:p>
        </w:tc>
        <w:tc>
          <w:tcPr>
            <w:tcW w:w="739" w:type="pct"/>
            <w:vAlign w:val="center"/>
          </w:tcPr>
          <w:p w14:paraId="1901F76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陕西省西安市</w:t>
            </w:r>
          </w:p>
        </w:tc>
        <w:tc>
          <w:tcPr>
            <w:tcW w:w="486" w:type="pct"/>
            <w:vAlign w:val="center"/>
          </w:tcPr>
          <w:p w14:paraId="74B597EA">
            <w:pPr>
              <w:jc w:val="right"/>
              <w:textAlignment w:val="center"/>
              <w:rPr>
                <w:rFonts w:cs="Times New Roman"/>
              </w:rPr>
            </w:pPr>
            <w:r>
              <w:rPr>
                <w:rFonts w:eastAsia="Arial Narrow" w:cs="Times New Roman"/>
                <w:color w:val="000000"/>
                <w:lang w:bidi="ar"/>
              </w:rPr>
              <w:t>34,500.00</w:t>
            </w:r>
          </w:p>
        </w:tc>
        <w:tc>
          <w:tcPr>
            <w:tcW w:w="719" w:type="pct"/>
            <w:vAlign w:val="center"/>
          </w:tcPr>
          <w:p w14:paraId="3CF33A9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陕西省西安市</w:t>
            </w:r>
          </w:p>
        </w:tc>
        <w:tc>
          <w:tcPr>
            <w:tcW w:w="394" w:type="pct"/>
            <w:vAlign w:val="center"/>
          </w:tcPr>
          <w:p w14:paraId="31B38DA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00706130">
            <w:pPr>
              <w:jc w:val="right"/>
              <w:textAlignment w:val="center"/>
              <w:rPr>
                <w:rFonts w:cs="Times New Roman"/>
              </w:rPr>
            </w:pPr>
            <w:r>
              <w:rPr>
                <w:rFonts w:eastAsia="Arial Narrow" w:cs="Times New Roman"/>
                <w:color w:val="000000"/>
                <w:lang w:bidi="ar"/>
              </w:rPr>
              <w:t>100.00</w:t>
            </w:r>
          </w:p>
        </w:tc>
        <w:tc>
          <w:tcPr>
            <w:tcW w:w="259" w:type="pct"/>
            <w:vAlign w:val="center"/>
          </w:tcPr>
          <w:p w14:paraId="0E5AC54E">
            <w:pPr>
              <w:jc w:val="right"/>
              <w:rPr>
                <w:rFonts w:cs="Times New Roman"/>
              </w:rPr>
            </w:pPr>
          </w:p>
        </w:tc>
        <w:tc>
          <w:tcPr>
            <w:tcW w:w="763" w:type="pct"/>
            <w:vAlign w:val="center"/>
          </w:tcPr>
          <w:p w14:paraId="6CC384B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1753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21A3DE4">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际华三五一四制革制鞋有限公司</w:t>
            </w:r>
          </w:p>
        </w:tc>
        <w:tc>
          <w:tcPr>
            <w:tcW w:w="739" w:type="pct"/>
            <w:vAlign w:val="center"/>
          </w:tcPr>
          <w:p w14:paraId="35FC5BE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河北省石家庄市</w:t>
            </w:r>
          </w:p>
        </w:tc>
        <w:tc>
          <w:tcPr>
            <w:tcW w:w="486" w:type="pct"/>
            <w:vAlign w:val="center"/>
          </w:tcPr>
          <w:p w14:paraId="6B0F2B70">
            <w:pPr>
              <w:jc w:val="right"/>
              <w:textAlignment w:val="center"/>
              <w:rPr>
                <w:rFonts w:cs="Times New Roman"/>
              </w:rPr>
            </w:pPr>
            <w:r>
              <w:rPr>
                <w:rFonts w:eastAsia="Arial Narrow" w:cs="Times New Roman"/>
                <w:color w:val="000000"/>
                <w:lang w:bidi="ar"/>
              </w:rPr>
              <w:t>41,000.00</w:t>
            </w:r>
          </w:p>
        </w:tc>
        <w:tc>
          <w:tcPr>
            <w:tcW w:w="719" w:type="pct"/>
            <w:vAlign w:val="center"/>
          </w:tcPr>
          <w:p w14:paraId="46926A5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河北省石家庄市</w:t>
            </w:r>
          </w:p>
        </w:tc>
        <w:tc>
          <w:tcPr>
            <w:tcW w:w="394" w:type="pct"/>
            <w:vAlign w:val="center"/>
          </w:tcPr>
          <w:p w14:paraId="2A63740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75BC13A9">
            <w:pPr>
              <w:jc w:val="right"/>
              <w:textAlignment w:val="center"/>
              <w:rPr>
                <w:rFonts w:cs="Times New Roman"/>
              </w:rPr>
            </w:pPr>
            <w:r>
              <w:rPr>
                <w:rFonts w:eastAsia="Arial Narrow" w:cs="Times New Roman"/>
                <w:color w:val="000000"/>
                <w:lang w:bidi="ar"/>
              </w:rPr>
              <w:t>100.00</w:t>
            </w:r>
          </w:p>
        </w:tc>
        <w:tc>
          <w:tcPr>
            <w:tcW w:w="259" w:type="pct"/>
            <w:vAlign w:val="center"/>
          </w:tcPr>
          <w:p w14:paraId="5A4D4E73">
            <w:pPr>
              <w:jc w:val="right"/>
              <w:rPr>
                <w:rFonts w:cs="Times New Roman"/>
              </w:rPr>
            </w:pPr>
          </w:p>
        </w:tc>
        <w:tc>
          <w:tcPr>
            <w:tcW w:w="763" w:type="pct"/>
            <w:vAlign w:val="center"/>
          </w:tcPr>
          <w:p w14:paraId="6ED04B2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4710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0CE4F6AD">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际华三五一五皮革皮鞋有限公司</w:t>
            </w:r>
          </w:p>
        </w:tc>
        <w:tc>
          <w:tcPr>
            <w:tcW w:w="739" w:type="pct"/>
            <w:vAlign w:val="center"/>
          </w:tcPr>
          <w:p w14:paraId="0033E60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河南省漯河市</w:t>
            </w:r>
          </w:p>
        </w:tc>
        <w:tc>
          <w:tcPr>
            <w:tcW w:w="486" w:type="pct"/>
            <w:vAlign w:val="center"/>
          </w:tcPr>
          <w:p w14:paraId="6D2D1902">
            <w:pPr>
              <w:jc w:val="right"/>
              <w:textAlignment w:val="center"/>
              <w:rPr>
                <w:rFonts w:cs="Times New Roman"/>
              </w:rPr>
            </w:pPr>
            <w:r>
              <w:rPr>
                <w:rFonts w:eastAsia="Arial Narrow" w:cs="Times New Roman"/>
                <w:color w:val="000000"/>
                <w:lang w:bidi="ar"/>
              </w:rPr>
              <w:t>41,000.00</w:t>
            </w:r>
          </w:p>
        </w:tc>
        <w:tc>
          <w:tcPr>
            <w:tcW w:w="719" w:type="pct"/>
            <w:vAlign w:val="center"/>
          </w:tcPr>
          <w:p w14:paraId="3CDCF40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河南省漯河市</w:t>
            </w:r>
          </w:p>
        </w:tc>
        <w:tc>
          <w:tcPr>
            <w:tcW w:w="394" w:type="pct"/>
            <w:vAlign w:val="center"/>
          </w:tcPr>
          <w:p w14:paraId="031518E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73BFBB54">
            <w:pPr>
              <w:jc w:val="right"/>
              <w:textAlignment w:val="center"/>
              <w:rPr>
                <w:rFonts w:cs="Times New Roman"/>
              </w:rPr>
            </w:pPr>
            <w:r>
              <w:rPr>
                <w:rFonts w:eastAsia="Arial Narrow" w:cs="Times New Roman"/>
                <w:color w:val="000000"/>
                <w:lang w:bidi="ar"/>
              </w:rPr>
              <w:t>100.00</w:t>
            </w:r>
          </w:p>
        </w:tc>
        <w:tc>
          <w:tcPr>
            <w:tcW w:w="259" w:type="pct"/>
            <w:vAlign w:val="center"/>
          </w:tcPr>
          <w:p w14:paraId="1533F1C1">
            <w:pPr>
              <w:jc w:val="right"/>
              <w:rPr>
                <w:rFonts w:cs="Times New Roman"/>
              </w:rPr>
            </w:pPr>
          </w:p>
        </w:tc>
        <w:tc>
          <w:tcPr>
            <w:tcW w:w="763" w:type="pct"/>
            <w:vAlign w:val="center"/>
          </w:tcPr>
          <w:p w14:paraId="03F14B6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1C7F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652170C3">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漯河强人商贸有限公司</w:t>
            </w:r>
          </w:p>
        </w:tc>
        <w:tc>
          <w:tcPr>
            <w:tcW w:w="739" w:type="pct"/>
            <w:vAlign w:val="center"/>
          </w:tcPr>
          <w:p w14:paraId="34E1AB1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河南省漯河市</w:t>
            </w:r>
          </w:p>
        </w:tc>
        <w:tc>
          <w:tcPr>
            <w:tcW w:w="486" w:type="pct"/>
            <w:vAlign w:val="center"/>
          </w:tcPr>
          <w:p w14:paraId="16A77D32">
            <w:pPr>
              <w:jc w:val="right"/>
              <w:textAlignment w:val="center"/>
              <w:rPr>
                <w:rFonts w:cs="Times New Roman"/>
              </w:rPr>
            </w:pPr>
            <w:r>
              <w:rPr>
                <w:rFonts w:eastAsia="Arial Narrow" w:cs="Times New Roman"/>
                <w:color w:val="000000"/>
                <w:lang w:bidi="ar"/>
              </w:rPr>
              <w:t>2,000.00</w:t>
            </w:r>
          </w:p>
        </w:tc>
        <w:tc>
          <w:tcPr>
            <w:tcW w:w="719" w:type="pct"/>
            <w:vAlign w:val="center"/>
          </w:tcPr>
          <w:p w14:paraId="6E9CF21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河南省漯河市</w:t>
            </w:r>
          </w:p>
        </w:tc>
        <w:tc>
          <w:tcPr>
            <w:tcW w:w="394" w:type="pct"/>
            <w:vAlign w:val="center"/>
          </w:tcPr>
          <w:p w14:paraId="3D2BCDD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商贸</w:t>
            </w:r>
          </w:p>
        </w:tc>
        <w:tc>
          <w:tcPr>
            <w:tcW w:w="333" w:type="pct"/>
            <w:vAlign w:val="center"/>
          </w:tcPr>
          <w:p w14:paraId="6662FB8C">
            <w:pPr>
              <w:jc w:val="right"/>
              <w:textAlignment w:val="center"/>
              <w:rPr>
                <w:rFonts w:cs="Times New Roman"/>
              </w:rPr>
            </w:pPr>
            <w:r>
              <w:rPr>
                <w:rFonts w:eastAsia="Arial Narrow" w:cs="Times New Roman"/>
                <w:color w:val="000000"/>
                <w:lang w:bidi="ar"/>
              </w:rPr>
              <w:t>100.00</w:t>
            </w:r>
          </w:p>
        </w:tc>
        <w:tc>
          <w:tcPr>
            <w:tcW w:w="259" w:type="pct"/>
            <w:vAlign w:val="center"/>
          </w:tcPr>
          <w:p w14:paraId="0985A717">
            <w:pPr>
              <w:jc w:val="right"/>
              <w:rPr>
                <w:rFonts w:cs="Times New Roman"/>
              </w:rPr>
            </w:pPr>
          </w:p>
        </w:tc>
        <w:tc>
          <w:tcPr>
            <w:tcW w:w="763" w:type="pct"/>
            <w:vAlign w:val="center"/>
          </w:tcPr>
          <w:p w14:paraId="379BEB7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3040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F75B535">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内蒙古际华森普利服装皮业有限公司</w:t>
            </w:r>
          </w:p>
        </w:tc>
        <w:tc>
          <w:tcPr>
            <w:tcW w:w="739" w:type="pct"/>
            <w:vAlign w:val="center"/>
          </w:tcPr>
          <w:p w14:paraId="101C430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内蒙古巴彦淖尔市</w:t>
            </w:r>
          </w:p>
        </w:tc>
        <w:tc>
          <w:tcPr>
            <w:tcW w:w="486" w:type="pct"/>
            <w:vAlign w:val="center"/>
          </w:tcPr>
          <w:p w14:paraId="58ED971F">
            <w:pPr>
              <w:jc w:val="right"/>
              <w:textAlignment w:val="center"/>
              <w:rPr>
                <w:rFonts w:cs="Times New Roman"/>
              </w:rPr>
            </w:pPr>
            <w:r>
              <w:rPr>
                <w:rFonts w:eastAsia="Arial Narrow" w:cs="Times New Roman"/>
                <w:color w:val="000000"/>
                <w:lang w:bidi="ar"/>
              </w:rPr>
              <w:t>10,100.00</w:t>
            </w:r>
          </w:p>
        </w:tc>
        <w:tc>
          <w:tcPr>
            <w:tcW w:w="719" w:type="pct"/>
            <w:vAlign w:val="center"/>
          </w:tcPr>
          <w:p w14:paraId="2FEF0E4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内蒙古巴彦淖尔市</w:t>
            </w:r>
          </w:p>
        </w:tc>
        <w:tc>
          <w:tcPr>
            <w:tcW w:w="394" w:type="pct"/>
            <w:vAlign w:val="center"/>
          </w:tcPr>
          <w:p w14:paraId="38B7A0A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2F5CBEE5">
            <w:pPr>
              <w:jc w:val="right"/>
              <w:textAlignment w:val="center"/>
              <w:rPr>
                <w:rFonts w:cs="Times New Roman"/>
              </w:rPr>
            </w:pPr>
            <w:r>
              <w:rPr>
                <w:rFonts w:eastAsia="Arial Narrow" w:cs="Times New Roman"/>
                <w:color w:val="000000"/>
                <w:lang w:bidi="ar"/>
              </w:rPr>
              <w:t>100.00</w:t>
            </w:r>
          </w:p>
        </w:tc>
        <w:tc>
          <w:tcPr>
            <w:tcW w:w="259" w:type="pct"/>
            <w:vAlign w:val="center"/>
          </w:tcPr>
          <w:p w14:paraId="37E4B8C1">
            <w:pPr>
              <w:jc w:val="right"/>
              <w:rPr>
                <w:rFonts w:cs="Times New Roman"/>
              </w:rPr>
            </w:pPr>
          </w:p>
        </w:tc>
        <w:tc>
          <w:tcPr>
            <w:tcW w:w="763" w:type="pct"/>
            <w:vAlign w:val="center"/>
          </w:tcPr>
          <w:p w14:paraId="51A928D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304A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D3E6A05">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际华橡胶工业有限公司</w:t>
            </w:r>
          </w:p>
        </w:tc>
        <w:tc>
          <w:tcPr>
            <w:tcW w:w="739" w:type="pct"/>
            <w:vAlign w:val="center"/>
          </w:tcPr>
          <w:p w14:paraId="20E69A8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湖南省岳阳市</w:t>
            </w:r>
          </w:p>
        </w:tc>
        <w:tc>
          <w:tcPr>
            <w:tcW w:w="486" w:type="pct"/>
            <w:vAlign w:val="center"/>
          </w:tcPr>
          <w:p w14:paraId="7F29526B">
            <w:pPr>
              <w:jc w:val="right"/>
              <w:textAlignment w:val="center"/>
              <w:rPr>
                <w:rFonts w:cs="Times New Roman"/>
              </w:rPr>
            </w:pPr>
            <w:r>
              <w:rPr>
                <w:rFonts w:eastAsia="Arial Narrow" w:cs="Times New Roman"/>
                <w:color w:val="000000"/>
                <w:lang w:bidi="ar"/>
              </w:rPr>
              <w:t>15,000.00</w:t>
            </w:r>
          </w:p>
        </w:tc>
        <w:tc>
          <w:tcPr>
            <w:tcW w:w="719" w:type="pct"/>
            <w:vAlign w:val="center"/>
          </w:tcPr>
          <w:p w14:paraId="6349A13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湖南省岳阳市</w:t>
            </w:r>
          </w:p>
        </w:tc>
        <w:tc>
          <w:tcPr>
            <w:tcW w:w="394" w:type="pct"/>
            <w:vAlign w:val="center"/>
          </w:tcPr>
          <w:p w14:paraId="367250C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2FCD7984">
            <w:pPr>
              <w:jc w:val="right"/>
              <w:textAlignment w:val="center"/>
              <w:rPr>
                <w:rFonts w:cs="Times New Roman"/>
              </w:rPr>
            </w:pPr>
            <w:r>
              <w:rPr>
                <w:rFonts w:eastAsia="Arial Narrow" w:cs="Times New Roman"/>
                <w:color w:val="000000"/>
                <w:lang w:bidi="ar"/>
              </w:rPr>
              <w:t>100.00</w:t>
            </w:r>
          </w:p>
        </w:tc>
        <w:tc>
          <w:tcPr>
            <w:tcW w:w="259" w:type="pct"/>
            <w:vAlign w:val="center"/>
          </w:tcPr>
          <w:p w14:paraId="40A59CFE">
            <w:pPr>
              <w:jc w:val="right"/>
              <w:rPr>
                <w:rFonts w:cs="Times New Roman"/>
              </w:rPr>
            </w:pPr>
          </w:p>
        </w:tc>
        <w:tc>
          <w:tcPr>
            <w:tcW w:w="763" w:type="pct"/>
            <w:vAlign w:val="center"/>
          </w:tcPr>
          <w:p w14:paraId="34499DD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767D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1218B528">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际华制鞋工业有限公司</w:t>
            </w:r>
          </w:p>
        </w:tc>
        <w:tc>
          <w:tcPr>
            <w:tcW w:w="739" w:type="pct"/>
            <w:vAlign w:val="center"/>
          </w:tcPr>
          <w:p w14:paraId="4870E8A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贵州省贵阳市</w:t>
            </w:r>
          </w:p>
        </w:tc>
        <w:tc>
          <w:tcPr>
            <w:tcW w:w="486" w:type="pct"/>
            <w:vAlign w:val="center"/>
          </w:tcPr>
          <w:p w14:paraId="665AACF7">
            <w:pPr>
              <w:jc w:val="right"/>
              <w:textAlignment w:val="center"/>
              <w:rPr>
                <w:rFonts w:cs="Times New Roman"/>
              </w:rPr>
            </w:pPr>
            <w:r>
              <w:rPr>
                <w:rFonts w:eastAsia="Arial Narrow" w:cs="Times New Roman"/>
                <w:color w:val="000000"/>
                <w:lang w:bidi="ar"/>
              </w:rPr>
              <w:t>25,100.00</w:t>
            </w:r>
          </w:p>
        </w:tc>
        <w:tc>
          <w:tcPr>
            <w:tcW w:w="719" w:type="pct"/>
            <w:vAlign w:val="center"/>
          </w:tcPr>
          <w:p w14:paraId="6A130CB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贵州省贵阳市</w:t>
            </w:r>
          </w:p>
        </w:tc>
        <w:tc>
          <w:tcPr>
            <w:tcW w:w="394" w:type="pct"/>
            <w:vAlign w:val="center"/>
          </w:tcPr>
          <w:p w14:paraId="07D44DD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0FBB1468">
            <w:pPr>
              <w:jc w:val="right"/>
              <w:textAlignment w:val="center"/>
              <w:rPr>
                <w:rFonts w:cs="Times New Roman"/>
              </w:rPr>
            </w:pPr>
            <w:r>
              <w:rPr>
                <w:rFonts w:eastAsia="Arial Narrow" w:cs="Times New Roman"/>
                <w:color w:val="000000"/>
                <w:lang w:bidi="ar"/>
              </w:rPr>
              <w:t>100.00</w:t>
            </w:r>
          </w:p>
        </w:tc>
        <w:tc>
          <w:tcPr>
            <w:tcW w:w="259" w:type="pct"/>
            <w:vAlign w:val="center"/>
          </w:tcPr>
          <w:p w14:paraId="1CCA178E">
            <w:pPr>
              <w:jc w:val="right"/>
              <w:rPr>
                <w:rFonts w:cs="Times New Roman"/>
              </w:rPr>
            </w:pPr>
          </w:p>
        </w:tc>
        <w:tc>
          <w:tcPr>
            <w:tcW w:w="763" w:type="pct"/>
            <w:vAlign w:val="center"/>
          </w:tcPr>
          <w:p w14:paraId="0D475CE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53A0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DE26F77">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际华三五三九制鞋有限公司</w:t>
            </w:r>
          </w:p>
        </w:tc>
        <w:tc>
          <w:tcPr>
            <w:tcW w:w="739" w:type="pct"/>
            <w:vAlign w:val="center"/>
          </w:tcPr>
          <w:p w14:paraId="515B78F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重庆市</w:t>
            </w:r>
          </w:p>
        </w:tc>
        <w:tc>
          <w:tcPr>
            <w:tcW w:w="486" w:type="pct"/>
            <w:vAlign w:val="center"/>
          </w:tcPr>
          <w:p w14:paraId="4775BE64">
            <w:pPr>
              <w:jc w:val="right"/>
              <w:textAlignment w:val="center"/>
              <w:rPr>
                <w:rFonts w:cs="Times New Roman"/>
              </w:rPr>
            </w:pPr>
            <w:r>
              <w:rPr>
                <w:rFonts w:eastAsia="Arial Narrow" w:cs="Times New Roman"/>
                <w:color w:val="000000"/>
                <w:lang w:bidi="ar"/>
              </w:rPr>
              <w:t>20,100.00</w:t>
            </w:r>
          </w:p>
        </w:tc>
        <w:tc>
          <w:tcPr>
            <w:tcW w:w="719" w:type="pct"/>
            <w:vAlign w:val="center"/>
          </w:tcPr>
          <w:p w14:paraId="0E97187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重庆市</w:t>
            </w:r>
          </w:p>
        </w:tc>
        <w:tc>
          <w:tcPr>
            <w:tcW w:w="394" w:type="pct"/>
            <w:vAlign w:val="center"/>
          </w:tcPr>
          <w:p w14:paraId="04065C8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67DC1398">
            <w:pPr>
              <w:jc w:val="right"/>
              <w:textAlignment w:val="center"/>
              <w:rPr>
                <w:rFonts w:cs="Times New Roman"/>
              </w:rPr>
            </w:pPr>
            <w:r>
              <w:rPr>
                <w:rFonts w:eastAsia="Arial Narrow" w:cs="Times New Roman"/>
                <w:color w:val="000000"/>
                <w:lang w:bidi="ar"/>
              </w:rPr>
              <w:t>100.00</w:t>
            </w:r>
          </w:p>
        </w:tc>
        <w:tc>
          <w:tcPr>
            <w:tcW w:w="259" w:type="pct"/>
            <w:vAlign w:val="center"/>
          </w:tcPr>
          <w:p w14:paraId="656F63BB">
            <w:pPr>
              <w:jc w:val="right"/>
              <w:rPr>
                <w:rFonts w:cs="Times New Roman"/>
              </w:rPr>
            </w:pPr>
          </w:p>
        </w:tc>
        <w:tc>
          <w:tcPr>
            <w:tcW w:w="763" w:type="pct"/>
            <w:vAlign w:val="center"/>
          </w:tcPr>
          <w:p w14:paraId="7819BB6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7062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0EC5C95">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重庆巨盾实业有限公司</w:t>
            </w:r>
          </w:p>
        </w:tc>
        <w:tc>
          <w:tcPr>
            <w:tcW w:w="739" w:type="pct"/>
            <w:vAlign w:val="center"/>
          </w:tcPr>
          <w:p w14:paraId="4286912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重庆市</w:t>
            </w:r>
          </w:p>
        </w:tc>
        <w:tc>
          <w:tcPr>
            <w:tcW w:w="486" w:type="pct"/>
            <w:vAlign w:val="center"/>
          </w:tcPr>
          <w:p w14:paraId="67FD3ABC">
            <w:pPr>
              <w:jc w:val="right"/>
              <w:textAlignment w:val="center"/>
              <w:rPr>
                <w:rFonts w:cs="Times New Roman"/>
              </w:rPr>
            </w:pPr>
            <w:r>
              <w:rPr>
                <w:rFonts w:eastAsia="Arial Narrow" w:cs="Times New Roman"/>
                <w:color w:val="000000"/>
                <w:lang w:bidi="ar"/>
              </w:rPr>
              <w:t>2,000.00</w:t>
            </w:r>
          </w:p>
        </w:tc>
        <w:tc>
          <w:tcPr>
            <w:tcW w:w="719" w:type="pct"/>
            <w:vAlign w:val="center"/>
          </w:tcPr>
          <w:p w14:paraId="2DE2A2B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重庆市</w:t>
            </w:r>
          </w:p>
        </w:tc>
        <w:tc>
          <w:tcPr>
            <w:tcW w:w="394" w:type="pct"/>
            <w:vAlign w:val="center"/>
          </w:tcPr>
          <w:p w14:paraId="04FC835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0F326C5B">
            <w:pPr>
              <w:jc w:val="right"/>
              <w:textAlignment w:val="center"/>
              <w:rPr>
                <w:rFonts w:cs="Times New Roman"/>
              </w:rPr>
            </w:pPr>
            <w:r>
              <w:rPr>
                <w:rFonts w:eastAsia="Arial Narrow" w:cs="Times New Roman"/>
                <w:color w:val="000000"/>
                <w:lang w:bidi="ar"/>
              </w:rPr>
              <w:t>100.00</w:t>
            </w:r>
          </w:p>
        </w:tc>
        <w:tc>
          <w:tcPr>
            <w:tcW w:w="259" w:type="pct"/>
            <w:vAlign w:val="center"/>
          </w:tcPr>
          <w:p w14:paraId="576CA385">
            <w:pPr>
              <w:jc w:val="right"/>
              <w:rPr>
                <w:rFonts w:cs="Times New Roman"/>
              </w:rPr>
            </w:pPr>
          </w:p>
        </w:tc>
        <w:tc>
          <w:tcPr>
            <w:tcW w:w="763" w:type="pct"/>
            <w:vAlign w:val="center"/>
          </w:tcPr>
          <w:p w14:paraId="4F54434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B49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87B5577">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南京际华三五二一特种装备有限公司</w:t>
            </w:r>
          </w:p>
        </w:tc>
        <w:tc>
          <w:tcPr>
            <w:tcW w:w="739" w:type="pct"/>
            <w:vAlign w:val="center"/>
          </w:tcPr>
          <w:p w14:paraId="7CF768A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486" w:type="pct"/>
            <w:vAlign w:val="center"/>
          </w:tcPr>
          <w:p w14:paraId="73FFAA26">
            <w:pPr>
              <w:jc w:val="right"/>
              <w:textAlignment w:val="center"/>
              <w:rPr>
                <w:rFonts w:cs="Times New Roman"/>
              </w:rPr>
            </w:pPr>
            <w:r>
              <w:rPr>
                <w:rFonts w:eastAsia="Arial Narrow" w:cs="Times New Roman"/>
                <w:color w:val="000000"/>
                <w:lang w:bidi="ar"/>
              </w:rPr>
              <w:t>30,000.00</w:t>
            </w:r>
          </w:p>
        </w:tc>
        <w:tc>
          <w:tcPr>
            <w:tcW w:w="719" w:type="pct"/>
            <w:vAlign w:val="center"/>
          </w:tcPr>
          <w:p w14:paraId="3EEBFE5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394" w:type="pct"/>
            <w:vAlign w:val="center"/>
          </w:tcPr>
          <w:p w14:paraId="0E8E751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743FB320">
            <w:pPr>
              <w:jc w:val="right"/>
              <w:textAlignment w:val="center"/>
              <w:rPr>
                <w:rFonts w:cs="Times New Roman"/>
              </w:rPr>
            </w:pPr>
            <w:r>
              <w:rPr>
                <w:rFonts w:eastAsia="Arial Narrow" w:cs="Times New Roman"/>
                <w:color w:val="000000"/>
                <w:lang w:bidi="ar"/>
              </w:rPr>
              <w:t>100.00</w:t>
            </w:r>
          </w:p>
        </w:tc>
        <w:tc>
          <w:tcPr>
            <w:tcW w:w="259" w:type="pct"/>
            <w:vAlign w:val="center"/>
          </w:tcPr>
          <w:p w14:paraId="2949C5F0">
            <w:pPr>
              <w:jc w:val="right"/>
              <w:rPr>
                <w:rFonts w:cs="Times New Roman"/>
              </w:rPr>
            </w:pPr>
          </w:p>
        </w:tc>
        <w:tc>
          <w:tcPr>
            <w:tcW w:w="763" w:type="pct"/>
            <w:vAlign w:val="center"/>
          </w:tcPr>
          <w:p w14:paraId="58A3BBD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5BAB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0FA604B7">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南京际华三五二一环保科技有限公司</w:t>
            </w:r>
          </w:p>
        </w:tc>
        <w:tc>
          <w:tcPr>
            <w:tcW w:w="739" w:type="pct"/>
            <w:vAlign w:val="center"/>
          </w:tcPr>
          <w:p w14:paraId="1DDE6AE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486" w:type="pct"/>
            <w:vAlign w:val="center"/>
          </w:tcPr>
          <w:p w14:paraId="33E610EC">
            <w:pPr>
              <w:jc w:val="right"/>
              <w:textAlignment w:val="center"/>
              <w:rPr>
                <w:rFonts w:cs="Times New Roman"/>
              </w:rPr>
            </w:pPr>
            <w:r>
              <w:rPr>
                <w:rFonts w:eastAsia="Arial Narrow" w:cs="Times New Roman"/>
                <w:color w:val="000000"/>
                <w:lang w:bidi="ar"/>
              </w:rPr>
              <w:t>5,000.00</w:t>
            </w:r>
          </w:p>
        </w:tc>
        <w:tc>
          <w:tcPr>
            <w:tcW w:w="719" w:type="pct"/>
            <w:vAlign w:val="center"/>
          </w:tcPr>
          <w:p w14:paraId="1288D36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394" w:type="pct"/>
            <w:vAlign w:val="center"/>
          </w:tcPr>
          <w:p w14:paraId="04F7786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环保滤材制造</w:t>
            </w:r>
          </w:p>
        </w:tc>
        <w:tc>
          <w:tcPr>
            <w:tcW w:w="333" w:type="pct"/>
            <w:vAlign w:val="center"/>
          </w:tcPr>
          <w:p w14:paraId="6E3C50F9">
            <w:pPr>
              <w:jc w:val="right"/>
              <w:textAlignment w:val="center"/>
              <w:rPr>
                <w:rFonts w:cs="Times New Roman"/>
              </w:rPr>
            </w:pPr>
            <w:r>
              <w:rPr>
                <w:rFonts w:eastAsia="Arial Narrow" w:cs="Times New Roman"/>
                <w:color w:val="000000"/>
                <w:lang w:bidi="ar"/>
              </w:rPr>
              <w:t>100.00</w:t>
            </w:r>
          </w:p>
        </w:tc>
        <w:tc>
          <w:tcPr>
            <w:tcW w:w="259" w:type="pct"/>
            <w:vAlign w:val="center"/>
          </w:tcPr>
          <w:p w14:paraId="06693928">
            <w:pPr>
              <w:jc w:val="right"/>
              <w:rPr>
                <w:rFonts w:cs="Times New Roman"/>
              </w:rPr>
            </w:pPr>
          </w:p>
        </w:tc>
        <w:tc>
          <w:tcPr>
            <w:tcW w:w="763" w:type="pct"/>
            <w:vAlign w:val="center"/>
          </w:tcPr>
          <w:p w14:paraId="4C20831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4893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13DF5961">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南京际华国润过滤技术有限公司</w:t>
            </w:r>
          </w:p>
        </w:tc>
        <w:tc>
          <w:tcPr>
            <w:tcW w:w="739" w:type="pct"/>
            <w:vAlign w:val="center"/>
          </w:tcPr>
          <w:p w14:paraId="6C96E3FF">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486" w:type="pct"/>
            <w:vAlign w:val="center"/>
          </w:tcPr>
          <w:p w14:paraId="46B2B497">
            <w:pPr>
              <w:jc w:val="right"/>
              <w:textAlignment w:val="center"/>
              <w:rPr>
                <w:rFonts w:cs="Times New Roman"/>
              </w:rPr>
            </w:pPr>
            <w:r>
              <w:rPr>
                <w:rFonts w:eastAsia="Arial Narrow" w:cs="Times New Roman"/>
                <w:color w:val="000000"/>
                <w:lang w:bidi="ar"/>
              </w:rPr>
              <w:t>800.00</w:t>
            </w:r>
          </w:p>
        </w:tc>
        <w:tc>
          <w:tcPr>
            <w:tcW w:w="719" w:type="pct"/>
            <w:vAlign w:val="center"/>
          </w:tcPr>
          <w:p w14:paraId="74C6048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江苏省南京市</w:t>
            </w:r>
          </w:p>
        </w:tc>
        <w:tc>
          <w:tcPr>
            <w:tcW w:w="394" w:type="pct"/>
            <w:vAlign w:val="center"/>
          </w:tcPr>
          <w:p w14:paraId="71E7EE5F">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3A8CF87E">
            <w:pPr>
              <w:jc w:val="right"/>
              <w:textAlignment w:val="center"/>
              <w:rPr>
                <w:rFonts w:cs="Times New Roman"/>
              </w:rPr>
            </w:pPr>
            <w:r>
              <w:rPr>
                <w:rFonts w:eastAsia="Arial Narrow" w:cs="Times New Roman"/>
                <w:color w:val="000000"/>
                <w:lang w:bidi="ar"/>
              </w:rPr>
              <w:t>35.00</w:t>
            </w:r>
          </w:p>
        </w:tc>
        <w:tc>
          <w:tcPr>
            <w:tcW w:w="259" w:type="pct"/>
            <w:vAlign w:val="center"/>
          </w:tcPr>
          <w:p w14:paraId="0EAA385D">
            <w:pPr>
              <w:jc w:val="right"/>
              <w:rPr>
                <w:rFonts w:cs="Times New Roman"/>
              </w:rPr>
            </w:pPr>
          </w:p>
        </w:tc>
        <w:tc>
          <w:tcPr>
            <w:tcW w:w="763" w:type="pct"/>
            <w:vAlign w:val="center"/>
          </w:tcPr>
          <w:p w14:paraId="5A0F33B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9B0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2044E30">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际华三五二二装具饰品有限公司</w:t>
            </w:r>
          </w:p>
        </w:tc>
        <w:tc>
          <w:tcPr>
            <w:tcW w:w="739" w:type="pct"/>
            <w:vAlign w:val="center"/>
          </w:tcPr>
          <w:p w14:paraId="18C9E50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486" w:type="pct"/>
            <w:vAlign w:val="center"/>
          </w:tcPr>
          <w:p w14:paraId="7223E335">
            <w:pPr>
              <w:jc w:val="right"/>
              <w:textAlignment w:val="center"/>
              <w:rPr>
                <w:rFonts w:cs="Times New Roman"/>
              </w:rPr>
            </w:pPr>
            <w:r>
              <w:rPr>
                <w:rFonts w:eastAsia="Arial Narrow" w:cs="Times New Roman"/>
                <w:color w:val="000000"/>
                <w:lang w:bidi="ar"/>
              </w:rPr>
              <w:t>25,000.00</w:t>
            </w:r>
          </w:p>
        </w:tc>
        <w:tc>
          <w:tcPr>
            <w:tcW w:w="719" w:type="pct"/>
            <w:vAlign w:val="center"/>
          </w:tcPr>
          <w:p w14:paraId="36104DB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394" w:type="pct"/>
            <w:vAlign w:val="center"/>
          </w:tcPr>
          <w:p w14:paraId="4263223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0E656AC2">
            <w:pPr>
              <w:jc w:val="right"/>
              <w:textAlignment w:val="center"/>
              <w:rPr>
                <w:rFonts w:cs="Times New Roman"/>
              </w:rPr>
            </w:pPr>
            <w:r>
              <w:rPr>
                <w:rFonts w:eastAsia="Arial Narrow" w:cs="Times New Roman"/>
                <w:color w:val="000000"/>
                <w:lang w:bidi="ar"/>
              </w:rPr>
              <w:t>100.00</w:t>
            </w:r>
          </w:p>
        </w:tc>
        <w:tc>
          <w:tcPr>
            <w:tcW w:w="259" w:type="pct"/>
            <w:vAlign w:val="center"/>
          </w:tcPr>
          <w:p w14:paraId="3AA30706">
            <w:pPr>
              <w:jc w:val="right"/>
              <w:rPr>
                <w:rFonts w:cs="Times New Roman"/>
              </w:rPr>
            </w:pPr>
          </w:p>
        </w:tc>
        <w:tc>
          <w:tcPr>
            <w:tcW w:w="763" w:type="pct"/>
            <w:vAlign w:val="center"/>
          </w:tcPr>
          <w:p w14:paraId="105DE5D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7279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F490441">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际华（内蒙古）新能源发展有限公司</w:t>
            </w:r>
          </w:p>
        </w:tc>
        <w:tc>
          <w:tcPr>
            <w:tcW w:w="739" w:type="pct"/>
            <w:vAlign w:val="center"/>
          </w:tcPr>
          <w:p w14:paraId="17B68A8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486" w:type="pct"/>
            <w:vAlign w:val="center"/>
          </w:tcPr>
          <w:p w14:paraId="4C593003">
            <w:pPr>
              <w:jc w:val="right"/>
              <w:textAlignment w:val="center"/>
              <w:rPr>
                <w:rFonts w:cs="Times New Roman"/>
              </w:rPr>
            </w:pPr>
            <w:r>
              <w:rPr>
                <w:rFonts w:eastAsia="Arial Narrow" w:cs="Times New Roman"/>
                <w:color w:val="000000"/>
                <w:lang w:bidi="ar"/>
              </w:rPr>
              <w:t>971.56</w:t>
            </w:r>
          </w:p>
        </w:tc>
        <w:tc>
          <w:tcPr>
            <w:tcW w:w="719" w:type="pct"/>
            <w:vAlign w:val="center"/>
          </w:tcPr>
          <w:p w14:paraId="75C1AEE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内蒙古巴彦淖尔市</w:t>
            </w:r>
          </w:p>
        </w:tc>
        <w:tc>
          <w:tcPr>
            <w:tcW w:w="394" w:type="pct"/>
            <w:vAlign w:val="center"/>
          </w:tcPr>
          <w:p w14:paraId="4A4B373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医疗器械制造</w:t>
            </w:r>
          </w:p>
        </w:tc>
        <w:tc>
          <w:tcPr>
            <w:tcW w:w="333" w:type="pct"/>
            <w:vAlign w:val="center"/>
          </w:tcPr>
          <w:p w14:paraId="28A55487">
            <w:pPr>
              <w:jc w:val="right"/>
              <w:textAlignment w:val="center"/>
              <w:rPr>
                <w:rFonts w:cs="Times New Roman"/>
              </w:rPr>
            </w:pPr>
            <w:r>
              <w:rPr>
                <w:rFonts w:eastAsia="Arial Narrow" w:cs="Times New Roman"/>
                <w:color w:val="000000"/>
                <w:lang w:bidi="ar"/>
              </w:rPr>
              <w:t>100.00</w:t>
            </w:r>
          </w:p>
        </w:tc>
        <w:tc>
          <w:tcPr>
            <w:tcW w:w="259" w:type="pct"/>
            <w:vAlign w:val="center"/>
          </w:tcPr>
          <w:p w14:paraId="12BC4836">
            <w:pPr>
              <w:jc w:val="right"/>
              <w:rPr>
                <w:rFonts w:cs="Times New Roman"/>
              </w:rPr>
            </w:pPr>
          </w:p>
        </w:tc>
        <w:tc>
          <w:tcPr>
            <w:tcW w:w="763" w:type="pct"/>
            <w:vAlign w:val="center"/>
          </w:tcPr>
          <w:p w14:paraId="792152E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37C9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FF5CE19">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际华（天津）新能源投资有限公司</w:t>
            </w:r>
          </w:p>
        </w:tc>
        <w:tc>
          <w:tcPr>
            <w:tcW w:w="739" w:type="pct"/>
            <w:vAlign w:val="center"/>
          </w:tcPr>
          <w:p w14:paraId="5DB3467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486" w:type="pct"/>
            <w:vAlign w:val="center"/>
          </w:tcPr>
          <w:p w14:paraId="52F3D4A8">
            <w:pPr>
              <w:jc w:val="right"/>
              <w:textAlignment w:val="center"/>
              <w:rPr>
                <w:rFonts w:cs="Times New Roman"/>
              </w:rPr>
            </w:pPr>
            <w:r>
              <w:rPr>
                <w:rFonts w:eastAsia="Arial Narrow" w:cs="Times New Roman"/>
                <w:color w:val="000000"/>
                <w:lang w:bidi="ar"/>
              </w:rPr>
              <w:t>10,000.00</w:t>
            </w:r>
          </w:p>
        </w:tc>
        <w:tc>
          <w:tcPr>
            <w:tcW w:w="719" w:type="pct"/>
            <w:vAlign w:val="center"/>
          </w:tcPr>
          <w:p w14:paraId="7AFAEC7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394" w:type="pct"/>
            <w:vAlign w:val="center"/>
          </w:tcPr>
          <w:p w14:paraId="2F25F6A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投资管理</w:t>
            </w:r>
          </w:p>
        </w:tc>
        <w:tc>
          <w:tcPr>
            <w:tcW w:w="333" w:type="pct"/>
            <w:vAlign w:val="center"/>
          </w:tcPr>
          <w:p w14:paraId="1F190185">
            <w:pPr>
              <w:jc w:val="right"/>
              <w:textAlignment w:val="center"/>
              <w:rPr>
                <w:rFonts w:cs="Times New Roman"/>
              </w:rPr>
            </w:pPr>
            <w:r>
              <w:rPr>
                <w:rFonts w:eastAsia="Arial Narrow" w:cs="Times New Roman"/>
                <w:color w:val="000000"/>
                <w:lang w:bidi="ar"/>
              </w:rPr>
              <w:t>100.00</w:t>
            </w:r>
          </w:p>
        </w:tc>
        <w:tc>
          <w:tcPr>
            <w:tcW w:w="259" w:type="pct"/>
            <w:vAlign w:val="center"/>
          </w:tcPr>
          <w:p w14:paraId="44599944">
            <w:pPr>
              <w:jc w:val="right"/>
              <w:rPr>
                <w:rFonts w:cs="Times New Roman"/>
              </w:rPr>
            </w:pPr>
          </w:p>
        </w:tc>
        <w:tc>
          <w:tcPr>
            <w:tcW w:w="763" w:type="pct"/>
            <w:vAlign w:val="center"/>
          </w:tcPr>
          <w:p w14:paraId="72F71A1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6006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2DEA590B">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沈阳际华三五四七特种装具有限公司</w:t>
            </w:r>
          </w:p>
        </w:tc>
        <w:tc>
          <w:tcPr>
            <w:tcW w:w="739" w:type="pct"/>
            <w:vAlign w:val="center"/>
          </w:tcPr>
          <w:p w14:paraId="528B5EF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辽宁省沈阳市</w:t>
            </w:r>
          </w:p>
        </w:tc>
        <w:tc>
          <w:tcPr>
            <w:tcW w:w="486" w:type="pct"/>
            <w:vAlign w:val="center"/>
          </w:tcPr>
          <w:p w14:paraId="3C8CB550">
            <w:pPr>
              <w:jc w:val="right"/>
              <w:textAlignment w:val="center"/>
              <w:rPr>
                <w:rFonts w:cs="Times New Roman"/>
              </w:rPr>
            </w:pPr>
            <w:r>
              <w:rPr>
                <w:rFonts w:eastAsia="Arial Narrow" w:cs="Times New Roman"/>
                <w:color w:val="000000"/>
                <w:lang w:bidi="ar"/>
              </w:rPr>
              <w:t>20,000.00</w:t>
            </w:r>
          </w:p>
        </w:tc>
        <w:tc>
          <w:tcPr>
            <w:tcW w:w="719" w:type="pct"/>
            <w:vAlign w:val="center"/>
          </w:tcPr>
          <w:p w14:paraId="709A6D5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辽宁省沈阳市</w:t>
            </w:r>
          </w:p>
        </w:tc>
        <w:tc>
          <w:tcPr>
            <w:tcW w:w="394" w:type="pct"/>
            <w:vAlign w:val="center"/>
          </w:tcPr>
          <w:p w14:paraId="2211E7B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4E7E6F89">
            <w:pPr>
              <w:jc w:val="right"/>
              <w:textAlignment w:val="center"/>
              <w:rPr>
                <w:rFonts w:cs="Times New Roman"/>
              </w:rPr>
            </w:pPr>
            <w:r>
              <w:rPr>
                <w:rFonts w:eastAsia="Arial Narrow" w:cs="Times New Roman"/>
                <w:color w:val="000000"/>
                <w:lang w:bidi="ar"/>
              </w:rPr>
              <w:t>100.00</w:t>
            </w:r>
          </w:p>
        </w:tc>
        <w:tc>
          <w:tcPr>
            <w:tcW w:w="259" w:type="pct"/>
            <w:vAlign w:val="center"/>
          </w:tcPr>
          <w:p w14:paraId="27510F1F">
            <w:pPr>
              <w:jc w:val="right"/>
              <w:rPr>
                <w:rFonts w:cs="Times New Roman"/>
              </w:rPr>
            </w:pPr>
          </w:p>
        </w:tc>
        <w:tc>
          <w:tcPr>
            <w:tcW w:w="763" w:type="pct"/>
            <w:vAlign w:val="center"/>
          </w:tcPr>
          <w:p w14:paraId="1E3BDE5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79B8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D4E70CB">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际华连锁商务有限公司</w:t>
            </w:r>
          </w:p>
        </w:tc>
        <w:tc>
          <w:tcPr>
            <w:tcW w:w="739" w:type="pct"/>
            <w:vAlign w:val="center"/>
          </w:tcPr>
          <w:p w14:paraId="525992A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486" w:type="pct"/>
            <w:vAlign w:val="center"/>
          </w:tcPr>
          <w:p w14:paraId="1DE61AD9">
            <w:pPr>
              <w:jc w:val="right"/>
              <w:textAlignment w:val="center"/>
              <w:rPr>
                <w:rFonts w:cs="Times New Roman"/>
              </w:rPr>
            </w:pPr>
            <w:r>
              <w:rPr>
                <w:rFonts w:eastAsia="Arial Narrow" w:cs="Times New Roman"/>
                <w:color w:val="000000"/>
                <w:lang w:bidi="ar"/>
              </w:rPr>
              <w:t>5,000.00</w:t>
            </w:r>
          </w:p>
        </w:tc>
        <w:tc>
          <w:tcPr>
            <w:tcW w:w="719" w:type="pct"/>
            <w:vAlign w:val="center"/>
          </w:tcPr>
          <w:p w14:paraId="7BF317C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394" w:type="pct"/>
            <w:vAlign w:val="center"/>
          </w:tcPr>
          <w:p w14:paraId="310AF02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零售业</w:t>
            </w:r>
          </w:p>
        </w:tc>
        <w:tc>
          <w:tcPr>
            <w:tcW w:w="333" w:type="pct"/>
            <w:vAlign w:val="center"/>
          </w:tcPr>
          <w:p w14:paraId="743FA010">
            <w:pPr>
              <w:jc w:val="right"/>
              <w:textAlignment w:val="center"/>
              <w:rPr>
                <w:rFonts w:cs="Times New Roman"/>
              </w:rPr>
            </w:pPr>
            <w:r>
              <w:rPr>
                <w:rFonts w:eastAsia="Arial Narrow" w:cs="Times New Roman"/>
                <w:color w:val="000000"/>
                <w:lang w:bidi="ar"/>
              </w:rPr>
              <w:t>100.00</w:t>
            </w:r>
          </w:p>
        </w:tc>
        <w:tc>
          <w:tcPr>
            <w:tcW w:w="259" w:type="pct"/>
            <w:vAlign w:val="center"/>
          </w:tcPr>
          <w:p w14:paraId="411751A5">
            <w:pPr>
              <w:jc w:val="right"/>
              <w:rPr>
                <w:rFonts w:cs="Times New Roman"/>
              </w:rPr>
            </w:pPr>
          </w:p>
        </w:tc>
        <w:tc>
          <w:tcPr>
            <w:tcW w:w="763" w:type="pct"/>
            <w:vAlign w:val="center"/>
          </w:tcPr>
          <w:p w14:paraId="7F6DC95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7F09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D3F9342">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新兴际华国际贸易有限公司</w:t>
            </w:r>
          </w:p>
        </w:tc>
        <w:tc>
          <w:tcPr>
            <w:tcW w:w="739" w:type="pct"/>
            <w:vAlign w:val="center"/>
          </w:tcPr>
          <w:p w14:paraId="7220544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486" w:type="pct"/>
            <w:vAlign w:val="center"/>
          </w:tcPr>
          <w:p w14:paraId="34C6F9AD">
            <w:pPr>
              <w:jc w:val="right"/>
              <w:textAlignment w:val="center"/>
              <w:rPr>
                <w:rFonts w:cs="Times New Roman"/>
              </w:rPr>
            </w:pPr>
            <w:r>
              <w:rPr>
                <w:rFonts w:eastAsia="Arial Narrow" w:cs="Times New Roman"/>
                <w:color w:val="000000"/>
                <w:lang w:bidi="ar"/>
              </w:rPr>
              <w:t>5,000.00</w:t>
            </w:r>
          </w:p>
        </w:tc>
        <w:tc>
          <w:tcPr>
            <w:tcW w:w="719" w:type="pct"/>
            <w:vAlign w:val="center"/>
          </w:tcPr>
          <w:p w14:paraId="1F21B17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394" w:type="pct"/>
            <w:vAlign w:val="center"/>
          </w:tcPr>
          <w:p w14:paraId="0E4EBF3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商贸</w:t>
            </w:r>
          </w:p>
        </w:tc>
        <w:tc>
          <w:tcPr>
            <w:tcW w:w="333" w:type="pct"/>
            <w:vAlign w:val="center"/>
          </w:tcPr>
          <w:p w14:paraId="1864A2D0">
            <w:pPr>
              <w:jc w:val="right"/>
              <w:textAlignment w:val="center"/>
              <w:rPr>
                <w:rFonts w:cs="Times New Roman"/>
              </w:rPr>
            </w:pPr>
            <w:r>
              <w:rPr>
                <w:rFonts w:eastAsia="Arial Narrow" w:cs="Times New Roman"/>
                <w:color w:val="000000"/>
                <w:lang w:bidi="ar"/>
              </w:rPr>
              <w:t>49.00</w:t>
            </w:r>
          </w:p>
        </w:tc>
        <w:tc>
          <w:tcPr>
            <w:tcW w:w="259" w:type="pct"/>
            <w:vAlign w:val="center"/>
          </w:tcPr>
          <w:p w14:paraId="243D54CF">
            <w:pPr>
              <w:jc w:val="right"/>
              <w:rPr>
                <w:rFonts w:cs="Times New Roman"/>
              </w:rPr>
            </w:pPr>
          </w:p>
        </w:tc>
        <w:tc>
          <w:tcPr>
            <w:tcW w:w="763" w:type="pct"/>
            <w:vAlign w:val="center"/>
          </w:tcPr>
          <w:p w14:paraId="0D53B6C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09F2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0563F78">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新兴际华国际贸易（天津）有限公司</w:t>
            </w:r>
          </w:p>
        </w:tc>
        <w:tc>
          <w:tcPr>
            <w:tcW w:w="739" w:type="pct"/>
            <w:vAlign w:val="center"/>
          </w:tcPr>
          <w:p w14:paraId="52794CE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486" w:type="pct"/>
            <w:vAlign w:val="center"/>
          </w:tcPr>
          <w:p w14:paraId="563FC861">
            <w:pPr>
              <w:jc w:val="right"/>
              <w:textAlignment w:val="center"/>
              <w:rPr>
                <w:rFonts w:cs="Times New Roman"/>
              </w:rPr>
            </w:pPr>
            <w:r>
              <w:rPr>
                <w:rFonts w:eastAsia="Arial Narrow" w:cs="Times New Roman"/>
                <w:color w:val="000000"/>
                <w:lang w:bidi="ar"/>
              </w:rPr>
              <w:t>5,000.00</w:t>
            </w:r>
          </w:p>
        </w:tc>
        <w:tc>
          <w:tcPr>
            <w:tcW w:w="719" w:type="pct"/>
            <w:vAlign w:val="center"/>
          </w:tcPr>
          <w:p w14:paraId="783B508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394" w:type="pct"/>
            <w:vAlign w:val="center"/>
          </w:tcPr>
          <w:p w14:paraId="3C5D7DC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商贸</w:t>
            </w:r>
          </w:p>
        </w:tc>
        <w:tc>
          <w:tcPr>
            <w:tcW w:w="333" w:type="pct"/>
            <w:vAlign w:val="center"/>
          </w:tcPr>
          <w:p w14:paraId="055C2F16">
            <w:pPr>
              <w:jc w:val="right"/>
              <w:textAlignment w:val="center"/>
              <w:rPr>
                <w:rFonts w:cs="Times New Roman"/>
              </w:rPr>
            </w:pPr>
            <w:r>
              <w:rPr>
                <w:rFonts w:eastAsia="Arial Narrow" w:cs="Times New Roman"/>
                <w:color w:val="000000"/>
                <w:lang w:bidi="ar"/>
              </w:rPr>
              <w:t>49.00</w:t>
            </w:r>
          </w:p>
        </w:tc>
        <w:tc>
          <w:tcPr>
            <w:tcW w:w="259" w:type="pct"/>
            <w:vAlign w:val="center"/>
          </w:tcPr>
          <w:p w14:paraId="423D31CE">
            <w:pPr>
              <w:jc w:val="right"/>
              <w:rPr>
                <w:rFonts w:cs="Times New Roman"/>
              </w:rPr>
            </w:pPr>
          </w:p>
        </w:tc>
        <w:tc>
          <w:tcPr>
            <w:tcW w:w="763" w:type="pct"/>
            <w:vAlign w:val="center"/>
          </w:tcPr>
          <w:p w14:paraId="52D7A32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同一控制下企业合并</w:t>
            </w:r>
          </w:p>
        </w:tc>
      </w:tr>
      <w:tr w14:paraId="16CF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17870F63">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长春际华投资建设有限公司</w:t>
            </w:r>
          </w:p>
        </w:tc>
        <w:tc>
          <w:tcPr>
            <w:tcW w:w="739" w:type="pct"/>
            <w:vAlign w:val="center"/>
          </w:tcPr>
          <w:p w14:paraId="1D536DF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吉林省长春市</w:t>
            </w:r>
          </w:p>
        </w:tc>
        <w:tc>
          <w:tcPr>
            <w:tcW w:w="486" w:type="pct"/>
            <w:vAlign w:val="center"/>
          </w:tcPr>
          <w:p w14:paraId="04FF8D46">
            <w:pPr>
              <w:jc w:val="right"/>
              <w:textAlignment w:val="center"/>
              <w:rPr>
                <w:rFonts w:cs="Times New Roman"/>
              </w:rPr>
            </w:pPr>
            <w:r>
              <w:rPr>
                <w:rFonts w:eastAsia="Arial Narrow" w:cs="Times New Roman"/>
                <w:color w:val="000000"/>
                <w:lang w:bidi="ar"/>
              </w:rPr>
              <w:t>10,000.00</w:t>
            </w:r>
          </w:p>
        </w:tc>
        <w:tc>
          <w:tcPr>
            <w:tcW w:w="719" w:type="pct"/>
            <w:vAlign w:val="center"/>
          </w:tcPr>
          <w:p w14:paraId="57CECE5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吉林省长春市</w:t>
            </w:r>
          </w:p>
        </w:tc>
        <w:tc>
          <w:tcPr>
            <w:tcW w:w="394" w:type="pct"/>
            <w:vAlign w:val="center"/>
          </w:tcPr>
          <w:p w14:paraId="6D24F34F">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房地产开发业</w:t>
            </w:r>
          </w:p>
        </w:tc>
        <w:tc>
          <w:tcPr>
            <w:tcW w:w="333" w:type="pct"/>
            <w:vAlign w:val="center"/>
          </w:tcPr>
          <w:p w14:paraId="42E926C0">
            <w:pPr>
              <w:jc w:val="right"/>
              <w:textAlignment w:val="center"/>
              <w:rPr>
                <w:rFonts w:cs="Times New Roman"/>
              </w:rPr>
            </w:pPr>
            <w:r>
              <w:rPr>
                <w:rFonts w:eastAsia="Arial Narrow" w:cs="Times New Roman"/>
                <w:color w:val="000000"/>
                <w:lang w:bidi="ar"/>
              </w:rPr>
              <w:t>100.00</w:t>
            </w:r>
          </w:p>
        </w:tc>
        <w:tc>
          <w:tcPr>
            <w:tcW w:w="259" w:type="pct"/>
            <w:vAlign w:val="center"/>
          </w:tcPr>
          <w:p w14:paraId="17D47923">
            <w:pPr>
              <w:jc w:val="right"/>
              <w:rPr>
                <w:rFonts w:cs="Times New Roman"/>
              </w:rPr>
            </w:pPr>
          </w:p>
        </w:tc>
        <w:tc>
          <w:tcPr>
            <w:tcW w:w="763" w:type="pct"/>
            <w:vAlign w:val="center"/>
          </w:tcPr>
          <w:p w14:paraId="4CD9F5E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C35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8EFEC16">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际华（邢台）投资有限公司</w:t>
            </w:r>
          </w:p>
        </w:tc>
        <w:tc>
          <w:tcPr>
            <w:tcW w:w="739" w:type="pct"/>
            <w:vAlign w:val="center"/>
          </w:tcPr>
          <w:p w14:paraId="3BD856F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河北省邢台市</w:t>
            </w:r>
          </w:p>
        </w:tc>
        <w:tc>
          <w:tcPr>
            <w:tcW w:w="486" w:type="pct"/>
            <w:vAlign w:val="center"/>
          </w:tcPr>
          <w:p w14:paraId="71FEF18C">
            <w:pPr>
              <w:jc w:val="right"/>
              <w:textAlignment w:val="center"/>
              <w:rPr>
                <w:rFonts w:cs="Times New Roman"/>
              </w:rPr>
            </w:pPr>
            <w:r>
              <w:rPr>
                <w:rFonts w:eastAsia="Arial Narrow" w:cs="Times New Roman"/>
                <w:color w:val="000000"/>
                <w:lang w:bidi="ar"/>
              </w:rPr>
              <w:t>10,000.00</w:t>
            </w:r>
          </w:p>
        </w:tc>
        <w:tc>
          <w:tcPr>
            <w:tcW w:w="719" w:type="pct"/>
            <w:vAlign w:val="center"/>
          </w:tcPr>
          <w:p w14:paraId="3AF6907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河北省邢台市</w:t>
            </w:r>
          </w:p>
        </w:tc>
        <w:tc>
          <w:tcPr>
            <w:tcW w:w="394" w:type="pct"/>
            <w:vAlign w:val="center"/>
          </w:tcPr>
          <w:p w14:paraId="57EEC4A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投资管理</w:t>
            </w:r>
          </w:p>
        </w:tc>
        <w:tc>
          <w:tcPr>
            <w:tcW w:w="333" w:type="pct"/>
            <w:vAlign w:val="center"/>
          </w:tcPr>
          <w:p w14:paraId="7236C96E">
            <w:pPr>
              <w:jc w:val="right"/>
              <w:textAlignment w:val="center"/>
              <w:rPr>
                <w:rFonts w:cs="Times New Roman"/>
              </w:rPr>
            </w:pPr>
            <w:r>
              <w:rPr>
                <w:rFonts w:eastAsia="Arial Narrow" w:cs="Times New Roman"/>
                <w:color w:val="000000"/>
                <w:lang w:bidi="ar"/>
              </w:rPr>
              <w:t>100.00</w:t>
            </w:r>
          </w:p>
        </w:tc>
        <w:tc>
          <w:tcPr>
            <w:tcW w:w="259" w:type="pct"/>
            <w:vAlign w:val="center"/>
          </w:tcPr>
          <w:p w14:paraId="162CD506">
            <w:pPr>
              <w:jc w:val="right"/>
              <w:rPr>
                <w:rFonts w:cs="Times New Roman"/>
              </w:rPr>
            </w:pPr>
          </w:p>
        </w:tc>
        <w:tc>
          <w:tcPr>
            <w:tcW w:w="763" w:type="pct"/>
            <w:vAlign w:val="center"/>
          </w:tcPr>
          <w:p w14:paraId="0482836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0F1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871A331">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际华海外投资有限公司</w:t>
            </w:r>
          </w:p>
        </w:tc>
        <w:tc>
          <w:tcPr>
            <w:tcW w:w="739" w:type="pct"/>
            <w:vAlign w:val="center"/>
          </w:tcPr>
          <w:p w14:paraId="5B2D7EB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北京市</w:t>
            </w:r>
          </w:p>
        </w:tc>
        <w:tc>
          <w:tcPr>
            <w:tcW w:w="486" w:type="pct"/>
            <w:vAlign w:val="center"/>
          </w:tcPr>
          <w:p w14:paraId="1C4142C7">
            <w:pPr>
              <w:jc w:val="right"/>
              <w:textAlignment w:val="center"/>
              <w:rPr>
                <w:rFonts w:cs="Times New Roman"/>
              </w:rPr>
            </w:pPr>
            <w:r>
              <w:rPr>
                <w:rFonts w:eastAsia="Arial Narrow" w:cs="Times New Roman"/>
                <w:color w:val="000000"/>
                <w:lang w:bidi="ar"/>
              </w:rPr>
              <w:t>14,514.20</w:t>
            </w:r>
          </w:p>
        </w:tc>
        <w:tc>
          <w:tcPr>
            <w:tcW w:w="719" w:type="pct"/>
            <w:vAlign w:val="center"/>
          </w:tcPr>
          <w:p w14:paraId="78B2F0F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中国香港</w:t>
            </w:r>
          </w:p>
        </w:tc>
        <w:tc>
          <w:tcPr>
            <w:tcW w:w="394" w:type="pct"/>
            <w:vAlign w:val="center"/>
          </w:tcPr>
          <w:p w14:paraId="152AEA1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对外投资</w:t>
            </w:r>
          </w:p>
        </w:tc>
        <w:tc>
          <w:tcPr>
            <w:tcW w:w="333" w:type="pct"/>
            <w:vAlign w:val="center"/>
          </w:tcPr>
          <w:p w14:paraId="69A8E942">
            <w:pPr>
              <w:jc w:val="right"/>
              <w:textAlignment w:val="center"/>
              <w:rPr>
                <w:rFonts w:cs="Times New Roman"/>
              </w:rPr>
            </w:pPr>
            <w:r>
              <w:rPr>
                <w:rFonts w:eastAsia="Arial Narrow" w:cs="Times New Roman"/>
                <w:color w:val="000000"/>
                <w:lang w:bidi="ar"/>
              </w:rPr>
              <w:t>100.00</w:t>
            </w:r>
          </w:p>
        </w:tc>
        <w:tc>
          <w:tcPr>
            <w:tcW w:w="259" w:type="pct"/>
            <w:vAlign w:val="center"/>
          </w:tcPr>
          <w:p w14:paraId="33C93373">
            <w:pPr>
              <w:jc w:val="right"/>
              <w:rPr>
                <w:rFonts w:cs="Times New Roman"/>
              </w:rPr>
            </w:pPr>
          </w:p>
        </w:tc>
        <w:tc>
          <w:tcPr>
            <w:tcW w:w="763" w:type="pct"/>
            <w:vAlign w:val="center"/>
          </w:tcPr>
          <w:p w14:paraId="24E93E6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3EF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1B9B544A">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重庆际华目的地中心实业有限公司</w:t>
            </w:r>
          </w:p>
        </w:tc>
        <w:tc>
          <w:tcPr>
            <w:tcW w:w="739" w:type="pct"/>
            <w:vAlign w:val="center"/>
          </w:tcPr>
          <w:p w14:paraId="50AC88F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重庆市</w:t>
            </w:r>
          </w:p>
        </w:tc>
        <w:tc>
          <w:tcPr>
            <w:tcW w:w="486" w:type="pct"/>
            <w:vAlign w:val="center"/>
          </w:tcPr>
          <w:p w14:paraId="2CB14FE1">
            <w:pPr>
              <w:jc w:val="right"/>
              <w:textAlignment w:val="center"/>
              <w:rPr>
                <w:rFonts w:cs="Times New Roman"/>
              </w:rPr>
            </w:pPr>
            <w:r>
              <w:rPr>
                <w:rFonts w:eastAsia="Arial Narrow" w:cs="Times New Roman"/>
                <w:color w:val="000000"/>
                <w:lang w:bidi="ar"/>
              </w:rPr>
              <w:t>15,000.00</w:t>
            </w:r>
          </w:p>
        </w:tc>
        <w:tc>
          <w:tcPr>
            <w:tcW w:w="719" w:type="pct"/>
            <w:vAlign w:val="center"/>
          </w:tcPr>
          <w:p w14:paraId="5157D98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重庆市</w:t>
            </w:r>
          </w:p>
        </w:tc>
        <w:tc>
          <w:tcPr>
            <w:tcW w:w="394" w:type="pct"/>
            <w:vAlign w:val="center"/>
          </w:tcPr>
          <w:p w14:paraId="59BCB62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投资管理</w:t>
            </w:r>
          </w:p>
        </w:tc>
        <w:tc>
          <w:tcPr>
            <w:tcW w:w="333" w:type="pct"/>
            <w:vAlign w:val="center"/>
          </w:tcPr>
          <w:p w14:paraId="12F3F12F">
            <w:pPr>
              <w:jc w:val="right"/>
              <w:textAlignment w:val="center"/>
              <w:rPr>
                <w:rFonts w:cs="Times New Roman"/>
              </w:rPr>
            </w:pPr>
            <w:r>
              <w:rPr>
                <w:rFonts w:eastAsia="Arial Narrow" w:cs="Times New Roman"/>
                <w:color w:val="000000"/>
                <w:lang w:bidi="ar"/>
              </w:rPr>
              <w:t>100.00</w:t>
            </w:r>
          </w:p>
        </w:tc>
        <w:tc>
          <w:tcPr>
            <w:tcW w:w="259" w:type="pct"/>
            <w:vAlign w:val="center"/>
          </w:tcPr>
          <w:p w14:paraId="6A2417E5">
            <w:pPr>
              <w:jc w:val="right"/>
              <w:rPr>
                <w:rFonts w:cs="Times New Roman"/>
              </w:rPr>
            </w:pPr>
          </w:p>
        </w:tc>
        <w:tc>
          <w:tcPr>
            <w:tcW w:w="763" w:type="pct"/>
            <w:vAlign w:val="center"/>
          </w:tcPr>
          <w:p w14:paraId="012C8C4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0AB8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BCDF0DB">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岳阳际华置业有限公司</w:t>
            </w:r>
          </w:p>
        </w:tc>
        <w:tc>
          <w:tcPr>
            <w:tcW w:w="739" w:type="pct"/>
            <w:vAlign w:val="center"/>
          </w:tcPr>
          <w:p w14:paraId="5E6F8303">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湖南省岳阳市</w:t>
            </w:r>
          </w:p>
        </w:tc>
        <w:tc>
          <w:tcPr>
            <w:tcW w:w="486" w:type="pct"/>
            <w:vAlign w:val="center"/>
          </w:tcPr>
          <w:p w14:paraId="6F4C39AC">
            <w:pPr>
              <w:jc w:val="right"/>
              <w:textAlignment w:val="center"/>
              <w:rPr>
                <w:rFonts w:cs="Times New Roman"/>
              </w:rPr>
            </w:pPr>
            <w:r>
              <w:rPr>
                <w:rFonts w:eastAsia="Arial Narrow" w:cs="Times New Roman"/>
                <w:color w:val="000000"/>
                <w:lang w:bidi="ar"/>
              </w:rPr>
              <w:t>5,000.00</w:t>
            </w:r>
          </w:p>
        </w:tc>
        <w:tc>
          <w:tcPr>
            <w:tcW w:w="719" w:type="pct"/>
            <w:vAlign w:val="center"/>
          </w:tcPr>
          <w:p w14:paraId="2DC0721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湖南省岳阳市</w:t>
            </w:r>
          </w:p>
        </w:tc>
        <w:tc>
          <w:tcPr>
            <w:tcW w:w="394" w:type="pct"/>
            <w:vAlign w:val="center"/>
          </w:tcPr>
          <w:p w14:paraId="7EED05B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房地产开发</w:t>
            </w:r>
          </w:p>
        </w:tc>
        <w:tc>
          <w:tcPr>
            <w:tcW w:w="333" w:type="pct"/>
            <w:vAlign w:val="center"/>
          </w:tcPr>
          <w:p w14:paraId="2B230903">
            <w:pPr>
              <w:jc w:val="right"/>
              <w:textAlignment w:val="center"/>
              <w:rPr>
                <w:rFonts w:cs="Times New Roman"/>
              </w:rPr>
            </w:pPr>
            <w:r>
              <w:rPr>
                <w:rFonts w:eastAsia="Arial Narrow" w:cs="Times New Roman"/>
                <w:color w:val="000000"/>
                <w:lang w:bidi="ar"/>
              </w:rPr>
              <w:t>100.00</w:t>
            </w:r>
          </w:p>
        </w:tc>
        <w:tc>
          <w:tcPr>
            <w:tcW w:w="259" w:type="pct"/>
            <w:vAlign w:val="center"/>
          </w:tcPr>
          <w:p w14:paraId="7048B658">
            <w:pPr>
              <w:jc w:val="right"/>
              <w:rPr>
                <w:rFonts w:cs="Times New Roman"/>
              </w:rPr>
            </w:pPr>
          </w:p>
        </w:tc>
        <w:tc>
          <w:tcPr>
            <w:tcW w:w="763" w:type="pct"/>
            <w:vAlign w:val="center"/>
          </w:tcPr>
          <w:p w14:paraId="6CBD716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02C1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78836B71">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南京际华装备科技有限公司</w:t>
            </w:r>
          </w:p>
        </w:tc>
        <w:tc>
          <w:tcPr>
            <w:tcW w:w="739" w:type="pct"/>
            <w:vAlign w:val="center"/>
          </w:tcPr>
          <w:p w14:paraId="21966FA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江苏南京市</w:t>
            </w:r>
          </w:p>
        </w:tc>
        <w:tc>
          <w:tcPr>
            <w:tcW w:w="486" w:type="pct"/>
            <w:vAlign w:val="center"/>
          </w:tcPr>
          <w:p w14:paraId="676E33E5">
            <w:pPr>
              <w:jc w:val="right"/>
              <w:textAlignment w:val="center"/>
              <w:rPr>
                <w:rFonts w:cs="Times New Roman"/>
              </w:rPr>
            </w:pPr>
            <w:r>
              <w:rPr>
                <w:rFonts w:eastAsia="Arial Narrow" w:cs="Times New Roman"/>
                <w:color w:val="000000"/>
                <w:lang w:bidi="ar"/>
              </w:rPr>
              <w:t>5,000.00</w:t>
            </w:r>
          </w:p>
        </w:tc>
        <w:tc>
          <w:tcPr>
            <w:tcW w:w="719" w:type="pct"/>
            <w:vAlign w:val="center"/>
          </w:tcPr>
          <w:p w14:paraId="7D9F6D2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江苏南京市</w:t>
            </w:r>
          </w:p>
        </w:tc>
        <w:tc>
          <w:tcPr>
            <w:tcW w:w="394" w:type="pct"/>
            <w:vAlign w:val="center"/>
          </w:tcPr>
          <w:p w14:paraId="052E827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2C3B733E">
            <w:pPr>
              <w:jc w:val="right"/>
              <w:textAlignment w:val="center"/>
              <w:rPr>
                <w:rFonts w:cs="Times New Roman"/>
              </w:rPr>
            </w:pPr>
            <w:r>
              <w:rPr>
                <w:rFonts w:eastAsia="Arial Narrow" w:cs="Times New Roman"/>
                <w:color w:val="000000"/>
                <w:lang w:bidi="ar"/>
              </w:rPr>
              <w:t>100.00</w:t>
            </w:r>
          </w:p>
        </w:tc>
        <w:tc>
          <w:tcPr>
            <w:tcW w:w="259" w:type="pct"/>
            <w:vAlign w:val="center"/>
          </w:tcPr>
          <w:p w14:paraId="7A5464D8">
            <w:pPr>
              <w:jc w:val="right"/>
              <w:rPr>
                <w:rFonts w:cs="Times New Roman"/>
              </w:rPr>
            </w:pPr>
          </w:p>
        </w:tc>
        <w:tc>
          <w:tcPr>
            <w:tcW w:w="763" w:type="pct"/>
            <w:vAlign w:val="center"/>
          </w:tcPr>
          <w:p w14:paraId="7BFF280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0806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2ADA9A6F">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新疆际华服装科技有限公司</w:t>
            </w:r>
          </w:p>
        </w:tc>
        <w:tc>
          <w:tcPr>
            <w:tcW w:w="739" w:type="pct"/>
            <w:vAlign w:val="center"/>
          </w:tcPr>
          <w:p w14:paraId="1D0F8F0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新疆阿克苏市</w:t>
            </w:r>
          </w:p>
        </w:tc>
        <w:tc>
          <w:tcPr>
            <w:tcW w:w="486" w:type="pct"/>
            <w:vAlign w:val="center"/>
          </w:tcPr>
          <w:p w14:paraId="24B0CB65">
            <w:pPr>
              <w:jc w:val="right"/>
              <w:textAlignment w:val="center"/>
              <w:rPr>
                <w:rFonts w:cs="Times New Roman"/>
              </w:rPr>
            </w:pPr>
            <w:r>
              <w:rPr>
                <w:rFonts w:eastAsia="Arial Narrow" w:cs="Times New Roman"/>
                <w:color w:val="000000"/>
                <w:lang w:bidi="ar"/>
              </w:rPr>
              <w:t>2,200.00</w:t>
            </w:r>
          </w:p>
        </w:tc>
        <w:tc>
          <w:tcPr>
            <w:tcW w:w="719" w:type="pct"/>
            <w:vAlign w:val="center"/>
          </w:tcPr>
          <w:p w14:paraId="3DDE5CF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新疆阿克苏市</w:t>
            </w:r>
          </w:p>
        </w:tc>
        <w:tc>
          <w:tcPr>
            <w:tcW w:w="394" w:type="pct"/>
            <w:vAlign w:val="center"/>
          </w:tcPr>
          <w:p w14:paraId="6064706C">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369A05B5">
            <w:pPr>
              <w:jc w:val="right"/>
              <w:textAlignment w:val="center"/>
              <w:rPr>
                <w:rFonts w:cs="Times New Roman"/>
              </w:rPr>
            </w:pPr>
            <w:r>
              <w:rPr>
                <w:rFonts w:eastAsia="Arial Narrow" w:cs="Times New Roman"/>
                <w:color w:val="000000"/>
                <w:lang w:bidi="ar"/>
              </w:rPr>
              <w:t>100.00</w:t>
            </w:r>
          </w:p>
        </w:tc>
        <w:tc>
          <w:tcPr>
            <w:tcW w:w="259" w:type="pct"/>
            <w:vAlign w:val="center"/>
          </w:tcPr>
          <w:p w14:paraId="30060AAE">
            <w:pPr>
              <w:jc w:val="right"/>
              <w:rPr>
                <w:rFonts w:cs="Times New Roman"/>
              </w:rPr>
            </w:pPr>
          </w:p>
        </w:tc>
        <w:tc>
          <w:tcPr>
            <w:tcW w:w="763" w:type="pct"/>
            <w:vAlign w:val="center"/>
          </w:tcPr>
          <w:p w14:paraId="1FC8C53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33B3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51F20E7">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新疆际华科技产业发展有限公司</w:t>
            </w:r>
          </w:p>
        </w:tc>
        <w:tc>
          <w:tcPr>
            <w:tcW w:w="739" w:type="pct"/>
            <w:vAlign w:val="center"/>
          </w:tcPr>
          <w:p w14:paraId="0A429DD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新疆和田市</w:t>
            </w:r>
          </w:p>
        </w:tc>
        <w:tc>
          <w:tcPr>
            <w:tcW w:w="486" w:type="pct"/>
            <w:vAlign w:val="center"/>
          </w:tcPr>
          <w:p w14:paraId="6D923D0C">
            <w:pPr>
              <w:jc w:val="right"/>
              <w:textAlignment w:val="center"/>
              <w:rPr>
                <w:rFonts w:cs="Times New Roman"/>
              </w:rPr>
            </w:pPr>
            <w:r>
              <w:rPr>
                <w:rFonts w:eastAsia="Arial Narrow" w:cs="Times New Roman"/>
                <w:color w:val="000000"/>
                <w:lang w:bidi="ar"/>
              </w:rPr>
              <w:t>1,000.00</w:t>
            </w:r>
          </w:p>
        </w:tc>
        <w:tc>
          <w:tcPr>
            <w:tcW w:w="719" w:type="pct"/>
            <w:vAlign w:val="center"/>
          </w:tcPr>
          <w:p w14:paraId="51FD5BF8">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新疆和田市</w:t>
            </w:r>
          </w:p>
        </w:tc>
        <w:tc>
          <w:tcPr>
            <w:tcW w:w="394" w:type="pct"/>
            <w:vAlign w:val="center"/>
          </w:tcPr>
          <w:p w14:paraId="5FFC819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5F0F175A">
            <w:pPr>
              <w:jc w:val="right"/>
              <w:textAlignment w:val="center"/>
              <w:rPr>
                <w:rFonts w:cs="Times New Roman"/>
              </w:rPr>
            </w:pPr>
            <w:r>
              <w:rPr>
                <w:rFonts w:eastAsia="Arial Narrow" w:cs="Times New Roman"/>
                <w:color w:val="000000"/>
                <w:lang w:bidi="ar"/>
              </w:rPr>
              <w:t>51.00</w:t>
            </w:r>
          </w:p>
        </w:tc>
        <w:tc>
          <w:tcPr>
            <w:tcW w:w="259" w:type="pct"/>
            <w:vAlign w:val="center"/>
          </w:tcPr>
          <w:p w14:paraId="4F8548EB">
            <w:pPr>
              <w:jc w:val="right"/>
              <w:rPr>
                <w:rFonts w:cs="Times New Roman"/>
              </w:rPr>
            </w:pPr>
          </w:p>
        </w:tc>
        <w:tc>
          <w:tcPr>
            <w:tcW w:w="763" w:type="pct"/>
            <w:vAlign w:val="center"/>
          </w:tcPr>
          <w:p w14:paraId="515D95E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6896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35BB0E12">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际华置业（兰州）有限公司</w:t>
            </w:r>
          </w:p>
        </w:tc>
        <w:tc>
          <w:tcPr>
            <w:tcW w:w="739" w:type="pct"/>
            <w:vAlign w:val="center"/>
          </w:tcPr>
          <w:p w14:paraId="709D52B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甘肃省兰州市</w:t>
            </w:r>
          </w:p>
        </w:tc>
        <w:tc>
          <w:tcPr>
            <w:tcW w:w="486" w:type="pct"/>
            <w:vAlign w:val="center"/>
          </w:tcPr>
          <w:p w14:paraId="7162C59A">
            <w:pPr>
              <w:jc w:val="right"/>
              <w:textAlignment w:val="center"/>
              <w:rPr>
                <w:rFonts w:cs="Times New Roman"/>
              </w:rPr>
            </w:pPr>
            <w:r>
              <w:rPr>
                <w:rFonts w:eastAsia="Arial Narrow" w:cs="Times New Roman"/>
                <w:color w:val="000000"/>
                <w:lang w:bidi="ar"/>
              </w:rPr>
              <w:t>800.00</w:t>
            </w:r>
          </w:p>
        </w:tc>
        <w:tc>
          <w:tcPr>
            <w:tcW w:w="719" w:type="pct"/>
            <w:vAlign w:val="center"/>
          </w:tcPr>
          <w:p w14:paraId="7605228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甘肃省兰州市</w:t>
            </w:r>
          </w:p>
        </w:tc>
        <w:tc>
          <w:tcPr>
            <w:tcW w:w="394" w:type="pct"/>
            <w:vAlign w:val="center"/>
          </w:tcPr>
          <w:p w14:paraId="044A7FDE">
            <w:pPr>
              <w:jc w:val="center"/>
              <w:textAlignment w:val="center"/>
              <w:rPr>
                <w:rFonts w:asciiTheme="minorEastAsia" w:hAnsiTheme="minorEastAsia" w:eastAsiaTheme="minorEastAsia" w:cstheme="minorEastAsia"/>
                <w:color w:val="000000"/>
                <w:lang w:bidi="ar"/>
              </w:rPr>
            </w:pPr>
            <w:r>
              <w:rPr>
                <w:rFonts w:hint="eastAsia" w:asciiTheme="minorEastAsia" w:hAnsiTheme="minorEastAsia" w:eastAsiaTheme="minorEastAsia" w:cstheme="minorEastAsia"/>
                <w:color w:val="000000"/>
                <w:lang w:bidi="ar"/>
              </w:rPr>
              <w:t>房地产</w:t>
            </w:r>
          </w:p>
          <w:p w14:paraId="5448CB2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开发</w:t>
            </w:r>
          </w:p>
        </w:tc>
        <w:tc>
          <w:tcPr>
            <w:tcW w:w="333" w:type="pct"/>
            <w:vAlign w:val="center"/>
          </w:tcPr>
          <w:p w14:paraId="33D788B9">
            <w:pPr>
              <w:jc w:val="right"/>
              <w:textAlignment w:val="center"/>
              <w:rPr>
                <w:rFonts w:cs="Times New Roman"/>
              </w:rPr>
            </w:pPr>
            <w:r>
              <w:rPr>
                <w:rFonts w:eastAsia="Arial Narrow" w:cs="Times New Roman"/>
                <w:color w:val="000000"/>
                <w:lang w:bidi="ar"/>
              </w:rPr>
              <w:t>100.00</w:t>
            </w:r>
          </w:p>
        </w:tc>
        <w:tc>
          <w:tcPr>
            <w:tcW w:w="259" w:type="pct"/>
            <w:vAlign w:val="center"/>
          </w:tcPr>
          <w:p w14:paraId="02E726E2">
            <w:pPr>
              <w:jc w:val="right"/>
              <w:rPr>
                <w:rFonts w:cs="Times New Roman"/>
              </w:rPr>
            </w:pPr>
          </w:p>
        </w:tc>
        <w:tc>
          <w:tcPr>
            <w:tcW w:w="763" w:type="pct"/>
            <w:vAlign w:val="center"/>
          </w:tcPr>
          <w:p w14:paraId="4ADDE9A6">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5552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4645C833">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新疆华锦生态纺织印染有限责任公司</w:t>
            </w:r>
          </w:p>
        </w:tc>
        <w:tc>
          <w:tcPr>
            <w:tcW w:w="739" w:type="pct"/>
            <w:vAlign w:val="center"/>
          </w:tcPr>
          <w:p w14:paraId="4A74871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新疆库尔勒市</w:t>
            </w:r>
          </w:p>
        </w:tc>
        <w:tc>
          <w:tcPr>
            <w:tcW w:w="486" w:type="pct"/>
            <w:vAlign w:val="center"/>
          </w:tcPr>
          <w:p w14:paraId="59B30729">
            <w:pPr>
              <w:jc w:val="right"/>
              <w:textAlignment w:val="center"/>
              <w:rPr>
                <w:rFonts w:cs="Times New Roman"/>
              </w:rPr>
            </w:pPr>
            <w:r>
              <w:rPr>
                <w:rFonts w:eastAsia="Arial Narrow" w:cs="Times New Roman"/>
                <w:color w:val="000000"/>
                <w:lang w:bidi="ar"/>
              </w:rPr>
              <w:t>16,500.00</w:t>
            </w:r>
          </w:p>
        </w:tc>
        <w:tc>
          <w:tcPr>
            <w:tcW w:w="719" w:type="pct"/>
            <w:vAlign w:val="center"/>
          </w:tcPr>
          <w:p w14:paraId="1EBBA822">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新疆库尔勒市</w:t>
            </w:r>
          </w:p>
        </w:tc>
        <w:tc>
          <w:tcPr>
            <w:tcW w:w="394" w:type="pct"/>
            <w:vAlign w:val="center"/>
          </w:tcPr>
          <w:p w14:paraId="17CDCA21">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333" w:type="pct"/>
            <w:vAlign w:val="center"/>
          </w:tcPr>
          <w:p w14:paraId="7C6515F1">
            <w:pPr>
              <w:jc w:val="right"/>
              <w:textAlignment w:val="center"/>
              <w:rPr>
                <w:rFonts w:cs="Times New Roman"/>
              </w:rPr>
            </w:pPr>
            <w:r>
              <w:rPr>
                <w:rFonts w:eastAsia="Arial Narrow" w:cs="Times New Roman"/>
                <w:color w:val="000000"/>
                <w:lang w:bidi="ar"/>
              </w:rPr>
              <w:t>100.00</w:t>
            </w:r>
          </w:p>
        </w:tc>
        <w:tc>
          <w:tcPr>
            <w:tcW w:w="259" w:type="pct"/>
            <w:vAlign w:val="center"/>
          </w:tcPr>
          <w:p w14:paraId="5C9E2F0D">
            <w:pPr>
              <w:jc w:val="right"/>
              <w:rPr>
                <w:rFonts w:cs="Times New Roman"/>
              </w:rPr>
            </w:pPr>
          </w:p>
        </w:tc>
        <w:tc>
          <w:tcPr>
            <w:tcW w:w="763" w:type="pct"/>
            <w:vAlign w:val="center"/>
          </w:tcPr>
          <w:p w14:paraId="1FD34F1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r w14:paraId="64D5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vAlign w:val="center"/>
          </w:tcPr>
          <w:p w14:paraId="5670CF9B">
            <w:pP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天津兴华科技产业有限公司</w:t>
            </w:r>
          </w:p>
        </w:tc>
        <w:tc>
          <w:tcPr>
            <w:tcW w:w="739" w:type="pct"/>
            <w:vAlign w:val="center"/>
          </w:tcPr>
          <w:p w14:paraId="3AC4BE5D">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486" w:type="pct"/>
            <w:vAlign w:val="center"/>
          </w:tcPr>
          <w:p w14:paraId="2335ECA3">
            <w:pPr>
              <w:jc w:val="right"/>
              <w:textAlignment w:val="center"/>
              <w:rPr>
                <w:rFonts w:cs="Times New Roman"/>
              </w:rPr>
            </w:pPr>
            <w:r>
              <w:rPr>
                <w:rFonts w:eastAsia="Arial Narrow" w:cs="Times New Roman"/>
                <w:color w:val="000000"/>
                <w:lang w:bidi="ar"/>
              </w:rPr>
              <w:t>100.00</w:t>
            </w:r>
          </w:p>
        </w:tc>
        <w:tc>
          <w:tcPr>
            <w:tcW w:w="719" w:type="pct"/>
            <w:vAlign w:val="center"/>
          </w:tcPr>
          <w:p w14:paraId="4CD3E05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天津市</w:t>
            </w:r>
          </w:p>
        </w:tc>
        <w:tc>
          <w:tcPr>
            <w:tcW w:w="394" w:type="pct"/>
            <w:vAlign w:val="center"/>
          </w:tcPr>
          <w:p w14:paraId="319A235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科技推广和应用服务业</w:t>
            </w:r>
          </w:p>
        </w:tc>
        <w:tc>
          <w:tcPr>
            <w:tcW w:w="333" w:type="pct"/>
            <w:vAlign w:val="center"/>
          </w:tcPr>
          <w:p w14:paraId="7078EFB4">
            <w:pPr>
              <w:jc w:val="right"/>
              <w:textAlignment w:val="center"/>
              <w:rPr>
                <w:rFonts w:cs="Times New Roman"/>
              </w:rPr>
            </w:pPr>
            <w:r>
              <w:rPr>
                <w:rFonts w:eastAsia="Arial Narrow" w:cs="Times New Roman"/>
                <w:color w:val="000000"/>
                <w:lang w:bidi="ar"/>
              </w:rPr>
              <w:t>100.00</w:t>
            </w:r>
          </w:p>
        </w:tc>
        <w:tc>
          <w:tcPr>
            <w:tcW w:w="259" w:type="pct"/>
            <w:vAlign w:val="center"/>
          </w:tcPr>
          <w:p w14:paraId="715D52C7">
            <w:pPr>
              <w:jc w:val="right"/>
              <w:rPr>
                <w:rFonts w:cs="Times New Roman"/>
              </w:rPr>
            </w:pPr>
          </w:p>
        </w:tc>
        <w:tc>
          <w:tcPr>
            <w:tcW w:w="763" w:type="pct"/>
            <w:vAlign w:val="center"/>
          </w:tcPr>
          <w:p w14:paraId="7DF11AE9">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出资设立</w:t>
            </w:r>
          </w:p>
        </w:tc>
      </w:tr>
    </w:tbl>
    <w:p w14:paraId="6C733F65">
      <w:pPr>
        <w:pStyle w:val="55"/>
      </w:pPr>
    </w:p>
    <w:p w14:paraId="00E6ADC8">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在子公司的持股比例不同于表决权比例的说明：</w:t>
      </w:r>
    </w:p>
    <w:p w14:paraId="289D4557">
      <w:pPr>
        <w:rPr>
          <w:rFonts w:cs="Arial"/>
          <w:color w:val="000000" w:themeColor="text1"/>
          <w14:textFill>
            <w14:solidFill>
              <w14:schemeClr w14:val="tx1"/>
            </w14:solidFill>
          </w14:textFill>
        </w:rPr>
      </w:pPr>
      <w:sdt>
        <w:sdtPr>
          <w:rPr>
            <w:rFonts w:cs="Arial"/>
            <w:color w:val="000000" w:themeColor="text1"/>
            <w14:textFill>
              <w14:solidFill>
                <w14:schemeClr w14:val="tx1"/>
              </w14:solidFill>
            </w14:textFill>
          </w:rPr>
          <w:alias w:val="在子公司的持股比例不同于表决权比例的说明"/>
          <w:tag w:val="_GBC_f369e5dd5f6e430ebbede4953d1e5b82"/>
          <w:id w:val="147475681"/>
          <w:placeholder>
            <w:docPart w:val="GBC22222222222222222222222222222"/>
          </w:placeholder>
        </w:sdtPr>
        <w:sdtEndPr>
          <w:rPr>
            <w:rFonts w:cs="Arial"/>
            <w:color w:val="000000" w:themeColor="text1"/>
            <w14:textFill>
              <w14:solidFill>
                <w14:schemeClr w14:val="tx1"/>
              </w14:solidFill>
            </w14:textFill>
          </w:rPr>
        </w:sdtEndPr>
        <w:sdtContent>
          <w:r>
            <w:rPr>
              <w:rFonts w:hint="eastAsia" w:cs="Arial"/>
              <w:color w:val="000000" w:themeColor="text1"/>
              <w14:textFill>
                <w14:solidFill>
                  <w14:schemeClr w14:val="tx1"/>
                </w14:solidFill>
              </w14:textFill>
            </w:rPr>
            <w:t xml:space="preserve">    南京际华国润过滤技术有限公司章程约定：公司设董事会，成员为5人，南京际华三五二一环保科技有限公司委派3名，山东怀信环境科技有限公司委派1名，璟坤过滤技术（上海）有限公司委派1名。董事会会议的表决权实行一人一票，董事会作出决议，必须过半数董事通过。</w:t>
          </w:r>
        </w:sdtContent>
      </w:sdt>
    </w:p>
    <w:p w14:paraId="125DA7E4">
      <w:pPr>
        <w:rPr>
          <w:rFonts w:cs="Arial"/>
          <w:color w:val="000000" w:themeColor="text1"/>
          <w14:textFill>
            <w14:solidFill>
              <w14:schemeClr w14:val="tx1"/>
            </w14:solidFill>
          </w14:textFill>
        </w:rPr>
      </w:pPr>
    </w:p>
    <w:p w14:paraId="5218B350">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持有半数或以下表决权但仍控制被投资单位、以及持有半数以上表决权但不控制被投资单位的依据：</w:t>
      </w:r>
    </w:p>
    <w:sdt>
      <w:sdtPr>
        <w:rPr>
          <w:rFonts w:cs="Arial"/>
          <w:color w:val="000000" w:themeColor="text1"/>
          <w14:textFill>
            <w14:solidFill>
              <w14:schemeClr w14:val="tx1"/>
            </w14:solidFill>
          </w14:textFill>
        </w:rPr>
        <w:alias w:val="持有半数或以下表决权但仍控制被投资单位、以及持有半数以上表决权但不控制被投资单位的依据"/>
        <w:tag w:val="_GBC_140bd5da597c40feaa9310db1d6dc624"/>
        <w:id w:val="147453268"/>
        <w:placeholder>
          <w:docPart w:val="GBC22222222222222222222222222222"/>
        </w:placeholder>
      </w:sdtPr>
      <w:sdtEndPr>
        <w:rPr>
          <w:rFonts w:cs="Arial"/>
          <w:color w:val="000000" w:themeColor="text1"/>
          <w14:textFill>
            <w14:solidFill>
              <w14:schemeClr w14:val="tx1"/>
            </w14:solidFill>
          </w14:textFill>
        </w:rPr>
      </w:sdtEndPr>
      <w:sdtContent>
        <w:p w14:paraId="44DDEE84">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 xml:space="preserve">    2012年5月，本公司与母公司新兴际华集团有限公司共同对新兴际华国际贸易有限公司（以下简称“际华国贸”）进行增资，增资完成后，本公司持有际华国贸49%股权，新兴际华持有其51%股权。根据新兴际华与本公司的协议，际华国贸执行董事由本公司派出，新兴际华委托本公司决定际华国贸的财务和经营政策，同意际华国贸由本公司实际控制，纳入本公司合并范围。</w:t>
          </w:r>
        </w:p>
      </w:sdtContent>
    </w:sdt>
    <w:p w14:paraId="1A2CB0F1">
      <w:pPr>
        <w:rPr>
          <w:rFonts w:cs="Arial"/>
          <w:color w:val="000000" w:themeColor="text1"/>
          <w14:textFill>
            <w14:solidFill>
              <w14:schemeClr w14:val="tx1"/>
            </w14:solidFill>
          </w14:textFill>
        </w:rPr>
      </w:pPr>
    </w:p>
    <w:p w14:paraId="7134D028">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对于纳入合并范围的重要的结构化主体，控制的依据：</w:t>
      </w:r>
    </w:p>
    <w:sdt>
      <w:sdtPr>
        <w:rPr>
          <w:rFonts w:hint="eastAsia" w:cs="Arial"/>
          <w:color w:val="000000" w:themeColor="text1"/>
          <w14:textFill>
            <w14:solidFill>
              <w14:schemeClr w14:val="tx1"/>
            </w14:solidFill>
          </w14:textFill>
        </w:rPr>
        <w:alias w:val="对于纳入合并范围的重要的结构化主体，控制的依据"/>
        <w:tag w:val="_GBC_2d237439b4094e01b636ce2eb1be2008"/>
        <w:id w:val="147478243"/>
        <w:placeholder>
          <w:docPart w:val="GBC22222222222222222222222222222"/>
        </w:placeholder>
      </w:sdtPr>
      <w:sdtEndPr>
        <w:rPr>
          <w:rFonts w:hint="eastAsia" w:cs="Arial"/>
          <w:color w:val="000000" w:themeColor="text1"/>
          <w14:textFill>
            <w14:solidFill>
              <w14:schemeClr w14:val="tx1"/>
            </w14:solidFill>
          </w14:textFill>
        </w:rPr>
      </w:sdtEndPr>
      <w:sdtContent>
        <w:p w14:paraId="74EF4038">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14:paraId="6E1DCE80">
      <w:pPr>
        <w:rPr>
          <w:rFonts w:cs="Arial"/>
          <w:color w:val="000000" w:themeColor="text1"/>
          <w14:textFill>
            <w14:solidFill>
              <w14:schemeClr w14:val="tx1"/>
            </w14:solidFill>
          </w14:textFill>
        </w:rPr>
      </w:pPr>
    </w:p>
    <w:p w14:paraId="3FDDA987">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确定公司是代理人还是委托人的依据：</w:t>
      </w:r>
    </w:p>
    <w:sdt>
      <w:sdtPr>
        <w:rPr>
          <w:rFonts w:hint="eastAsia" w:cs="Arial"/>
          <w:color w:val="000000" w:themeColor="text1"/>
          <w14:textFill>
            <w14:solidFill>
              <w14:schemeClr w14:val="tx1"/>
            </w14:solidFill>
          </w14:textFill>
        </w:rPr>
        <w:alias w:val="确定公司是代理人还是委托人的依据"/>
        <w:tag w:val="_GBC_6e0bd1ebb4c2474da455b4f5a3a59699"/>
        <w:id w:val="147460048"/>
        <w:placeholder>
          <w:docPart w:val="GBC22222222222222222222222222222"/>
        </w:placeholder>
      </w:sdtPr>
      <w:sdtEndPr>
        <w:rPr>
          <w:rFonts w:hint="eastAsia" w:cs="Arial"/>
          <w:color w:val="000000" w:themeColor="text1"/>
          <w14:textFill>
            <w14:solidFill>
              <w14:schemeClr w14:val="tx1"/>
            </w14:solidFill>
          </w14:textFill>
        </w:rPr>
      </w:sdtEndPr>
      <w:sdtContent>
        <w:p w14:paraId="5F9867FF">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 xml:space="preserve">    2012 年5月，本公司与母公司新兴际华集团有限公司共同对际华国贸进行增资，增资完成后，本公司持有际华国贸49%股权，新兴际华持有其51%股权。根据新兴际华与本公司的协议，际华国贸执行董事由本公司派出，新兴际华委托本公司决定际华国贸的财务和经营政策，同意际华国贸由本公司实际控制，纳入本公司合并范围。</w:t>
          </w:r>
        </w:p>
      </w:sdtContent>
    </w:sdt>
    <w:p w14:paraId="18D297AD">
      <w:pPr>
        <w:rPr>
          <w:rFonts w:cs="Arial"/>
          <w:color w:val="000000" w:themeColor="text1"/>
          <w14:textFill>
            <w14:solidFill>
              <w14:schemeClr w14:val="tx1"/>
            </w14:solidFill>
          </w14:textFill>
        </w:rPr>
      </w:pPr>
    </w:p>
    <w:p w14:paraId="6D271983">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企业集团的构成的其他需要说明的事项"/>
        <w:tag w:val="_GBC_6b7d2d3a14224f7e90a4df3c02b8e3b3"/>
        <w:id w:val="147472715"/>
        <w:placeholder>
          <w:docPart w:val="GBC22222222222222222222222222222"/>
        </w:placeholder>
      </w:sdtPr>
      <w:sdtEndPr>
        <w:rPr>
          <w:rFonts w:cs="Arial"/>
          <w:color w:val="000000" w:themeColor="text1"/>
          <w14:textFill>
            <w14:solidFill>
              <w14:schemeClr w14:val="tx1"/>
            </w14:solidFill>
          </w14:textFill>
        </w:rPr>
      </w:sdtEndPr>
      <w:sdtContent>
        <w:p w14:paraId="6C11336A">
          <w:pPr>
            <w:rPr>
              <w:rFonts w:cstheme="minorBidi"/>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bookmarkEnd w:id="403"/>
    <w:p w14:paraId="3C79CAAD">
      <w:pPr>
        <w:rPr>
          <w:rFonts w:cs="Arial"/>
          <w:color w:val="000000" w:themeColor="text1"/>
          <w14:textFill>
            <w14:solidFill>
              <w14:schemeClr w14:val="tx1"/>
            </w14:solidFill>
          </w14:textFill>
        </w:rPr>
      </w:pPr>
    </w:p>
    <w:p w14:paraId="55641C31">
      <w:pPr>
        <w:pStyle w:val="58"/>
        <w:numPr>
          <w:ilvl w:val="3"/>
          <w:numId w:val="97"/>
        </w:numPr>
        <w:ind w:left="406" w:hanging="40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重要的非全资子公司</w:t>
      </w:r>
    </w:p>
    <w:sdt>
      <w:sdtPr>
        <w:rPr>
          <w:color w:val="000000" w:themeColor="text1"/>
          <w14:textFill>
            <w14:solidFill>
              <w14:schemeClr w14:val="tx1"/>
            </w14:solidFill>
          </w14:textFill>
        </w:rPr>
        <w:alias w:val="是否适用：重要的非全资子公司[双击切换]"/>
        <w:tag w:val="_GBC_b83f349d0d754e2d93b12d2112b4c3ec"/>
        <w:id w:val="147454181"/>
        <w:placeholder>
          <w:docPart w:val="GBC22222222222222222222222222222"/>
        </w:placeholder>
      </w:sdtPr>
      <w:sdtEndPr>
        <w:rPr>
          <w:color w:val="000000" w:themeColor="text1"/>
          <w14:textFill>
            <w14:solidFill>
              <w14:schemeClr w14:val="tx1"/>
            </w14:solidFill>
          </w14:textFill>
        </w:rPr>
      </w:sdtEndPr>
      <w:sdtContent>
        <w:p w14:paraId="7B4ECDA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4D6A2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非全资子公司"/>
          <w:tag w:val="_GBC_e5936e9952394755bacf71d437afcd44"/>
          <w:id w:val="14745895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非全资子公司"/>
          <w:tag w:val="_GBC_5ffac6aa0e464031b94de604fccc76c7"/>
          <w:id w:val="14745974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1"/>
        <w:gridCol w:w="2471"/>
        <w:gridCol w:w="3843"/>
        <w:gridCol w:w="3458"/>
      </w:tblGrid>
      <w:tr w14:paraId="0A52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rPr>
              <w:rFonts w:cs="Times New Roman"/>
            </w:rPr>
            <w:tag w:val="_PLD_214f5d23d0ff4cd08577f444026e3bf2"/>
            <w:id w:val="147480189"/>
          </w:sdtPr>
          <w:sdtEndPr>
            <w:rPr>
              <w:rFonts w:cs="Times New Roman"/>
            </w:rPr>
          </w:sdtEndPr>
          <w:sdtContent>
            <w:tc>
              <w:tcPr>
                <w:tcW w:w="1530" w:type="pct"/>
                <w:vAlign w:val="center"/>
              </w:tcPr>
              <w:p w14:paraId="7D64C64C">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子公司名称</w:t>
                </w:r>
              </w:p>
            </w:tc>
          </w:sdtContent>
        </w:sdt>
        <w:sdt>
          <w:sdtPr>
            <w:rPr>
              <w:rFonts w:cs="Times New Roman"/>
            </w:rPr>
            <w:tag w:val="_PLD_8f337a5f047e4f5eb2e03caf3b5ce2bb"/>
            <w:id w:val="147457358"/>
          </w:sdtPr>
          <w:sdtEndPr>
            <w:rPr>
              <w:rFonts w:cs="Times New Roman"/>
            </w:rPr>
          </w:sdtEndPr>
          <w:sdtContent>
            <w:tc>
              <w:tcPr>
                <w:tcW w:w="877" w:type="pct"/>
                <w:vAlign w:val="center"/>
              </w:tcPr>
              <w:p w14:paraId="08FFB81C">
                <w:pPr>
                  <w:jc w:val="center"/>
                  <w:rPr>
                    <w:rFonts w:cs="Times New Roman"/>
                    <w:bCs w:val="0"/>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少数股东持股</w:t>
                </w:r>
              </w:p>
              <w:p w14:paraId="103CC539">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比例</w:t>
                </w:r>
                <w:r>
                  <w:rPr>
                    <w:rFonts w:cs="Times New Roman"/>
                    <w:color w:val="000000" w:themeColor="text1"/>
                    <w14:textFill>
                      <w14:solidFill>
                        <w14:schemeClr w14:val="tx1"/>
                      </w14:solidFill>
                    </w14:textFill>
                  </w:rPr>
                  <w:t>（%）</w:t>
                </w:r>
              </w:p>
            </w:tc>
          </w:sdtContent>
        </w:sdt>
        <w:sdt>
          <w:sdtPr>
            <w:rPr>
              <w:rFonts w:cs="Times New Roman"/>
            </w:rPr>
            <w:tag w:val="_PLD_70aca7c8f09a4a579e632e06c25a6ab5"/>
            <w:id w:val="147466253"/>
          </w:sdtPr>
          <w:sdtEndPr>
            <w:rPr>
              <w:rFonts w:cs="Times New Roman"/>
            </w:rPr>
          </w:sdtEndPr>
          <w:sdtContent>
            <w:tc>
              <w:tcPr>
                <w:tcW w:w="1364" w:type="pct"/>
                <w:vAlign w:val="center"/>
              </w:tcPr>
              <w:p w14:paraId="06F9747C">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本期归属于少数股东的损益</w:t>
                </w:r>
              </w:p>
            </w:tc>
          </w:sdtContent>
        </w:sdt>
        <w:sdt>
          <w:sdtPr>
            <w:rPr>
              <w:rFonts w:cs="Times New Roman"/>
            </w:rPr>
            <w:tag w:val="_PLD_cea34ef7af164cc8816d90890b528f36"/>
            <w:id w:val="147460565"/>
          </w:sdtPr>
          <w:sdtEndPr>
            <w:rPr>
              <w:rFonts w:cs="Times New Roman"/>
            </w:rPr>
          </w:sdtEndPr>
          <w:sdtContent>
            <w:tc>
              <w:tcPr>
                <w:tcW w:w="1227" w:type="pct"/>
                <w:vAlign w:val="center"/>
              </w:tcPr>
              <w:p w14:paraId="4B750D94">
                <w:pPr>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期末少数股东权益余额</w:t>
                </w:r>
              </w:p>
            </w:tc>
          </w:sdtContent>
        </w:sdt>
      </w:tr>
      <w:tr w14:paraId="0770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pct"/>
            <w:vAlign w:val="center"/>
          </w:tcPr>
          <w:p w14:paraId="033AE1AA">
            <w:pPr>
              <w:jc w:val="center"/>
              <w:textAlignment w:val="center"/>
              <w:rPr>
                <w:rFonts w:cs="Times New Roman"/>
              </w:rPr>
            </w:pPr>
            <w:r>
              <w:rPr>
                <w:rFonts w:cs="Times New Roman"/>
                <w:color w:val="000000"/>
                <w:lang w:bidi="ar"/>
              </w:rPr>
              <w:t>湖北际华针织有限公司</w:t>
            </w:r>
          </w:p>
        </w:tc>
        <w:tc>
          <w:tcPr>
            <w:tcW w:w="877" w:type="pct"/>
            <w:vAlign w:val="center"/>
          </w:tcPr>
          <w:p w14:paraId="2F27EA47">
            <w:pPr>
              <w:jc w:val="right"/>
              <w:textAlignment w:val="center"/>
              <w:rPr>
                <w:rFonts w:cs="Times New Roman"/>
              </w:rPr>
            </w:pPr>
            <w:r>
              <w:rPr>
                <w:rFonts w:cs="Times New Roman"/>
                <w:color w:val="000000"/>
              </w:rPr>
              <w:t>49.00</w:t>
            </w:r>
          </w:p>
        </w:tc>
        <w:tc>
          <w:tcPr>
            <w:tcW w:w="1364" w:type="pct"/>
            <w:vAlign w:val="center"/>
          </w:tcPr>
          <w:p w14:paraId="5380AB3D">
            <w:pPr>
              <w:jc w:val="right"/>
              <w:textAlignment w:val="center"/>
              <w:rPr>
                <w:rFonts w:cs="Times New Roman"/>
              </w:rPr>
            </w:pPr>
            <w:r>
              <w:rPr>
                <w:rFonts w:cs="Times New Roman"/>
                <w:color w:val="000000"/>
              </w:rPr>
              <w:t>-1,814,920.55</w:t>
            </w:r>
          </w:p>
        </w:tc>
        <w:tc>
          <w:tcPr>
            <w:tcW w:w="1227" w:type="pct"/>
            <w:vAlign w:val="center"/>
          </w:tcPr>
          <w:p w14:paraId="02412300">
            <w:pPr>
              <w:jc w:val="right"/>
              <w:textAlignment w:val="center"/>
              <w:rPr>
                <w:rFonts w:cs="Times New Roman"/>
              </w:rPr>
            </w:pPr>
            <w:r>
              <w:rPr>
                <w:rFonts w:cs="Times New Roman"/>
                <w:color w:val="000000"/>
              </w:rPr>
              <w:t>86,364,842.59</w:t>
            </w:r>
          </w:p>
        </w:tc>
      </w:tr>
      <w:tr w14:paraId="4CD8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pct"/>
            <w:vAlign w:val="center"/>
          </w:tcPr>
          <w:p w14:paraId="0B4EF0FB">
            <w:pPr>
              <w:jc w:val="center"/>
              <w:textAlignment w:val="center"/>
              <w:rPr>
                <w:rFonts w:cs="Times New Roman"/>
              </w:rPr>
            </w:pPr>
            <w:r>
              <w:rPr>
                <w:rFonts w:cs="Times New Roman"/>
                <w:color w:val="000000"/>
                <w:lang w:bidi="ar"/>
              </w:rPr>
              <w:t>新兴际华国际贸易有限公司</w:t>
            </w:r>
          </w:p>
        </w:tc>
        <w:tc>
          <w:tcPr>
            <w:tcW w:w="877" w:type="pct"/>
            <w:vAlign w:val="center"/>
          </w:tcPr>
          <w:p w14:paraId="3E2FFCFC">
            <w:pPr>
              <w:jc w:val="right"/>
              <w:textAlignment w:val="center"/>
              <w:rPr>
                <w:rFonts w:cs="Times New Roman"/>
              </w:rPr>
            </w:pPr>
            <w:r>
              <w:rPr>
                <w:rFonts w:cs="Times New Roman"/>
                <w:color w:val="000000"/>
              </w:rPr>
              <w:t>51.00</w:t>
            </w:r>
          </w:p>
        </w:tc>
        <w:tc>
          <w:tcPr>
            <w:tcW w:w="1364" w:type="pct"/>
            <w:vAlign w:val="center"/>
          </w:tcPr>
          <w:p w14:paraId="15D77D8F">
            <w:pPr>
              <w:jc w:val="right"/>
              <w:textAlignment w:val="center"/>
              <w:rPr>
                <w:rFonts w:cs="Times New Roman"/>
              </w:rPr>
            </w:pPr>
            <w:r>
              <w:rPr>
                <w:rFonts w:cs="Times New Roman"/>
                <w:color w:val="000000"/>
              </w:rPr>
              <w:t>529,010.25</w:t>
            </w:r>
          </w:p>
        </w:tc>
        <w:tc>
          <w:tcPr>
            <w:tcW w:w="1227" w:type="pct"/>
            <w:vAlign w:val="center"/>
          </w:tcPr>
          <w:p w14:paraId="26C365FD">
            <w:pPr>
              <w:jc w:val="right"/>
              <w:textAlignment w:val="center"/>
              <w:rPr>
                <w:rFonts w:cs="Times New Roman"/>
              </w:rPr>
            </w:pPr>
            <w:r>
              <w:rPr>
                <w:rFonts w:cs="Times New Roman"/>
                <w:color w:val="000000"/>
              </w:rPr>
              <w:t>-171,533,938.65</w:t>
            </w:r>
          </w:p>
        </w:tc>
      </w:tr>
    </w:tbl>
    <w:p w14:paraId="496C5D58">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子公司少数股东的持股比例不同于表决权比例的说明：</w:t>
      </w:r>
    </w:p>
    <w:sdt>
      <w:sdtPr>
        <w:rPr>
          <w:rFonts w:cs="Arial"/>
          <w:color w:val="000000" w:themeColor="text1"/>
          <w14:textFill>
            <w14:solidFill>
              <w14:schemeClr w14:val="tx1"/>
            </w14:solidFill>
          </w14:textFill>
        </w:rPr>
        <w:alias w:val="是否适用：子公司少数股东的持股比例不同于表决权比例的说明[双击切换]"/>
        <w:tag w:val="_GBC_8bf91d6e05c644d1b37f5d88e434cb9e"/>
        <w:id w:val="147473004"/>
        <w:placeholder>
          <w:docPart w:val="GBC22222222222222222222222222222"/>
        </w:placeholder>
      </w:sdtPr>
      <w:sdtEndPr>
        <w:rPr>
          <w:rFonts w:cs="Arial"/>
          <w:color w:val="000000" w:themeColor="text1"/>
          <w14:textFill>
            <w14:solidFill>
              <w14:schemeClr w14:val="tx1"/>
            </w14:solidFill>
          </w14:textFill>
        </w:rPr>
      </w:sdtEndPr>
      <w:sdtContent>
        <w:p w14:paraId="714C40A2">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14:paraId="4DA28CEC">
      <w:pPr>
        <w:rPr>
          <w:rFonts w:cs="Arial"/>
          <w:color w:val="000000" w:themeColor="text1"/>
          <w14:textFill>
            <w14:solidFill>
              <w14:schemeClr w14:val="tx1"/>
            </w14:solidFill>
          </w14:textFill>
        </w:rPr>
      </w:pPr>
      <w:sdt>
        <w:sdtPr>
          <w:rPr>
            <w:rFonts w:cs="Arial"/>
            <w:color w:val="000000" w:themeColor="text1"/>
            <w14:textFill>
              <w14:solidFill>
                <w14:schemeClr w14:val="tx1"/>
              </w14:solidFill>
            </w14:textFill>
          </w:rPr>
          <w:alias w:val="子公司少数股东的持股比例不同于表决权比例的原因说明"/>
          <w:tag w:val="_GBC_fbc604c8ca7f4a248fbf762126693e45"/>
          <w:id w:val="147465480"/>
          <w:placeholder>
            <w:docPart w:val="GBC22222222222222222222222222222"/>
          </w:placeholder>
        </w:sdtPr>
        <w:sdtEndPr>
          <w:rPr>
            <w:rFonts w:cs="Arial"/>
            <w:color w:val="000000" w:themeColor="text1"/>
            <w14:textFill>
              <w14:solidFill>
                <w14:schemeClr w14:val="tx1"/>
              </w14:solidFill>
            </w14:textFill>
          </w:rPr>
        </w:sdtEndPr>
        <w:sdtContent>
          <w:r>
            <w:rPr>
              <w:rFonts w:hint="eastAsia" w:cs="Arial"/>
              <w:color w:val="000000" w:themeColor="text1"/>
              <w14:textFill>
                <w14:solidFill>
                  <w14:schemeClr w14:val="tx1"/>
                </w14:solidFill>
              </w14:textFill>
            </w:rPr>
            <w:t xml:space="preserve">    2012 年5月，本公司与母公司新兴际华集团有限公司共同对际华国贸进行增资，增资完成后，本公司持有际华国贸49%股权，新兴际华持有其51%股权。根据新兴际华与本公司的协议，际华国贸执行董事由本公司派出，新兴际华委托本公司决定际华国贸的财务和经营政策，同意际华国贸由本公司实际控制，纳入本公司合并范围。</w:t>
          </w:r>
        </w:sdtContent>
      </w:sdt>
    </w:p>
    <w:p w14:paraId="5AFBEE52">
      <w:pPr>
        <w:rPr>
          <w:rFonts w:cs="Arial"/>
          <w:color w:val="000000" w:themeColor="text1"/>
          <w14:textFill>
            <w14:solidFill>
              <w14:schemeClr w14:val="tx1"/>
            </w14:solidFill>
          </w14:textFill>
        </w:rPr>
      </w:pPr>
    </w:p>
    <w:p w14:paraId="49CCAC7D">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重要的非全资子公司其他说明[双击切换]"/>
        <w:tag w:val="_GBC_c511ac7f8f1f42bfa9130e28b68d1f19"/>
        <w:id w:val="147482974"/>
        <w:placeholder>
          <w:docPart w:val="GBC22222222222222222222222222222"/>
        </w:placeholder>
      </w:sdtPr>
      <w:sdtEndPr>
        <w:rPr>
          <w:rFonts w:cs="Arial"/>
          <w:color w:val="000000" w:themeColor="text1"/>
          <w14:textFill>
            <w14:solidFill>
              <w14:schemeClr w14:val="tx1"/>
            </w14:solidFill>
          </w14:textFill>
        </w:rPr>
      </w:sdtEndPr>
      <w:sdtContent>
        <w:p w14:paraId="1345D2E4">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14:paraId="676D9E86">
      <w:pPr>
        <w:rPr>
          <w:rFonts w:cs="Arial"/>
          <w:color w:val="000000" w:themeColor="text1"/>
          <w14:textFill>
            <w14:solidFill>
              <w14:schemeClr w14:val="tx1"/>
            </w14:solidFill>
          </w14:textFill>
        </w:rPr>
      </w:pPr>
    </w:p>
    <w:p w14:paraId="25CC3948">
      <w:pPr>
        <w:pStyle w:val="58"/>
        <w:numPr>
          <w:ilvl w:val="3"/>
          <w:numId w:val="97"/>
        </w:numPr>
        <w:ind w:left="406" w:hanging="40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重要非全资子公司的主要财务信息</w:t>
      </w:r>
    </w:p>
    <w:sdt>
      <w:sdtPr>
        <w:rPr>
          <w:color w:val="000000" w:themeColor="text1"/>
          <w14:textFill>
            <w14:solidFill>
              <w14:schemeClr w14:val="tx1"/>
            </w14:solidFill>
          </w14:textFill>
        </w:rPr>
        <w:alias w:val="是否适用：重要非全资子公司的主要财务信息[双击切换]"/>
        <w:tag w:val="_GBC_c10a7c42e39b4ac9a711e2e9d367799e"/>
        <w:id w:val="147471342"/>
        <w:placeholder>
          <w:docPart w:val="GBC22222222222222222222222222222"/>
        </w:placeholder>
      </w:sdtPr>
      <w:sdtEndPr>
        <w:rPr>
          <w:color w:val="000000" w:themeColor="text1"/>
          <w14:textFill>
            <w14:solidFill>
              <w14:schemeClr w14:val="tx1"/>
            </w14:solidFill>
          </w14:textFill>
        </w:rPr>
      </w:sdtEndPr>
      <w:sdtContent>
        <w:p w14:paraId="7371E96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99B1C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非全资子公司的主要财务信息"/>
          <w:tag w:val="_GBC_ba918360b15748859fb63cacad1f617d"/>
          <w:id w:val="1474542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非全资子公司的主要财务信息"/>
          <w:tag w:val="_GBC_af5cc4f1e7a74e3d8f9c9fea25fdf05f"/>
          <w:id w:val="1474658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084"/>
        <w:gridCol w:w="1085"/>
        <w:gridCol w:w="1085"/>
        <w:gridCol w:w="1085"/>
        <w:gridCol w:w="1085"/>
        <w:gridCol w:w="1085"/>
        <w:gridCol w:w="1085"/>
        <w:gridCol w:w="1085"/>
        <w:gridCol w:w="1085"/>
        <w:gridCol w:w="1085"/>
        <w:gridCol w:w="1085"/>
        <w:gridCol w:w="1071"/>
      </w:tblGrid>
      <w:tr w14:paraId="0C4F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rPr>
              <w:rFonts w:cs="Times New Roman"/>
            </w:rPr>
            <w:tag w:val="_PLD_e65ae60c1beb4e5aa4e9c5250ffb188a"/>
            <w:id w:val="147464620"/>
          </w:sdtPr>
          <w:sdtEndPr>
            <w:rPr>
              <w:rFonts w:cs="Times New Roman"/>
            </w:rPr>
          </w:sdtEndPr>
          <w:sdtContent>
            <w:tc>
              <w:tcPr>
                <w:tcW w:w="385" w:type="pct"/>
                <w:vMerge w:val="restart"/>
                <w:vAlign w:val="center"/>
              </w:tcPr>
              <w:p w14:paraId="2E8EA341">
                <w:pPr>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子公司名称</w:t>
                </w:r>
              </w:p>
            </w:tc>
          </w:sdtContent>
        </w:sdt>
        <w:sdt>
          <w:sdtPr>
            <w:rPr>
              <w:rFonts w:cs="Times New Roman"/>
            </w:rPr>
            <w:tag w:val="_PLD_878e21e6ce5e466eb427e7200cc9e5bb"/>
            <w:id w:val="147476871"/>
          </w:sdtPr>
          <w:sdtEndPr>
            <w:rPr>
              <w:rFonts w:cs="Times New Roman"/>
            </w:rPr>
          </w:sdtEndPr>
          <w:sdtContent>
            <w:tc>
              <w:tcPr>
                <w:tcW w:w="2310" w:type="pct"/>
                <w:gridSpan w:val="6"/>
                <w:vAlign w:val="center"/>
              </w:tcPr>
              <w:p w14:paraId="6C179E64">
                <w:pPr>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期末余额</w:t>
                </w:r>
              </w:p>
            </w:tc>
          </w:sdtContent>
        </w:sdt>
        <w:sdt>
          <w:sdtPr>
            <w:rPr>
              <w:rFonts w:cs="Times New Roman"/>
            </w:rPr>
            <w:tag w:val="_PLD_86b93e4e78424106874bd84d54fb24df"/>
            <w:id w:val="147464646"/>
          </w:sdtPr>
          <w:sdtEndPr>
            <w:rPr>
              <w:rFonts w:cs="Times New Roman"/>
            </w:rPr>
          </w:sdtEndPr>
          <w:sdtContent>
            <w:tc>
              <w:tcPr>
                <w:tcW w:w="2304" w:type="pct"/>
                <w:gridSpan w:val="6"/>
                <w:vAlign w:val="center"/>
              </w:tcPr>
              <w:p w14:paraId="1CBFE51D">
                <w:pPr>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期初余额</w:t>
                </w:r>
              </w:p>
            </w:tc>
          </w:sdtContent>
        </w:sdt>
      </w:tr>
      <w:tr w14:paraId="4516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385" w:type="pct"/>
            <w:vMerge w:val="continue"/>
            <w:vAlign w:val="center"/>
          </w:tcPr>
          <w:p w14:paraId="64BD6D69">
            <w:pPr>
              <w:rPr>
                <w:rFonts w:cs="Times New Roman"/>
                <w:bCs w:val="0"/>
                <w:color w:val="000000" w:themeColor="text1"/>
                <w14:textFill>
                  <w14:solidFill>
                    <w14:schemeClr w14:val="tx1"/>
                  </w14:solidFill>
                </w14:textFill>
              </w:rPr>
            </w:pPr>
          </w:p>
        </w:tc>
        <w:sdt>
          <w:sdtPr>
            <w:rPr>
              <w:rFonts w:cs="Times New Roman"/>
            </w:rPr>
            <w:tag w:val="_PLD_0154d63f3f2c482ebe0cf00460d87fbd"/>
            <w:id w:val="147456811"/>
          </w:sdtPr>
          <w:sdtEndPr>
            <w:rPr>
              <w:rFonts w:cs="Times New Roman"/>
            </w:rPr>
          </w:sdtEndPr>
          <w:sdtContent>
            <w:tc>
              <w:tcPr>
                <w:tcW w:w="385" w:type="pct"/>
                <w:vAlign w:val="center"/>
              </w:tcPr>
              <w:p w14:paraId="0DCEC156">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流动资产</w:t>
                </w:r>
              </w:p>
            </w:tc>
          </w:sdtContent>
        </w:sdt>
        <w:sdt>
          <w:sdtPr>
            <w:rPr>
              <w:rFonts w:cs="Times New Roman"/>
            </w:rPr>
            <w:tag w:val="_PLD_0f817c02730447aca042c6a931d447e8"/>
            <w:id w:val="147477474"/>
          </w:sdtPr>
          <w:sdtEndPr>
            <w:rPr>
              <w:rFonts w:cs="Times New Roman"/>
            </w:rPr>
          </w:sdtEndPr>
          <w:sdtContent>
            <w:tc>
              <w:tcPr>
                <w:tcW w:w="385" w:type="pct"/>
                <w:vAlign w:val="center"/>
              </w:tcPr>
              <w:p w14:paraId="2C9BF877">
                <w:pPr>
                  <w:ind w:left="-40" w:right="-97"/>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非流动资产</w:t>
                </w:r>
              </w:p>
            </w:tc>
          </w:sdtContent>
        </w:sdt>
        <w:sdt>
          <w:sdtPr>
            <w:rPr>
              <w:rFonts w:cs="Times New Roman"/>
            </w:rPr>
            <w:tag w:val="_PLD_553e0814e94f491784b88cc5aa7d6adb"/>
            <w:id w:val="147456278"/>
          </w:sdtPr>
          <w:sdtEndPr>
            <w:rPr>
              <w:rFonts w:cs="Times New Roman"/>
            </w:rPr>
          </w:sdtEndPr>
          <w:sdtContent>
            <w:tc>
              <w:tcPr>
                <w:tcW w:w="385" w:type="pct"/>
                <w:vAlign w:val="center"/>
              </w:tcPr>
              <w:p w14:paraId="3FFF3F82">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资产合计</w:t>
                </w:r>
              </w:p>
            </w:tc>
          </w:sdtContent>
        </w:sdt>
        <w:sdt>
          <w:sdtPr>
            <w:rPr>
              <w:rFonts w:cs="Times New Roman"/>
            </w:rPr>
            <w:tag w:val="_PLD_3db84901ffa544afb174531f0384a82f"/>
            <w:id w:val="147480900"/>
          </w:sdtPr>
          <w:sdtEndPr>
            <w:rPr>
              <w:rFonts w:cs="Times New Roman"/>
            </w:rPr>
          </w:sdtEndPr>
          <w:sdtContent>
            <w:tc>
              <w:tcPr>
                <w:tcW w:w="385" w:type="pct"/>
                <w:vAlign w:val="center"/>
              </w:tcPr>
              <w:p w14:paraId="4C270296">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流动负债</w:t>
                </w:r>
              </w:p>
            </w:tc>
          </w:sdtContent>
        </w:sdt>
        <w:sdt>
          <w:sdtPr>
            <w:rPr>
              <w:rFonts w:cs="Times New Roman"/>
            </w:rPr>
            <w:tag w:val="_PLD_50c217cc437b4c3496e1aab622fba053"/>
            <w:id w:val="147453930"/>
          </w:sdtPr>
          <w:sdtEndPr>
            <w:rPr>
              <w:rFonts w:cs="Times New Roman"/>
            </w:rPr>
          </w:sdtEndPr>
          <w:sdtContent>
            <w:tc>
              <w:tcPr>
                <w:tcW w:w="385" w:type="pct"/>
                <w:vAlign w:val="center"/>
              </w:tcPr>
              <w:p w14:paraId="2996E5C8">
                <w:pPr>
                  <w:ind w:left="-40" w:right="-97"/>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非流动负债</w:t>
                </w:r>
              </w:p>
            </w:tc>
          </w:sdtContent>
        </w:sdt>
        <w:sdt>
          <w:sdtPr>
            <w:rPr>
              <w:rFonts w:cs="Times New Roman"/>
            </w:rPr>
            <w:tag w:val="_PLD_ccd9a8d3652e4485a763cfb37eb6fa37"/>
            <w:id w:val="147456694"/>
          </w:sdtPr>
          <w:sdtEndPr>
            <w:rPr>
              <w:rFonts w:cs="Times New Roman"/>
            </w:rPr>
          </w:sdtEndPr>
          <w:sdtContent>
            <w:tc>
              <w:tcPr>
                <w:tcW w:w="385" w:type="pct"/>
                <w:vAlign w:val="center"/>
              </w:tcPr>
              <w:p w14:paraId="65EBD1FF">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负债合计</w:t>
                </w:r>
              </w:p>
            </w:tc>
          </w:sdtContent>
        </w:sdt>
        <w:sdt>
          <w:sdtPr>
            <w:rPr>
              <w:rFonts w:cs="Times New Roman"/>
            </w:rPr>
            <w:tag w:val="_PLD_ec07cd6513b74d49b586125d4b66dd0a"/>
            <w:id w:val="147478826"/>
          </w:sdtPr>
          <w:sdtEndPr>
            <w:rPr>
              <w:rFonts w:cs="Times New Roman"/>
            </w:rPr>
          </w:sdtEndPr>
          <w:sdtContent>
            <w:tc>
              <w:tcPr>
                <w:tcW w:w="385" w:type="pct"/>
                <w:vAlign w:val="center"/>
              </w:tcPr>
              <w:p w14:paraId="4D31AD20">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流动资产</w:t>
                </w:r>
              </w:p>
            </w:tc>
          </w:sdtContent>
        </w:sdt>
        <w:sdt>
          <w:sdtPr>
            <w:rPr>
              <w:rFonts w:cs="Times New Roman"/>
            </w:rPr>
            <w:tag w:val="_PLD_fb97ce65ab144768b4fb9978546fce37"/>
            <w:id w:val="147458071"/>
          </w:sdtPr>
          <w:sdtEndPr>
            <w:rPr>
              <w:rFonts w:cs="Times New Roman"/>
            </w:rPr>
          </w:sdtEndPr>
          <w:sdtContent>
            <w:tc>
              <w:tcPr>
                <w:tcW w:w="385" w:type="pct"/>
                <w:vAlign w:val="center"/>
              </w:tcPr>
              <w:p w14:paraId="6A8C730F">
                <w:pPr>
                  <w:ind w:left="-40" w:right="-97"/>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非流动资产</w:t>
                </w:r>
              </w:p>
            </w:tc>
          </w:sdtContent>
        </w:sdt>
        <w:sdt>
          <w:sdtPr>
            <w:rPr>
              <w:rFonts w:cs="Times New Roman"/>
            </w:rPr>
            <w:tag w:val="_PLD_412845ecfd2e45e8ae03b43cf8ca32f4"/>
            <w:id w:val="147480579"/>
          </w:sdtPr>
          <w:sdtEndPr>
            <w:rPr>
              <w:rFonts w:cs="Times New Roman"/>
            </w:rPr>
          </w:sdtEndPr>
          <w:sdtContent>
            <w:tc>
              <w:tcPr>
                <w:tcW w:w="385" w:type="pct"/>
                <w:vAlign w:val="center"/>
              </w:tcPr>
              <w:p w14:paraId="537D48F0">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资产合计</w:t>
                </w:r>
              </w:p>
            </w:tc>
          </w:sdtContent>
        </w:sdt>
        <w:sdt>
          <w:sdtPr>
            <w:rPr>
              <w:rFonts w:cs="Times New Roman"/>
            </w:rPr>
            <w:tag w:val="_PLD_2a24724c66b442e994f401266a55d5df"/>
            <w:id w:val="147453816"/>
          </w:sdtPr>
          <w:sdtEndPr>
            <w:rPr>
              <w:rFonts w:cs="Times New Roman"/>
            </w:rPr>
          </w:sdtEndPr>
          <w:sdtContent>
            <w:tc>
              <w:tcPr>
                <w:tcW w:w="385" w:type="pct"/>
                <w:vAlign w:val="center"/>
              </w:tcPr>
              <w:p w14:paraId="6347C58A">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流动负债</w:t>
                </w:r>
              </w:p>
            </w:tc>
          </w:sdtContent>
        </w:sdt>
        <w:sdt>
          <w:sdtPr>
            <w:rPr>
              <w:rFonts w:cs="Times New Roman"/>
            </w:rPr>
            <w:tag w:val="_PLD_937f557a5cdb4ea99a0a914e755f781f"/>
            <w:id w:val="147467140"/>
          </w:sdtPr>
          <w:sdtEndPr>
            <w:rPr>
              <w:rFonts w:cs="Times New Roman"/>
            </w:rPr>
          </w:sdtEndPr>
          <w:sdtContent>
            <w:tc>
              <w:tcPr>
                <w:tcW w:w="385" w:type="pct"/>
                <w:vAlign w:val="center"/>
              </w:tcPr>
              <w:p w14:paraId="73CC2185">
                <w:pPr>
                  <w:ind w:left="-40" w:right="-97"/>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非流动负债</w:t>
                </w:r>
              </w:p>
            </w:tc>
          </w:sdtContent>
        </w:sdt>
        <w:sdt>
          <w:sdtPr>
            <w:rPr>
              <w:rFonts w:cs="Times New Roman"/>
            </w:rPr>
            <w:tag w:val="_PLD_c4b998a44f394e1eb0924a4f19409ff8"/>
            <w:id w:val="147478508"/>
          </w:sdtPr>
          <w:sdtEndPr>
            <w:rPr>
              <w:rFonts w:cs="Times New Roman"/>
            </w:rPr>
          </w:sdtEndPr>
          <w:sdtContent>
            <w:tc>
              <w:tcPr>
                <w:tcW w:w="380" w:type="pct"/>
                <w:vAlign w:val="center"/>
              </w:tcPr>
              <w:p w14:paraId="1E78B354">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负债合计</w:t>
                </w:r>
              </w:p>
            </w:tc>
          </w:sdtContent>
        </w:sdt>
      </w:tr>
      <w:tr w14:paraId="17D4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346D0465">
            <w:pPr>
              <w:jc w:val="center"/>
              <w:textAlignment w:val="center"/>
              <w:rPr>
                <w:rFonts w:cs="Times New Roman"/>
              </w:rPr>
            </w:pPr>
            <w:r>
              <w:rPr>
                <w:rFonts w:cs="Times New Roman"/>
                <w:color w:val="000000"/>
                <w:lang w:bidi="ar"/>
              </w:rPr>
              <w:t>湖北际华针织有限公司</w:t>
            </w:r>
          </w:p>
        </w:tc>
        <w:tc>
          <w:tcPr>
            <w:tcW w:w="385" w:type="pct"/>
            <w:vAlign w:val="center"/>
          </w:tcPr>
          <w:p w14:paraId="6D05F42F">
            <w:pPr>
              <w:jc w:val="right"/>
              <w:textAlignment w:val="center"/>
              <w:rPr>
                <w:rFonts w:cs="Times New Roman"/>
              </w:rPr>
            </w:pPr>
            <w:r>
              <w:rPr>
                <w:rFonts w:cs="Times New Roman"/>
                <w:color w:val="000000"/>
              </w:rPr>
              <w:t>14,536.58</w:t>
            </w:r>
          </w:p>
        </w:tc>
        <w:tc>
          <w:tcPr>
            <w:tcW w:w="385" w:type="pct"/>
            <w:vAlign w:val="center"/>
          </w:tcPr>
          <w:p w14:paraId="76336B4F">
            <w:pPr>
              <w:jc w:val="right"/>
              <w:textAlignment w:val="center"/>
              <w:rPr>
                <w:rFonts w:cs="Times New Roman"/>
              </w:rPr>
            </w:pPr>
            <w:r>
              <w:rPr>
                <w:rFonts w:cs="Times New Roman"/>
                <w:color w:val="000000"/>
              </w:rPr>
              <w:t>8,524.78</w:t>
            </w:r>
          </w:p>
        </w:tc>
        <w:tc>
          <w:tcPr>
            <w:tcW w:w="385" w:type="pct"/>
            <w:vAlign w:val="center"/>
          </w:tcPr>
          <w:p w14:paraId="4442DF82">
            <w:pPr>
              <w:jc w:val="right"/>
              <w:textAlignment w:val="center"/>
              <w:rPr>
                <w:rFonts w:cs="Times New Roman"/>
              </w:rPr>
            </w:pPr>
            <w:r>
              <w:rPr>
                <w:rFonts w:cs="Times New Roman"/>
                <w:color w:val="000000"/>
              </w:rPr>
              <w:t>23,061.36</w:t>
            </w:r>
          </w:p>
        </w:tc>
        <w:tc>
          <w:tcPr>
            <w:tcW w:w="385" w:type="pct"/>
            <w:vAlign w:val="center"/>
          </w:tcPr>
          <w:p w14:paraId="4AE8DC20">
            <w:pPr>
              <w:jc w:val="right"/>
              <w:textAlignment w:val="center"/>
              <w:rPr>
                <w:rFonts w:cs="Times New Roman"/>
              </w:rPr>
            </w:pPr>
            <w:r>
              <w:rPr>
                <w:rFonts w:cs="Times New Roman"/>
                <w:color w:val="000000"/>
              </w:rPr>
              <w:t>5,435.88</w:t>
            </w:r>
          </w:p>
        </w:tc>
        <w:tc>
          <w:tcPr>
            <w:tcW w:w="385" w:type="pct"/>
            <w:vAlign w:val="center"/>
          </w:tcPr>
          <w:p w14:paraId="42743E23">
            <w:pPr>
              <w:jc w:val="right"/>
              <w:rPr>
                <w:rFonts w:cs="Times New Roman"/>
              </w:rPr>
            </w:pPr>
          </w:p>
        </w:tc>
        <w:tc>
          <w:tcPr>
            <w:tcW w:w="385" w:type="pct"/>
            <w:vAlign w:val="center"/>
          </w:tcPr>
          <w:p w14:paraId="053237E5">
            <w:pPr>
              <w:jc w:val="right"/>
              <w:textAlignment w:val="center"/>
              <w:rPr>
                <w:rFonts w:cs="Times New Roman"/>
              </w:rPr>
            </w:pPr>
            <w:r>
              <w:rPr>
                <w:rFonts w:cs="Times New Roman"/>
                <w:color w:val="000000"/>
              </w:rPr>
              <w:t>5,435.88</w:t>
            </w:r>
          </w:p>
        </w:tc>
        <w:tc>
          <w:tcPr>
            <w:tcW w:w="385" w:type="pct"/>
            <w:vAlign w:val="center"/>
          </w:tcPr>
          <w:p w14:paraId="3CC3D46B">
            <w:pPr>
              <w:jc w:val="right"/>
              <w:textAlignment w:val="center"/>
              <w:rPr>
                <w:rFonts w:cs="Times New Roman"/>
              </w:rPr>
            </w:pPr>
            <w:r>
              <w:rPr>
                <w:rFonts w:cs="Times New Roman"/>
                <w:color w:val="000000"/>
              </w:rPr>
              <w:t>14,137.02</w:t>
            </w:r>
          </w:p>
        </w:tc>
        <w:tc>
          <w:tcPr>
            <w:tcW w:w="385" w:type="pct"/>
            <w:vAlign w:val="center"/>
          </w:tcPr>
          <w:p w14:paraId="7D6D3709">
            <w:pPr>
              <w:jc w:val="right"/>
              <w:textAlignment w:val="center"/>
              <w:rPr>
                <w:rFonts w:cs="Times New Roman"/>
              </w:rPr>
            </w:pPr>
            <w:r>
              <w:rPr>
                <w:rFonts w:cs="Times New Roman"/>
                <w:color w:val="000000"/>
              </w:rPr>
              <w:t>8,430.08</w:t>
            </w:r>
          </w:p>
        </w:tc>
        <w:tc>
          <w:tcPr>
            <w:tcW w:w="385" w:type="pct"/>
            <w:vAlign w:val="center"/>
          </w:tcPr>
          <w:p w14:paraId="7E7C548D">
            <w:pPr>
              <w:jc w:val="right"/>
              <w:textAlignment w:val="center"/>
              <w:rPr>
                <w:rFonts w:cs="Times New Roman"/>
              </w:rPr>
            </w:pPr>
            <w:r>
              <w:rPr>
                <w:rFonts w:cs="Times New Roman"/>
                <w:color w:val="000000"/>
              </w:rPr>
              <w:t>22,567.10</w:t>
            </w:r>
          </w:p>
        </w:tc>
        <w:tc>
          <w:tcPr>
            <w:tcW w:w="385" w:type="pct"/>
            <w:vAlign w:val="center"/>
          </w:tcPr>
          <w:p w14:paraId="4EEA317B">
            <w:pPr>
              <w:jc w:val="right"/>
              <w:textAlignment w:val="center"/>
              <w:rPr>
                <w:rFonts w:cs="Times New Roman"/>
              </w:rPr>
            </w:pPr>
            <w:r>
              <w:rPr>
                <w:rFonts w:cs="Times New Roman"/>
                <w:color w:val="000000"/>
              </w:rPr>
              <w:t>4,571.23</w:t>
            </w:r>
          </w:p>
        </w:tc>
        <w:tc>
          <w:tcPr>
            <w:tcW w:w="385" w:type="pct"/>
            <w:vAlign w:val="center"/>
          </w:tcPr>
          <w:p w14:paraId="48785ED2">
            <w:pPr>
              <w:jc w:val="right"/>
              <w:rPr>
                <w:rFonts w:cs="Times New Roman"/>
              </w:rPr>
            </w:pPr>
          </w:p>
        </w:tc>
        <w:tc>
          <w:tcPr>
            <w:tcW w:w="380" w:type="pct"/>
            <w:vAlign w:val="center"/>
          </w:tcPr>
          <w:p w14:paraId="0D60C98B">
            <w:pPr>
              <w:jc w:val="right"/>
              <w:textAlignment w:val="center"/>
              <w:rPr>
                <w:rFonts w:cs="Times New Roman"/>
              </w:rPr>
            </w:pPr>
            <w:r>
              <w:rPr>
                <w:rFonts w:cs="Times New Roman"/>
                <w:color w:val="000000"/>
              </w:rPr>
              <w:t>4,571.23</w:t>
            </w:r>
          </w:p>
        </w:tc>
      </w:tr>
      <w:tr w14:paraId="760D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14:paraId="06B2760A">
            <w:pPr>
              <w:jc w:val="center"/>
              <w:textAlignment w:val="center"/>
              <w:rPr>
                <w:rFonts w:cs="Times New Roman"/>
              </w:rPr>
            </w:pPr>
            <w:r>
              <w:rPr>
                <w:rFonts w:cs="Times New Roman"/>
                <w:color w:val="000000"/>
                <w:lang w:bidi="ar"/>
              </w:rPr>
              <w:t>新兴际华国际贸易有限公司</w:t>
            </w:r>
          </w:p>
        </w:tc>
        <w:tc>
          <w:tcPr>
            <w:tcW w:w="385" w:type="pct"/>
            <w:vAlign w:val="center"/>
          </w:tcPr>
          <w:p w14:paraId="236EE498">
            <w:pPr>
              <w:jc w:val="right"/>
              <w:textAlignment w:val="center"/>
              <w:rPr>
                <w:rFonts w:cs="Times New Roman"/>
              </w:rPr>
            </w:pPr>
            <w:r>
              <w:rPr>
                <w:rFonts w:cs="Times New Roman"/>
                <w:color w:val="000000"/>
              </w:rPr>
              <w:t>21,696.15</w:t>
            </w:r>
          </w:p>
        </w:tc>
        <w:tc>
          <w:tcPr>
            <w:tcW w:w="385" w:type="pct"/>
            <w:vAlign w:val="center"/>
          </w:tcPr>
          <w:p w14:paraId="1F60809F">
            <w:pPr>
              <w:jc w:val="right"/>
              <w:textAlignment w:val="center"/>
              <w:rPr>
                <w:rFonts w:cs="Times New Roman"/>
              </w:rPr>
            </w:pPr>
            <w:r>
              <w:rPr>
                <w:rFonts w:cs="Times New Roman"/>
                <w:color w:val="000000"/>
              </w:rPr>
              <w:t>1,453.25</w:t>
            </w:r>
          </w:p>
        </w:tc>
        <w:tc>
          <w:tcPr>
            <w:tcW w:w="385" w:type="pct"/>
            <w:vAlign w:val="center"/>
          </w:tcPr>
          <w:p w14:paraId="27C4F3B9">
            <w:pPr>
              <w:jc w:val="right"/>
              <w:textAlignment w:val="center"/>
              <w:rPr>
                <w:rFonts w:cs="Times New Roman"/>
              </w:rPr>
            </w:pPr>
            <w:r>
              <w:rPr>
                <w:rFonts w:cs="Times New Roman"/>
                <w:color w:val="000000"/>
              </w:rPr>
              <w:t>23,149.40</w:t>
            </w:r>
          </w:p>
        </w:tc>
        <w:tc>
          <w:tcPr>
            <w:tcW w:w="385" w:type="pct"/>
            <w:vAlign w:val="center"/>
          </w:tcPr>
          <w:p w14:paraId="1E2733B8">
            <w:pPr>
              <w:jc w:val="right"/>
              <w:textAlignment w:val="center"/>
              <w:rPr>
                <w:rFonts w:cs="Times New Roman"/>
              </w:rPr>
            </w:pPr>
            <w:r>
              <w:rPr>
                <w:rFonts w:cs="Times New Roman"/>
                <w:color w:val="000000"/>
              </w:rPr>
              <w:t>56,783.51</w:t>
            </w:r>
          </w:p>
        </w:tc>
        <w:tc>
          <w:tcPr>
            <w:tcW w:w="385" w:type="pct"/>
            <w:vAlign w:val="center"/>
          </w:tcPr>
          <w:p w14:paraId="53B2410A">
            <w:pPr>
              <w:jc w:val="right"/>
              <w:rPr>
                <w:rFonts w:cs="Times New Roman"/>
              </w:rPr>
            </w:pPr>
          </w:p>
        </w:tc>
        <w:tc>
          <w:tcPr>
            <w:tcW w:w="385" w:type="pct"/>
            <w:vAlign w:val="center"/>
          </w:tcPr>
          <w:p w14:paraId="6C32D87D">
            <w:pPr>
              <w:jc w:val="right"/>
              <w:textAlignment w:val="center"/>
              <w:rPr>
                <w:rFonts w:cs="Times New Roman"/>
              </w:rPr>
            </w:pPr>
            <w:r>
              <w:rPr>
                <w:rFonts w:cs="Times New Roman"/>
                <w:color w:val="000000"/>
              </w:rPr>
              <w:t>56,783.51</w:t>
            </w:r>
          </w:p>
        </w:tc>
        <w:tc>
          <w:tcPr>
            <w:tcW w:w="385" w:type="pct"/>
            <w:vAlign w:val="center"/>
          </w:tcPr>
          <w:p w14:paraId="52EF6471">
            <w:pPr>
              <w:jc w:val="right"/>
              <w:textAlignment w:val="center"/>
              <w:rPr>
                <w:rFonts w:cs="Times New Roman"/>
              </w:rPr>
            </w:pPr>
            <w:r>
              <w:rPr>
                <w:rFonts w:cs="Times New Roman"/>
                <w:color w:val="000000"/>
              </w:rPr>
              <w:t>18,885.73</w:t>
            </w:r>
          </w:p>
        </w:tc>
        <w:tc>
          <w:tcPr>
            <w:tcW w:w="385" w:type="pct"/>
            <w:vAlign w:val="center"/>
          </w:tcPr>
          <w:p w14:paraId="413D4C49">
            <w:pPr>
              <w:jc w:val="right"/>
              <w:textAlignment w:val="center"/>
              <w:rPr>
                <w:rFonts w:cs="Times New Roman"/>
              </w:rPr>
            </w:pPr>
            <w:r>
              <w:rPr>
                <w:rFonts w:cs="Times New Roman"/>
                <w:color w:val="000000"/>
              </w:rPr>
              <w:t>1,453.99</w:t>
            </w:r>
          </w:p>
        </w:tc>
        <w:tc>
          <w:tcPr>
            <w:tcW w:w="385" w:type="pct"/>
            <w:vAlign w:val="center"/>
          </w:tcPr>
          <w:p w14:paraId="3DD5C642">
            <w:pPr>
              <w:jc w:val="right"/>
              <w:textAlignment w:val="center"/>
              <w:rPr>
                <w:rFonts w:cs="Times New Roman"/>
              </w:rPr>
            </w:pPr>
            <w:r>
              <w:rPr>
                <w:rFonts w:cs="Times New Roman"/>
                <w:color w:val="000000"/>
              </w:rPr>
              <w:t>20,339.72</w:t>
            </w:r>
          </w:p>
        </w:tc>
        <w:tc>
          <w:tcPr>
            <w:tcW w:w="385" w:type="pct"/>
            <w:vAlign w:val="center"/>
          </w:tcPr>
          <w:p w14:paraId="09EE2EFF">
            <w:pPr>
              <w:jc w:val="right"/>
              <w:textAlignment w:val="center"/>
              <w:rPr>
                <w:rFonts w:cs="Times New Roman"/>
              </w:rPr>
            </w:pPr>
            <w:r>
              <w:rPr>
                <w:rFonts w:cs="Times New Roman"/>
                <w:color w:val="000000"/>
              </w:rPr>
              <w:t>54,077.55</w:t>
            </w:r>
          </w:p>
        </w:tc>
        <w:tc>
          <w:tcPr>
            <w:tcW w:w="385" w:type="pct"/>
            <w:vAlign w:val="center"/>
          </w:tcPr>
          <w:p w14:paraId="59D60BAA">
            <w:pPr>
              <w:jc w:val="right"/>
              <w:rPr>
                <w:rFonts w:cs="Times New Roman"/>
              </w:rPr>
            </w:pPr>
          </w:p>
        </w:tc>
        <w:tc>
          <w:tcPr>
            <w:tcW w:w="380" w:type="pct"/>
            <w:vAlign w:val="center"/>
          </w:tcPr>
          <w:p w14:paraId="2CB9EFD4">
            <w:pPr>
              <w:jc w:val="right"/>
              <w:textAlignment w:val="center"/>
              <w:rPr>
                <w:rFonts w:cs="Times New Roman"/>
              </w:rPr>
            </w:pPr>
            <w:r>
              <w:rPr>
                <w:rFonts w:cs="Times New Roman"/>
                <w:color w:val="000000"/>
              </w:rPr>
              <w:t>54,077.55</w:t>
            </w:r>
          </w:p>
        </w:tc>
      </w:tr>
    </w:tbl>
    <w:p w14:paraId="19E1C6D1">
      <w:pPr>
        <w:rPr>
          <w:rFonts w:cs="Arial"/>
          <w:color w:val="000000" w:themeColor="text1"/>
          <w14:textFill>
            <w14:solidFill>
              <w14:schemeClr w14:val="tx1"/>
            </w14:solidFill>
          </w14:textFill>
        </w:rPr>
      </w:pP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7"/>
        <w:gridCol w:w="1403"/>
        <w:gridCol w:w="1341"/>
        <w:gridCol w:w="1485"/>
        <w:gridCol w:w="1643"/>
        <w:gridCol w:w="1403"/>
        <w:gridCol w:w="1341"/>
        <w:gridCol w:w="1485"/>
        <w:gridCol w:w="1641"/>
      </w:tblGrid>
      <w:tr w14:paraId="2663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rPr>
              <w:rFonts w:cs="Times New Roman"/>
            </w:rPr>
            <w:tag w:val="_PLD_87ab97227e5642b988e110c5a28abb39"/>
            <w:id w:val="147460510"/>
          </w:sdtPr>
          <w:sdtEndPr>
            <w:rPr>
              <w:rFonts w:cs="Times New Roman"/>
            </w:rPr>
          </w:sdtEndPr>
          <w:sdtContent>
            <w:tc>
              <w:tcPr>
                <w:tcW w:w="833" w:type="pct"/>
                <w:vMerge w:val="restart"/>
                <w:vAlign w:val="center"/>
              </w:tcPr>
              <w:p w14:paraId="30F02C05">
                <w:pPr>
                  <w:spacing w:line="276" w:lineRule="auto"/>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子公司名称</w:t>
                </w:r>
              </w:p>
            </w:tc>
          </w:sdtContent>
        </w:sdt>
        <w:sdt>
          <w:sdtPr>
            <w:rPr>
              <w:rFonts w:cs="Times New Roman"/>
            </w:rPr>
            <w:tag w:val="_PLD_85f8737cebf641b2aa266052f4118ba8"/>
            <w:id w:val="147463709"/>
          </w:sdtPr>
          <w:sdtEndPr>
            <w:rPr>
              <w:rFonts w:cs="Times New Roman"/>
            </w:rPr>
          </w:sdtEndPr>
          <w:sdtContent>
            <w:tc>
              <w:tcPr>
                <w:tcW w:w="2084" w:type="pct"/>
                <w:gridSpan w:val="4"/>
                <w:vAlign w:val="center"/>
              </w:tcPr>
              <w:p w14:paraId="4A4AE2DD">
                <w:pPr>
                  <w:spacing w:line="276" w:lineRule="auto"/>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本期发生额</w:t>
                </w:r>
              </w:p>
            </w:tc>
          </w:sdtContent>
        </w:sdt>
        <w:sdt>
          <w:sdtPr>
            <w:rPr>
              <w:rFonts w:cs="Times New Roman"/>
            </w:rPr>
            <w:tag w:val="_PLD_32dac50c80854f268b3afdebef20332e"/>
            <w:id w:val="147466484"/>
          </w:sdtPr>
          <w:sdtEndPr>
            <w:rPr>
              <w:rFonts w:cs="Times New Roman"/>
            </w:rPr>
          </w:sdtEndPr>
          <w:sdtContent>
            <w:tc>
              <w:tcPr>
                <w:tcW w:w="2083" w:type="pct"/>
                <w:gridSpan w:val="4"/>
                <w:vAlign w:val="center"/>
              </w:tcPr>
              <w:p w14:paraId="6E99A4D9">
                <w:pPr>
                  <w:spacing w:line="276" w:lineRule="auto"/>
                  <w:ind w:right="-16"/>
                  <w:jc w:val="center"/>
                  <w:rPr>
                    <w:rFonts w:cs="Times New Roman"/>
                    <w:bCs w:val="0"/>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上期发生额</w:t>
                </w:r>
              </w:p>
            </w:tc>
          </w:sdtContent>
        </w:sdt>
      </w:tr>
      <w:tr w14:paraId="69C4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833" w:type="pct"/>
            <w:vMerge w:val="continue"/>
            <w:vAlign w:val="center"/>
          </w:tcPr>
          <w:p w14:paraId="033F4EEA">
            <w:pPr>
              <w:jc w:val="center"/>
              <w:rPr>
                <w:rFonts w:cs="Times New Roman"/>
                <w:bCs w:val="0"/>
                <w:color w:val="000000" w:themeColor="text1"/>
                <w14:textFill>
                  <w14:solidFill>
                    <w14:schemeClr w14:val="tx1"/>
                  </w14:solidFill>
                </w14:textFill>
              </w:rPr>
            </w:pPr>
          </w:p>
        </w:tc>
        <w:sdt>
          <w:sdtPr>
            <w:rPr>
              <w:rFonts w:cs="Times New Roman"/>
            </w:rPr>
            <w:tag w:val="_PLD_29407a86c6924579a6442f5b24e6decd"/>
            <w:id w:val="147464259"/>
          </w:sdtPr>
          <w:sdtEndPr>
            <w:rPr>
              <w:rFonts w:cs="Times New Roman"/>
            </w:rPr>
          </w:sdtEndPr>
          <w:sdtContent>
            <w:tc>
              <w:tcPr>
                <w:tcW w:w="498" w:type="pct"/>
                <w:vAlign w:val="center"/>
              </w:tcPr>
              <w:p w14:paraId="2F53BA99">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营业收入</w:t>
                </w:r>
              </w:p>
            </w:tc>
          </w:sdtContent>
        </w:sdt>
        <w:sdt>
          <w:sdtPr>
            <w:rPr>
              <w:rFonts w:cs="Times New Roman"/>
            </w:rPr>
            <w:tag w:val="_PLD_bc59f1076f2243f8984efa8df921ad2c"/>
            <w:id w:val="147470441"/>
          </w:sdtPr>
          <w:sdtEndPr>
            <w:rPr>
              <w:rFonts w:cs="Times New Roman"/>
            </w:rPr>
          </w:sdtEndPr>
          <w:sdtContent>
            <w:tc>
              <w:tcPr>
                <w:tcW w:w="476" w:type="pct"/>
                <w:vAlign w:val="center"/>
              </w:tcPr>
              <w:p w14:paraId="0884B366">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净利润</w:t>
                </w:r>
              </w:p>
            </w:tc>
          </w:sdtContent>
        </w:sdt>
        <w:sdt>
          <w:sdtPr>
            <w:rPr>
              <w:rFonts w:cs="Times New Roman"/>
            </w:rPr>
            <w:tag w:val="_PLD_90f87c27e3fb4843892cceb85599a3b1"/>
            <w:id w:val="147481868"/>
          </w:sdtPr>
          <w:sdtEndPr>
            <w:rPr>
              <w:rFonts w:cs="Times New Roman"/>
            </w:rPr>
          </w:sdtEndPr>
          <w:sdtContent>
            <w:tc>
              <w:tcPr>
                <w:tcW w:w="527" w:type="pct"/>
                <w:vAlign w:val="center"/>
              </w:tcPr>
              <w:p w14:paraId="57348564">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综合收益总额</w:t>
                </w:r>
              </w:p>
            </w:tc>
          </w:sdtContent>
        </w:sdt>
        <w:sdt>
          <w:sdtPr>
            <w:rPr>
              <w:rFonts w:cs="Times New Roman"/>
            </w:rPr>
            <w:tag w:val="_PLD_3126fb1798f346de95a39458603c4301"/>
            <w:id w:val="147455132"/>
          </w:sdtPr>
          <w:sdtEndPr>
            <w:rPr>
              <w:rFonts w:cs="Times New Roman"/>
            </w:rPr>
          </w:sdtEndPr>
          <w:sdtContent>
            <w:tc>
              <w:tcPr>
                <w:tcW w:w="583" w:type="pct"/>
                <w:vAlign w:val="center"/>
              </w:tcPr>
              <w:p w14:paraId="7C0A6888">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经营活动现金流量</w:t>
                </w:r>
              </w:p>
            </w:tc>
          </w:sdtContent>
        </w:sdt>
        <w:sdt>
          <w:sdtPr>
            <w:rPr>
              <w:rFonts w:cs="Times New Roman"/>
            </w:rPr>
            <w:tag w:val="_PLD_44ccfb27fc6943ac84654ba7c7bef20e"/>
            <w:id w:val="147475219"/>
          </w:sdtPr>
          <w:sdtEndPr>
            <w:rPr>
              <w:rFonts w:cs="Times New Roman"/>
            </w:rPr>
          </w:sdtEndPr>
          <w:sdtContent>
            <w:tc>
              <w:tcPr>
                <w:tcW w:w="498" w:type="pct"/>
                <w:vAlign w:val="center"/>
              </w:tcPr>
              <w:p w14:paraId="318B6474">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营业收入</w:t>
                </w:r>
              </w:p>
            </w:tc>
          </w:sdtContent>
        </w:sdt>
        <w:sdt>
          <w:sdtPr>
            <w:rPr>
              <w:rFonts w:cs="Times New Roman"/>
            </w:rPr>
            <w:tag w:val="_PLD_c08aebbf24fa4b1aa2c4f79232c7c630"/>
            <w:id w:val="147475626"/>
          </w:sdtPr>
          <w:sdtEndPr>
            <w:rPr>
              <w:rFonts w:cs="Times New Roman"/>
            </w:rPr>
          </w:sdtEndPr>
          <w:sdtContent>
            <w:tc>
              <w:tcPr>
                <w:tcW w:w="476" w:type="pct"/>
                <w:vAlign w:val="center"/>
              </w:tcPr>
              <w:p w14:paraId="51B7FA57">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净利润</w:t>
                </w:r>
              </w:p>
            </w:tc>
          </w:sdtContent>
        </w:sdt>
        <w:sdt>
          <w:sdtPr>
            <w:rPr>
              <w:rFonts w:cs="Times New Roman"/>
            </w:rPr>
            <w:tag w:val="_PLD_0a377a03553f4d909179190a153a31b7"/>
            <w:id w:val="147462148"/>
          </w:sdtPr>
          <w:sdtEndPr>
            <w:rPr>
              <w:rFonts w:cs="Times New Roman"/>
            </w:rPr>
          </w:sdtEndPr>
          <w:sdtContent>
            <w:tc>
              <w:tcPr>
                <w:tcW w:w="527" w:type="pct"/>
                <w:vAlign w:val="center"/>
              </w:tcPr>
              <w:p w14:paraId="79603E9E">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综合收益总额</w:t>
                </w:r>
              </w:p>
            </w:tc>
          </w:sdtContent>
        </w:sdt>
        <w:sdt>
          <w:sdtPr>
            <w:rPr>
              <w:rFonts w:cs="Times New Roman"/>
            </w:rPr>
            <w:tag w:val="_PLD_400ec1e5e2cf42e5a9eea23ddbdbd572"/>
            <w:id w:val="147472485"/>
          </w:sdtPr>
          <w:sdtEndPr>
            <w:rPr>
              <w:rFonts w:cs="Times New Roman"/>
            </w:rPr>
          </w:sdtEndPr>
          <w:sdtContent>
            <w:tc>
              <w:tcPr>
                <w:tcW w:w="582" w:type="pct"/>
                <w:vAlign w:val="center"/>
              </w:tcPr>
              <w:p w14:paraId="12BDF056">
                <w:pPr>
                  <w:spacing w:line="276" w:lineRule="auto"/>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经营活动现金流量</w:t>
                </w:r>
              </w:p>
            </w:tc>
          </w:sdtContent>
        </w:sdt>
      </w:tr>
      <w:tr w14:paraId="3F24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14:paraId="41F32031">
            <w:pPr>
              <w:jc w:val="center"/>
              <w:textAlignment w:val="center"/>
              <w:rPr>
                <w:rFonts w:cs="Times New Roman"/>
              </w:rPr>
            </w:pPr>
            <w:r>
              <w:rPr>
                <w:rFonts w:cs="Times New Roman"/>
                <w:color w:val="000000"/>
                <w:lang w:bidi="ar"/>
              </w:rPr>
              <w:t>湖北际华针织有限公司</w:t>
            </w:r>
          </w:p>
        </w:tc>
        <w:tc>
          <w:tcPr>
            <w:tcW w:w="498" w:type="pct"/>
            <w:vAlign w:val="center"/>
          </w:tcPr>
          <w:p w14:paraId="75C8E7D2">
            <w:pPr>
              <w:jc w:val="right"/>
              <w:textAlignment w:val="center"/>
              <w:rPr>
                <w:rFonts w:cs="Times New Roman"/>
              </w:rPr>
            </w:pPr>
            <w:r>
              <w:rPr>
                <w:rFonts w:cs="Times New Roman"/>
                <w:color w:val="000000"/>
              </w:rPr>
              <w:t>4,295.65</w:t>
            </w:r>
          </w:p>
        </w:tc>
        <w:tc>
          <w:tcPr>
            <w:tcW w:w="476" w:type="pct"/>
            <w:vAlign w:val="center"/>
          </w:tcPr>
          <w:p w14:paraId="3B9F5D7F">
            <w:pPr>
              <w:jc w:val="right"/>
              <w:textAlignment w:val="center"/>
              <w:rPr>
                <w:rFonts w:cs="Times New Roman"/>
              </w:rPr>
            </w:pPr>
            <w:r>
              <w:rPr>
                <w:rFonts w:cs="Times New Roman"/>
                <w:color w:val="000000"/>
              </w:rPr>
              <w:t>-370.39</w:t>
            </w:r>
          </w:p>
        </w:tc>
        <w:tc>
          <w:tcPr>
            <w:tcW w:w="527" w:type="pct"/>
            <w:vAlign w:val="center"/>
          </w:tcPr>
          <w:p w14:paraId="68C9C83E">
            <w:pPr>
              <w:jc w:val="right"/>
              <w:textAlignment w:val="center"/>
              <w:rPr>
                <w:rFonts w:cs="Times New Roman"/>
              </w:rPr>
            </w:pPr>
            <w:r>
              <w:rPr>
                <w:rFonts w:cs="Times New Roman"/>
                <w:color w:val="000000"/>
              </w:rPr>
              <w:t>-370.39</w:t>
            </w:r>
          </w:p>
        </w:tc>
        <w:tc>
          <w:tcPr>
            <w:tcW w:w="583" w:type="pct"/>
            <w:vAlign w:val="center"/>
          </w:tcPr>
          <w:p w14:paraId="4BC19B1A">
            <w:pPr>
              <w:jc w:val="right"/>
              <w:textAlignment w:val="center"/>
              <w:rPr>
                <w:rFonts w:cs="Times New Roman"/>
              </w:rPr>
            </w:pPr>
            <w:r>
              <w:rPr>
                <w:rFonts w:cs="Times New Roman"/>
                <w:color w:val="000000"/>
              </w:rPr>
              <w:t>-967.10</w:t>
            </w:r>
          </w:p>
        </w:tc>
        <w:tc>
          <w:tcPr>
            <w:tcW w:w="498" w:type="pct"/>
            <w:vAlign w:val="center"/>
          </w:tcPr>
          <w:p w14:paraId="46DA1CB8">
            <w:pPr>
              <w:jc w:val="right"/>
              <w:textAlignment w:val="center"/>
              <w:rPr>
                <w:rFonts w:cs="Times New Roman"/>
              </w:rPr>
            </w:pPr>
            <w:r>
              <w:rPr>
                <w:rFonts w:cs="Times New Roman"/>
                <w:color w:val="000000"/>
              </w:rPr>
              <w:t>10,688.05</w:t>
            </w:r>
          </w:p>
        </w:tc>
        <w:tc>
          <w:tcPr>
            <w:tcW w:w="476" w:type="pct"/>
            <w:vAlign w:val="center"/>
          </w:tcPr>
          <w:p w14:paraId="1F981983">
            <w:pPr>
              <w:jc w:val="right"/>
              <w:textAlignment w:val="center"/>
              <w:rPr>
                <w:rFonts w:cs="Times New Roman"/>
              </w:rPr>
            </w:pPr>
            <w:r>
              <w:rPr>
                <w:rFonts w:cs="Times New Roman"/>
                <w:color w:val="000000"/>
              </w:rPr>
              <w:t>360.89</w:t>
            </w:r>
          </w:p>
        </w:tc>
        <w:tc>
          <w:tcPr>
            <w:tcW w:w="527" w:type="pct"/>
            <w:vAlign w:val="center"/>
          </w:tcPr>
          <w:p w14:paraId="3AB1D036">
            <w:pPr>
              <w:jc w:val="right"/>
              <w:textAlignment w:val="center"/>
              <w:rPr>
                <w:rFonts w:cs="Times New Roman"/>
              </w:rPr>
            </w:pPr>
            <w:r>
              <w:rPr>
                <w:rFonts w:cs="Times New Roman"/>
                <w:color w:val="000000"/>
              </w:rPr>
              <w:t>360.89</w:t>
            </w:r>
          </w:p>
        </w:tc>
        <w:tc>
          <w:tcPr>
            <w:tcW w:w="582" w:type="pct"/>
            <w:vAlign w:val="center"/>
          </w:tcPr>
          <w:p w14:paraId="4DF71D64">
            <w:pPr>
              <w:jc w:val="right"/>
              <w:textAlignment w:val="center"/>
              <w:rPr>
                <w:rFonts w:cs="Times New Roman"/>
              </w:rPr>
            </w:pPr>
            <w:r>
              <w:rPr>
                <w:rFonts w:cs="Times New Roman"/>
                <w:color w:val="000000"/>
              </w:rPr>
              <w:t>-1,569.70</w:t>
            </w:r>
          </w:p>
        </w:tc>
      </w:tr>
      <w:tr w14:paraId="38FD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vAlign w:val="center"/>
          </w:tcPr>
          <w:p w14:paraId="52C5BFB2">
            <w:pPr>
              <w:jc w:val="center"/>
              <w:textAlignment w:val="center"/>
              <w:rPr>
                <w:rFonts w:cs="Times New Roman"/>
              </w:rPr>
            </w:pPr>
            <w:r>
              <w:rPr>
                <w:rFonts w:cs="Times New Roman"/>
                <w:color w:val="000000"/>
                <w:lang w:bidi="ar"/>
              </w:rPr>
              <w:t>新兴际华国际贸易有限公司</w:t>
            </w:r>
          </w:p>
        </w:tc>
        <w:tc>
          <w:tcPr>
            <w:tcW w:w="498" w:type="pct"/>
            <w:vAlign w:val="center"/>
          </w:tcPr>
          <w:p w14:paraId="650EE1D6">
            <w:pPr>
              <w:jc w:val="right"/>
              <w:textAlignment w:val="center"/>
              <w:rPr>
                <w:rFonts w:cs="Times New Roman"/>
              </w:rPr>
            </w:pPr>
            <w:r>
              <w:rPr>
                <w:rFonts w:cs="Times New Roman"/>
                <w:color w:val="000000"/>
              </w:rPr>
              <w:t>2,500.34</w:t>
            </w:r>
          </w:p>
        </w:tc>
        <w:tc>
          <w:tcPr>
            <w:tcW w:w="476" w:type="pct"/>
            <w:vAlign w:val="center"/>
          </w:tcPr>
          <w:p w14:paraId="42ACC6C7">
            <w:pPr>
              <w:jc w:val="right"/>
              <w:textAlignment w:val="center"/>
              <w:rPr>
                <w:rFonts w:cs="Times New Roman"/>
              </w:rPr>
            </w:pPr>
            <w:r>
              <w:rPr>
                <w:rFonts w:cs="Times New Roman"/>
                <w:color w:val="000000"/>
              </w:rPr>
              <w:t>103.73</w:t>
            </w:r>
          </w:p>
        </w:tc>
        <w:tc>
          <w:tcPr>
            <w:tcW w:w="1461" w:type="dxa"/>
            <w:vAlign w:val="center"/>
          </w:tcPr>
          <w:p w14:paraId="7D43BC06">
            <w:pPr>
              <w:jc w:val="right"/>
              <w:textAlignment w:val="center"/>
              <w:rPr>
                <w:rFonts w:cs="Times New Roman"/>
              </w:rPr>
            </w:pPr>
            <w:r>
              <w:rPr>
                <w:rFonts w:eastAsia="Arial Narrow" w:cs="Times New Roman"/>
                <w:color w:val="000000"/>
                <w:lang w:bidi="ar"/>
              </w:rPr>
              <w:t>103.73</w:t>
            </w:r>
          </w:p>
        </w:tc>
        <w:tc>
          <w:tcPr>
            <w:tcW w:w="1616" w:type="dxa"/>
            <w:vAlign w:val="center"/>
          </w:tcPr>
          <w:p w14:paraId="4DD865C2">
            <w:pPr>
              <w:jc w:val="right"/>
              <w:textAlignment w:val="center"/>
              <w:rPr>
                <w:rFonts w:cs="Times New Roman"/>
              </w:rPr>
            </w:pPr>
            <w:r>
              <w:rPr>
                <w:rFonts w:eastAsia="Arial Narrow" w:cs="Times New Roman"/>
                <w:color w:val="000000"/>
                <w:lang w:bidi="ar"/>
              </w:rPr>
              <w:t>2,767.39</w:t>
            </w:r>
          </w:p>
        </w:tc>
        <w:tc>
          <w:tcPr>
            <w:tcW w:w="498" w:type="pct"/>
            <w:vAlign w:val="center"/>
          </w:tcPr>
          <w:p w14:paraId="71D40347">
            <w:pPr>
              <w:jc w:val="right"/>
              <w:textAlignment w:val="center"/>
              <w:rPr>
                <w:rFonts w:cs="Times New Roman"/>
              </w:rPr>
            </w:pPr>
            <w:r>
              <w:rPr>
                <w:rFonts w:cs="Times New Roman"/>
                <w:color w:val="000000"/>
              </w:rPr>
              <w:t>12,252.40</w:t>
            </w:r>
          </w:p>
        </w:tc>
        <w:tc>
          <w:tcPr>
            <w:tcW w:w="476" w:type="pct"/>
            <w:vAlign w:val="center"/>
          </w:tcPr>
          <w:p w14:paraId="1CDC7851">
            <w:pPr>
              <w:jc w:val="right"/>
              <w:textAlignment w:val="center"/>
              <w:rPr>
                <w:rFonts w:cs="Times New Roman"/>
              </w:rPr>
            </w:pPr>
            <w:r>
              <w:rPr>
                <w:rFonts w:cs="Times New Roman"/>
                <w:color w:val="000000"/>
              </w:rPr>
              <w:t>-6,833.52</w:t>
            </w:r>
          </w:p>
        </w:tc>
        <w:tc>
          <w:tcPr>
            <w:tcW w:w="527" w:type="pct"/>
            <w:vAlign w:val="center"/>
          </w:tcPr>
          <w:p w14:paraId="69291377">
            <w:pPr>
              <w:jc w:val="right"/>
              <w:textAlignment w:val="center"/>
              <w:rPr>
                <w:rFonts w:cs="Times New Roman"/>
              </w:rPr>
            </w:pPr>
            <w:r>
              <w:rPr>
                <w:rFonts w:cs="Times New Roman"/>
                <w:color w:val="000000"/>
              </w:rPr>
              <w:t>-6,833.52</w:t>
            </w:r>
          </w:p>
        </w:tc>
        <w:tc>
          <w:tcPr>
            <w:tcW w:w="582" w:type="pct"/>
            <w:vAlign w:val="center"/>
          </w:tcPr>
          <w:p w14:paraId="29CA21EB">
            <w:pPr>
              <w:jc w:val="right"/>
              <w:textAlignment w:val="center"/>
              <w:rPr>
                <w:rFonts w:cs="Times New Roman"/>
              </w:rPr>
            </w:pPr>
            <w:r>
              <w:rPr>
                <w:rFonts w:cs="Times New Roman"/>
                <w:color w:val="000000"/>
              </w:rPr>
              <w:t>198.63</w:t>
            </w:r>
          </w:p>
        </w:tc>
      </w:tr>
    </w:tbl>
    <w:p w14:paraId="6B1702A3">
      <w:pPr>
        <w:rPr>
          <w:rFonts w:cs="Arial"/>
          <w:color w:val="000000" w:themeColor="text1"/>
          <w14:textFill>
            <w14:solidFill>
              <w14:schemeClr w14:val="tx1"/>
            </w14:solidFill>
          </w14:textFill>
        </w:rPr>
      </w:pPr>
    </w:p>
    <w:p w14:paraId="7C60F7B4">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重要非全资子公司的主要财务信息的其他说明"/>
        <w:tag w:val="_GBC_c6413d961dad488aae6fcf0fda2bf33a"/>
        <w:id w:val="147453830"/>
        <w:placeholder>
          <w:docPart w:val="GBC22222222222222222222222222222"/>
        </w:placeholder>
      </w:sdtPr>
      <w:sdtEndPr>
        <w:rPr>
          <w:rFonts w:cs="Arial"/>
          <w:color w:val="000000" w:themeColor="text1"/>
          <w14:textFill>
            <w14:solidFill>
              <w14:schemeClr w14:val="tx1"/>
            </w14:solidFill>
          </w14:textFill>
        </w:rPr>
      </w:sdtEndPr>
      <w:sdtContent>
        <w:p w14:paraId="6378EDF0">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14:paraId="11817C26">
      <w:pPr>
        <w:rPr>
          <w:rFonts w:cs="Arial"/>
          <w:color w:val="000000" w:themeColor="text1"/>
          <w14:textFill>
            <w14:solidFill>
              <w14:schemeClr w14:val="tx1"/>
            </w14:solidFill>
          </w14:textFill>
        </w:rPr>
      </w:pPr>
    </w:p>
    <w:p w14:paraId="460104F2">
      <w:pPr>
        <w:rPr>
          <w:rFonts w:cs="Arial"/>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1E35EBB0">
      <w:pPr>
        <w:pStyle w:val="58"/>
        <w:numPr>
          <w:ilvl w:val="3"/>
          <w:numId w:val="97"/>
        </w:numPr>
        <w:ind w:left="406" w:hanging="40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使用企业集团资产和清偿企业集团债务的重大限制：</w:t>
      </w:r>
    </w:p>
    <w:sdt>
      <w:sdtPr>
        <w:rPr>
          <w:color w:val="000000" w:themeColor="text1"/>
          <w14:textFill>
            <w14:solidFill>
              <w14:schemeClr w14:val="tx1"/>
            </w14:solidFill>
          </w14:textFill>
        </w:rPr>
        <w:alias w:val="是否适用：使用企业集团资产和清偿企业集团债务的重大限制[双击切换]"/>
        <w:tag w:val="_GBC_d4aaeca51c634ffea892b86812441771"/>
        <w:id w:val="147460774"/>
        <w:placeholder>
          <w:docPart w:val="GBC22222222222222222222222222222"/>
        </w:placeholder>
      </w:sdtPr>
      <w:sdtEndPr>
        <w:rPr>
          <w:color w:val="000000" w:themeColor="text1"/>
          <w14:textFill>
            <w14:solidFill>
              <w14:schemeClr w14:val="tx1"/>
            </w14:solidFill>
          </w14:textFill>
        </w:rPr>
      </w:sdtEndPr>
      <w:sdtContent>
        <w:p w14:paraId="68D1809B">
          <w:pPr>
            <w:rPr>
              <w:rFonts w:cs="Arial"/>
              <w:b/>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90CD8F7">
      <w:pPr>
        <w:rPr>
          <w:rFonts w:cs="Arial"/>
          <w:color w:val="000000" w:themeColor="text1"/>
          <w14:textFill>
            <w14:solidFill>
              <w14:schemeClr w14:val="tx1"/>
            </w14:solidFill>
          </w14:textFill>
        </w:rPr>
      </w:pPr>
    </w:p>
    <w:p w14:paraId="5C8B0000">
      <w:pPr>
        <w:pStyle w:val="58"/>
        <w:numPr>
          <w:ilvl w:val="3"/>
          <w:numId w:val="97"/>
        </w:numPr>
        <w:ind w:left="406" w:hanging="40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向纳入合并财务报表范围的结构化主体提供的财务支持或其他支持：</w:t>
      </w:r>
    </w:p>
    <w:sdt>
      <w:sdtPr>
        <w:rPr>
          <w:color w:val="000000" w:themeColor="text1"/>
          <w14:textFill>
            <w14:solidFill>
              <w14:schemeClr w14:val="tx1"/>
            </w14:solidFill>
          </w14:textFill>
        </w:rPr>
        <w:alias w:val="是否适用：向纳入合并财务报表范围的结构化主体提供的财务支持或其他支持[双击切换]"/>
        <w:tag w:val="_GBC_3ee0b326ed544ace8060843f29d4cd3a"/>
        <w:id w:val="147475402"/>
        <w:placeholder>
          <w:docPart w:val="GBC22222222222222222222222222222"/>
        </w:placeholder>
      </w:sdtPr>
      <w:sdtEndPr>
        <w:rPr>
          <w:color w:val="000000" w:themeColor="text1"/>
          <w14:textFill>
            <w14:solidFill>
              <w14:schemeClr w14:val="tx1"/>
            </w14:solidFill>
          </w14:textFill>
        </w:rPr>
      </w:sdtEndPr>
      <w:sdtContent>
        <w:p w14:paraId="1F234F09">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188E97C">
      <w:pPr>
        <w:rPr>
          <w:rFonts w:cs="Arial"/>
          <w:b/>
          <w:color w:val="000000" w:themeColor="text1"/>
          <w14:textFill>
            <w14:solidFill>
              <w14:schemeClr w14:val="tx1"/>
            </w14:solidFill>
          </w14:textFill>
        </w:rPr>
      </w:pPr>
    </w:p>
    <w:p w14:paraId="743F7A5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在子公司中的权益其他说明[双击切换]"/>
        <w:tag w:val="_GBC_e4c33fb40d7a42bc88681a9facbf5ba5"/>
        <w:id w:val="147479713"/>
        <w:placeholder>
          <w:docPart w:val="GBC22222222222222222222222222222"/>
        </w:placeholder>
      </w:sdtPr>
      <w:sdtEndPr>
        <w:rPr>
          <w:color w:val="000000" w:themeColor="text1"/>
          <w14:textFill>
            <w14:solidFill>
              <w14:schemeClr w14:val="tx1"/>
            </w14:solidFill>
          </w14:textFill>
        </w:rPr>
      </w:sdtEndPr>
      <w:sdtContent>
        <w:p w14:paraId="13194D4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2F5B7A0">
      <w:pPr>
        <w:rPr>
          <w:color w:val="000000" w:themeColor="text1"/>
          <w14:textFill>
            <w14:solidFill>
              <w14:schemeClr w14:val="tx1"/>
            </w14:solidFill>
          </w14:textFill>
        </w:rPr>
      </w:pPr>
    </w:p>
    <w:p w14:paraId="02606A8D">
      <w:pPr>
        <w:pStyle w:val="57"/>
        <w:numPr>
          <w:ilvl w:val="2"/>
          <w:numId w:val="9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在子公司的所有者权益份额发生变化且仍控制子公司的交易</w:t>
      </w:r>
    </w:p>
    <w:sdt>
      <w:sdtPr>
        <w:rPr>
          <w:color w:val="000000" w:themeColor="text1"/>
          <w14:textFill>
            <w14:solidFill>
              <w14:schemeClr w14:val="tx1"/>
            </w14:solidFill>
          </w14:textFill>
        </w:rPr>
        <w:alias w:val="是否适用：在子公司的所有者权益份额发生变化且仍控制子公司的交易[双击切换]"/>
        <w:tag w:val="_GBC_51b903d8f50944dc91e91048eba723cd"/>
        <w:id w:val="147464679"/>
        <w:placeholder>
          <w:docPart w:val="GBC22222222222222222222222222222"/>
        </w:placeholder>
      </w:sdtPr>
      <w:sdtEndPr>
        <w:rPr>
          <w:color w:val="000000" w:themeColor="text1"/>
          <w14:textFill>
            <w14:solidFill>
              <w14:schemeClr w14:val="tx1"/>
            </w14:solidFill>
          </w14:textFill>
        </w:rPr>
      </w:sdtEndPr>
      <w:sdtContent>
        <w:p w14:paraId="111862A3">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276E4D">
      <w:pPr>
        <w:rPr>
          <w:color w:val="000000" w:themeColor="text1"/>
          <w14:textFill>
            <w14:solidFill>
              <w14:schemeClr w14:val="tx1"/>
            </w14:solidFill>
          </w14:textFill>
        </w:rPr>
      </w:pPr>
    </w:p>
    <w:p w14:paraId="2CCF26F6">
      <w:pPr>
        <w:pStyle w:val="57"/>
        <w:numPr>
          <w:ilvl w:val="2"/>
          <w:numId w:val="9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在合营企业或联营企业中的权益</w:t>
      </w:r>
    </w:p>
    <w:sdt>
      <w:sdtPr>
        <w:rPr>
          <w:color w:val="000000" w:themeColor="text1"/>
          <w14:textFill>
            <w14:solidFill>
              <w14:schemeClr w14:val="tx1"/>
            </w14:solidFill>
          </w14:textFill>
        </w:rPr>
        <w:alias w:val="是否适用：在合营企业或联营企业中的权益[双击切换]"/>
        <w:tag w:val="_GBC_31c0fe2068fd4a898e4269df4925aa76"/>
        <w:id w:val="147465477"/>
        <w:placeholder>
          <w:docPart w:val="GBC22222222222222222222222222222"/>
        </w:placeholder>
      </w:sdtPr>
      <w:sdtEndPr>
        <w:rPr>
          <w:color w:val="000000" w:themeColor="text1"/>
          <w14:textFill>
            <w14:solidFill>
              <w14:schemeClr w14:val="tx1"/>
            </w14:solidFill>
          </w14:textFill>
        </w:rPr>
      </w:sdtEndPr>
      <w:sdtContent>
        <w:p w14:paraId="53F6C8E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1200332">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重要的合营企业或联营企业</w:t>
      </w:r>
    </w:p>
    <w:sdt>
      <w:sdtPr>
        <w:rPr>
          <w:color w:val="000000" w:themeColor="text1"/>
          <w14:textFill>
            <w14:solidFill>
              <w14:schemeClr w14:val="tx1"/>
            </w14:solidFill>
          </w14:textFill>
        </w:rPr>
        <w:alias w:val="是否适用：重要的合营企业或联营企业[双击切换]"/>
        <w:tag w:val="_GBC_9973f58b324442d5879a5d16db0cd410"/>
        <w:id w:val="147474668"/>
        <w:placeholder>
          <w:docPart w:val="GBC22222222222222222222222222222"/>
        </w:placeholder>
      </w:sdtPr>
      <w:sdtEndPr>
        <w:rPr>
          <w:color w:val="000000" w:themeColor="text1"/>
          <w14:textFill>
            <w14:solidFill>
              <w14:schemeClr w14:val="tx1"/>
            </w14:solidFill>
          </w14:textFill>
        </w:rPr>
      </w:sdtEndPr>
      <w:sdtContent>
        <w:p w14:paraId="520E459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9BB2D3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合营企业或联营企业"/>
          <w:tag w:val="_GBC_fc95ad35f9984b0c84fb2b12ebeb41db"/>
          <w:id w:val="1474663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合营企业或联营企业"/>
          <w:tag w:val="_GBC_95704750d12047c58739551fa2558d6f"/>
          <w:id w:val="1474756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0"/>
        <w:gridCol w:w="1021"/>
        <w:gridCol w:w="972"/>
        <w:gridCol w:w="1307"/>
        <w:gridCol w:w="1112"/>
        <w:gridCol w:w="1108"/>
        <w:gridCol w:w="1689"/>
      </w:tblGrid>
      <w:tr w14:paraId="06D3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sdt>
          <w:sdtPr>
            <w:rPr>
              <w:rFonts w:cs="Times New Roman"/>
            </w:rPr>
            <w:tag w:val="_PLD_bb6c91c88e754a5da79068d0b040e152"/>
            <w:id w:val="147467589"/>
          </w:sdtPr>
          <w:sdtEndPr>
            <w:rPr>
              <w:rFonts w:cs="Times New Roman"/>
            </w:rPr>
          </w:sdtEndPr>
          <w:sdtContent>
            <w:tc>
              <w:tcPr>
                <w:tcW w:w="1016" w:type="pct"/>
                <w:vMerge w:val="restart"/>
                <w:vAlign w:val="center"/>
              </w:tcPr>
              <w:p w14:paraId="2F1CCA79">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合营企业或联营企业名称</w:t>
                </w:r>
              </w:p>
            </w:tc>
          </w:sdtContent>
        </w:sdt>
        <w:sdt>
          <w:sdtPr>
            <w:rPr>
              <w:rFonts w:cs="Times New Roman"/>
            </w:rPr>
            <w:tag w:val="_PLD_4c91d89257574ee1a96260d900b3fdde"/>
            <w:id w:val="147464496"/>
          </w:sdtPr>
          <w:sdtEndPr>
            <w:rPr>
              <w:rFonts w:cs="Times New Roman"/>
            </w:rPr>
          </w:sdtEndPr>
          <w:sdtContent>
            <w:tc>
              <w:tcPr>
                <w:tcW w:w="564" w:type="pct"/>
                <w:vMerge w:val="restart"/>
                <w:vAlign w:val="center"/>
              </w:tcPr>
              <w:p w14:paraId="6F7D1FD5">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主要经营地</w:t>
                </w:r>
              </w:p>
            </w:tc>
          </w:sdtContent>
        </w:sdt>
        <w:sdt>
          <w:sdtPr>
            <w:rPr>
              <w:rFonts w:cs="Times New Roman"/>
            </w:rPr>
            <w:tag w:val="_PLD_4a3c73442b1947fdae2c0b554e7271a4"/>
            <w:id w:val="147476506"/>
          </w:sdtPr>
          <w:sdtEndPr>
            <w:rPr>
              <w:rFonts w:cs="Times New Roman"/>
            </w:rPr>
          </w:sdtEndPr>
          <w:sdtContent>
            <w:tc>
              <w:tcPr>
                <w:tcW w:w="537" w:type="pct"/>
                <w:vMerge w:val="restart"/>
                <w:vAlign w:val="center"/>
              </w:tcPr>
              <w:p w14:paraId="062B8B57">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注册地</w:t>
                </w:r>
              </w:p>
            </w:tc>
          </w:sdtContent>
        </w:sdt>
        <w:sdt>
          <w:sdtPr>
            <w:rPr>
              <w:rFonts w:cs="Times New Roman"/>
            </w:rPr>
            <w:tag w:val="_PLD_07a3d19678c44b0db85c15fb74bf76d2"/>
            <w:id w:val="147456560"/>
          </w:sdtPr>
          <w:sdtEndPr>
            <w:rPr>
              <w:rFonts w:cs="Times New Roman"/>
            </w:rPr>
          </w:sdtEndPr>
          <w:sdtContent>
            <w:tc>
              <w:tcPr>
                <w:tcW w:w="722" w:type="pct"/>
                <w:vMerge w:val="restart"/>
                <w:vAlign w:val="center"/>
              </w:tcPr>
              <w:p w14:paraId="3C7B40E3">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业务性质</w:t>
                </w:r>
              </w:p>
            </w:tc>
          </w:sdtContent>
        </w:sdt>
        <w:sdt>
          <w:sdtPr>
            <w:rPr>
              <w:rFonts w:cs="Times New Roman"/>
            </w:rPr>
            <w:tag w:val="_PLD_cb67afe7283245a29754ca96c69b89fc"/>
            <w:id w:val="147477250"/>
          </w:sdtPr>
          <w:sdtEndPr>
            <w:rPr>
              <w:rFonts w:cs="Times New Roman"/>
            </w:rPr>
          </w:sdtEndPr>
          <w:sdtContent>
            <w:tc>
              <w:tcPr>
                <w:tcW w:w="1226" w:type="pct"/>
                <w:gridSpan w:val="2"/>
                <w:vAlign w:val="center"/>
              </w:tcPr>
              <w:p w14:paraId="1E36D449">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持股比例</w:t>
                </w:r>
                <w:r>
                  <w:rPr>
                    <w:rFonts w:cs="Times New Roman"/>
                    <w:color w:val="000000" w:themeColor="text1"/>
                    <w14:textFill>
                      <w14:solidFill>
                        <w14:schemeClr w14:val="tx1"/>
                      </w14:solidFill>
                    </w14:textFill>
                  </w:rPr>
                  <w:t>(%)</w:t>
                </w:r>
              </w:p>
            </w:tc>
          </w:sdtContent>
        </w:sdt>
        <w:sdt>
          <w:sdtPr>
            <w:rPr>
              <w:rFonts w:cs="Times New Roman"/>
            </w:rPr>
            <w:tag w:val="_PLD_0fddec4e9b2a4b3aa0f9a08859cf498e"/>
            <w:id w:val="147456158"/>
          </w:sdtPr>
          <w:sdtEndPr>
            <w:rPr>
              <w:rFonts w:cs="Times New Roman"/>
            </w:rPr>
          </w:sdtEndPr>
          <w:sdtContent>
            <w:tc>
              <w:tcPr>
                <w:tcW w:w="933" w:type="pct"/>
                <w:vMerge w:val="restart"/>
                <w:vAlign w:val="center"/>
              </w:tcPr>
              <w:p w14:paraId="64D08993">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对合营企业或联营企业投资的会计处理方法</w:t>
                </w:r>
              </w:p>
            </w:tc>
          </w:sdtContent>
        </w:sdt>
      </w:tr>
      <w:tr w14:paraId="6A23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016" w:type="pct"/>
            <w:vMerge w:val="continue"/>
            <w:vAlign w:val="center"/>
          </w:tcPr>
          <w:p w14:paraId="414FF638">
            <w:pPr>
              <w:rPr>
                <w:rFonts w:cs="Times New Roman"/>
                <w:color w:val="000000" w:themeColor="text1"/>
                <w14:textFill>
                  <w14:solidFill>
                    <w14:schemeClr w14:val="tx1"/>
                  </w14:solidFill>
                </w14:textFill>
              </w:rPr>
            </w:pPr>
          </w:p>
        </w:tc>
        <w:tc>
          <w:tcPr>
            <w:tcW w:w="564" w:type="pct"/>
            <w:vMerge w:val="continue"/>
            <w:vAlign w:val="center"/>
          </w:tcPr>
          <w:p w14:paraId="66DED0AB">
            <w:pPr>
              <w:rPr>
                <w:rFonts w:cs="Times New Roman"/>
                <w:color w:val="000000" w:themeColor="text1"/>
                <w14:textFill>
                  <w14:solidFill>
                    <w14:schemeClr w14:val="tx1"/>
                  </w14:solidFill>
                </w14:textFill>
              </w:rPr>
            </w:pPr>
          </w:p>
        </w:tc>
        <w:tc>
          <w:tcPr>
            <w:tcW w:w="537" w:type="pct"/>
            <w:vMerge w:val="continue"/>
            <w:vAlign w:val="center"/>
          </w:tcPr>
          <w:p w14:paraId="5A986D1E">
            <w:pPr>
              <w:rPr>
                <w:rFonts w:cs="Times New Roman"/>
                <w:color w:val="000000" w:themeColor="text1"/>
                <w14:textFill>
                  <w14:solidFill>
                    <w14:schemeClr w14:val="tx1"/>
                  </w14:solidFill>
                </w14:textFill>
              </w:rPr>
            </w:pPr>
          </w:p>
        </w:tc>
        <w:tc>
          <w:tcPr>
            <w:tcW w:w="722" w:type="pct"/>
            <w:vMerge w:val="continue"/>
            <w:vAlign w:val="center"/>
          </w:tcPr>
          <w:p w14:paraId="53DE9F06">
            <w:pPr>
              <w:rPr>
                <w:rFonts w:cs="Times New Roman"/>
                <w:color w:val="000000" w:themeColor="text1"/>
                <w14:textFill>
                  <w14:solidFill>
                    <w14:schemeClr w14:val="tx1"/>
                  </w14:solidFill>
                </w14:textFill>
              </w:rPr>
            </w:pPr>
          </w:p>
        </w:tc>
        <w:sdt>
          <w:sdtPr>
            <w:rPr>
              <w:rFonts w:cs="Times New Roman"/>
            </w:rPr>
            <w:tag w:val="_PLD_42f14f52720a4c87819c9bd5211ded18"/>
            <w:id w:val="147478440"/>
          </w:sdtPr>
          <w:sdtEndPr>
            <w:rPr>
              <w:rFonts w:cs="Times New Roman"/>
            </w:rPr>
          </w:sdtEndPr>
          <w:sdtContent>
            <w:tc>
              <w:tcPr>
                <w:tcW w:w="614" w:type="pct"/>
                <w:vAlign w:val="center"/>
              </w:tcPr>
              <w:p w14:paraId="46096DAB">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直接</w:t>
                </w:r>
              </w:p>
            </w:tc>
          </w:sdtContent>
        </w:sdt>
        <w:sdt>
          <w:sdtPr>
            <w:rPr>
              <w:rFonts w:cs="Times New Roman"/>
            </w:rPr>
            <w:tag w:val="_PLD_e87318e11f6c4411aa17083e3a10cd90"/>
            <w:id w:val="147468992"/>
          </w:sdtPr>
          <w:sdtEndPr>
            <w:rPr>
              <w:rFonts w:cs="Times New Roman"/>
            </w:rPr>
          </w:sdtEndPr>
          <w:sdtContent>
            <w:tc>
              <w:tcPr>
                <w:tcW w:w="612" w:type="pct"/>
                <w:vAlign w:val="center"/>
              </w:tcPr>
              <w:p w14:paraId="16798860">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间接</w:t>
                </w:r>
              </w:p>
            </w:tc>
          </w:sdtContent>
        </w:sdt>
        <w:tc>
          <w:tcPr>
            <w:tcW w:w="933" w:type="pct"/>
            <w:vMerge w:val="continue"/>
            <w:vAlign w:val="center"/>
          </w:tcPr>
          <w:p w14:paraId="165284C4">
            <w:pPr>
              <w:rPr>
                <w:rFonts w:cs="Times New Roman"/>
                <w:color w:val="000000" w:themeColor="text1"/>
                <w14:textFill>
                  <w14:solidFill>
                    <w14:schemeClr w14:val="tx1"/>
                  </w14:solidFill>
                </w14:textFill>
              </w:rPr>
            </w:pPr>
          </w:p>
        </w:tc>
      </w:tr>
      <w:tr w14:paraId="2FA7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 w:type="pct"/>
            <w:vAlign w:val="center"/>
          </w:tcPr>
          <w:p w14:paraId="716BEF2B">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 xml:space="preserve">湖南中晟高分子新材料有限公司 </w:t>
            </w:r>
          </w:p>
        </w:tc>
        <w:tc>
          <w:tcPr>
            <w:tcW w:w="564" w:type="pct"/>
            <w:vAlign w:val="center"/>
          </w:tcPr>
          <w:p w14:paraId="70AD5B50">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岳阳</w:t>
            </w:r>
          </w:p>
        </w:tc>
        <w:tc>
          <w:tcPr>
            <w:tcW w:w="537" w:type="pct"/>
            <w:vAlign w:val="center"/>
          </w:tcPr>
          <w:p w14:paraId="7B63507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岳阳</w:t>
            </w:r>
          </w:p>
        </w:tc>
        <w:tc>
          <w:tcPr>
            <w:tcW w:w="722" w:type="pct"/>
            <w:vAlign w:val="center"/>
          </w:tcPr>
          <w:p w14:paraId="79AB5DA4">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614" w:type="pct"/>
            <w:vAlign w:val="center"/>
          </w:tcPr>
          <w:p w14:paraId="5ADC8FAA">
            <w:pPr>
              <w:jc w:val="right"/>
              <w:textAlignment w:val="center"/>
              <w:rPr>
                <w:rFonts w:cs="Times New Roman"/>
              </w:rPr>
            </w:pPr>
            <w:r>
              <w:rPr>
                <w:rFonts w:eastAsia="Arial Narrow" w:cs="Times New Roman"/>
                <w:color w:val="000000"/>
                <w:lang w:bidi="ar"/>
              </w:rPr>
              <w:t>50.00</w:t>
            </w:r>
          </w:p>
        </w:tc>
        <w:tc>
          <w:tcPr>
            <w:tcW w:w="612" w:type="pct"/>
            <w:vAlign w:val="center"/>
          </w:tcPr>
          <w:p w14:paraId="5B183FEF">
            <w:pPr>
              <w:jc w:val="right"/>
              <w:rPr>
                <w:rFonts w:cs="Times New Roman"/>
              </w:rPr>
            </w:pPr>
          </w:p>
        </w:tc>
        <w:tc>
          <w:tcPr>
            <w:tcW w:w="933" w:type="pct"/>
            <w:vAlign w:val="center"/>
          </w:tcPr>
          <w:p w14:paraId="1025F99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权益法</w:t>
            </w:r>
          </w:p>
        </w:tc>
      </w:tr>
      <w:tr w14:paraId="3D8B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 w:type="pct"/>
            <w:vAlign w:val="center"/>
          </w:tcPr>
          <w:p w14:paraId="558AA99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南京英斯瑞德高分子材料股份有限公司</w:t>
            </w:r>
          </w:p>
        </w:tc>
        <w:tc>
          <w:tcPr>
            <w:tcW w:w="564" w:type="pct"/>
            <w:vAlign w:val="center"/>
          </w:tcPr>
          <w:p w14:paraId="5963A57E">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w:t>
            </w:r>
          </w:p>
        </w:tc>
        <w:tc>
          <w:tcPr>
            <w:tcW w:w="537" w:type="pct"/>
            <w:vAlign w:val="center"/>
          </w:tcPr>
          <w:p w14:paraId="39420B0A">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南京</w:t>
            </w:r>
          </w:p>
        </w:tc>
        <w:tc>
          <w:tcPr>
            <w:tcW w:w="722" w:type="pct"/>
            <w:vAlign w:val="center"/>
          </w:tcPr>
          <w:p w14:paraId="7E6E8F97">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制造业</w:t>
            </w:r>
          </w:p>
        </w:tc>
        <w:tc>
          <w:tcPr>
            <w:tcW w:w="614" w:type="pct"/>
            <w:vAlign w:val="center"/>
          </w:tcPr>
          <w:p w14:paraId="36EA9312">
            <w:pPr>
              <w:jc w:val="right"/>
              <w:textAlignment w:val="center"/>
              <w:rPr>
                <w:rFonts w:cs="Times New Roman"/>
              </w:rPr>
            </w:pPr>
            <w:r>
              <w:rPr>
                <w:rFonts w:eastAsia="Arial Narrow" w:cs="Times New Roman"/>
                <w:color w:val="000000"/>
                <w:lang w:bidi="ar"/>
              </w:rPr>
              <w:t>35.00</w:t>
            </w:r>
          </w:p>
        </w:tc>
        <w:tc>
          <w:tcPr>
            <w:tcW w:w="612" w:type="pct"/>
            <w:vAlign w:val="center"/>
          </w:tcPr>
          <w:p w14:paraId="29E4B5D5">
            <w:pPr>
              <w:jc w:val="right"/>
              <w:rPr>
                <w:rFonts w:cs="Times New Roman"/>
              </w:rPr>
            </w:pPr>
          </w:p>
        </w:tc>
        <w:tc>
          <w:tcPr>
            <w:tcW w:w="933" w:type="pct"/>
            <w:vAlign w:val="center"/>
          </w:tcPr>
          <w:p w14:paraId="6BA597F5">
            <w:pPr>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权益法</w:t>
            </w:r>
          </w:p>
        </w:tc>
      </w:tr>
    </w:tbl>
    <w:p w14:paraId="675EDA77">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在合营企业或联营企业的持股比例不同于表决权比例的说明：</w:t>
      </w:r>
    </w:p>
    <w:p w14:paraId="52DCAF1E">
      <w:pPr>
        <w:rPr>
          <w:rFonts w:cs="Arial"/>
          <w:color w:val="000000" w:themeColor="text1"/>
          <w14:textFill>
            <w14:solidFill>
              <w14:schemeClr w14:val="tx1"/>
            </w14:solidFill>
          </w14:textFill>
        </w:rPr>
      </w:pPr>
      <w:sdt>
        <w:sdtPr>
          <w:rPr>
            <w:rFonts w:cs="Arial"/>
            <w:color w:val="000000" w:themeColor="text1"/>
            <w14:textFill>
              <w14:solidFill>
                <w14:schemeClr w14:val="tx1"/>
              </w14:solidFill>
            </w14:textFill>
          </w:rPr>
          <w:alias w:val="在合营企业或联营企业的持股比例不同于表决权比例的说明"/>
          <w:tag w:val="_GBC_b18385c11aff4424b360bd0cb4f81376"/>
          <w:id w:val="147472739"/>
          <w:placeholder>
            <w:docPart w:val="GBC22222222222222222222222222222"/>
          </w:placeholder>
        </w:sdtPr>
        <w:sdtEndPr>
          <w:rPr>
            <w:rFonts w:cs="Arial"/>
            <w:color w:val="000000" w:themeColor="text1"/>
            <w14:textFill>
              <w14:solidFill>
                <w14:schemeClr w14:val="tx1"/>
              </w14:solidFill>
            </w14:textFill>
          </w:rPr>
        </w:sdtEndPr>
        <w:sdtContent>
          <w:r>
            <w:rPr>
              <w:rFonts w:hint="eastAsia" w:cs="Arial"/>
              <w:color w:val="000000" w:themeColor="text1"/>
              <w14:textFill>
                <w14:solidFill>
                  <w14:schemeClr w14:val="tx1"/>
                </w14:solidFill>
              </w14:textFill>
            </w:rPr>
            <w:t>无</w:t>
          </w:r>
        </w:sdtContent>
      </w:sdt>
    </w:p>
    <w:p w14:paraId="4720DF9A">
      <w:pPr>
        <w:rPr>
          <w:rFonts w:cs="Arial"/>
          <w:color w:val="000000" w:themeColor="text1"/>
          <w14:textFill>
            <w14:solidFill>
              <w14:schemeClr w14:val="tx1"/>
            </w14:solidFill>
          </w14:textFill>
        </w:rPr>
      </w:pPr>
    </w:p>
    <w:p w14:paraId="2FEC7CD0">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持有</w:t>
      </w:r>
      <w:r>
        <w:rPr>
          <w:rFonts w:cs="Arial"/>
          <w:color w:val="000000" w:themeColor="text1"/>
          <w14:textFill>
            <w14:solidFill>
              <w14:schemeClr w14:val="tx1"/>
            </w14:solidFill>
          </w14:textFill>
        </w:rPr>
        <w:t>20%以下表决权但具有重大影响，或者持有20%或以上表决权但不具有重大影响的依据：</w:t>
      </w:r>
    </w:p>
    <w:p w14:paraId="111D5A52">
      <w:pPr>
        <w:rPr>
          <w:rFonts w:cs="Arial"/>
          <w:color w:val="000000" w:themeColor="text1"/>
          <w14:textFill>
            <w14:solidFill>
              <w14:schemeClr w14:val="tx1"/>
            </w14:solidFill>
          </w14:textFill>
        </w:rPr>
      </w:pPr>
      <w:sdt>
        <w:sdtPr>
          <w:rPr>
            <w:rFonts w:cs="Arial"/>
            <w:color w:val="000000" w:themeColor="text1"/>
            <w14:textFill>
              <w14:solidFill>
                <w14:schemeClr w14:val="tx1"/>
              </w14:solidFill>
            </w14:textFill>
          </w:rPr>
          <w:alias w:val="持有20%以下表决权但具有重大影响，或者持有20%或以上表决权但不具有重大影响的依据"/>
          <w:tag w:val="_GBC_08a71a8c491f4c758da0748f7570fb28"/>
          <w:id w:val="147469321"/>
          <w:placeholder>
            <w:docPart w:val="GBC22222222222222222222222222222"/>
          </w:placeholder>
        </w:sdtPr>
        <w:sdtEndPr>
          <w:rPr>
            <w:rFonts w:cs="Arial"/>
            <w:color w:val="000000" w:themeColor="text1"/>
            <w14:textFill>
              <w14:solidFill>
                <w14:schemeClr w14:val="tx1"/>
              </w14:solidFill>
            </w14:textFill>
          </w:rPr>
        </w:sdtEndPr>
        <w:sdtContent>
          <w:r>
            <w:rPr>
              <w:rFonts w:hint="eastAsia" w:cs="Arial"/>
              <w:color w:val="000000" w:themeColor="text1"/>
              <w14:textFill>
                <w14:solidFill>
                  <w14:schemeClr w14:val="tx1"/>
                </w14:solidFill>
              </w14:textFill>
            </w:rPr>
            <w:t>无</w:t>
          </w:r>
        </w:sdtContent>
      </w:sdt>
    </w:p>
    <w:p w14:paraId="1FD0831D">
      <w:pPr>
        <w:rPr>
          <w:rFonts w:cstheme="minorBidi"/>
          <w:color w:val="000000" w:themeColor="text1"/>
          <w14:textFill>
            <w14:solidFill>
              <w14:schemeClr w14:val="tx1"/>
            </w14:solidFill>
          </w14:textFill>
        </w:rPr>
      </w:pPr>
    </w:p>
    <w:p w14:paraId="4B78C2D7">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重要合营企业的主要财务信息</w:t>
      </w:r>
    </w:p>
    <w:p w14:paraId="37ED0C16">
      <w:pPr>
        <w:rPr>
          <w:rFonts w:cs="Arial"/>
          <w:color w:val="000000" w:themeColor="text1"/>
          <w14:textFill>
            <w14:solidFill>
              <w14:schemeClr w14:val="tx1"/>
            </w14:solidFill>
          </w14:textFill>
        </w:rPr>
      </w:pPr>
      <w:sdt>
        <w:sdtPr>
          <w:rPr>
            <w:rFonts w:hint="eastAsia"/>
            <w:b/>
            <w:color w:val="000000" w:themeColor="text1"/>
            <w14:textFill>
              <w14:solidFill>
                <w14:schemeClr w14:val="tx1"/>
              </w14:solidFill>
            </w14:textFill>
          </w:rPr>
          <w:alias w:val="是否适用：重要合营企业的主要财务信息[双击切换]"/>
          <w:tag w:val="_GBC_6241cde567c342139ae6186afeea9fb4"/>
          <w:id w:val="147473788"/>
          <w:placeholder>
            <w:docPart w:val="GBC22222222222222222222222222222"/>
          </w:placeholder>
        </w:sdtPr>
        <w:sdtEndPr>
          <w:rPr>
            <w:rFonts w:hint="eastAsia"/>
            <w:b w:val="0"/>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05D5463B">
      <w:pPr>
        <w:rPr>
          <w:rFonts w:cstheme="minorBidi"/>
          <w:color w:val="000000" w:themeColor="text1"/>
          <w14:textFill>
            <w14:solidFill>
              <w14:schemeClr w14:val="tx1"/>
            </w14:solidFill>
          </w14:textFill>
        </w:rPr>
      </w:pPr>
    </w:p>
    <w:p w14:paraId="5E325D31">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重要联营企业的主要财务信息</w:t>
      </w:r>
    </w:p>
    <w:p w14:paraId="0524E419">
      <w:pPr>
        <w:rPr>
          <w:color w:val="000000" w:themeColor="text1"/>
          <w14:textFill>
            <w14:solidFill>
              <w14:schemeClr w14:val="tx1"/>
            </w14:solidFill>
          </w14:textFill>
        </w:rPr>
      </w:pPr>
      <w:sdt>
        <w:sdtPr>
          <w:rPr>
            <w:rFonts w:hint="eastAsia"/>
            <w:b/>
            <w:color w:val="000000" w:themeColor="text1"/>
            <w14:textFill>
              <w14:solidFill>
                <w14:schemeClr w14:val="tx1"/>
              </w14:solidFill>
            </w14:textFill>
          </w:rPr>
          <w:alias w:val="是否适用：重要联营企业的主要财务信息[双击切换]"/>
          <w:tag w:val="_GBC_e304b69adb6f449495c3916754024763"/>
          <w:id w:val="147473856"/>
          <w:lock w:val="contentLocked"/>
          <w:placeholder>
            <w:docPart w:val="GBC22222222222222222222222222222"/>
          </w:placeholder>
        </w:sdtPr>
        <w:sdtEndPr>
          <w:rPr>
            <w:rFonts w:hint="eastAsia"/>
            <w:b w:val="0"/>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4F9A37D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联营企业的主要财务信息"/>
          <w:tag w:val="_GBC_0306b30be35040cd86d2b964142011d4"/>
          <w:id w:val="1474612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联营企业的主要财务信息"/>
          <w:tag w:val="_GBC_a2e655bae21746219bfd958c6f5b8be9"/>
          <w:id w:val="1474683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4"/>
        <w:gridCol w:w="1526"/>
        <w:gridCol w:w="1531"/>
        <w:gridCol w:w="1526"/>
        <w:gridCol w:w="1542"/>
      </w:tblGrid>
      <w:tr w14:paraId="4D48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blHeader/>
        </w:trPr>
        <w:tc>
          <w:tcPr>
            <w:tcW w:w="1616" w:type="pct"/>
            <w:vMerge w:val="restart"/>
          </w:tcPr>
          <w:p w14:paraId="0127D8E1">
            <w:pPr>
              <w:jc w:val="center"/>
              <w:rPr>
                <w:rFonts w:cs="Times New Roman"/>
                <w:color w:val="000000" w:themeColor="text1"/>
                <w14:textFill>
                  <w14:solidFill>
                    <w14:schemeClr w14:val="tx1"/>
                  </w14:solidFill>
                </w14:textFill>
              </w:rPr>
            </w:pPr>
          </w:p>
        </w:tc>
        <w:sdt>
          <w:sdtPr>
            <w:rPr>
              <w:rFonts w:cs="Times New Roman"/>
              <w:color w:val="000000" w:themeColor="text1"/>
              <w:lang w:val="en-GB"/>
              <w14:textFill>
                <w14:solidFill>
                  <w14:schemeClr w14:val="tx1"/>
                </w14:solidFill>
              </w14:textFill>
            </w:rPr>
            <w:alias w:val="重要联营企业的主要财务信息-发生期间"/>
            <w:tag w:val="_GBC_3985273c74d84e5d9e0004348ff54fc3"/>
            <w:id w:val="147464024"/>
          </w:sdtPr>
          <w:sdtEndPr>
            <w:rPr>
              <w:rFonts w:cs="Times New Roman"/>
              <w:color w:val="000000" w:themeColor="text1"/>
              <w:lang w:val="en-GB"/>
              <w14:textFill>
                <w14:solidFill>
                  <w14:schemeClr w14:val="tx1"/>
                </w14:solidFill>
              </w14:textFill>
            </w:rPr>
          </w:sdtEndPr>
          <w:sdtContent>
            <w:tc>
              <w:tcPr>
                <w:tcW w:w="1689" w:type="pct"/>
                <w:gridSpan w:val="2"/>
                <w:vAlign w:val="center"/>
              </w:tcPr>
              <w:p w14:paraId="11EF4EBF">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期末余额</w:t>
                </w:r>
                <w:r>
                  <w:rPr>
                    <w:rFonts w:cs="Times New Roman"/>
                    <w:color w:val="000000" w:themeColor="text1"/>
                    <w14:textFill>
                      <w14:solidFill>
                        <w14:schemeClr w14:val="tx1"/>
                      </w14:solidFill>
                    </w14:textFill>
                  </w:rPr>
                  <w:t xml:space="preserve">/ </w:t>
                </w:r>
                <w:r>
                  <w:rPr>
                    <w:rFonts w:cs="Times New Roman"/>
                    <w:color w:val="000000" w:themeColor="text1"/>
                    <w:lang w:val="en-GB"/>
                    <w14:textFill>
                      <w14:solidFill>
                        <w14:schemeClr w14:val="tx1"/>
                      </w14:solidFill>
                    </w14:textFill>
                  </w:rPr>
                  <w:t>本期发生额</w:t>
                </w:r>
              </w:p>
            </w:tc>
          </w:sdtContent>
        </w:sdt>
        <w:sdt>
          <w:sdtPr>
            <w:rPr>
              <w:rFonts w:cs="Times New Roman"/>
              <w:color w:val="000000" w:themeColor="text1"/>
              <w:lang w:val="en-GB"/>
              <w14:textFill>
                <w14:solidFill>
                  <w14:schemeClr w14:val="tx1"/>
                </w14:solidFill>
              </w14:textFill>
            </w:rPr>
            <w:alias w:val="重要联营企业的主要财务信息-发生期间"/>
            <w:tag w:val="_GBC_c59f213bf9cc43468db35ae8e45286d0"/>
            <w:id w:val="147476170"/>
          </w:sdtPr>
          <w:sdtEndPr>
            <w:rPr>
              <w:rFonts w:cs="Times New Roman"/>
              <w:color w:val="000000" w:themeColor="text1"/>
              <w:lang w:val="en-GB"/>
              <w14:textFill>
                <w14:solidFill>
                  <w14:schemeClr w14:val="tx1"/>
                </w14:solidFill>
              </w14:textFill>
            </w:rPr>
          </w:sdtEndPr>
          <w:sdtContent>
            <w:tc>
              <w:tcPr>
                <w:tcW w:w="1694" w:type="pct"/>
                <w:gridSpan w:val="2"/>
                <w:vAlign w:val="center"/>
              </w:tcPr>
              <w:p w14:paraId="1A903FFF">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期初余额</w:t>
                </w:r>
                <w:r>
                  <w:rPr>
                    <w:rFonts w:cs="Times New Roman"/>
                    <w:color w:val="000000" w:themeColor="text1"/>
                    <w14:textFill>
                      <w14:solidFill>
                        <w14:schemeClr w14:val="tx1"/>
                      </w14:solidFill>
                    </w14:textFill>
                  </w:rPr>
                  <w:t xml:space="preserve">/ </w:t>
                </w:r>
                <w:r>
                  <w:rPr>
                    <w:rFonts w:cs="Times New Roman"/>
                    <w:color w:val="000000" w:themeColor="text1"/>
                    <w:lang w:val="en-GB"/>
                    <w14:textFill>
                      <w14:solidFill>
                        <w14:schemeClr w14:val="tx1"/>
                      </w14:solidFill>
                    </w14:textFill>
                  </w:rPr>
                  <w:t>上期发生额</w:t>
                </w:r>
              </w:p>
            </w:tc>
          </w:sdtContent>
        </w:sdt>
      </w:tr>
      <w:tr w14:paraId="5D00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blHeader/>
        </w:trPr>
        <w:tc>
          <w:tcPr>
            <w:tcW w:w="1616" w:type="pct"/>
            <w:vMerge w:val="continue"/>
            <w:vAlign w:val="center"/>
          </w:tcPr>
          <w:p w14:paraId="5340E754">
            <w:pPr>
              <w:rPr>
                <w:rFonts w:cs="Times New Roman"/>
                <w:color w:val="000000" w:themeColor="text1"/>
                <w14:textFill>
                  <w14:solidFill>
                    <w14:schemeClr w14:val="tx1"/>
                  </w14:solidFill>
                </w14:textFill>
              </w:rPr>
            </w:pPr>
          </w:p>
        </w:tc>
        <w:sdt>
          <w:sdtPr>
            <w:rPr>
              <w:rFonts w:cs="Times New Roman"/>
              <w:color w:val="000000" w:themeColor="text1"/>
              <w14:textFill>
                <w14:solidFill>
                  <w14:schemeClr w14:val="tx1"/>
                </w14:solidFill>
              </w14:textFill>
            </w:rPr>
            <w:alias w:val="重要联营企业的主要财务信息明细-企业名称"/>
            <w:tag w:val="_GBC_0cae03adb6fc417da51f1e06cc077a6b"/>
            <w:id w:val="147481058"/>
          </w:sdtPr>
          <w:sdtEndPr>
            <w:rPr>
              <w:rFonts w:cs="Times New Roman"/>
              <w:color w:val="000000" w:themeColor="text1"/>
              <w14:textFill>
                <w14:solidFill>
                  <w14:schemeClr w14:val="tx1"/>
                </w14:solidFill>
              </w14:textFill>
            </w:rPr>
          </w:sdtEndPr>
          <w:sdtContent>
            <w:tc>
              <w:tcPr>
                <w:tcW w:w="843" w:type="pct"/>
              </w:tcPr>
              <w:p w14:paraId="73F5430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湖南中晟高分子新材料有限公司</w:t>
                </w:r>
              </w:p>
            </w:tc>
          </w:sdtContent>
        </w:sdt>
        <w:sdt>
          <w:sdtPr>
            <w:rPr>
              <w:rFonts w:cs="Times New Roman"/>
            </w:rPr>
            <w:alias w:val="重要联营企业的主要财务信息明细-企业名称"/>
            <w:tag w:val="_GBC_0cae03adb6fc417da51f1e06cc077a6b"/>
            <w:id w:val="147474452"/>
          </w:sdtPr>
          <w:sdtEndPr>
            <w:rPr>
              <w:rFonts w:cs="Times New Roman"/>
            </w:rPr>
          </w:sdtEndPr>
          <w:sdtContent>
            <w:tc>
              <w:tcPr>
                <w:tcW w:w="845" w:type="pct"/>
              </w:tcPr>
              <w:p w14:paraId="77CE5F6E">
                <w:pPr>
                  <w:jc w:val="center"/>
                  <w:rPr>
                    <w:rFonts w:cs="Times New Roman"/>
                  </w:rPr>
                </w:pPr>
                <w:r>
                  <w:rPr>
                    <w:rFonts w:cs="Times New Roman"/>
                  </w:rPr>
                  <w:t>南京英斯瑞德高分子材料股份有限公司</w:t>
                </w:r>
              </w:p>
            </w:tc>
          </w:sdtContent>
        </w:sdt>
        <w:sdt>
          <w:sdtPr>
            <w:rPr>
              <w:rFonts w:cs="Times New Roman"/>
              <w:color w:val="000000" w:themeColor="text1"/>
              <w14:textFill>
                <w14:solidFill>
                  <w14:schemeClr w14:val="tx1"/>
                </w14:solidFill>
              </w14:textFill>
            </w:rPr>
            <w:alias w:val="重要联营企业的主要财务信息明细-企业名称"/>
            <w:tag w:val="_GBC_dabfa87f0eff42149952cca99a0db3a2"/>
            <w:id w:val="147467940"/>
          </w:sdtPr>
          <w:sdtEndPr>
            <w:rPr>
              <w:rFonts w:cs="Times New Roman"/>
              <w:color w:val="000000" w:themeColor="text1"/>
              <w14:textFill>
                <w14:solidFill>
                  <w14:schemeClr w14:val="tx1"/>
                </w14:solidFill>
              </w14:textFill>
            </w:rPr>
          </w:sdtEndPr>
          <w:sdtContent>
            <w:tc>
              <w:tcPr>
                <w:tcW w:w="843" w:type="pct"/>
              </w:tcPr>
              <w:p w14:paraId="1D00867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湖南中晟高分子新材料有限公司</w:t>
                </w:r>
              </w:p>
            </w:tc>
          </w:sdtContent>
        </w:sdt>
        <w:sdt>
          <w:sdtPr>
            <w:rPr>
              <w:rFonts w:cs="Times New Roman"/>
            </w:rPr>
            <w:alias w:val="重要联营企业的主要财务信息明细-企业名称"/>
            <w:tag w:val="_GBC_dabfa87f0eff42149952cca99a0db3a2"/>
            <w:id w:val="147458256"/>
          </w:sdtPr>
          <w:sdtEndPr>
            <w:rPr>
              <w:rFonts w:cs="Times New Roman"/>
            </w:rPr>
          </w:sdtEndPr>
          <w:sdtContent>
            <w:tc>
              <w:tcPr>
                <w:tcW w:w="850" w:type="pct"/>
              </w:tcPr>
              <w:p w14:paraId="3C177E72">
                <w:pPr>
                  <w:jc w:val="center"/>
                  <w:rPr>
                    <w:rFonts w:cs="Times New Roman"/>
                  </w:rPr>
                </w:pPr>
                <w:r>
                  <w:rPr>
                    <w:rFonts w:cs="Times New Roman"/>
                  </w:rPr>
                  <w:t>南京英斯瑞德高分子材料股份有限公司</w:t>
                </w:r>
              </w:p>
            </w:tc>
          </w:sdtContent>
        </w:sdt>
      </w:tr>
      <w:tr w14:paraId="5C3E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332E3E9D">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流动资产</w:t>
            </w:r>
          </w:p>
        </w:tc>
        <w:tc>
          <w:tcPr>
            <w:tcW w:w="843" w:type="pct"/>
            <w:vAlign w:val="center"/>
          </w:tcPr>
          <w:p w14:paraId="7C127E32">
            <w:pPr>
              <w:jc w:val="right"/>
              <w:textAlignment w:val="center"/>
              <w:rPr>
                <w:rFonts w:cs="Times New Roman"/>
              </w:rPr>
            </w:pPr>
            <w:r>
              <w:rPr>
                <w:rFonts w:cs="Times New Roman"/>
                <w:color w:val="000000"/>
              </w:rPr>
              <w:t>27,243,080.12</w:t>
            </w:r>
          </w:p>
        </w:tc>
        <w:tc>
          <w:tcPr>
            <w:tcW w:w="845" w:type="pct"/>
            <w:vAlign w:val="center"/>
          </w:tcPr>
          <w:p w14:paraId="5EA2F74F">
            <w:pPr>
              <w:jc w:val="right"/>
              <w:textAlignment w:val="center"/>
              <w:rPr>
                <w:rFonts w:cs="Times New Roman"/>
              </w:rPr>
            </w:pPr>
            <w:r>
              <w:rPr>
                <w:rFonts w:cs="Times New Roman"/>
                <w:color w:val="000000"/>
              </w:rPr>
              <w:t>79,270,803.74</w:t>
            </w:r>
          </w:p>
        </w:tc>
        <w:tc>
          <w:tcPr>
            <w:tcW w:w="843" w:type="pct"/>
            <w:vAlign w:val="center"/>
          </w:tcPr>
          <w:p w14:paraId="117319CB">
            <w:pPr>
              <w:jc w:val="right"/>
              <w:textAlignment w:val="center"/>
              <w:rPr>
                <w:rFonts w:cs="Times New Roman"/>
              </w:rPr>
            </w:pPr>
            <w:r>
              <w:rPr>
                <w:rFonts w:cs="Times New Roman"/>
                <w:color w:val="000000"/>
              </w:rPr>
              <w:t>36,027,187.31</w:t>
            </w:r>
          </w:p>
        </w:tc>
        <w:tc>
          <w:tcPr>
            <w:tcW w:w="850" w:type="pct"/>
            <w:vAlign w:val="center"/>
          </w:tcPr>
          <w:p w14:paraId="5AD2E4C0">
            <w:pPr>
              <w:jc w:val="right"/>
              <w:textAlignment w:val="center"/>
              <w:rPr>
                <w:rFonts w:cs="Times New Roman"/>
              </w:rPr>
            </w:pPr>
            <w:r>
              <w:rPr>
                <w:rFonts w:cs="Times New Roman"/>
                <w:color w:val="000000"/>
              </w:rPr>
              <w:t>75,278,947.24</w:t>
            </w:r>
          </w:p>
        </w:tc>
      </w:tr>
      <w:tr w14:paraId="4923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0250276F">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非流动资产</w:t>
            </w:r>
          </w:p>
        </w:tc>
        <w:tc>
          <w:tcPr>
            <w:tcW w:w="843" w:type="pct"/>
            <w:vAlign w:val="center"/>
          </w:tcPr>
          <w:p w14:paraId="33AA120B">
            <w:pPr>
              <w:jc w:val="right"/>
              <w:textAlignment w:val="center"/>
              <w:rPr>
                <w:rFonts w:cs="Times New Roman"/>
              </w:rPr>
            </w:pPr>
            <w:r>
              <w:rPr>
                <w:rFonts w:cs="Times New Roman"/>
                <w:color w:val="000000"/>
              </w:rPr>
              <w:t>45,384,262.56</w:t>
            </w:r>
          </w:p>
        </w:tc>
        <w:tc>
          <w:tcPr>
            <w:tcW w:w="845" w:type="pct"/>
            <w:vAlign w:val="center"/>
          </w:tcPr>
          <w:p w14:paraId="669CED8B">
            <w:pPr>
              <w:jc w:val="right"/>
              <w:textAlignment w:val="center"/>
              <w:rPr>
                <w:rFonts w:cs="Times New Roman"/>
              </w:rPr>
            </w:pPr>
            <w:r>
              <w:rPr>
                <w:rFonts w:cs="Times New Roman"/>
                <w:color w:val="000000"/>
              </w:rPr>
              <w:t>26,513,328.32</w:t>
            </w:r>
          </w:p>
        </w:tc>
        <w:tc>
          <w:tcPr>
            <w:tcW w:w="843" w:type="pct"/>
            <w:vAlign w:val="center"/>
          </w:tcPr>
          <w:p w14:paraId="524EF79C">
            <w:pPr>
              <w:jc w:val="right"/>
              <w:textAlignment w:val="center"/>
              <w:rPr>
                <w:rFonts w:cs="Times New Roman"/>
              </w:rPr>
            </w:pPr>
            <w:r>
              <w:rPr>
                <w:rFonts w:cs="Times New Roman"/>
                <w:color w:val="000000"/>
              </w:rPr>
              <w:t>49,310,053.60</w:t>
            </w:r>
          </w:p>
        </w:tc>
        <w:tc>
          <w:tcPr>
            <w:tcW w:w="850" w:type="pct"/>
            <w:vAlign w:val="center"/>
          </w:tcPr>
          <w:p w14:paraId="0D5B2E4E">
            <w:pPr>
              <w:jc w:val="right"/>
              <w:textAlignment w:val="center"/>
              <w:rPr>
                <w:rFonts w:cs="Times New Roman"/>
              </w:rPr>
            </w:pPr>
            <w:r>
              <w:rPr>
                <w:rFonts w:cs="Times New Roman"/>
                <w:color w:val="000000"/>
              </w:rPr>
              <w:t>27,253,949.18</w:t>
            </w:r>
          </w:p>
        </w:tc>
      </w:tr>
      <w:tr w14:paraId="2B65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3F5AB6A0">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资产合计</w:t>
            </w:r>
          </w:p>
        </w:tc>
        <w:tc>
          <w:tcPr>
            <w:tcW w:w="843" w:type="pct"/>
            <w:vAlign w:val="center"/>
          </w:tcPr>
          <w:p w14:paraId="67325CE4">
            <w:pPr>
              <w:jc w:val="right"/>
              <w:textAlignment w:val="center"/>
              <w:rPr>
                <w:rFonts w:cs="Times New Roman"/>
              </w:rPr>
            </w:pPr>
            <w:r>
              <w:rPr>
                <w:rFonts w:cs="Times New Roman"/>
                <w:color w:val="000000"/>
              </w:rPr>
              <w:t>72,627,342.68</w:t>
            </w:r>
          </w:p>
        </w:tc>
        <w:tc>
          <w:tcPr>
            <w:tcW w:w="845" w:type="pct"/>
            <w:vAlign w:val="center"/>
          </w:tcPr>
          <w:p w14:paraId="226DD534">
            <w:pPr>
              <w:jc w:val="right"/>
              <w:textAlignment w:val="center"/>
              <w:rPr>
                <w:rFonts w:cs="Times New Roman"/>
              </w:rPr>
            </w:pPr>
            <w:r>
              <w:rPr>
                <w:rFonts w:cs="Times New Roman"/>
                <w:color w:val="000000"/>
              </w:rPr>
              <w:t>105,784,132.06</w:t>
            </w:r>
          </w:p>
        </w:tc>
        <w:tc>
          <w:tcPr>
            <w:tcW w:w="843" w:type="pct"/>
            <w:vAlign w:val="center"/>
          </w:tcPr>
          <w:p w14:paraId="3FA5BC9F">
            <w:pPr>
              <w:jc w:val="right"/>
              <w:textAlignment w:val="center"/>
              <w:rPr>
                <w:rFonts w:cs="Times New Roman"/>
              </w:rPr>
            </w:pPr>
            <w:r>
              <w:rPr>
                <w:rFonts w:cs="Times New Roman"/>
                <w:color w:val="000000"/>
              </w:rPr>
              <w:t>85,337,240.91</w:t>
            </w:r>
          </w:p>
        </w:tc>
        <w:tc>
          <w:tcPr>
            <w:tcW w:w="850" w:type="pct"/>
            <w:vAlign w:val="center"/>
          </w:tcPr>
          <w:p w14:paraId="525A0182">
            <w:pPr>
              <w:jc w:val="right"/>
              <w:textAlignment w:val="center"/>
              <w:rPr>
                <w:rFonts w:cs="Times New Roman"/>
              </w:rPr>
            </w:pPr>
            <w:r>
              <w:rPr>
                <w:rFonts w:cs="Times New Roman"/>
                <w:color w:val="000000"/>
              </w:rPr>
              <w:t>102,532,896.42</w:t>
            </w:r>
          </w:p>
        </w:tc>
      </w:tr>
      <w:tr w14:paraId="4024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bottom"/>
          </w:tcPr>
          <w:p w14:paraId="62CF92BB">
            <w:pPr>
              <w:jc w:val="right"/>
              <w:rPr>
                <w:rFonts w:cs="Times New Roman"/>
                <w:color w:val="000000" w:themeColor="text1"/>
                <w14:textFill>
                  <w14:solidFill>
                    <w14:schemeClr w14:val="tx1"/>
                  </w14:solidFill>
                </w14:textFill>
              </w:rPr>
            </w:pPr>
          </w:p>
        </w:tc>
      </w:tr>
      <w:tr w14:paraId="5DBC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0F424754">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流动负债</w:t>
            </w:r>
          </w:p>
        </w:tc>
        <w:tc>
          <w:tcPr>
            <w:tcW w:w="843" w:type="pct"/>
            <w:vAlign w:val="center"/>
          </w:tcPr>
          <w:p w14:paraId="60BF4E83">
            <w:pPr>
              <w:jc w:val="right"/>
              <w:textAlignment w:val="center"/>
              <w:rPr>
                <w:rFonts w:cs="Times New Roman"/>
              </w:rPr>
            </w:pPr>
            <w:r>
              <w:rPr>
                <w:rFonts w:cs="Times New Roman"/>
                <w:color w:val="000000"/>
              </w:rPr>
              <w:t>21,681,880.38</w:t>
            </w:r>
          </w:p>
        </w:tc>
        <w:tc>
          <w:tcPr>
            <w:tcW w:w="845" w:type="pct"/>
            <w:vAlign w:val="center"/>
          </w:tcPr>
          <w:p w14:paraId="5586CB8C">
            <w:pPr>
              <w:jc w:val="right"/>
              <w:textAlignment w:val="center"/>
              <w:rPr>
                <w:rFonts w:cs="Times New Roman"/>
              </w:rPr>
            </w:pPr>
            <w:r>
              <w:rPr>
                <w:rFonts w:cs="Times New Roman"/>
                <w:color w:val="000000"/>
              </w:rPr>
              <w:t>82,049,589.58</w:t>
            </w:r>
          </w:p>
        </w:tc>
        <w:tc>
          <w:tcPr>
            <w:tcW w:w="843" w:type="pct"/>
            <w:vAlign w:val="center"/>
          </w:tcPr>
          <w:p w14:paraId="5C94BE13">
            <w:pPr>
              <w:jc w:val="right"/>
              <w:textAlignment w:val="center"/>
              <w:rPr>
                <w:rFonts w:cs="Times New Roman"/>
              </w:rPr>
            </w:pPr>
            <w:r>
              <w:rPr>
                <w:rFonts w:cs="Times New Roman"/>
                <w:color w:val="000000"/>
              </w:rPr>
              <w:t>28,012,432.86</w:t>
            </w:r>
          </w:p>
        </w:tc>
        <w:tc>
          <w:tcPr>
            <w:tcW w:w="850" w:type="pct"/>
            <w:vAlign w:val="center"/>
          </w:tcPr>
          <w:p w14:paraId="532B0493">
            <w:pPr>
              <w:jc w:val="right"/>
              <w:textAlignment w:val="center"/>
              <w:rPr>
                <w:rFonts w:cs="Times New Roman"/>
              </w:rPr>
            </w:pPr>
            <w:r>
              <w:rPr>
                <w:rFonts w:cs="Times New Roman"/>
                <w:color w:val="000000"/>
              </w:rPr>
              <w:t>78,903,009.62</w:t>
            </w:r>
          </w:p>
        </w:tc>
      </w:tr>
      <w:tr w14:paraId="6C5F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7F1C94A6">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非流动负债</w:t>
            </w:r>
          </w:p>
        </w:tc>
        <w:tc>
          <w:tcPr>
            <w:tcW w:w="843" w:type="pct"/>
            <w:vAlign w:val="center"/>
          </w:tcPr>
          <w:p w14:paraId="1597A20D">
            <w:pPr>
              <w:jc w:val="right"/>
              <w:rPr>
                <w:rFonts w:cs="Times New Roman"/>
              </w:rPr>
            </w:pPr>
          </w:p>
        </w:tc>
        <w:tc>
          <w:tcPr>
            <w:tcW w:w="845" w:type="pct"/>
            <w:vAlign w:val="center"/>
          </w:tcPr>
          <w:p w14:paraId="76CD96B8">
            <w:pPr>
              <w:jc w:val="right"/>
              <w:textAlignment w:val="center"/>
              <w:rPr>
                <w:rFonts w:cs="Times New Roman"/>
              </w:rPr>
            </w:pPr>
            <w:r>
              <w:rPr>
                <w:rFonts w:cs="Times New Roman"/>
                <w:color w:val="000000"/>
              </w:rPr>
              <w:t>1,891,561.45</w:t>
            </w:r>
          </w:p>
        </w:tc>
        <w:tc>
          <w:tcPr>
            <w:tcW w:w="843" w:type="pct"/>
            <w:vAlign w:val="center"/>
          </w:tcPr>
          <w:p w14:paraId="71312873">
            <w:pPr>
              <w:jc w:val="right"/>
              <w:rPr>
                <w:rFonts w:cs="Times New Roman"/>
              </w:rPr>
            </w:pPr>
          </w:p>
        </w:tc>
        <w:tc>
          <w:tcPr>
            <w:tcW w:w="850" w:type="pct"/>
            <w:vAlign w:val="center"/>
          </w:tcPr>
          <w:p w14:paraId="120D21CF">
            <w:pPr>
              <w:jc w:val="right"/>
              <w:textAlignment w:val="center"/>
              <w:rPr>
                <w:rFonts w:cs="Times New Roman"/>
              </w:rPr>
            </w:pPr>
            <w:r>
              <w:rPr>
                <w:rFonts w:cs="Times New Roman"/>
                <w:color w:val="000000"/>
              </w:rPr>
              <w:t>1,891,561.45</w:t>
            </w:r>
          </w:p>
        </w:tc>
      </w:tr>
      <w:tr w14:paraId="463D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67CC807F">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负债合计</w:t>
            </w:r>
          </w:p>
        </w:tc>
        <w:tc>
          <w:tcPr>
            <w:tcW w:w="843" w:type="pct"/>
            <w:vAlign w:val="center"/>
          </w:tcPr>
          <w:p w14:paraId="585336CF">
            <w:pPr>
              <w:jc w:val="right"/>
              <w:textAlignment w:val="center"/>
              <w:rPr>
                <w:rFonts w:cs="Times New Roman"/>
              </w:rPr>
            </w:pPr>
            <w:r>
              <w:rPr>
                <w:rFonts w:cs="Times New Roman"/>
                <w:color w:val="000000"/>
              </w:rPr>
              <w:t>21,681,880.38</w:t>
            </w:r>
          </w:p>
        </w:tc>
        <w:tc>
          <w:tcPr>
            <w:tcW w:w="845" w:type="pct"/>
            <w:vAlign w:val="center"/>
          </w:tcPr>
          <w:p w14:paraId="5B3FD2C8">
            <w:pPr>
              <w:jc w:val="right"/>
              <w:textAlignment w:val="center"/>
              <w:rPr>
                <w:rFonts w:cs="Times New Roman"/>
              </w:rPr>
            </w:pPr>
            <w:r>
              <w:rPr>
                <w:rFonts w:cs="Times New Roman"/>
                <w:color w:val="000000"/>
              </w:rPr>
              <w:t>83,941,151.03</w:t>
            </w:r>
          </w:p>
        </w:tc>
        <w:tc>
          <w:tcPr>
            <w:tcW w:w="843" w:type="pct"/>
            <w:vAlign w:val="center"/>
          </w:tcPr>
          <w:p w14:paraId="7EA97F10">
            <w:pPr>
              <w:jc w:val="right"/>
              <w:textAlignment w:val="center"/>
              <w:rPr>
                <w:rFonts w:cs="Times New Roman"/>
              </w:rPr>
            </w:pPr>
            <w:r>
              <w:rPr>
                <w:rFonts w:cs="Times New Roman"/>
                <w:color w:val="000000"/>
              </w:rPr>
              <w:t>28,012,432.86</w:t>
            </w:r>
          </w:p>
        </w:tc>
        <w:tc>
          <w:tcPr>
            <w:tcW w:w="850" w:type="pct"/>
            <w:vAlign w:val="center"/>
          </w:tcPr>
          <w:p w14:paraId="470CD2FE">
            <w:pPr>
              <w:jc w:val="right"/>
              <w:textAlignment w:val="center"/>
              <w:rPr>
                <w:rFonts w:cs="Times New Roman"/>
              </w:rPr>
            </w:pPr>
            <w:r>
              <w:rPr>
                <w:rFonts w:cs="Times New Roman"/>
                <w:color w:val="000000"/>
              </w:rPr>
              <w:t>80,794,571.07</w:t>
            </w:r>
          </w:p>
        </w:tc>
      </w:tr>
      <w:tr w14:paraId="132A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bottom"/>
          </w:tcPr>
          <w:p w14:paraId="7AB19E36">
            <w:pPr>
              <w:jc w:val="right"/>
              <w:rPr>
                <w:rFonts w:cs="Times New Roman"/>
                <w:color w:val="000000" w:themeColor="text1"/>
                <w14:textFill>
                  <w14:solidFill>
                    <w14:schemeClr w14:val="tx1"/>
                  </w14:solidFill>
                </w14:textFill>
              </w:rPr>
            </w:pPr>
          </w:p>
        </w:tc>
      </w:tr>
      <w:tr w14:paraId="7DB6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6656F90D">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少数股东权益</w:t>
            </w:r>
          </w:p>
        </w:tc>
        <w:tc>
          <w:tcPr>
            <w:tcW w:w="843" w:type="pct"/>
            <w:vAlign w:val="center"/>
          </w:tcPr>
          <w:p w14:paraId="3B75E79F">
            <w:pPr>
              <w:jc w:val="right"/>
              <w:rPr>
                <w:rFonts w:cs="Times New Roman"/>
              </w:rPr>
            </w:pPr>
          </w:p>
        </w:tc>
        <w:tc>
          <w:tcPr>
            <w:tcW w:w="845" w:type="pct"/>
            <w:vAlign w:val="center"/>
          </w:tcPr>
          <w:p w14:paraId="2F8CB906">
            <w:pPr>
              <w:jc w:val="right"/>
              <w:rPr>
                <w:rFonts w:cs="Times New Roman"/>
              </w:rPr>
            </w:pPr>
          </w:p>
        </w:tc>
        <w:tc>
          <w:tcPr>
            <w:tcW w:w="843" w:type="pct"/>
            <w:vAlign w:val="center"/>
          </w:tcPr>
          <w:p w14:paraId="07ED8F54">
            <w:pPr>
              <w:jc w:val="right"/>
              <w:rPr>
                <w:rFonts w:cs="Times New Roman"/>
              </w:rPr>
            </w:pPr>
          </w:p>
        </w:tc>
        <w:tc>
          <w:tcPr>
            <w:tcW w:w="850" w:type="pct"/>
            <w:vAlign w:val="center"/>
          </w:tcPr>
          <w:p w14:paraId="5133E374">
            <w:pPr>
              <w:jc w:val="right"/>
              <w:rPr>
                <w:rFonts w:cs="Times New Roman"/>
              </w:rPr>
            </w:pPr>
          </w:p>
        </w:tc>
      </w:tr>
      <w:tr w14:paraId="0094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1EB5D4C1">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归属于母公司股东权益</w:t>
            </w:r>
          </w:p>
        </w:tc>
        <w:tc>
          <w:tcPr>
            <w:tcW w:w="843" w:type="pct"/>
            <w:vAlign w:val="center"/>
          </w:tcPr>
          <w:p w14:paraId="3CC13039">
            <w:pPr>
              <w:jc w:val="right"/>
              <w:textAlignment w:val="center"/>
              <w:rPr>
                <w:rFonts w:cs="Times New Roman"/>
              </w:rPr>
            </w:pPr>
            <w:r>
              <w:rPr>
                <w:rFonts w:cs="Times New Roman"/>
                <w:color w:val="000000"/>
              </w:rPr>
              <w:t>50,945,462.30</w:t>
            </w:r>
          </w:p>
        </w:tc>
        <w:tc>
          <w:tcPr>
            <w:tcW w:w="845" w:type="pct"/>
            <w:vAlign w:val="center"/>
          </w:tcPr>
          <w:p w14:paraId="48CA6ADF">
            <w:pPr>
              <w:jc w:val="right"/>
              <w:textAlignment w:val="center"/>
              <w:rPr>
                <w:rFonts w:cs="Times New Roman"/>
              </w:rPr>
            </w:pPr>
            <w:r>
              <w:rPr>
                <w:rFonts w:cs="Times New Roman"/>
                <w:color w:val="000000"/>
              </w:rPr>
              <w:t>21,842,981.03</w:t>
            </w:r>
          </w:p>
        </w:tc>
        <w:tc>
          <w:tcPr>
            <w:tcW w:w="843" w:type="pct"/>
            <w:vAlign w:val="center"/>
          </w:tcPr>
          <w:p w14:paraId="485D3D46">
            <w:pPr>
              <w:jc w:val="right"/>
              <w:textAlignment w:val="center"/>
              <w:rPr>
                <w:rFonts w:cs="Times New Roman"/>
              </w:rPr>
            </w:pPr>
            <w:r>
              <w:rPr>
                <w:rFonts w:cs="Times New Roman"/>
                <w:color w:val="000000"/>
              </w:rPr>
              <w:t>57,324,808.05</w:t>
            </w:r>
          </w:p>
        </w:tc>
        <w:tc>
          <w:tcPr>
            <w:tcW w:w="850" w:type="pct"/>
            <w:vAlign w:val="center"/>
          </w:tcPr>
          <w:p w14:paraId="007D257C">
            <w:pPr>
              <w:jc w:val="right"/>
              <w:textAlignment w:val="center"/>
              <w:rPr>
                <w:rFonts w:cs="Times New Roman"/>
              </w:rPr>
            </w:pPr>
            <w:r>
              <w:rPr>
                <w:rFonts w:cs="Times New Roman"/>
                <w:color w:val="000000"/>
              </w:rPr>
              <w:t>21,738,325.35</w:t>
            </w:r>
          </w:p>
        </w:tc>
      </w:tr>
      <w:tr w14:paraId="3F894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bottom"/>
          </w:tcPr>
          <w:p w14:paraId="20564E43">
            <w:pPr>
              <w:jc w:val="right"/>
              <w:rPr>
                <w:rFonts w:cs="Times New Roman"/>
                <w:color w:val="000000" w:themeColor="text1"/>
                <w14:textFill>
                  <w14:solidFill>
                    <w14:schemeClr w14:val="tx1"/>
                  </w14:solidFill>
                </w14:textFill>
              </w:rPr>
            </w:pPr>
          </w:p>
        </w:tc>
      </w:tr>
      <w:tr w14:paraId="18F8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208433E1">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按持股比例计算的净资产份额</w:t>
            </w:r>
          </w:p>
        </w:tc>
        <w:tc>
          <w:tcPr>
            <w:tcW w:w="843" w:type="pct"/>
            <w:vAlign w:val="center"/>
          </w:tcPr>
          <w:p w14:paraId="401579D2">
            <w:pPr>
              <w:jc w:val="right"/>
              <w:textAlignment w:val="center"/>
              <w:rPr>
                <w:rFonts w:cs="Times New Roman"/>
              </w:rPr>
            </w:pPr>
            <w:r>
              <w:rPr>
                <w:rFonts w:cs="Times New Roman"/>
                <w:color w:val="000000"/>
              </w:rPr>
              <w:t>25,472,731.15</w:t>
            </w:r>
          </w:p>
        </w:tc>
        <w:tc>
          <w:tcPr>
            <w:tcW w:w="845" w:type="pct"/>
            <w:vAlign w:val="center"/>
          </w:tcPr>
          <w:p w14:paraId="16F3C060">
            <w:pPr>
              <w:jc w:val="right"/>
              <w:textAlignment w:val="center"/>
              <w:rPr>
                <w:rFonts w:cs="Times New Roman"/>
              </w:rPr>
            </w:pPr>
            <w:r>
              <w:rPr>
                <w:rFonts w:cs="Times New Roman"/>
                <w:color w:val="000000"/>
              </w:rPr>
              <w:t>7,645,043.36</w:t>
            </w:r>
          </w:p>
        </w:tc>
        <w:tc>
          <w:tcPr>
            <w:tcW w:w="843" w:type="pct"/>
            <w:vAlign w:val="center"/>
          </w:tcPr>
          <w:p w14:paraId="6E0E7DE6">
            <w:pPr>
              <w:jc w:val="right"/>
              <w:textAlignment w:val="center"/>
              <w:rPr>
                <w:rFonts w:cs="Times New Roman"/>
              </w:rPr>
            </w:pPr>
            <w:r>
              <w:rPr>
                <w:rFonts w:cs="Times New Roman"/>
                <w:color w:val="000000"/>
              </w:rPr>
              <w:t>28,662,404.03</w:t>
            </w:r>
          </w:p>
        </w:tc>
        <w:tc>
          <w:tcPr>
            <w:tcW w:w="850" w:type="pct"/>
            <w:vAlign w:val="center"/>
          </w:tcPr>
          <w:p w14:paraId="5C06A73B">
            <w:pPr>
              <w:jc w:val="right"/>
              <w:textAlignment w:val="center"/>
              <w:rPr>
                <w:rFonts w:cs="Times New Roman"/>
              </w:rPr>
            </w:pPr>
            <w:r>
              <w:rPr>
                <w:rFonts w:cs="Times New Roman"/>
                <w:color w:val="000000"/>
              </w:rPr>
              <w:t>7,608,413.87</w:t>
            </w:r>
          </w:p>
        </w:tc>
      </w:tr>
      <w:tr w14:paraId="20B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5AFF21C8">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对联营企业权益投资的账面价值</w:t>
            </w:r>
          </w:p>
        </w:tc>
        <w:tc>
          <w:tcPr>
            <w:tcW w:w="843" w:type="pct"/>
            <w:vAlign w:val="center"/>
          </w:tcPr>
          <w:p w14:paraId="5FFC1125">
            <w:pPr>
              <w:jc w:val="right"/>
              <w:textAlignment w:val="center"/>
              <w:rPr>
                <w:rFonts w:cs="Times New Roman"/>
              </w:rPr>
            </w:pPr>
            <w:r>
              <w:rPr>
                <w:rFonts w:cs="Times New Roman"/>
                <w:color w:val="000000"/>
              </w:rPr>
              <w:t>25,472,731.15</w:t>
            </w:r>
          </w:p>
        </w:tc>
        <w:tc>
          <w:tcPr>
            <w:tcW w:w="845" w:type="pct"/>
            <w:vAlign w:val="center"/>
          </w:tcPr>
          <w:p w14:paraId="67B76E5A">
            <w:pPr>
              <w:jc w:val="right"/>
              <w:textAlignment w:val="center"/>
              <w:rPr>
                <w:rFonts w:cs="Times New Roman"/>
              </w:rPr>
            </w:pPr>
            <w:r>
              <w:rPr>
                <w:rFonts w:cs="Times New Roman"/>
                <w:color w:val="000000"/>
              </w:rPr>
              <w:t>7,645,043.36</w:t>
            </w:r>
          </w:p>
        </w:tc>
        <w:tc>
          <w:tcPr>
            <w:tcW w:w="843" w:type="pct"/>
            <w:vAlign w:val="center"/>
          </w:tcPr>
          <w:p w14:paraId="2F87B31D">
            <w:pPr>
              <w:jc w:val="right"/>
              <w:textAlignment w:val="center"/>
              <w:rPr>
                <w:rFonts w:cs="Times New Roman"/>
              </w:rPr>
            </w:pPr>
            <w:r>
              <w:rPr>
                <w:rFonts w:cs="Times New Roman"/>
                <w:color w:val="000000"/>
              </w:rPr>
              <w:t>28,662,404.03</w:t>
            </w:r>
          </w:p>
        </w:tc>
        <w:tc>
          <w:tcPr>
            <w:tcW w:w="850" w:type="pct"/>
            <w:vAlign w:val="center"/>
          </w:tcPr>
          <w:p w14:paraId="7BA57089">
            <w:pPr>
              <w:jc w:val="right"/>
              <w:textAlignment w:val="center"/>
              <w:rPr>
                <w:rFonts w:cs="Times New Roman"/>
              </w:rPr>
            </w:pPr>
            <w:r>
              <w:rPr>
                <w:rFonts w:cs="Times New Roman"/>
                <w:color w:val="000000"/>
              </w:rPr>
              <w:t>7,608,413.87</w:t>
            </w:r>
          </w:p>
        </w:tc>
      </w:tr>
      <w:tr w14:paraId="0883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bottom"/>
          </w:tcPr>
          <w:p w14:paraId="7436FDBA">
            <w:pPr>
              <w:jc w:val="right"/>
              <w:rPr>
                <w:rFonts w:cs="Times New Roman"/>
                <w:color w:val="000000" w:themeColor="text1"/>
                <w14:textFill>
                  <w14:solidFill>
                    <w14:schemeClr w14:val="tx1"/>
                  </w14:solidFill>
                </w14:textFill>
              </w:rPr>
            </w:pPr>
          </w:p>
        </w:tc>
      </w:tr>
      <w:tr w14:paraId="6AA9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1DDE3975">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营业收入</w:t>
            </w:r>
          </w:p>
        </w:tc>
        <w:tc>
          <w:tcPr>
            <w:tcW w:w="843" w:type="pct"/>
            <w:vAlign w:val="center"/>
          </w:tcPr>
          <w:p w14:paraId="1DB998B2">
            <w:pPr>
              <w:jc w:val="right"/>
              <w:textAlignment w:val="center"/>
              <w:rPr>
                <w:rFonts w:cs="Times New Roman"/>
              </w:rPr>
            </w:pPr>
            <w:r>
              <w:rPr>
                <w:rFonts w:cs="Times New Roman"/>
                <w:color w:val="000000"/>
              </w:rPr>
              <w:t>38,998,469.90</w:t>
            </w:r>
          </w:p>
        </w:tc>
        <w:tc>
          <w:tcPr>
            <w:tcW w:w="845" w:type="pct"/>
            <w:vAlign w:val="center"/>
          </w:tcPr>
          <w:p w14:paraId="05BEF736">
            <w:pPr>
              <w:jc w:val="right"/>
              <w:textAlignment w:val="center"/>
              <w:rPr>
                <w:rFonts w:cs="Times New Roman"/>
              </w:rPr>
            </w:pPr>
            <w:r>
              <w:rPr>
                <w:rFonts w:cs="Times New Roman"/>
                <w:color w:val="000000"/>
              </w:rPr>
              <w:t>56,470,734.75</w:t>
            </w:r>
          </w:p>
        </w:tc>
        <w:tc>
          <w:tcPr>
            <w:tcW w:w="843" w:type="pct"/>
            <w:vAlign w:val="center"/>
          </w:tcPr>
          <w:p w14:paraId="3505F7FA">
            <w:pPr>
              <w:jc w:val="right"/>
              <w:textAlignment w:val="center"/>
              <w:rPr>
                <w:rFonts w:cs="Times New Roman"/>
              </w:rPr>
            </w:pPr>
            <w:r>
              <w:rPr>
                <w:rFonts w:cs="Times New Roman"/>
                <w:color w:val="000000"/>
              </w:rPr>
              <w:t>55,018,435.29</w:t>
            </w:r>
          </w:p>
        </w:tc>
        <w:tc>
          <w:tcPr>
            <w:tcW w:w="850" w:type="pct"/>
            <w:vAlign w:val="center"/>
          </w:tcPr>
          <w:p w14:paraId="3EAC38C3">
            <w:pPr>
              <w:jc w:val="right"/>
              <w:textAlignment w:val="center"/>
              <w:rPr>
                <w:rFonts w:cs="Times New Roman"/>
              </w:rPr>
            </w:pPr>
            <w:r>
              <w:rPr>
                <w:rFonts w:cs="Times New Roman"/>
                <w:color w:val="000000"/>
              </w:rPr>
              <w:t>54,938,953.01</w:t>
            </w:r>
          </w:p>
        </w:tc>
      </w:tr>
      <w:tr w14:paraId="70C3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38EA7245">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净利润</w:t>
            </w:r>
          </w:p>
        </w:tc>
        <w:tc>
          <w:tcPr>
            <w:tcW w:w="843" w:type="pct"/>
            <w:vAlign w:val="center"/>
          </w:tcPr>
          <w:p w14:paraId="3C2281C9">
            <w:pPr>
              <w:jc w:val="right"/>
              <w:textAlignment w:val="center"/>
              <w:rPr>
                <w:rFonts w:cs="Times New Roman"/>
              </w:rPr>
            </w:pPr>
            <w:r>
              <w:rPr>
                <w:rFonts w:cs="Times New Roman"/>
                <w:color w:val="000000"/>
              </w:rPr>
              <w:t>-6,379,345.75</w:t>
            </w:r>
          </w:p>
        </w:tc>
        <w:tc>
          <w:tcPr>
            <w:tcW w:w="845" w:type="pct"/>
            <w:vAlign w:val="center"/>
          </w:tcPr>
          <w:p w14:paraId="16E1C31D">
            <w:pPr>
              <w:jc w:val="right"/>
              <w:textAlignment w:val="center"/>
              <w:rPr>
                <w:rFonts w:cs="Times New Roman"/>
              </w:rPr>
            </w:pPr>
            <w:r>
              <w:rPr>
                <w:rFonts w:cs="Times New Roman"/>
                <w:color w:val="000000"/>
              </w:rPr>
              <w:t>104,655.68</w:t>
            </w:r>
          </w:p>
        </w:tc>
        <w:tc>
          <w:tcPr>
            <w:tcW w:w="843" w:type="pct"/>
            <w:vAlign w:val="center"/>
          </w:tcPr>
          <w:p w14:paraId="067C6949">
            <w:pPr>
              <w:jc w:val="right"/>
              <w:textAlignment w:val="center"/>
              <w:rPr>
                <w:rFonts w:cs="Times New Roman"/>
              </w:rPr>
            </w:pPr>
            <w:r>
              <w:rPr>
                <w:rFonts w:cs="Times New Roman"/>
                <w:color w:val="000000"/>
              </w:rPr>
              <w:t>-5,852,865.91</w:t>
            </w:r>
          </w:p>
        </w:tc>
        <w:tc>
          <w:tcPr>
            <w:tcW w:w="850" w:type="pct"/>
            <w:vAlign w:val="center"/>
          </w:tcPr>
          <w:p w14:paraId="0665FE8C">
            <w:pPr>
              <w:jc w:val="right"/>
              <w:textAlignment w:val="center"/>
              <w:rPr>
                <w:rFonts w:cs="Times New Roman"/>
              </w:rPr>
            </w:pPr>
            <w:r>
              <w:rPr>
                <w:rFonts w:cs="Times New Roman"/>
                <w:color w:val="000000"/>
              </w:rPr>
              <w:t>684,268.89</w:t>
            </w:r>
          </w:p>
        </w:tc>
      </w:tr>
      <w:tr w14:paraId="7085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7FA7A548">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综合收益总额</w:t>
            </w:r>
          </w:p>
        </w:tc>
        <w:tc>
          <w:tcPr>
            <w:tcW w:w="843" w:type="pct"/>
            <w:vAlign w:val="center"/>
          </w:tcPr>
          <w:p w14:paraId="480FD664">
            <w:pPr>
              <w:jc w:val="right"/>
              <w:textAlignment w:val="center"/>
              <w:rPr>
                <w:rFonts w:cs="Times New Roman"/>
              </w:rPr>
            </w:pPr>
            <w:r>
              <w:rPr>
                <w:rFonts w:cs="Times New Roman"/>
                <w:color w:val="000000"/>
              </w:rPr>
              <w:t>-6,379,345.75</w:t>
            </w:r>
          </w:p>
        </w:tc>
        <w:tc>
          <w:tcPr>
            <w:tcW w:w="845" w:type="pct"/>
            <w:vAlign w:val="center"/>
          </w:tcPr>
          <w:p w14:paraId="736B40C2">
            <w:pPr>
              <w:jc w:val="right"/>
              <w:textAlignment w:val="center"/>
              <w:rPr>
                <w:rFonts w:cs="Times New Roman"/>
              </w:rPr>
            </w:pPr>
            <w:r>
              <w:rPr>
                <w:rFonts w:cs="Times New Roman"/>
                <w:color w:val="000000"/>
              </w:rPr>
              <w:t>104,655.68</w:t>
            </w:r>
          </w:p>
        </w:tc>
        <w:tc>
          <w:tcPr>
            <w:tcW w:w="843" w:type="pct"/>
            <w:vAlign w:val="center"/>
          </w:tcPr>
          <w:p w14:paraId="10AB149E">
            <w:pPr>
              <w:jc w:val="right"/>
              <w:textAlignment w:val="center"/>
              <w:rPr>
                <w:rFonts w:cs="Times New Roman"/>
              </w:rPr>
            </w:pPr>
            <w:r>
              <w:rPr>
                <w:rFonts w:cs="Times New Roman"/>
                <w:color w:val="000000"/>
              </w:rPr>
              <w:t>-5,852,865.91</w:t>
            </w:r>
          </w:p>
        </w:tc>
        <w:tc>
          <w:tcPr>
            <w:tcW w:w="850" w:type="pct"/>
            <w:vAlign w:val="center"/>
          </w:tcPr>
          <w:p w14:paraId="6CFE3150">
            <w:pPr>
              <w:jc w:val="right"/>
              <w:textAlignment w:val="center"/>
              <w:rPr>
                <w:rFonts w:cs="Times New Roman"/>
              </w:rPr>
            </w:pPr>
            <w:r>
              <w:rPr>
                <w:rFonts w:cs="Times New Roman"/>
                <w:color w:val="000000"/>
              </w:rPr>
              <w:t>684,268.89</w:t>
            </w:r>
          </w:p>
        </w:tc>
      </w:tr>
      <w:tr w14:paraId="360E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bottom"/>
          </w:tcPr>
          <w:p w14:paraId="59C3813B">
            <w:pPr>
              <w:jc w:val="right"/>
              <w:rPr>
                <w:rFonts w:cs="Times New Roman"/>
                <w:color w:val="000000" w:themeColor="text1"/>
                <w14:textFill>
                  <w14:solidFill>
                    <w14:schemeClr w14:val="tx1"/>
                  </w14:solidFill>
                </w14:textFill>
              </w:rPr>
            </w:pPr>
          </w:p>
        </w:tc>
      </w:tr>
      <w:tr w14:paraId="20D8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pct"/>
            <w:vAlign w:val="bottom"/>
          </w:tcPr>
          <w:p w14:paraId="4964F6CD">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本年度收到的来自联营企业的股利</w:t>
            </w:r>
          </w:p>
        </w:tc>
        <w:tc>
          <w:tcPr>
            <w:tcW w:w="843" w:type="pct"/>
            <w:vAlign w:val="center"/>
          </w:tcPr>
          <w:p w14:paraId="2DE875D7">
            <w:pPr>
              <w:jc w:val="right"/>
              <w:rPr>
                <w:rFonts w:cs="Times New Roman"/>
              </w:rPr>
            </w:pPr>
          </w:p>
        </w:tc>
        <w:tc>
          <w:tcPr>
            <w:tcW w:w="845" w:type="pct"/>
            <w:vAlign w:val="center"/>
          </w:tcPr>
          <w:p w14:paraId="2DB17D58">
            <w:pPr>
              <w:jc w:val="right"/>
              <w:rPr>
                <w:rFonts w:cs="Times New Roman"/>
              </w:rPr>
            </w:pPr>
          </w:p>
        </w:tc>
        <w:tc>
          <w:tcPr>
            <w:tcW w:w="843" w:type="pct"/>
            <w:vAlign w:val="center"/>
          </w:tcPr>
          <w:p w14:paraId="028E9ECB">
            <w:pPr>
              <w:jc w:val="right"/>
              <w:rPr>
                <w:rFonts w:cs="Times New Roman"/>
              </w:rPr>
            </w:pPr>
          </w:p>
        </w:tc>
        <w:tc>
          <w:tcPr>
            <w:tcW w:w="850" w:type="pct"/>
            <w:vAlign w:val="center"/>
          </w:tcPr>
          <w:p w14:paraId="6928C9D4">
            <w:pPr>
              <w:jc w:val="right"/>
              <w:textAlignment w:val="center"/>
              <w:rPr>
                <w:rFonts w:cs="Times New Roman"/>
              </w:rPr>
            </w:pPr>
            <w:r>
              <w:rPr>
                <w:rFonts w:eastAsia="Arial Narrow" w:cs="Times New Roman"/>
                <w:color w:val="000000"/>
                <w:lang w:bidi="ar"/>
              </w:rPr>
              <w:t>2,635,500.00</w:t>
            </w:r>
          </w:p>
        </w:tc>
      </w:tr>
    </w:tbl>
    <w:p w14:paraId="5B83DD56">
      <w:pPr>
        <w:rPr>
          <w:rFonts w:cstheme="minorBidi"/>
          <w:color w:val="000000" w:themeColor="text1"/>
          <w14:textFill>
            <w14:solidFill>
              <w14:schemeClr w14:val="tx1"/>
            </w14:solidFill>
          </w14:textFill>
        </w:rPr>
      </w:pPr>
    </w:p>
    <w:p w14:paraId="4CAF7DC8">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hint="eastAsia" w:cs="Arial"/>
          <w:color w:val="000000" w:themeColor="text1"/>
          <w14:textFill>
            <w14:solidFill>
              <w14:schemeClr w14:val="tx1"/>
            </w14:solidFill>
          </w14:textFill>
        </w:rPr>
        <w:alias w:val="重要联营企业的主要财务信息其他说明的方法"/>
        <w:tag w:val="_GBC_49602fee37fb4c848eee594868d16caa"/>
        <w:id w:val="147457220"/>
        <w:placeholder>
          <w:docPart w:val="GBC22222222222222222222222222222"/>
        </w:placeholder>
      </w:sdtPr>
      <w:sdtEndPr>
        <w:rPr>
          <w:rFonts w:hint="eastAsia" w:cs="Arial"/>
          <w:color w:val="000000" w:themeColor="text1"/>
          <w14:textFill>
            <w14:solidFill>
              <w14:schemeClr w14:val="tx1"/>
            </w14:solidFill>
          </w14:textFill>
        </w:rPr>
      </w:sdtEndPr>
      <w:sdtContent>
        <w:p w14:paraId="2EB1FE69">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14:paraId="2FD2ACB2">
      <w:pPr>
        <w:rPr>
          <w:rFonts w:cs="Arial"/>
          <w:color w:val="000000" w:themeColor="text1"/>
          <w14:textFill>
            <w14:solidFill>
              <w14:schemeClr w14:val="tx1"/>
            </w14:solidFill>
          </w14:textFill>
        </w:rPr>
      </w:pPr>
    </w:p>
    <w:p w14:paraId="568BEC74">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不重要的合营企业和联营企业的汇总财务信息</w:t>
      </w:r>
    </w:p>
    <w:sdt>
      <w:sdtPr>
        <w:rPr>
          <w:color w:val="000000" w:themeColor="text1"/>
          <w14:textFill>
            <w14:solidFill>
              <w14:schemeClr w14:val="tx1"/>
            </w14:solidFill>
          </w14:textFill>
        </w:rPr>
        <w:alias w:val="是否适用：不重要的合营企业和联营企业的汇总财务信息[双击切换]"/>
        <w:tag w:val="_GBC_eb809f81680b42f794ba04df499e52dc"/>
        <w:id w:val="147461460"/>
        <w:placeholder>
          <w:docPart w:val="GBC22222222222222222222222222222"/>
        </w:placeholder>
      </w:sdtPr>
      <w:sdtEndPr>
        <w:rPr>
          <w:color w:val="000000" w:themeColor="text1"/>
          <w14:textFill>
            <w14:solidFill>
              <w14:schemeClr w14:val="tx1"/>
            </w14:solidFill>
          </w14:textFill>
        </w:rPr>
      </w:sdtEndPr>
      <w:sdtContent>
        <w:p w14:paraId="6BCBC51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B46C79F">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不重要的合营企业和联营企业的汇总财务信息"/>
          <w:tag w:val="_GBC_d02efd9c85904b029b5a51b02d9519e8"/>
          <w:id w:val="1474669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不重要的合营企业和联营企业的汇总财务信息"/>
          <w:tag w:val="_GBC_a6fa35df627e4d9584fb9c311eb6a4b5"/>
          <w:id w:val="14747815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3"/>
        <w:gridCol w:w="3071"/>
        <w:gridCol w:w="3075"/>
      </w:tblGrid>
      <w:tr w14:paraId="7AE5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1" w:hRule="atLeast"/>
          <w:jc w:val="center"/>
        </w:trPr>
        <w:tc>
          <w:tcPr>
            <w:tcW w:w="1604" w:type="pct"/>
          </w:tcPr>
          <w:p w14:paraId="5244A749">
            <w:pPr>
              <w:jc w:val="center"/>
              <w:rPr>
                <w:rFonts w:cs="Times New Roman"/>
                <w:color w:val="000000" w:themeColor="text1"/>
                <w14:textFill>
                  <w14:solidFill>
                    <w14:schemeClr w14:val="tx1"/>
                  </w14:solidFill>
                </w14:textFill>
              </w:rPr>
            </w:pPr>
          </w:p>
        </w:tc>
        <w:sdt>
          <w:sdtPr>
            <w:rPr>
              <w:rFonts w:cs="Times New Roman"/>
            </w:rPr>
            <w:tag w:val="_PLD_7dc69fc7f68243e6b4f46db3a94dd47f"/>
            <w:id w:val="147457926"/>
          </w:sdtPr>
          <w:sdtEndPr>
            <w:rPr>
              <w:rFonts w:cs="Times New Roman"/>
            </w:rPr>
          </w:sdtEndPr>
          <w:sdtContent>
            <w:tc>
              <w:tcPr>
                <w:tcW w:w="1697" w:type="pct"/>
              </w:tcPr>
              <w:p w14:paraId="736BE016">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期末余额</w:t>
                </w:r>
                <w:r>
                  <w:rPr>
                    <w:rFonts w:cs="Times New Roman"/>
                    <w:color w:val="000000" w:themeColor="text1"/>
                    <w14:textFill>
                      <w14:solidFill>
                        <w14:schemeClr w14:val="tx1"/>
                      </w14:solidFill>
                    </w14:textFill>
                  </w:rPr>
                  <w:t xml:space="preserve">/ </w:t>
                </w:r>
                <w:r>
                  <w:rPr>
                    <w:rFonts w:cs="Times New Roman"/>
                    <w:color w:val="000000" w:themeColor="text1"/>
                    <w:lang w:val="en-GB"/>
                    <w14:textFill>
                      <w14:solidFill>
                        <w14:schemeClr w14:val="tx1"/>
                      </w14:solidFill>
                    </w14:textFill>
                  </w:rPr>
                  <w:t>本期发生额</w:t>
                </w:r>
              </w:p>
            </w:tc>
          </w:sdtContent>
        </w:sdt>
        <w:sdt>
          <w:sdtPr>
            <w:rPr>
              <w:rFonts w:cs="Times New Roman"/>
            </w:rPr>
            <w:tag w:val="_PLD_ffe9f9922ada461388adfb92ed1e3072"/>
            <w:id w:val="147467765"/>
          </w:sdtPr>
          <w:sdtEndPr>
            <w:rPr>
              <w:rFonts w:cs="Times New Roman"/>
            </w:rPr>
          </w:sdtEndPr>
          <w:sdtContent>
            <w:tc>
              <w:tcPr>
                <w:tcW w:w="1699" w:type="pct"/>
              </w:tcPr>
              <w:p w14:paraId="5B8B4674">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期初余额</w:t>
                </w:r>
                <w:r>
                  <w:rPr>
                    <w:rFonts w:cs="Times New Roman"/>
                    <w:color w:val="000000" w:themeColor="text1"/>
                    <w14:textFill>
                      <w14:solidFill>
                        <w14:schemeClr w14:val="tx1"/>
                      </w14:solidFill>
                    </w14:textFill>
                  </w:rPr>
                  <w:t xml:space="preserve">/ </w:t>
                </w:r>
                <w:r>
                  <w:rPr>
                    <w:rFonts w:cs="Times New Roman"/>
                    <w:color w:val="000000" w:themeColor="text1"/>
                    <w:lang w:val="en-GB"/>
                    <w14:textFill>
                      <w14:solidFill>
                        <w14:schemeClr w14:val="tx1"/>
                      </w14:solidFill>
                    </w14:textFill>
                  </w:rPr>
                  <w:t>上期发生额</w:t>
                </w:r>
              </w:p>
            </w:tc>
          </w:sdtContent>
        </w:sdt>
      </w:tr>
      <w:tr w14:paraId="5EE9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cs="Times New Roman"/>
            </w:rPr>
            <w:tag w:val="_PLD_1bd24e2b6e8f4bddad27bea53e1b1b0a"/>
            <w:id w:val="147476495"/>
          </w:sdtPr>
          <w:sdtEndPr>
            <w:rPr>
              <w:rFonts w:cs="Times New Roman"/>
            </w:rPr>
          </w:sdtEndPr>
          <w:sdtContent>
            <w:tc>
              <w:tcPr>
                <w:tcW w:w="5000" w:type="pct"/>
                <w:gridSpan w:val="3"/>
              </w:tcPr>
              <w:p w14:paraId="54B4A5C6">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联营企业：</w:t>
                </w:r>
              </w:p>
            </w:tc>
          </w:sdtContent>
        </w:sdt>
      </w:tr>
      <w:tr w14:paraId="3025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6B561E25">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投资账面价值合计</w:t>
            </w:r>
          </w:p>
        </w:tc>
        <w:tc>
          <w:tcPr>
            <w:tcW w:w="2995" w:type="dxa"/>
            <w:vAlign w:val="center"/>
          </w:tcPr>
          <w:p w14:paraId="35FB74DF">
            <w:pPr>
              <w:jc w:val="right"/>
              <w:textAlignment w:val="center"/>
              <w:rPr>
                <w:rFonts w:cs="Times New Roman"/>
              </w:rPr>
            </w:pPr>
            <w:r>
              <w:rPr>
                <w:rFonts w:eastAsia="Arial Narrow" w:cs="Times New Roman"/>
                <w:color w:val="000000"/>
                <w:lang w:bidi="ar"/>
              </w:rPr>
              <w:t>11,617,146.63</w:t>
            </w:r>
          </w:p>
        </w:tc>
        <w:tc>
          <w:tcPr>
            <w:tcW w:w="2998" w:type="dxa"/>
            <w:vAlign w:val="center"/>
          </w:tcPr>
          <w:p w14:paraId="518FD643">
            <w:pPr>
              <w:jc w:val="right"/>
              <w:textAlignment w:val="center"/>
              <w:rPr>
                <w:rFonts w:cs="Times New Roman"/>
              </w:rPr>
            </w:pPr>
            <w:r>
              <w:rPr>
                <w:rFonts w:eastAsia="Arial Narrow" w:cs="Times New Roman"/>
                <w:color w:val="000000"/>
                <w:lang w:bidi="ar"/>
              </w:rPr>
              <w:t>11,738,839.26</w:t>
            </w:r>
          </w:p>
        </w:tc>
      </w:tr>
      <w:tr w14:paraId="56C6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rPr>
              <w:rFonts w:cs="Times New Roman"/>
            </w:rPr>
            <w:tag w:val="_PLD_31587dee61f14709a752f002668255e6"/>
            <w:id w:val="147465438"/>
          </w:sdtPr>
          <w:sdtEndPr>
            <w:rPr>
              <w:rFonts w:cs="Times New Roman"/>
            </w:rPr>
          </w:sdtEndPr>
          <w:sdtContent>
            <w:tc>
              <w:tcPr>
                <w:tcW w:w="5000" w:type="pct"/>
                <w:gridSpan w:val="3"/>
                <w:vAlign w:val="center"/>
              </w:tcPr>
              <w:p w14:paraId="1B508D80">
                <w:pP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下列各项按持股比例计算的合计数</w:t>
                </w:r>
              </w:p>
            </w:tc>
          </w:sdtContent>
        </w:sdt>
      </w:tr>
      <w:tr w14:paraId="030F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2F9F922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cs="Times New Roman"/>
                <w:color w:val="000000" w:themeColor="text1"/>
                <w:lang w:val="en-GB"/>
                <w14:textFill>
                  <w14:solidFill>
                    <w14:schemeClr w14:val="tx1"/>
                  </w14:solidFill>
                </w14:textFill>
              </w:rPr>
              <w:t>净利润</w:t>
            </w:r>
          </w:p>
        </w:tc>
        <w:tc>
          <w:tcPr>
            <w:tcW w:w="1697" w:type="pct"/>
            <w:vAlign w:val="center"/>
          </w:tcPr>
          <w:p w14:paraId="5A28002B">
            <w:pPr>
              <w:jc w:val="right"/>
              <w:textAlignment w:val="center"/>
              <w:rPr>
                <w:rFonts w:cs="Times New Roman"/>
              </w:rPr>
            </w:pPr>
            <w:r>
              <w:rPr>
                <w:rFonts w:eastAsia="Arial Narrow" w:cs="Times New Roman"/>
                <w:color w:val="000000"/>
                <w:lang w:bidi="ar"/>
              </w:rPr>
              <w:t>-3,865,715.23</w:t>
            </w:r>
          </w:p>
        </w:tc>
        <w:tc>
          <w:tcPr>
            <w:tcW w:w="1699" w:type="pct"/>
            <w:vAlign w:val="center"/>
          </w:tcPr>
          <w:p w14:paraId="199572A8">
            <w:pPr>
              <w:jc w:val="right"/>
              <w:textAlignment w:val="center"/>
              <w:rPr>
                <w:rFonts w:cs="Times New Roman"/>
              </w:rPr>
            </w:pPr>
            <w:r>
              <w:rPr>
                <w:rFonts w:eastAsia="Arial Narrow" w:cs="Times New Roman"/>
                <w:color w:val="000000"/>
                <w:lang w:bidi="ar"/>
              </w:rPr>
              <w:t>-1,288,125.99</w:t>
            </w:r>
          </w:p>
        </w:tc>
      </w:tr>
      <w:tr w14:paraId="771E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7FDB09E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cs="Times New Roman"/>
                <w:color w:val="000000" w:themeColor="text1"/>
                <w:lang w:val="en-GB"/>
                <w14:textFill>
                  <w14:solidFill>
                    <w14:schemeClr w14:val="tx1"/>
                  </w14:solidFill>
                </w14:textFill>
              </w:rPr>
              <w:t>其他综合收益</w:t>
            </w:r>
          </w:p>
        </w:tc>
        <w:tc>
          <w:tcPr>
            <w:tcW w:w="1697" w:type="pct"/>
            <w:vAlign w:val="center"/>
          </w:tcPr>
          <w:p w14:paraId="12F1E406">
            <w:pPr>
              <w:jc w:val="right"/>
              <w:rPr>
                <w:rFonts w:cs="Times New Roman"/>
              </w:rPr>
            </w:pPr>
          </w:p>
        </w:tc>
        <w:tc>
          <w:tcPr>
            <w:tcW w:w="1699" w:type="pct"/>
            <w:vAlign w:val="center"/>
          </w:tcPr>
          <w:p w14:paraId="5851F45F">
            <w:pPr>
              <w:jc w:val="right"/>
              <w:rPr>
                <w:rFonts w:cs="Times New Roman"/>
              </w:rPr>
            </w:pPr>
          </w:p>
        </w:tc>
      </w:tr>
      <w:tr w14:paraId="5071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14:paraId="047F718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cs="Times New Roman"/>
                <w:color w:val="000000" w:themeColor="text1"/>
                <w:lang w:val="en-GB"/>
                <w14:textFill>
                  <w14:solidFill>
                    <w14:schemeClr w14:val="tx1"/>
                  </w14:solidFill>
                </w14:textFill>
              </w:rPr>
              <w:t>综合收益总额</w:t>
            </w:r>
          </w:p>
        </w:tc>
        <w:tc>
          <w:tcPr>
            <w:tcW w:w="1697" w:type="pct"/>
            <w:vAlign w:val="center"/>
          </w:tcPr>
          <w:p w14:paraId="3F06F615">
            <w:pPr>
              <w:jc w:val="right"/>
              <w:textAlignment w:val="center"/>
              <w:rPr>
                <w:rFonts w:cs="Times New Roman"/>
              </w:rPr>
            </w:pPr>
            <w:r>
              <w:rPr>
                <w:rFonts w:eastAsia="Arial Narrow" w:cs="Times New Roman"/>
                <w:color w:val="000000"/>
                <w:lang w:bidi="ar"/>
              </w:rPr>
              <w:t>-3,865,715.23</w:t>
            </w:r>
          </w:p>
        </w:tc>
        <w:tc>
          <w:tcPr>
            <w:tcW w:w="1699" w:type="pct"/>
            <w:vAlign w:val="center"/>
          </w:tcPr>
          <w:p w14:paraId="28807514">
            <w:pPr>
              <w:jc w:val="right"/>
              <w:textAlignment w:val="center"/>
              <w:rPr>
                <w:rFonts w:cs="Times New Roman"/>
              </w:rPr>
            </w:pPr>
            <w:r>
              <w:rPr>
                <w:rFonts w:eastAsia="Arial Narrow" w:cs="Times New Roman"/>
                <w:color w:val="000000"/>
                <w:lang w:bidi="ar"/>
              </w:rPr>
              <w:t>-1,288,125.99</w:t>
            </w:r>
          </w:p>
        </w:tc>
      </w:tr>
    </w:tbl>
    <w:p w14:paraId="5472FAB2"/>
    <w:p w14:paraId="34B598B1">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他说明</w:t>
      </w:r>
    </w:p>
    <w:p w14:paraId="1A55438D">
      <w:pPr>
        <w:rPr>
          <w:rFonts w:cs="Arial"/>
          <w:color w:val="000000" w:themeColor="text1"/>
          <w14:textFill>
            <w14:solidFill>
              <w14:schemeClr w14:val="tx1"/>
            </w14:solidFill>
          </w14:textFill>
        </w:rPr>
      </w:pPr>
      <w:sdt>
        <w:sdtPr>
          <w:rPr>
            <w:color w:val="000000" w:themeColor="text1"/>
            <w14:textFill>
              <w14:solidFill>
                <w14:schemeClr w14:val="tx1"/>
              </w14:solidFill>
            </w14:textFill>
          </w:rPr>
          <w:alias w:val="不重要的合营企业和联营企业的汇总财务信息其他说明"/>
          <w:tag w:val="_GBC_78096995ca9848409e6780ab5f1386f8"/>
          <w:id w:val="147473198"/>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103ED00A">
      <w:pPr>
        <w:rPr>
          <w:rFonts w:cs="Arial"/>
          <w:color w:val="000000" w:themeColor="text1"/>
          <w14:textFill>
            <w14:solidFill>
              <w14:schemeClr w14:val="tx1"/>
            </w14:solidFill>
          </w14:textFill>
        </w:rPr>
      </w:pPr>
    </w:p>
    <w:p w14:paraId="7948DDBB">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合营企业或联营企业向本公司转移资金的能力存在重大限制的说明</w:t>
      </w:r>
    </w:p>
    <w:sdt>
      <w:sdtPr>
        <w:rPr>
          <w:color w:val="000000" w:themeColor="text1"/>
          <w14:textFill>
            <w14:solidFill>
              <w14:schemeClr w14:val="tx1"/>
            </w14:solidFill>
          </w14:textFill>
        </w:rPr>
        <w:alias w:val="是否适用：合营企业或联营企业向本公司转移资金的能力存在重大限制的说明[双击切换]"/>
        <w:tag w:val="_GBC_73dfba3df3e24fc2a5b5ede5fa8d6f09"/>
        <w:id w:val="147482588"/>
        <w:placeholder>
          <w:docPart w:val="GBC22222222222222222222222222222"/>
        </w:placeholder>
      </w:sdtPr>
      <w:sdtEndPr>
        <w:rPr>
          <w:color w:val="000000" w:themeColor="text1"/>
          <w14:textFill>
            <w14:solidFill>
              <w14:schemeClr w14:val="tx1"/>
            </w14:solidFill>
          </w14:textFill>
        </w:rPr>
      </w:sdtEndPr>
      <w:sdtContent>
        <w:p w14:paraId="14AB590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AF54AF">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合营企业或联营企业发生的超额亏损</w:t>
      </w:r>
    </w:p>
    <w:sdt>
      <w:sdtPr>
        <w:rPr>
          <w:color w:val="000000" w:themeColor="text1"/>
          <w14:textFill>
            <w14:solidFill>
              <w14:schemeClr w14:val="tx1"/>
            </w14:solidFill>
          </w14:textFill>
        </w:rPr>
        <w:alias w:val="是否适用：合营企业或联营企业发生的超额亏损[双击切换]"/>
        <w:tag w:val="_GBC_c30af0beca864d788c2fe12f47f13428"/>
        <w:id w:val="147470725"/>
        <w:placeholder>
          <w:docPart w:val="GBC22222222222222222222222222222"/>
        </w:placeholder>
      </w:sdtPr>
      <w:sdtEndPr>
        <w:rPr>
          <w:color w:val="000000" w:themeColor="text1"/>
          <w14:textFill>
            <w14:solidFill>
              <w14:schemeClr w14:val="tx1"/>
            </w14:solidFill>
          </w14:textFill>
        </w:rPr>
      </w:sdtEndPr>
      <w:sdtContent>
        <w:p w14:paraId="74BD44E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B7DDA6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合营企业或联营企业发生的超额亏损"/>
          <w:tag w:val="_GBC_9b4b48485e2c48b587d05345d1b8f906"/>
          <w:id w:val="1474584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合营企业或联营企业发生的超额亏损"/>
          <w:tag w:val="_GBC_7d2c2ed8c3ee46d0b970983fec01e300"/>
          <w:id w:val="1474551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2266"/>
        <w:gridCol w:w="2548"/>
        <w:gridCol w:w="2251"/>
      </w:tblGrid>
      <w:tr w14:paraId="031C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blHeader/>
          <w:jc w:val="center"/>
        </w:trPr>
        <w:sdt>
          <w:sdtPr>
            <w:rPr>
              <w:rFonts w:cs="Times New Roman"/>
            </w:rPr>
            <w:tag w:val="_PLD_cfae10af261f4c818e8ad4071177e98a"/>
            <w:id w:val="147464298"/>
          </w:sdtPr>
          <w:sdtEndPr>
            <w:rPr>
              <w:rFonts w:cs="Times New Roman"/>
            </w:rPr>
          </w:sdtEndPr>
          <w:sdtContent>
            <w:tc>
              <w:tcPr>
                <w:tcW w:w="1096" w:type="pct"/>
                <w:vAlign w:val="center"/>
              </w:tcPr>
              <w:p w14:paraId="5E7D6716">
                <w:pPr>
                  <w:jc w:val="center"/>
                  <w:rPr>
                    <w:rFonts w:cs="Times New Roman"/>
                    <w:color w:val="000000" w:themeColor="text1"/>
                    <w14:textFill>
                      <w14:solidFill>
                        <w14:schemeClr w14:val="tx1"/>
                      </w14:solidFill>
                    </w14:textFill>
                  </w:rPr>
                </w:pPr>
                <w:r>
                  <w:rPr>
                    <w:rFonts w:cs="Times New Roman"/>
                    <w:color w:val="000000" w:themeColor="text1"/>
                    <w:lang w:val="en-GB"/>
                    <w14:textFill>
                      <w14:solidFill>
                        <w14:schemeClr w14:val="tx1"/>
                      </w14:solidFill>
                    </w14:textFill>
                  </w:rPr>
                  <w:t>合营企业或联营企业名称</w:t>
                </w:r>
              </w:p>
            </w:tc>
          </w:sdtContent>
        </w:sdt>
        <w:sdt>
          <w:sdtPr>
            <w:rPr>
              <w:rFonts w:cs="Times New Roman"/>
            </w:rPr>
            <w:tag w:val="_PLD_bf584a5933ac41b186166a4a8dae846e"/>
            <w:id w:val="147465328"/>
          </w:sdtPr>
          <w:sdtEndPr>
            <w:rPr>
              <w:rFonts w:cs="Times New Roman"/>
            </w:rPr>
          </w:sdtEndPr>
          <w:sdtContent>
            <w:tc>
              <w:tcPr>
                <w:tcW w:w="1252" w:type="pct"/>
                <w:vAlign w:val="center"/>
              </w:tcPr>
              <w:p w14:paraId="7F173F6B">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累积未确认前期累计的损失</w:t>
                </w:r>
              </w:p>
            </w:tc>
          </w:sdtContent>
        </w:sdt>
        <w:sdt>
          <w:sdtPr>
            <w:rPr>
              <w:rFonts w:cs="Times New Roman"/>
            </w:rPr>
            <w:tag w:val="_PLD_1b45f7d4d7a14cdabeaa4bc0da033964"/>
            <w:id w:val="147452805"/>
          </w:sdtPr>
          <w:sdtEndPr>
            <w:rPr>
              <w:rFonts w:cs="Times New Roman"/>
            </w:rPr>
          </w:sdtEndPr>
          <w:sdtContent>
            <w:tc>
              <w:tcPr>
                <w:tcW w:w="1408" w:type="pct"/>
                <w:vAlign w:val="center"/>
              </w:tcPr>
              <w:p w14:paraId="226E0784">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本期未确认的损失</w:t>
                </w:r>
              </w:p>
              <w:p w14:paraId="452CCE16">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（或本期分享的净利润）</w:t>
                </w:r>
              </w:p>
            </w:tc>
          </w:sdtContent>
        </w:sdt>
        <w:sdt>
          <w:sdtPr>
            <w:rPr>
              <w:rFonts w:cs="Times New Roman"/>
            </w:rPr>
            <w:tag w:val="_PLD_239b4d282a024f0282cd9d6f560337f1"/>
            <w:id w:val="147455785"/>
          </w:sdtPr>
          <w:sdtEndPr>
            <w:rPr>
              <w:rFonts w:cs="Times New Roman"/>
            </w:rPr>
          </w:sdtEndPr>
          <w:sdtContent>
            <w:tc>
              <w:tcPr>
                <w:tcW w:w="1244" w:type="pct"/>
                <w:vAlign w:val="center"/>
              </w:tcPr>
              <w:p w14:paraId="5D4C4F2C">
                <w:pPr>
                  <w:jc w:val="center"/>
                  <w:rPr>
                    <w:rFonts w:cs="Times New Roman"/>
                    <w:color w:val="000000" w:themeColor="text1"/>
                    <w:lang w:val="en-GB"/>
                    <w14:textFill>
                      <w14:solidFill>
                        <w14:schemeClr w14:val="tx1"/>
                      </w14:solidFill>
                    </w14:textFill>
                  </w:rPr>
                </w:pPr>
                <w:r>
                  <w:rPr>
                    <w:rFonts w:cs="Times New Roman"/>
                    <w:color w:val="000000" w:themeColor="text1"/>
                    <w:lang w:val="en-GB"/>
                    <w14:textFill>
                      <w14:solidFill>
                        <w14:schemeClr w14:val="tx1"/>
                      </w14:solidFill>
                    </w14:textFill>
                  </w:rPr>
                  <w:t>本期末累积未确认的损失</w:t>
                </w:r>
              </w:p>
            </w:tc>
          </w:sdtContent>
        </w:sdt>
      </w:tr>
      <w:tr w14:paraId="369B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Align w:val="center"/>
          </w:tcPr>
          <w:p w14:paraId="2CBC359A">
            <w:pPr>
              <w:jc w:val="center"/>
              <w:textAlignment w:val="center"/>
              <w:rPr>
                <w:rFonts w:cs="Times New Roman"/>
              </w:rPr>
            </w:pPr>
            <w:r>
              <w:rPr>
                <w:rFonts w:cs="Times New Roman"/>
                <w:color w:val="000000"/>
                <w:lang w:bidi="ar"/>
              </w:rPr>
              <w:t>湖北际华置业有限公司</w:t>
            </w:r>
          </w:p>
        </w:tc>
        <w:tc>
          <w:tcPr>
            <w:tcW w:w="1252" w:type="pct"/>
            <w:vAlign w:val="center"/>
          </w:tcPr>
          <w:p w14:paraId="5B7715D7">
            <w:pPr>
              <w:jc w:val="right"/>
              <w:textAlignment w:val="center"/>
              <w:rPr>
                <w:rFonts w:cs="Times New Roman"/>
              </w:rPr>
            </w:pPr>
            <w:r>
              <w:rPr>
                <w:rFonts w:cs="Times New Roman"/>
                <w:color w:val="000000"/>
              </w:rPr>
              <w:t>9,876,362.57</w:t>
            </w:r>
          </w:p>
        </w:tc>
        <w:tc>
          <w:tcPr>
            <w:tcW w:w="1408" w:type="pct"/>
            <w:vAlign w:val="center"/>
          </w:tcPr>
          <w:p w14:paraId="3F22FEC9">
            <w:pPr>
              <w:jc w:val="right"/>
              <w:textAlignment w:val="center"/>
              <w:rPr>
                <w:rFonts w:cs="Times New Roman"/>
              </w:rPr>
            </w:pPr>
            <w:r>
              <w:rPr>
                <w:rFonts w:cs="Times New Roman"/>
                <w:color w:val="000000"/>
              </w:rPr>
              <w:t>949,237.51</w:t>
            </w:r>
          </w:p>
        </w:tc>
        <w:tc>
          <w:tcPr>
            <w:tcW w:w="1244" w:type="pct"/>
            <w:vAlign w:val="center"/>
          </w:tcPr>
          <w:p w14:paraId="4264989A">
            <w:pPr>
              <w:jc w:val="right"/>
              <w:textAlignment w:val="center"/>
              <w:rPr>
                <w:rFonts w:cs="Times New Roman"/>
              </w:rPr>
            </w:pPr>
            <w:r>
              <w:rPr>
                <w:rFonts w:cs="Times New Roman"/>
                <w:color w:val="000000"/>
              </w:rPr>
              <w:t>10,825,600.08</w:t>
            </w:r>
          </w:p>
        </w:tc>
      </w:tr>
      <w:tr w14:paraId="3EE1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6" w:type="pct"/>
            <w:vAlign w:val="center"/>
          </w:tcPr>
          <w:p w14:paraId="0067FAED">
            <w:pPr>
              <w:jc w:val="center"/>
              <w:textAlignment w:val="center"/>
              <w:rPr>
                <w:rFonts w:cs="Times New Roman"/>
              </w:rPr>
            </w:pPr>
            <w:r>
              <w:rPr>
                <w:rFonts w:cs="Times New Roman"/>
                <w:color w:val="000000"/>
                <w:lang w:bidi="ar"/>
              </w:rPr>
              <w:t>宜昌际华仙女服饰有限公司</w:t>
            </w:r>
          </w:p>
        </w:tc>
        <w:tc>
          <w:tcPr>
            <w:tcW w:w="1252" w:type="pct"/>
            <w:vAlign w:val="center"/>
          </w:tcPr>
          <w:p w14:paraId="6BBD580B">
            <w:pPr>
              <w:jc w:val="right"/>
              <w:textAlignment w:val="center"/>
              <w:rPr>
                <w:rFonts w:cs="Times New Roman"/>
              </w:rPr>
            </w:pPr>
            <w:r>
              <w:rPr>
                <w:rFonts w:cs="Times New Roman"/>
                <w:color w:val="000000"/>
              </w:rPr>
              <w:t>4,622,111.44</w:t>
            </w:r>
          </w:p>
        </w:tc>
        <w:tc>
          <w:tcPr>
            <w:tcW w:w="1408" w:type="pct"/>
            <w:vAlign w:val="center"/>
          </w:tcPr>
          <w:p w14:paraId="005B0AFB">
            <w:pPr>
              <w:jc w:val="right"/>
              <w:textAlignment w:val="center"/>
              <w:rPr>
                <w:rFonts w:cs="Times New Roman"/>
              </w:rPr>
            </w:pPr>
            <w:r>
              <w:rPr>
                <w:rFonts w:cs="Times New Roman"/>
                <w:color w:val="000000"/>
              </w:rPr>
              <w:t>2,607,345.40</w:t>
            </w:r>
          </w:p>
        </w:tc>
        <w:tc>
          <w:tcPr>
            <w:tcW w:w="1244" w:type="pct"/>
            <w:vAlign w:val="center"/>
          </w:tcPr>
          <w:p w14:paraId="216F80D5">
            <w:pPr>
              <w:jc w:val="right"/>
              <w:textAlignment w:val="center"/>
              <w:rPr>
                <w:rFonts w:cs="Times New Roman"/>
              </w:rPr>
            </w:pPr>
            <w:r>
              <w:rPr>
                <w:rFonts w:cs="Times New Roman"/>
                <w:color w:val="000000"/>
              </w:rPr>
              <w:t>7,229,456.84</w:t>
            </w:r>
          </w:p>
        </w:tc>
      </w:tr>
    </w:tbl>
    <w:p w14:paraId="4D3F73D5">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合营企业或联营企业发生的超额亏损的其他说明"/>
        <w:tag w:val="_GBC_cd40de2e5da84ad9ada2436c92f0269a"/>
        <w:id w:val="147479082"/>
        <w:placeholder>
          <w:docPart w:val="GBC22222222222222222222222222222"/>
        </w:placeholder>
      </w:sdtPr>
      <w:sdtEndPr>
        <w:rPr>
          <w:rFonts w:cs="Arial"/>
          <w:color w:val="000000" w:themeColor="text1"/>
          <w14:textFill>
            <w14:solidFill>
              <w14:schemeClr w14:val="tx1"/>
            </w14:solidFill>
          </w14:textFill>
        </w:rPr>
      </w:sdtEndPr>
      <w:sdtContent>
        <w:p w14:paraId="0B40FCBB">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14:paraId="0848C61C">
      <w:pPr>
        <w:rPr>
          <w:rFonts w:cs="Arial"/>
          <w:color w:val="000000" w:themeColor="text1"/>
          <w14:textFill>
            <w14:solidFill>
              <w14:schemeClr w14:val="tx1"/>
            </w14:solidFill>
          </w14:textFill>
        </w:rPr>
      </w:pPr>
    </w:p>
    <w:p w14:paraId="52A47BD8">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与合营企业投资相关的未确认承诺</w:t>
      </w:r>
    </w:p>
    <w:sdt>
      <w:sdtPr>
        <w:rPr>
          <w:color w:val="000000" w:themeColor="text1"/>
          <w14:textFill>
            <w14:solidFill>
              <w14:schemeClr w14:val="tx1"/>
            </w14:solidFill>
          </w14:textFill>
        </w:rPr>
        <w:alias w:val="是否适用：与合营企业投资相关的未确认承诺[双击切换]"/>
        <w:tag w:val="_GBC_9d014d8b476148b59476808a5cda81d8"/>
        <w:id w:val="147477933"/>
        <w:placeholder>
          <w:docPart w:val="GBC22222222222222222222222222222"/>
        </w:placeholder>
      </w:sdtPr>
      <w:sdtEndPr>
        <w:rPr>
          <w:color w:val="000000" w:themeColor="text1"/>
          <w14:textFill>
            <w14:solidFill>
              <w14:schemeClr w14:val="tx1"/>
            </w14:solidFill>
          </w14:textFill>
        </w:rPr>
      </w:sdtEndPr>
      <w:sdtContent>
        <w:p w14:paraId="12044FFC">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BE5987">
      <w:pPr>
        <w:rPr>
          <w:rFonts w:cs="Arial"/>
          <w:color w:val="000000" w:themeColor="text1"/>
          <w14:textFill>
            <w14:solidFill>
              <w14:schemeClr w14:val="tx1"/>
            </w14:solidFill>
          </w14:textFill>
        </w:rPr>
      </w:pPr>
    </w:p>
    <w:p w14:paraId="7907AC26">
      <w:pPr>
        <w:pStyle w:val="58"/>
        <w:numPr>
          <w:ilvl w:val="3"/>
          <w:numId w:val="98"/>
        </w:numPr>
        <w:tabs>
          <w:tab w:val="left" w:pos="630"/>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与合营企业或联营企业投资相关的或有负债</w:t>
      </w:r>
    </w:p>
    <w:sdt>
      <w:sdtPr>
        <w:rPr>
          <w:color w:val="000000" w:themeColor="text1"/>
          <w14:textFill>
            <w14:solidFill>
              <w14:schemeClr w14:val="tx1"/>
            </w14:solidFill>
          </w14:textFill>
        </w:rPr>
        <w:alias w:val="是否适用：与合营企业或联营企业投资相关的或有负债[双击切换]"/>
        <w:tag w:val="_GBC_caba618be81b4cb1acf89073549a456a"/>
        <w:id w:val="147483293"/>
        <w:placeholder>
          <w:docPart w:val="GBC22222222222222222222222222222"/>
        </w:placeholder>
      </w:sdtPr>
      <w:sdtEndPr>
        <w:rPr>
          <w:color w:val="000000" w:themeColor="text1"/>
          <w14:textFill>
            <w14:solidFill>
              <w14:schemeClr w14:val="tx1"/>
            </w14:solidFill>
          </w14:textFill>
        </w:rPr>
      </w:sdtEndPr>
      <w:sdtContent>
        <w:p w14:paraId="26DF2CA5">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922B1C">
      <w:pPr>
        <w:rPr>
          <w:rFonts w:cs="Arial"/>
          <w:color w:val="000000" w:themeColor="text1"/>
          <w14:textFill>
            <w14:solidFill>
              <w14:schemeClr w14:val="tx1"/>
            </w14:solidFill>
          </w14:textFill>
        </w:rPr>
      </w:pPr>
    </w:p>
    <w:p w14:paraId="08D14A4F">
      <w:pPr>
        <w:pStyle w:val="57"/>
        <w:numPr>
          <w:ilvl w:val="2"/>
          <w:numId w:val="9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重要的共同经营</w:t>
      </w:r>
    </w:p>
    <w:sdt>
      <w:sdtPr>
        <w:rPr>
          <w:color w:val="000000" w:themeColor="text1"/>
          <w14:textFill>
            <w14:solidFill>
              <w14:schemeClr w14:val="tx1"/>
            </w14:solidFill>
          </w14:textFill>
        </w:rPr>
        <w:alias w:val="是否适用：重要的共同经营[双击切换]"/>
        <w:tag w:val="_GBC_7911b1c8195d4c20b2800b1c5ac94a93"/>
        <w:id w:val="147476020"/>
        <w:placeholder>
          <w:docPart w:val="GBC22222222222222222222222222222"/>
        </w:placeholder>
      </w:sdtPr>
      <w:sdtEndPr>
        <w:rPr>
          <w:color w:val="000000" w:themeColor="text1"/>
          <w14:textFill>
            <w14:solidFill>
              <w14:schemeClr w14:val="tx1"/>
            </w14:solidFill>
          </w14:textFill>
        </w:rPr>
      </w:sdtEndPr>
      <w:sdtContent>
        <w:p w14:paraId="54509634">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0ECE848">
      <w:pPr>
        <w:rPr>
          <w:rFonts w:cs="Arial"/>
          <w:color w:val="000000" w:themeColor="text1"/>
          <w14:textFill>
            <w14:solidFill>
              <w14:schemeClr w14:val="tx1"/>
            </w14:solidFill>
          </w14:textFill>
        </w:rPr>
      </w:pPr>
    </w:p>
    <w:p w14:paraId="001053A1">
      <w:pPr>
        <w:pStyle w:val="57"/>
        <w:numPr>
          <w:ilvl w:val="2"/>
          <w:numId w:val="9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在未纳入合并财务报表范围的结构化主体中的权益</w:t>
      </w:r>
    </w:p>
    <w:p w14:paraId="02AA27B5">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未纳入合并财务报表范围的结构化主体的相关说明：</w:t>
      </w:r>
    </w:p>
    <w:sdt>
      <w:sdtPr>
        <w:rPr>
          <w:rFonts w:cs="Arial"/>
          <w:color w:val="000000" w:themeColor="text1"/>
          <w14:textFill>
            <w14:solidFill>
              <w14:schemeClr w14:val="tx1"/>
            </w14:solidFill>
          </w14:textFill>
        </w:rPr>
        <w:alias w:val="是否适用：未纳入合并财务报表范围的结构化主体的相关说明[双击切换]"/>
        <w:tag w:val="_GBC_48eb6d215e5341c694f98d18f5889902"/>
        <w:id w:val="147476936"/>
        <w:placeholder>
          <w:docPart w:val="GBC22222222222222222222222222222"/>
        </w:placeholder>
      </w:sdtPr>
      <w:sdtEndPr>
        <w:rPr>
          <w:rFonts w:cs="Arial"/>
          <w:color w:val="000000" w:themeColor="text1"/>
          <w14:textFill>
            <w14:solidFill>
              <w14:schemeClr w14:val="tx1"/>
            </w14:solidFill>
          </w14:textFill>
        </w:rPr>
      </w:sdtEndPr>
      <w:sdtContent>
        <w:p w14:paraId="7A815D61">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14:paraId="5176EE11">
      <w:pPr>
        <w:rPr>
          <w:rFonts w:cs="Arial"/>
          <w:color w:val="000000" w:themeColor="text1"/>
          <w14:textFill>
            <w14:solidFill>
              <w14:schemeClr w14:val="tx1"/>
            </w14:solidFill>
          </w14:textFill>
        </w:rPr>
      </w:pPr>
    </w:p>
    <w:p w14:paraId="19F7A2B0">
      <w:pPr>
        <w:pStyle w:val="57"/>
        <w:numPr>
          <w:ilvl w:val="2"/>
          <w:numId w:val="96"/>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在其他主体中的权益其他需要说明的事项[双击切换]"/>
        <w:tag w:val="_GBC_ad8b7a7df0724efaa681a931c91befff"/>
        <w:id w:val="147471188"/>
        <w:placeholder>
          <w:docPart w:val="GBC22222222222222222222222222222"/>
        </w:placeholder>
      </w:sdtPr>
      <w:sdtEndPr>
        <w:rPr>
          <w:color w:val="000000" w:themeColor="text1"/>
          <w14:textFill>
            <w14:solidFill>
              <w14:schemeClr w14:val="tx1"/>
            </w14:solidFill>
          </w14:textFill>
        </w:rPr>
      </w:sdtEndPr>
      <w:sdtContent>
        <w:p w14:paraId="15CDB8D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24D5C4">
      <w:pPr>
        <w:rPr>
          <w:color w:val="000000" w:themeColor="text1"/>
          <w14:textFill>
            <w14:solidFill>
              <w14:schemeClr w14:val="tx1"/>
            </w14:solidFill>
          </w14:textFill>
        </w:rPr>
      </w:pPr>
    </w:p>
    <w:p w14:paraId="66B2D372">
      <w:pPr>
        <w:rPr>
          <w:color w:val="000000" w:themeColor="text1"/>
          <w14:textFill>
            <w14:solidFill>
              <w14:schemeClr w14:val="tx1"/>
            </w14:solidFill>
          </w14:textFill>
        </w:rPr>
      </w:pPr>
    </w:p>
    <w:p w14:paraId="56EFE3EA">
      <w:pPr>
        <w:pStyle w:val="56"/>
        <w:numPr>
          <w:ilvl w:val="0"/>
          <w:numId w:val="43"/>
        </w:numPr>
        <w:ind w:left="420" w:hanging="420"/>
        <w:rPr>
          <w:rFonts w:ascii="宋体" w:hAnsi="宋体"/>
          <w:color w:val="000000" w:themeColor="text1"/>
          <w14:textFill>
            <w14:solidFill>
              <w14:schemeClr w14:val="tx1"/>
            </w14:solidFill>
          </w14:textFill>
        </w:rPr>
      </w:pPr>
      <w:bookmarkStart w:id="404" w:name="_Hlk167976217"/>
      <w:r>
        <w:rPr>
          <w:rFonts w:hint="eastAsia" w:ascii="宋体" w:hAnsi="宋体"/>
          <w:color w:val="000000" w:themeColor="text1"/>
          <w14:textFill>
            <w14:solidFill>
              <w14:schemeClr w14:val="tx1"/>
            </w14:solidFill>
          </w14:textFill>
        </w:rPr>
        <w:t>政府补助</w:t>
      </w:r>
    </w:p>
    <w:p w14:paraId="6B7CAC1E">
      <w:pPr>
        <w:pStyle w:val="57"/>
        <w:numPr>
          <w:ilvl w:val="0"/>
          <w:numId w:val="99"/>
        </w:numPr>
        <w:ind w:left="0" w:firstLine="0"/>
        <w:rPr>
          <w:color w:val="000000" w:themeColor="text1"/>
          <w14:textFill>
            <w14:solidFill>
              <w14:schemeClr w14:val="tx1"/>
            </w14:solidFill>
          </w14:textFill>
        </w:rPr>
      </w:pPr>
      <w:r>
        <w:rPr>
          <w:color w:val="000000" w:themeColor="text1"/>
          <w14:textFill>
            <w14:solidFill>
              <w14:schemeClr w14:val="tx1"/>
            </w14:solidFill>
          </w14:textFill>
        </w:rPr>
        <w:t>报告期末按应收金额确认的政府补助</w:t>
      </w:r>
    </w:p>
    <w:sdt>
      <w:sdtPr>
        <w:rPr>
          <w:color w:val="000000" w:themeColor="text1"/>
          <w14:textFill>
            <w14:solidFill>
              <w14:schemeClr w14:val="tx1"/>
            </w14:solidFill>
          </w14:textFill>
        </w:rPr>
        <w:alias w:val="是否适用：按应收金额确认的政府补助[双击切换]"/>
        <w:tag w:val="_GBC_3d18d31d14384adf9969b37c0463bdb6"/>
        <w:id w:val="147463176"/>
        <w:placeholder>
          <w:docPart w:val="GBC22222222222222222222222222222"/>
        </w:placeholder>
      </w:sdtPr>
      <w:sdtEndPr>
        <w:rPr>
          <w:color w:val="000000" w:themeColor="text1"/>
          <w14:textFill>
            <w14:solidFill>
              <w14:schemeClr w14:val="tx1"/>
            </w14:solidFill>
          </w14:textFill>
        </w:rPr>
      </w:sdtEndPr>
      <w:sdtContent>
        <w:p w14:paraId="1589760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18BF024">
      <w:pPr>
        <w:rPr>
          <w:color w:val="000000" w:themeColor="text1"/>
          <w14:textFill>
            <w14:solidFill>
              <w14:schemeClr w14:val="tx1"/>
            </w14:solidFill>
          </w14:textFill>
        </w:rPr>
      </w:pPr>
      <w:r>
        <w:rPr>
          <w:color w:val="000000" w:themeColor="text1"/>
          <w14:textFill>
            <w14:solidFill>
              <w14:schemeClr w14:val="tx1"/>
            </w14:solidFill>
          </w14:textFill>
        </w:rPr>
        <w:t>应收款项的期末余额</w:t>
      </w:r>
      <w:sdt>
        <w:sdtPr>
          <w:rPr>
            <w:color w:val="000000" w:themeColor="text1"/>
            <w14:textFill>
              <w14:solidFill>
                <w14:schemeClr w14:val="tx1"/>
              </w14:solidFill>
            </w14:textFill>
          </w:rPr>
          <w:alias w:val="按应收金额确认的政府补助合计"/>
          <w:tag w:val="_GBC_9bcff0fd06344ace95019244ee86bbd0"/>
          <w:id w:val="147459622"/>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应收金额确认的政府补助"/>
          <w:tag w:val="_GBC_471b14a2a8de4e0d8f1134f091b5a9f7"/>
          <w:id w:val="14747988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应收金额确认的政府补助"/>
          <w:tag w:val="_GBC_8a83c97cd38d48b09afe5b677bb99ecf"/>
          <w:id w:val="1474638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sdt>
        <w:sdtPr>
          <w:tag w:val="_PLD_591f493f4d3c4b88bbd66b6a5a54de88"/>
          <w:id w:val="147467890"/>
        </w:sdtPr>
        <w:sdtContent>
          <w:r>
            <w:rPr>
              <w:rFonts w:hint="eastAsia"/>
              <w:color w:val="000000" w:themeColor="text1"/>
              <w14:textFill>
                <w14:solidFill>
                  <w14:schemeClr w14:val="tx1"/>
                </w14:solidFill>
              </w14:textFill>
            </w:rPr>
            <w:t>）</w:t>
          </w:r>
        </w:sdtContent>
      </w:sdt>
    </w:p>
    <w:p w14:paraId="3B86E723">
      <w:pPr>
        <w:rPr>
          <w:color w:val="000000" w:themeColor="text1"/>
          <w14:textFill>
            <w14:solidFill>
              <w14:schemeClr w14:val="tx1"/>
            </w14:solidFill>
          </w14:textFill>
        </w:rPr>
      </w:pPr>
    </w:p>
    <w:p w14:paraId="4C922E73">
      <w:pPr>
        <w:rPr>
          <w:color w:val="000000" w:themeColor="text1"/>
          <w14:textFill>
            <w14:solidFill>
              <w14:schemeClr w14:val="tx1"/>
            </w14:solidFill>
          </w14:textFill>
        </w:rPr>
      </w:pPr>
      <w:r>
        <w:rPr>
          <w:color w:val="000000" w:themeColor="text1"/>
          <w14:textFill>
            <w14:solidFill>
              <w14:schemeClr w14:val="tx1"/>
            </w14:solidFill>
          </w14:textFill>
        </w:rPr>
        <w:t>未能在预计时点收到预计金额的政府补助</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原因</w:t>
      </w:r>
    </w:p>
    <w:sdt>
      <w:sdtPr>
        <w:rPr>
          <w:color w:val="000000" w:themeColor="text1"/>
          <w14:textFill>
            <w14:solidFill>
              <w14:schemeClr w14:val="tx1"/>
            </w14:solidFill>
          </w14:textFill>
        </w:rPr>
        <w:alias w:val="是否适用：未能在预计时点收到预计金额的政府补助的原因[双击切换]"/>
        <w:tag w:val="_GBC_e0b0850317ba480b8188bda150ebfb78"/>
        <w:id w:val="147463954"/>
        <w:placeholder>
          <w:docPart w:val="GBC22222222222222222222222222222"/>
        </w:placeholder>
      </w:sdtPr>
      <w:sdtEndPr>
        <w:rPr>
          <w:color w:val="000000" w:themeColor="text1"/>
          <w14:textFill>
            <w14:solidFill>
              <w14:schemeClr w14:val="tx1"/>
            </w14:solidFill>
          </w14:textFill>
        </w:rPr>
      </w:sdtEndPr>
      <w:sdtContent>
        <w:p w14:paraId="0B171F0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18DB10">
      <w:pPr>
        <w:rPr>
          <w:color w:val="000000" w:themeColor="text1"/>
          <w14:textFill>
            <w14:solidFill>
              <w14:schemeClr w14:val="tx1"/>
            </w14:solidFill>
          </w14:textFill>
        </w:rPr>
      </w:pPr>
    </w:p>
    <w:p w14:paraId="3F89ED11">
      <w:pPr>
        <w:pStyle w:val="57"/>
        <w:numPr>
          <w:ilvl w:val="0"/>
          <w:numId w:val="99"/>
        </w:numPr>
        <w:ind w:left="0" w:firstLine="0"/>
        <w:rPr>
          <w:color w:val="000000" w:themeColor="text1"/>
          <w14:textFill>
            <w14:solidFill>
              <w14:schemeClr w14:val="tx1"/>
            </w14:solidFill>
          </w14:textFill>
        </w:rPr>
      </w:pPr>
      <w:r>
        <w:rPr>
          <w:color w:val="000000" w:themeColor="text1"/>
          <w14:textFill>
            <w14:solidFill>
              <w14:schemeClr w14:val="tx1"/>
            </w14:solidFill>
          </w14:textFill>
        </w:rPr>
        <w:t>涉及政府补助的负债项目</w:t>
      </w:r>
    </w:p>
    <w:sdt>
      <w:sdtPr>
        <w:rPr>
          <w:color w:val="000000" w:themeColor="text1"/>
          <w14:textFill>
            <w14:solidFill>
              <w14:schemeClr w14:val="tx1"/>
            </w14:solidFill>
          </w14:textFill>
        </w:rPr>
        <w:alias w:val="是否适用：涉及政府补助的负债项目[双击切换]"/>
        <w:tag w:val="_GBC_5b8cf655c53545cab80f75be728637c0"/>
        <w:id w:val="147479240"/>
        <w:placeholder>
          <w:docPart w:val="GBC22222222222222222222222222222"/>
        </w:placeholder>
      </w:sdtPr>
      <w:sdtEndPr>
        <w:rPr>
          <w:color w:val="000000" w:themeColor="text1"/>
          <w14:textFill>
            <w14:solidFill>
              <w14:schemeClr w14:val="tx1"/>
            </w14:solidFill>
          </w14:textFill>
        </w:rPr>
      </w:sdtEndPr>
      <w:sdtContent>
        <w:p w14:paraId="7DFA7CB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40F7B00">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涉及政府补助的负债项目"/>
          <w:tag w:val="_GBC_3f46f2e72def428785501464e8373dc7"/>
          <w:id w:val="14748270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涉及政府补助的负债项目"/>
          <w:tag w:val="_GBC_2061879c791b40ceb951bedd0f7334b3"/>
          <w:id w:val="1474755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556"/>
        <w:gridCol w:w="1556"/>
        <w:gridCol w:w="1442"/>
        <w:gridCol w:w="1080"/>
        <w:gridCol w:w="1549"/>
        <w:gridCol w:w="1018"/>
      </w:tblGrid>
      <w:tr w14:paraId="19A6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69dbfe6de199442ba67fa4c2623ba343"/>
            <w:id w:val="147477478"/>
          </w:sdtPr>
          <w:sdtEndPr>
            <w:rPr>
              <w:rFonts w:cs="Times New Roman"/>
            </w:rPr>
          </w:sdtEndPr>
          <w:sdtContent>
            <w:tc>
              <w:tcPr>
                <w:tcW w:w="466" w:type="pct"/>
                <w:vAlign w:val="center"/>
              </w:tcPr>
              <w:p w14:paraId="4A12FC3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财务报表项目</w:t>
                </w:r>
              </w:p>
            </w:tc>
          </w:sdtContent>
        </w:sdt>
        <w:sdt>
          <w:sdtPr>
            <w:rPr>
              <w:rFonts w:cs="Times New Roman"/>
            </w:rPr>
            <w:tag w:val="_PLD_ed889bd262164e639c21bff48ded3a53"/>
            <w:id w:val="147472718"/>
          </w:sdtPr>
          <w:sdtEndPr>
            <w:rPr>
              <w:rFonts w:cs="Times New Roman"/>
            </w:rPr>
          </w:sdtEndPr>
          <w:sdtContent>
            <w:tc>
              <w:tcPr>
                <w:tcW w:w="860" w:type="pct"/>
                <w:vAlign w:val="center"/>
              </w:tcPr>
              <w:p w14:paraId="4CF3A0E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7052fd9610c24b8baab6d4bc81cd150d"/>
            <w:id w:val="147465218"/>
          </w:sdtPr>
          <w:sdtEndPr>
            <w:rPr>
              <w:rFonts w:cs="Times New Roman"/>
            </w:rPr>
          </w:sdtEndPr>
          <w:sdtContent>
            <w:tc>
              <w:tcPr>
                <w:tcW w:w="860" w:type="pct"/>
                <w:vAlign w:val="center"/>
              </w:tcPr>
              <w:p w14:paraId="3C43FD1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本期新增补助金额</w:t>
                </w:r>
              </w:p>
            </w:tc>
          </w:sdtContent>
        </w:sdt>
        <w:sdt>
          <w:sdtPr>
            <w:rPr>
              <w:rFonts w:cs="Times New Roman"/>
            </w:rPr>
            <w:tag w:val="_PLD_54cb3f3d4b4b49b9913df5c05007eb61"/>
            <w:id w:val="147474850"/>
          </w:sdtPr>
          <w:sdtEndPr>
            <w:rPr>
              <w:rFonts w:cs="Times New Roman"/>
            </w:rPr>
          </w:sdtEndPr>
          <w:sdtContent>
            <w:tc>
              <w:tcPr>
                <w:tcW w:w="797" w:type="pct"/>
                <w:vAlign w:val="center"/>
              </w:tcPr>
              <w:p w14:paraId="62A1FD0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本期转入其他收益</w:t>
                </w:r>
              </w:p>
            </w:tc>
          </w:sdtContent>
        </w:sdt>
        <w:sdt>
          <w:sdtPr>
            <w:rPr>
              <w:rFonts w:cs="Times New Roman"/>
            </w:rPr>
            <w:tag w:val="_PLD_f8464a8361c140659dec395b64a565c0"/>
            <w:id w:val="147461490"/>
          </w:sdtPr>
          <w:sdtEndPr>
            <w:rPr>
              <w:rFonts w:cs="Times New Roman"/>
            </w:rPr>
          </w:sdtEndPr>
          <w:sdtContent>
            <w:tc>
              <w:tcPr>
                <w:tcW w:w="597" w:type="pct"/>
                <w:vAlign w:val="center"/>
              </w:tcPr>
              <w:p w14:paraId="6103639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本期其他变动</w:t>
                </w:r>
              </w:p>
            </w:tc>
          </w:sdtContent>
        </w:sdt>
        <w:sdt>
          <w:sdtPr>
            <w:rPr>
              <w:rFonts w:cs="Times New Roman"/>
            </w:rPr>
            <w:tag w:val="_PLD_abc368d2d0c7418dbd78f4f89cd037d5"/>
            <w:id w:val="147469135"/>
          </w:sdtPr>
          <w:sdtEndPr>
            <w:rPr>
              <w:rFonts w:cs="Times New Roman"/>
            </w:rPr>
          </w:sdtEndPr>
          <w:sdtContent>
            <w:tc>
              <w:tcPr>
                <w:tcW w:w="856" w:type="pct"/>
                <w:vAlign w:val="center"/>
              </w:tcPr>
              <w:p w14:paraId="0EBB71A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3ff2a65a79344d48808fa5737db3cb39"/>
            <w:id w:val="147461000"/>
          </w:sdtPr>
          <w:sdtEndPr>
            <w:rPr>
              <w:rFonts w:cs="Times New Roman"/>
            </w:rPr>
          </w:sdtEndPr>
          <w:sdtContent>
            <w:tc>
              <w:tcPr>
                <w:tcW w:w="562" w:type="pct"/>
                <w:vAlign w:val="center"/>
              </w:tcPr>
              <w:p w14:paraId="33498AA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与资产/收益相关</w:t>
                </w:r>
              </w:p>
            </w:tc>
          </w:sdtContent>
        </w:sdt>
      </w:tr>
      <w:tr w14:paraId="72A3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Align w:val="center"/>
          </w:tcPr>
          <w:p w14:paraId="33F2ACFB">
            <w:pPr>
              <w:jc w:val="center"/>
              <w:textAlignment w:val="top"/>
              <w:rPr>
                <w:rFonts w:cs="Times New Roman"/>
              </w:rPr>
            </w:pPr>
            <w:r>
              <w:rPr>
                <w:rFonts w:cs="Times New Roman"/>
                <w:color w:val="000000"/>
                <w:lang w:bidi="ar"/>
              </w:rPr>
              <w:t>递延收益</w:t>
            </w:r>
          </w:p>
        </w:tc>
        <w:tc>
          <w:tcPr>
            <w:tcW w:w="860" w:type="pct"/>
            <w:vAlign w:val="center"/>
          </w:tcPr>
          <w:p w14:paraId="5A0E80BE">
            <w:pPr>
              <w:jc w:val="right"/>
              <w:textAlignment w:val="center"/>
              <w:rPr>
                <w:rFonts w:cs="Times New Roman"/>
              </w:rPr>
            </w:pPr>
            <w:r>
              <w:rPr>
                <w:rFonts w:eastAsia="Arial Narrow" w:cs="Times New Roman"/>
                <w:color w:val="000000"/>
                <w:lang w:bidi="ar"/>
              </w:rPr>
              <w:t>89,442,952.48</w:t>
            </w:r>
          </w:p>
        </w:tc>
        <w:tc>
          <w:tcPr>
            <w:tcW w:w="860" w:type="pct"/>
            <w:vAlign w:val="center"/>
          </w:tcPr>
          <w:p w14:paraId="1ACC79A6">
            <w:pPr>
              <w:jc w:val="right"/>
              <w:textAlignment w:val="center"/>
              <w:rPr>
                <w:rFonts w:cs="Times New Roman"/>
              </w:rPr>
            </w:pPr>
            <w:r>
              <w:rPr>
                <w:rFonts w:eastAsia="Arial Narrow" w:cs="Times New Roman"/>
                <w:color w:val="000000"/>
                <w:lang w:bidi="ar"/>
              </w:rPr>
              <w:t>10,250,046.00</w:t>
            </w:r>
          </w:p>
        </w:tc>
        <w:tc>
          <w:tcPr>
            <w:tcW w:w="797" w:type="pct"/>
            <w:vAlign w:val="center"/>
          </w:tcPr>
          <w:p w14:paraId="63CA245D">
            <w:pPr>
              <w:jc w:val="right"/>
              <w:textAlignment w:val="center"/>
              <w:rPr>
                <w:rFonts w:cs="Times New Roman"/>
              </w:rPr>
            </w:pPr>
            <w:r>
              <w:rPr>
                <w:rFonts w:eastAsia="Arial Narrow" w:cs="Times New Roman"/>
                <w:color w:val="000000"/>
                <w:lang w:bidi="ar"/>
              </w:rPr>
              <w:t>13,065,034.68</w:t>
            </w:r>
          </w:p>
        </w:tc>
        <w:tc>
          <w:tcPr>
            <w:tcW w:w="597" w:type="pct"/>
            <w:vAlign w:val="center"/>
          </w:tcPr>
          <w:p w14:paraId="74377FFC">
            <w:pPr>
              <w:jc w:val="right"/>
              <w:textAlignment w:val="center"/>
              <w:rPr>
                <w:rFonts w:cs="Times New Roman"/>
              </w:rPr>
            </w:pPr>
            <w:r>
              <w:rPr>
                <w:rFonts w:eastAsia="Arial Narrow" w:cs="Times New Roman"/>
                <w:color w:val="000000"/>
                <w:lang w:bidi="ar"/>
              </w:rPr>
              <w:t>25,000.00</w:t>
            </w:r>
          </w:p>
        </w:tc>
        <w:tc>
          <w:tcPr>
            <w:tcW w:w="856" w:type="pct"/>
            <w:vAlign w:val="center"/>
          </w:tcPr>
          <w:p w14:paraId="0CADBD18">
            <w:pPr>
              <w:jc w:val="right"/>
              <w:textAlignment w:val="center"/>
              <w:rPr>
                <w:rFonts w:cs="Times New Roman"/>
              </w:rPr>
            </w:pPr>
            <w:r>
              <w:rPr>
                <w:rFonts w:eastAsia="Arial Narrow" w:cs="Times New Roman"/>
                <w:color w:val="000000"/>
                <w:lang w:bidi="ar"/>
              </w:rPr>
              <w:t>86,602,963.80</w:t>
            </w:r>
          </w:p>
        </w:tc>
        <w:tc>
          <w:tcPr>
            <w:tcW w:w="562" w:type="pct"/>
            <w:vAlign w:val="center"/>
          </w:tcPr>
          <w:sdt>
            <w:sdtPr>
              <w:rPr>
                <w:rFonts w:cs="Times New Roman"/>
              </w:rPr>
              <w:tag w:val="_PLD_3ff2a65a79344d48808fa5737db3cb39"/>
              <w:id w:val="147475795"/>
            </w:sdtPr>
            <w:sdtEndPr>
              <w:rPr>
                <w:rFonts w:cs="Times New Roman"/>
              </w:rPr>
            </w:sdtEndPr>
            <w:sdtContent>
              <w:p w14:paraId="07F7DCA3">
                <w:pPr>
                  <w:pStyle w:val="55"/>
                  <w:jc w:val="center"/>
                  <w:rPr>
                    <w:rFonts w:cs="Times New Roman"/>
                  </w:rPr>
                </w:pPr>
                <w:r>
                  <w:rPr>
                    <w:rFonts w:cs="Times New Roman"/>
                    <w:color w:val="000000" w:themeColor="text1"/>
                    <w14:textFill>
                      <w14:solidFill>
                        <w14:schemeClr w14:val="tx1"/>
                      </w14:solidFill>
                    </w14:textFill>
                  </w:rPr>
                  <w:t>与资产</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收益相关</w:t>
                </w:r>
              </w:p>
            </w:sdtContent>
          </w:sdt>
        </w:tc>
      </w:tr>
      <w:tr w14:paraId="4AE5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auto" w:sz="4" w:space="0"/>
              <w:left w:val="single" w:color="auto" w:sz="4" w:space="0"/>
              <w:bottom w:val="single" w:color="auto" w:sz="4" w:space="0"/>
              <w:right w:val="single" w:color="auto" w:sz="4" w:space="0"/>
            </w:tcBorders>
            <w:vAlign w:val="center"/>
          </w:tcPr>
          <w:p w14:paraId="3EC7C13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60" w:type="pct"/>
            <w:tcBorders>
              <w:top w:val="single" w:color="auto" w:sz="4" w:space="0"/>
              <w:left w:val="single" w:color="auto" w:sz="4" w:space="0"/>
              <w:bottom w:val="single" w:color="auto" w:sz="4" w:space="0"/>
              <w:right w:val="single" w:color="auto" w:sz="4" w:space="0"/>
            </w:tcBorders>
            <w:vAlign w:val="center"/>
          </w:tcPr>
          <w:p w14:paraId="35E57E2E">
            <w:pPr>
              <w:jc w:val="right"/>
              <w:textAlignment w:val="center"/>
              <w:rPr>
                <w:rFonts w:cs="Times New Roman"/>
              </w:rPr>
            </w:pPr>
            <w:r>
              <w:rPr>
                <w:rFonts w:eastAsia="Arial Narrow" w:cs="Times New Roman"/>
                <w:color w:val="000000"/>
                <w:lang w:bidi="ar"/>
              </w:rPr>
              <w:t>89,442,952.48</w:t>
            </w:r>
          </w:p>
        </w:tc>
        <w:tc>
          <w:tcPr>
            <w:tcW w:w="860" w:type="pct"/>
            <w:tcBorders>
              <w:top w:val="single" w:color="auto" w:sz="4" w:space="0"/>
              <w:left w:val="single" w:color="auto" w:sz="4" w:space="0"/>
              <w:bottom w:val="single" w:color="auto" w:sz="4" w:space="0"/>
              <w:right w:val="single" w:color="auto" w:sz="4" w:space="0"/>
            </w:tcBorders>
            <w:vAlign w:val="center"/>
          </w:tcPr>
          <w:p w14:paraId="23346B6F">
            <w:pPr>
              <w:jc w:val="right"/>
              <w:textAlignment w:val="center"/>
              <w:rPr>
                <w:rFonts w:cs="Times New Roman"/>
              </w:rPr>
            </w:pPr>
            <w:r>
              <w:rPr>
                <w:rFonts w:eastAsia="Arial Narrow" w:cs="Times New Roman"/>
                <w:color w:val="000000"/>
                <w:lang w:bidi="ar"/>
              </w:rPr>
              <w:t>10,250,046.00</w:t>
            </w:r>
          </w:p>
        </w:tc>
        <w:tc>
          <w:tcPr>
            <w:tcW w:w="797" w:type="pct"/>
            <w:tcBorders>
              <w:top w:val="single" w:color="auto" w:sz="4" w:space="0"/>
              <w:left w:val="single" w:color="auto" w:sz="4" w:space="0"/>
              <w:bottom w:val="single" w:color="auto" w:sz="4" w:space="0"/>
              <w:right w:val="single" w:color="auto" w:sz="4" w:space="0"/>
            </w:tcBorders>
            <w:vAlign w:val="center"/>
          </w:tcPr>
          <w:p w14:paraId="41E5520B">
            <w:pPr>
              <w:jc w:val="right"/>
              <w:textAlignment w:val="center"/>
              <w:rPr>
                <w:rFonts w:cs="Times New Roman"/>
              </w:rPr>
            </w:pPr>
            <w:r>
              <w:rPr>
                <w:rFonts w:eastAsia="Arial Narrow" w:cs="Times New Roman"/>
                <w:color w:val="000000"/>
                <w:lang w:bidi="ar"/>
              </w:rPr>
              <w:t>13,065,034.68</w:t>
            </w:r>
          </w:p>
        </w:tc>
        <w:tc>
          <w:tcPr>
            <w:tcW w:w="597" w:type="pct"/>
            <w:tcBorders>
              <w:top w:val="single" w:color="auto" w:sz="4" w:space="0"/>
              <w:left w:val="single" w:color="auto" w:sz="4" w:space="0"/>
              <w:bottom w:val="single" w:color="auto" w:sz="4" w:space="0"/>
              <w:right w:val="single" w:color="auto" w:sz="4" w:space="0"/>
            </w:tcBorders>
            <w:vAlign w:val="center"/>
          </w:tcPr>
          <w:p w14:paraId="7F4826D0">
            <w:pPr>
              <w:jc w:val="right"/>
              <w:textAlignment w:val="center"/>
              <w:rPr>
                <w:rFonts w:cs="Times New Roman"/>
              </w:rPr>
            </w:pPr>
            <w:r>
              <w:rPr>
                <w:rFonts w:eastAsia="Arial Narrow" w:cs="Times New Roman"/>
                <w:color w:val="000000"/>
                <w:lang w:bidi="ar"/>
              </w:rPr>
              <w:t>25,000.00</w:t>
            </w:r>
          </w:p>
        </w:tc>
        <w:tc>
          <w:tcPr>
            <w:tcW w:w="856" w:type="pct"/>
            <w:tcBorders>
              <w:top w:val="single" w:color="auto" w:sz="4" w:space="0"/>
              <w:left w:val="single" w:color="auto" w:sz="4" w:space="0"/>
              <w:bottom w:val="single" w:color="auto" w:sz="4" w:space="0"/>
              <w:right w:val="single" w:color="auto" w:sz="4" w:space="0"/>
            </w:tcBorders>
            <w:vAlign w:val="center"/>
          </w:tcPr>
          <w:p w14:paraId="689E414A">
            <w:pPr>
              <w:jc w:val="right"/>
              <w:textAlignment w:val="center"/>
              <w:rPr>
                <w:rFonts w:cs="Times New Roman"/>
              </w:rPr>
            </w:pPr>
            <w:r>
              <w:rPr>
                <w:rFonts w:eastAsia="Arial Narrow" w:cs="Times New Roman"/>
                <w:color w:val="000000"/>
                <w:lang w:bidi="ar"/>
              </w:rPr>
              <w:t>86,602,963.80</w:t>
            </w:r>
          </w:p>
        </w:tc>
        <w:tc>
          <w:tcPr>
            <w:tcW w:w="562" w:type="pct"/>
            <w:tcBorders>
              <w:top w:val="single" w:color="auto" w:sz="4" w:space="0"/>
              <w:left w:val="single" w:color="auto" w:sz="4" w:space="0"/>
              <w:bottom w:val="single" w:color="auto" w:sz="4" w:space="0"/>
              <w:right w:val="single" w:color="auto" w:sz="4" w:space="0"/>
            </w:tcBorders>
            <w:vAlign w:val="center"/>
          </w:tcPr>
          <w:p w14:paraId="6CD83A9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765EA90F">
      <w:pPr>
        <w:rPr>
          <w:color w:val="000000" w:themeColor="text1"/>
          <w14:textFill>
            <w14:solidFill>
              <w14:schemeClr w14:val="tx1"/>
            </w14:solidFill>
          </w14:textFill>
        </w:rPr>
      </w:pPr>
    </w:p>
    <w:p w14:paraId="61DEA64C">
      <w:pPr>
        <w:rPr>
          <w:color w:val="000000" w:themeColor="text1"/>
          <w14:textFill>
            <w14:solidFill>
              <w14:schemeClr w14:val="tx1"/>
            </w14:solidFill>
          </w14:textFill>
        </w:rPr>
      </w:pPr>
    </w:p>
    <w:p w14:paraId="3FD8E35F">
      <w:pPr>
        <w:pStyle w:val="57"/>
        <w:numPr>
          <w:ilvl w:val="0"/>
          <w:numId w:val="99"/>
        </w:numPr>
        <w:ind w:left="0" w:firstLine="0"/>
        <w:rPr>
          <w:color w:val="000000" w:themeColor="text1"/>
          <w14:textFill>
            <w14:solidFill>
              <w14:schemeClr w14:val="tx1"/>
            </w14:solidFill>
          </w14:textFill>
        </w:rPr>
      </w:pPr>
      <w:bookmarkStart w:id="405" w:name="_Hlk153267407"/>
      <w:r>
        <w:rPr>
          <w:color w:val="000000" w:themeColor="text1"/>
          <w14:textFill>
            <w14:solidFill>
              <w14:schemeClr w14:val="tx1"/>
            </w14:solidFill>
          </w14:textFill>
        </w:rPr>
        <w:t>计入当期损益的政府补助</w:t>
      </w:r>
    </w:p>
    <w:sdt>
      <w:sdtPr>
        <w:rPr>
          <w:rFonts w:ascii="宋体" w:hAnsi="宋体"/>
          <w:color w:val="000000" w:themeColor="text1"/>
          <w14:textFill>
            <w14:solidFill>
              <w14:schemeClr w14:val="tx1"/>
            </w14:solidFill>
          </w14:textFill>
        </w:rPr>
        <w:alias w:val="是否适用：计入当期损益的政府补助[双击切换]"/>
        <w:tag w:val="_GBC_01aefe636f4f4e8b8752cf8841e143f6"/>
        <w:id w:val="147468926"/>
        <w:placeholder>
          <w:docPart w:val="GBC22222222222222222222222222222"/>
        </w:placeholder>
      </w:sdtPr>
      <w:sdtEndPr>
        <w:rPr>
          <w:rFonts w:ascii="宋体" w:hAnsi="宋体"/>
          <w:color w:val="000000" w:themeColor="text1"/>
          <w14:textFill>
            <w14:solidFill>
              <w14:schemeClr w14:val="tx1"/>
            </w14:solidFill>
          </w14:textFill>
        </w:rPr>
      </w:sdtEndPr>
      <w:sdtContent>
        <w:p w14:paraId="087692BF">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82A35B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计入当期损益的政府补助"/>
          <w:tag w:val="_GBC_87984e2b7f344109836efe6282c2894b"/>
          <w:id w:val="1474795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计入当期损益的政府补助"/>
          <w:tag w:val="_GBC_105736a35c964ea1b5378bede4faea2f"/>
          <w:id w:val="1474813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873"/>
        <w:gridCol w:w="3093"/>
        <w:gridCol w:w="3093"/>
      </w:tblGrid>
      <w:tr w14:paraId="161F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556" w:hRule="atLeast"/>
          <w:tblHeader/>
          <w:jc w:val="center"/>
        </w:trPr>
        <w:sdt>
          <w:sdtPr>
            <w:rPr>
              <w:rFonts w:cs="Times New Roman"/>
            </w:rPr>
            <w:tag w:val="_PLD_4e0950c6d44c4f6c93412dd988ce84f3"/>
            <w:id w:val="147478543"/>
          </w:sdtPr>
          <w:sdtEndPr>
            <w:rPr>
              <w:rFonts w:cs="Times New Roman"/>
            </w:rPr>
          </w:sdtEndPr>
          <w:sdtContent>
            <w:tc>
              <w:tcPr>
                <w:tcW w:w="1586" w:type="pct"/>
                <w:tcBorders>
                  <w:top w:val="single" w:color="auto" w:sz="4" w:space="0"/>
                  <w:left w:val="single" w:color="auto" w:sz="4" w:space="0"/>
                  <w:bottom w:val="single" w:color="auto" w:sz="4" w:space="0"/>
                  <w:right w:val="single" w:color="auto" w:sz="4" w:space="0"/>
                </w:tcBorders>
                <w:vAlign w:val="center"/>
              </w:tcPr>
              <w:p w14:paraId="319BD2E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类型</w:t>
                </w:r>
              </w:p>
            </w:tc>
          </w:sdtContent>
        </w:sdt>
        <w:sdt>
          <w:sdtPr>
            <w:rPr>
              <w:rFonts w:cs="Times New Roman"/>
            </w:rPr>
            <w:tag w:val="_PLD_b137547e48b242d2a32ab92cdeb61433"/>
            <w:id w:val="147479160"/>
          </w:sdtPr>
          <w:sdtEndPr>
            <w:rPr>
              <w:rFonts w:cs="Times New Roman"/>
            </w:rPr>
          </w:sdtEndPr>
          <w:sdtContent>
            <w:tc>
              <w:tcPr>
                <w:tcW w:w="1707" w:type="pct"/>
                <w:tcBorders>
                  <w:top w:val="single" w:color="auto" w:sz="4" w:space="0"/>
                  <w:left w:val="single" w:color="auto" w:sz="4" w:space="0"/>
                  <w:bottom w:val="single" w:color="auto" w:sz="4" w:space="0"/>
                  <w:right w:val="single" w:color="auto" w:sz="4" w:space="0"/>
                </w:tcBorders>
                <w:vAlign w:val="center"/>
              </w:tcPr>
              <w:p w14:paraId="0E114D9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b1f0e1514b364efda3d03053bbe4e90c"/>
            <w:id w:val="147451485"/>
          </w:sdtPr>
          <w:sdtEndPr>
            <w:rPr>
              <w:rFonts w:cs="Times New Roman"/>
            </w:rPr>
          </w:sdtEndPr>
          <w:sdtContent>
            <w:tc>
              <w:tcPr>
                <w:tcW w:w="1707" w:type="pct"/>
                <w:tcBorders>
                  <w:top w:val="single" w:color="auto" w:sz="4" w:space="0"/>
                  <w:left w:val="single" w:color="auto" w:sz="4" w:space="0"/>
                  <w:bottom w:val="single" w:color="auto" w:sz="4" w:space="0"/>
                  <w:right w:val="single" w:color="auto" w:sz="4" w:space="0"/>
                </w:tcBorders>
                <w:vAlign w:val="center"/>
              </w:tcPr>
              <w:p w14:paraId="59B37BE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0083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center"/>
          </w:tcPr>
          <w:p w14:paraId="0AA2ED7D">
            <w:pPr>
              <w:textAlignment w:val="center"/>
              <w:rPr>
                <w:rFonts w:cs="Times New Roman"/>
                <w:color w:val="000000" w:themeColor="text1"/>
                <w14:textFill>
                  <w14:solidFill>
                    <w14:schemeClr w14:val="tx1"/>
                  </w14:solidFill>
                </w14:textFill>
              </w:rPr>
            </w:pPr>
            <w:r>
              <w:rPr>
                <w:rFonts w:cs="Times New Roman"/>
                <w:color w:val="000000"/>
                <w:lang w:bidi="ar"/>
              </w:rPr>
              <w:t>与资产相关</w:t>
            </w:r>
          </w:p>
        </w:tc>
        <w:tc>
          <w:tcPr>
            <w:tcW w:w="3012" w:type="dxa"/>
            <w:tcBorders>
              <w:top w:val="single" w:color="auto" w:sz="4" w:space="0"/>
              <w:left w:val="single" w:color="auto" w:sz="4" w:space="0"/>
              <w:bottom w:val="single" w:color="auto" w:sz="4" w:space="0"/>
              <w:right w:val="single" w:color="auto" w:sz="4" w:space="0"/>
            </w:tcBorders>
            <w:vAlign w:val="center"/>
          </w:tcPr>
          <w:p w14:paraId="4C111ADC">
            <w:pPr>
              <w:jc w:val="right"/>
              <w:textAlignment w:val="center"/>
              <w:rPr>
                <w:rFonts w:cs="Times New Roman"/>
              </w:rPr>
            </w:pPr>
            <w:r>
              <w:rPr>
                <w:rFonts w:eastAsia="Arial Narrow" w:cs="Times New Roman"/>
                <w:color w:val="000000"/>
                <w:lang w:bidi="ar"/>
              </w:rPr>
              <w:t>8,595,277.35</w:t>
            </w:r>
          </w:p>
        </w:tc>
        <w:tc>
          <w:tcPr>
            <w:tcW w:w="3093" w:type="dxa"/>
            <w:tcBorders>
              <w:top w:val="single" w:color="auto" w:sz="4" w:space="0"/>
              <w:left w:val="single" w:color="auto" w:sz="4" w:space="0"/>
              <w:bottom w:val="single" w:color="auto" w:sz="4" w:space="0"/>
              <w:right w:val="single" w:color="auto" w:sz="4" w:space="0"/>
            </w:tcBorders>
            <w:vAlign w:val="center"/>
          </w:tcPr>
          <w:p w14:paraId="38B38E0C">
            <w:pPr>
              <w:jc w:val="right"/>
              <w:textAlignment w:val="center"/>
              <w:rPr>
                <w:rFonts w:cs="Times New Roman"/>
              </w:rPr>
            </w:pPr>
            <w:r>
              <w:rPr>
                <w:rFonts w:eastAsia="Arial Narrow" w:cs="Times New Roman"/>
                <w:color w:val="000000"/>
                <w:lang w:bidi="ar"/>
              </w:rPr>
              <w:t>11,290,583.80</w:t>
            </w:r>
          </w:p>
        </w:tc>
      </w:tr>
      <w:tr w14:paraId="4224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center"/>
          </w:tcPr>
          <w:p w14:paraId="7195B374">
            <w:pPr>
              <w:textAlignment w:val="center"/>
              <w:rPr>
                <w:rFonts w:cs="Times New Roman"/>
                <w:color w:val="000000" w:themeColor="text1"/>
                <w14:textFill>
                  <w14:solidFill>
                    <w14:schemeClr w14:val="tx1"/>
                  </w14:solidFill>
                </w14:textFill>
              </w:rPr>
            </w:pPr>
            <w:r>
              <w:rPr>
                <w:rFonts w:cs="Times New Roman"/>
                <w:color w:val="000000"/>
                <w:lang w:bidi="ar"/>
              </w:rPr>
              <w:t>与收益相关</w:t>
            </w:r>
          </w:p>
        </w:tc>
        <w:tc>
          <w:tcPr>
            <w:tcW w:w="3012" w:type="dxa"/>
            <w:tcBorders>
              <w:top w:val="single" w:color="auto" w:sz="4" w:space="0"/>
              <w:left w:val="single" w:color="auto" w:sz="4" w:space="0"/>
              <w:bottom w:val="single" w:color="auto" w:sz="4" w:space="0"/>
              <w:right w:val="single" w:color="auto" w:sz="4" w:space="0"/>
            </w:tcBorders>
            <w:vAlign w:val="center"/>
          </w:tcPr>
          <w:p w14:paraId="4A5102AF">
            <w:pPr>
              <w:jc w:val="right"/>
              <w:textAlignment w:val="center"/>
              <w:rPr>
                <w:rFonts w:cs="Times New Roman"/>
              </w:rPr>
            </w:pPr>
            <w:r>
              <w:rPr>
                <w:rFonts w:eastAsia="Arial Narrow" w:cs="Times New Roman"/>
                <w:color w:val="000000"/>
                <w:lang w:bidi="ar"/>
              </w:rPr>
              <w:t>28,596,528.95</w:t>
            </w:r>
          </w:p>
        </w:tc>
        <w:tc>
          <w:tcPr>
            <w:tcW w:w="3093" w:type="dxa"/>
            <w:tcBorders>
              <w:top w:val="single" w:color="auto" w:sz="4" w:space="0"/>
              <w:left w:val="single" w:color="auto" w:sz="4" w:space="0"/>
              <w:bottom w:val="single" w:color="auto" w:sz="4" w:space="0"/>
              <w:right w:val="single" w:color="auto" w:sz="4" w:space="0"/>
            </w:tcBorders>
            <w:vAlign w:val="center"/>
          </w:tcPr>
          <w:p w14:paraId="0E963371">
            <w:pPr>
              <w:jc w:val="right"/>
              <w:textAlignment w:val="center"/>
              <w:rPr>
                <w:rFonts w:cs="Times New Roman"/>
              </w:rPr>
            </w:pPr>
            <w:r>
              <w:rPr>
                <w:rFonts w:eastAsia="Arial Narrow" w:cs="Times New Roman"/>
                <w:color w:val="000000"/>
                <w:lang w:bidi="ar"/>
              </w:rPr>
              <w:t>14,162,341.08</w:t>
            </w:r>
          </w:p>
        </w:tc>
      </w:tr>
      <w:tr w14:paraId="705C0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center"/>
          </w:tcPr>
          <w:p w14:paraId="6C78515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3012" w:type="dxa"/>
            <w:tcBorders>
              <w:top w:val="single" w:color="auto" w:sz="4" w:space="0"/>
              <w:left w:val="single" w:color="auto" w:sz="4" w:space="0"/>
              <w:bottom w:val="single" w:color="auto" w:sz="4" w:space="0"/>
              <w:right w:val="single" w:color="auto" w:sz="4" w:space="0"/>
            </w:tcBorders>
            <w:vAlign w:val="center"/>
          </w:tcPr>
          <w:p w14:paraId="00C223E3">
            <w:pPr>
              <w:jc w:val="right"/>
              <w:textAlignment w:val="center"/>
              <w:rPr>
                <w:rFonts w:cs="Times New Roman"/>
              </w:rPr>
            </w:pPr>
            <w:r>
              <w:rPr>
                <w:rFonts w:eastAsia="Arial Narrow" w:cs="Times New Roman"/>
                <w:color w:val="000000"/>
                <w:lang w:bidi="ar"/>
              </w:rPr>
              <w:t>37,191,806.30</w:t>
            </w:r>
          </w:p>
        </w:tc>
        <w:tc>
          <w:tcPr>
            <w:tcW w:w="3093" w:type="dxa"/>
            <w:tcBorders>
              <w:top w:val="single" w:color="auto" w:sz="4" w:space="0"/>
              <w:left w:val="single" w:color="auto" w:sz="4" w:space="0"/>
              <w:bottom w:val="single" w:color="auto" w:sz="4" w:space="0"/>
              <w:right w:val="single" w:color="auto" w:sz="4" w:space="0"/>
            </w:tcBorders>
            <w:vAlign w:val="center"/>
          </w:tcPr>
          <w:p w14:paraId="31319E8A">
            <w:pPr>
              <w:jc w:val="right"/>
              <w:textAlignment w:val="center"/>
              <w:rPr>
                <w:rFonts w:cs="Times New Roman"/>
              </w:rPr>
            </w:pPr>
            <w:r>
              <w:rPr>
                <w:rFonts w:eastAsia="Arial Narrow" w:cs="Times New Roman"/>
                <w:color w:val="000000"/>
                <w:lang w:bidi="ar"/>
              </w:rPr>
              <w:t>25,452,924.88</w:t>
            </w:r>
          </w:p>
        </w:tc>
      </w:tr>
    </w:tbl>
    <w:p w14:paraId="6C7BE9E2">
      <w:pPr>
        <w:rPr>
          <w:color w:val="000000" w:themeColor="text1"/>
          <w14:textFill>
            <w14:solidFill>
              <w14:schemeClr w14:val="tx1"/>
            </w14:solidFill>
          </w14:textFill>
        </w:rPr>
      </w:pPr>
    </w:p>
    <w:bookmarkEnd w:id="405"/>
    <w:p w14:paraId="5AB4FA3D">
      <w:pPr>
        <w:rPr>
          <w:color w:val="000000" w:themeColor="text1"/>
          <w14:textFill>
            <w14:solidFill>
              <w14:schemeClr w14:val="tx1"/>
            </w14:solidFill>
          </w14:textFill>
        </w:rPr>
      </w:pPr>
      <w:bookmarkStart w:id="406" w:name="_Hlk153267868"/>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政府补助说明"/>
        <w:tag w:val="_GBC_2db67f97ef974f8db75ebfb04517ea6f"/>
        <w:id w:val="147478904"/>
        <w:lock w:val="sdtLocked"/>
        <w:placeholder>
          <w:docPart w:val="GBC22222222222222222222222222222"/>
        </w:placeholder>
      </w:sdtPr>
      <w:sdtEndPr>
        <w:rPr>
          <w:color w:val="000000" w:themeColor="text1"/>
          <w14:textFill>
            <w14:solidFill>
              <w14:schemeClr w14:val="tx1"/>
            </w14:solidFill>
          </w14:textFill>
        </w:rPr>
      </w:sdtEndPr>
      <w:sdtContent>
        <w:p w14:paraId="02356040">
          <w:pPr>
            <w:rPr>
              <w:color w:val="000000" w:themeColor="text1"/>
              <w14:textFill>
                <w14:solidFill>
                  <w14:schemeClr w14:val="tx1"/>
                </w14:solidFill>
              </w14:textFill>
            </w:rPr>
          </w:pPr>
          <w:r>
            <w:rPr>
              <w:rFonts w:hint="eastAsia"/>
              <w:color w:val="000000" w:themeColor="text1"/>
              <w14:textFill>
                <w14:solidFill>
                  <w14:schemeClr w14:val="tx1"/>
                </w14:solidFill>
              </w14:textFill>
            </w:rPr>
            <w:t>计入当期损益的政府补助明细：</w:t>
          </w:r>
        </w:p>
        <w:p w14:paraId="24E0DE87">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计入当期损益的政府补助"/>
              <w:tag w:val="_GBC_87984e2b7f344109836efe6282c2894b"/>
              <w:id w:val="147482831"/>
              <w:placeholder>
                <w:docPart w:val="{d4e0da34-b711-4907-bd17-07fd96e59605}"/>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计入当期损益的政府补助"/>
              <w:tag w:val="_GBC_105736a35c964ea1b5378bede4faea2f"/>
              <w:id w:val="147472791"/>
              <w:placeholder>
                <w:docPart w:val="{d4e0da34-b711-4907-bd17-07fd96e59605}"/>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3"/>
            <w:gridCol w:w="1309"/>
            <w:gridCol w:w="1462"/>
            <w:gridCol w:w="1462"/>
            <w:gridCol w:w="1591"/>
          </w:tblGrid>
          <w:tr w14:paraId="01EE5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173" w:type="dxa"/>
                <w:vAlign w:val="center"/>
              </w:tcPr>
              <w:p w14:paraId="1EB99CF4">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补助项目</w:t>
                </w:r>
              </w:p>
            </w:tc>
            <w:tc>
              <w:tcPr>
                <w:tcW w:w="1309" w:type="dxa"/>
                <w:vAlign w:val="center"/>
              </w:tcPr>
              <w:p w14:paraId="0F9E8AF5">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会计科目</w:t>
                </w:r>
              </w:p>
            </w:tc>
            <w:tc>
              <w:tcPr>
                <w:tcW w:w="1462" w:type="dxa"/>
                <w:vAlign w:val="center"/>
              </w:tcPr>
              <w:p w14:paraId="61326657">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本期发生额</w:t>
                </w:r>
              </w:p>
            </w:tc>
            <w:tc>
              <w:tcPr>
                <w:tcW w:w="1462" w:type="dxa"/>
                <w:vAlign w:val="center"/>
              </w:tcPr>
              <w:p w14:paraId="4130E2FF">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上期发生额</w:t>
                </w:r>
              </w:p>
            </w:tc>
            <w:tc>
              <w:tcPr>
                <w:tcW w:w="1591" w:type="dxa"/>
                <w:vAlign w:val="center"/>
              </w:tcPr>
              <w:p w14:paraId="0C646341">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与资产相关/与收益相关</w:t>
                </w:r>
              </w:p>
            </w:tc>
          </w:tr>
          <w:tr w14:paraId="080A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0B07DCF3">
                <w:pPr>
                  <w:widowControl/>
                  <w:jc w:val="both"/>
                  <w:textAlignment w:val="center"/>
                  <w:rPr>
                    <w:rFonts w:cs="Times New Roman"/>
                    <w:color w:val="000000" w:themeColor="text1"/>
                    <w14:textFill>
                      <w14:solidFill>
                        <w14:schemeClr w14:val="tx1"/>
                      </w14:solidFill>
                    </w14:textFill>
                  </w:rPr>
                </w:pPr>
                <w:r>
                  <w:rPr>
                    <w:rFonts w:cs="Times New Roman"/>
                    <w:color w:val="000000"/>
                  </w:rPr>
                  <w:t>一、递延收益摊销</w:t>
                </w:r>
              </w:p>
            </w:tc>
            <w:tc>
              <w:tcPr>
                <w:tcW w:w="1309" w:type="dxa"/>
                <w:vAlign w:val="center"/>
              </w:tcPr>
              <w:p w14:paraId="6D3C63DB">
                <w:pPr>
                  <w:widowControl w:val="0"/>
                  <w:jc w:val="center"/>
                  <w:rPr>
                    <w:rFonts w:cs="Times New Roman"/>
                    <w:color w:val="000000" w:themeColor="text1"/>
                    <w14:textFill>
                      <w14:solidFill>
                        <w14:schemeClr w14:val="tx1"/>
                      </w14:solidFill>
                    </w14:textFill>
                  </w:rPr>
                </w:pPr>
              </w:p>
            </w:tc>
            <w:tc>
              <w:tcPr>
                <w:tcW w:w="1462" w:type="dxa"/>
                <w:vAlign w:val="center"/>
              </w:tcPr>
              <w:p w14:paraId="30C81ECA">
                <w:pPr>
                  <w:widowControl w:val="0"/>
                  <w:jc w:val="center"/>
                  <w:rPr>
                    <w:rFonts w:cs="Times New Roman"/>
                    <w:color w:val="000000" w:themeColor="text1"/>
                    <w14:textFill>
                      <w14:solidFill>
                        <w14:schemeClr w14:val="tx1"/>
                      </w14:solidFill>
                    </w14:textFill>
                  </w:rPr>
                </w:pPr>
              </w:p>
            </w:tc>
            <w:tc>
              <w:tcPr>
                <w:tcW w:w="1462" w:type="dxa"/>
                <w:vAlign w:val="center"/>
              </w:tcPr>
              <w:p w14:paraId="563CA5B5">
                <w:pPr>
                  <w:widowControl w:val="0"/>
                  <w:jc w:val="center"/>
                  <w:rPr>
                    <w:rFonts w:cs="Times New Roman"/>
                    <w:color w:val="000000" w:themeColor="text1"/>
                    <w14:textFill>
                      <w14:solidFill>
                        <w14:schemeClr w14:val="tx1"/>
                      </w14:solidFill>
                    </w14:textFill>
                  </w:rPr>
                </w:pPr>
              </w:p>
            </w:tc>
            <w:tc>
              <w:tcPr>
                <w:tcW w:w="1591" w:type="dxa"/>
                <w:vAlign w:val="center"/>
              </w:tcPr>
              <w:p w14:paraId="7494E2AF">
                <w:pPr>
                  <w:widowControl w:val="0"/>
                  <w:jc w:val="center"/>
                  <w:rPr>
                    <w:rFonts w:cs="Times New Roman"/>
                    <w:color w:val="000000" w:themeColor="text1"/>
                    <w14:textFill>
                      <w14:solidFill>
                        <w14:schemeClr w14:val="tx1"/>
                      </w14:solidFill>
                    </w14:textFill>
                  </w:rPr>
                </w:pPr>
              </w:p>
            </w:tc>
          </w:tr>
          <w:tr w14:paraId="453E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173" w:type="dxa"/>
                <w:vAlign w:val="center"/>
              </w:tcPr>
              <w:p w14:paraId="32DC091E">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设备补贴资金</w:t>
                </w:r>
              </w:p>
            </w:tc>
            <w:tc>
              <w:tcPr>
                <w:tcW w:w="1309" w:type="dxa"/>
                <w:vAlign w:val="center"/>
              </w:tcPr>
              <w:p w14:paraId="66C980E3">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3E42968B">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3,476,576.15</w:t>
                </w:r>
              </w:p>
            </w:tc>
            <w:tc>
              <w:tcPr>
                <w:tcW w:w="1462" w:type="dxa"/>
                <w:vAlign w:val="center"/>
              </w:tcPr>
              <w:p w14:paraId="09EB5769">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5,885,760.94</w:t>
                </w:r>
              </w:p>
            </w:tc>
            <w:tc>
              <w:tcPr>
                <w:tcW w:w="1591" w:type="dxa"/>
                <w:vAlign w:val="center"/>
              </w:tcPr>
              <w:p w14:paraId="350EA548">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1862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2BE85F3F">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洁净工房及设备</w:t>
                </w:r>
              </w:p>
            </w:tc>
            <w:tc>
              <w:tcPr>
                <w:tcW w:w="1309" w:type="dxa"/>
                <w:vAlign w:val="center"/>
              </w:tcPr>
              <w:p w14:paraId="14E1E0F6">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4563857A">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565,617.96</w:t>
                </w:r>
              </w:p>
            </w:tc>
            <w:tc>
              <w:tcPr>
                <w:tcW w:w="1462" w:type="dxa"/>
                <w:vAlign w:val="center"/>
              </w:tcPr>
              <w:p w14:paraId="26E1C5C3">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565,617.96</w:t>
                </w:r>
              </w:p>
            </w:tc>
            <w:tc>
              <w:tcPr>
                <w:tcW w:w="1591" w:type="dxa"/>
                <w:vAlign w:val="center"/>
              </w:tcPr>
              <w:p w14:paraId="6ABAD70D">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3BF9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21B03B61">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兰州新区财政局甘肃省医疗物资供给能储备补助资金</w:t>
                </w:r>
              </w:p>
            </w:tc>
            <w:tc>
              <w:tcPr>
                <w:tcW w:w="1309" w:type="dxa"/>
                <w:vAlign w:val="center"/>
              </w:tcPr>
              <w:p w14:paraId="74D5CD66">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3A3E52D4">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150,000.00</w:t>
                </w:r>
              </w:p>
            </w:tc>
            <w:tc>
              <w:tcPr>
                <w:tcW w:w="1462" w:type="dxa"/>
                <w:vAlign w:val="center"/>
              </w:tcPr>
              <w:p w14:paraId="14F5778B">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150,000.00</w:t>
                </w:r>
              </w:p>
            </w:tc>
            <w:tc>
              <w:tcPr>
                <w:tcW w:w="1591" w:type="dxa"/>
                <w:vAlign w:val="center"/>
              </w:tcPr>
              <w:p w14:paraId="619B5F8C">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3266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6DD34883">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嵌入柔性传感系统兼具热防护与危化品阻隔功能的灭火防护服研发</w:t>
                </w:r>
              </w:p>
            </w:tc>
            <w:tc>
              <w:tcPr>
                <w:tcW w:w="1309" w:type="dxa"/>
                <w:vAlign w:val="center"/>
              </w:tcPr>
              <w:p w14:paraId="3B80999A">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37384561">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326,271.39</w:t>
                </w:r>
              </w:p>
            </w:tc>
            <w:tc>
              <w:tcPr>
                <w:tcW w:w="1462" w:type="dxa"/>
                <w:vAlign w:val="center"/>
              </w:tcPr>
              <w:p w14:paraId="61D2A8F7">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464,021.12</w:t>
                </w:r>
              </w:p>
            </w:tc>
            <w:tc>
              <w:tcPr>
                <w:tcW w:w="1591" w:type="dxa"/>
                <w:vAlign w:val="center"/>
              </w:tcPr>
              <w:p w14:paraId="7AB131FB">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185D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5BA28922">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新区基地建设和军民融合补助</w:t>
                </w:r>
              </w:p>
            </w:tc>
            <w:tc>
              <w:tcPr>
                <w:tcW w:w="1309" w:type="dxa"/>
                <w:vAlign w:val="center"/>
              </w:tcPr>
              <w:p w14:paraId="2E65354C">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5030D459">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207,894.78</w:t>
                </w:r>
              </w:p>
            </w:tc>
            <w:tc>
              <w:tcPr>
                <w:tcW w:w="1462" w:type="dxa"/>
                <w:vAlign w:val="center"/>
              </w:tcPr>
              <w:p w14:paraId="64CD959C">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207,894.78</w:t>
                </w:r>
              </w:p>
            </w:tc>
            <w:tc>
              <w:tcPr>
                <w:tcW w:w="1591" w:type="dxa"/>
                <w:vAlign w:val="center"/>
              </w:tcPr>
              <w:p w14:paraId="12DD7CD0">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09B8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60ECCB94">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智能工厂</w:t>
                </w:r>
              </w:p>
            </w:tc>
            <w:tc>
              <w:tcPr>
                <w:tcW w:w="1309" w:type="dxa"/>
                <w:vAlign w:val="center"/>
              </w:tcPr>
              <w:p w14:paraId="31129206">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6F88663C">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433,000.01</w:t>
                </w:r>
              </w:p>
            </w:tc>
            <w:tc>
              <w:tcPr>
                <w:tcW w:w="1462" w:type="dxa"/>
                <w:vAlign w:val="center"/>
              </w:tcPr>
              <w:p w14:paraId="3E4FAD61">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433,000.00</w:t>
                </w:r>
              </w:p>
            </w:tc>
            <w:tc>
              <w:tcPr>
                <w:tcW w:w="1591" w:type="dxa"/>
                <w:vAlign w:val="center"/>
              </w:tcPr>
              <w:p w14:paraId="0BDF0408">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07A2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675EBA53">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体育小镇建设扶持资金</w:t>
                </w:r>
              </w:p>
            </w:tc>
            <w:tc>
              <w:tcPr>
                <w:tcW w:w="1309" w:type="dxa"/>
                <w:vAlign w:val="center"/>
              </w:tcPr>
              <w:p w14:paraId="4C229A48">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4101CFB6">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91,743.12</w:t>
                </w:r>
              </w:p>
            </w:tc>
            <w:tc>
              <w:tcPr>
                <w:tcW w:w="1462" w:type="dxa"/>
                <w:vAlign w:val="center"/>
              </w:tcPr>
              <w:p w14:paraId="755DB8D7">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91,743.12</w:t>
                </w:r>
              </w:p>
            </w:tc>
            <w:tc>
              <w:tcPr>
                <w:tcW w:w="1591" w:type="dxa"/>
                <w:vAlign w:val="center"/>
              </w:tcPr>
              <w:p w14:paraId="3EB43A02">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4C95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612BE4A1">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供用电及热力系统改造项目</w:t>
                </w:r>
              </w:p>
            </w:tc>
            <w:tc>
              <w:tcPr>
                <w:tcW w:w="1309" w:type="dxa"/>
                <w:vAlign w:val="center"/>
              </w:tcPr>
              <w:p w14:paraId="766C53DD">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485F2503">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90,000.00</w:t>
                </w:r>
              </w:p>
            </w:tc>
            <w:tc>
              <w:tcPr>
                <w:tcW w:w="1462" w:type="dxa"/>
                <w:vAlign w:val="center"/>
              </w:tcPr>
              <w:p w14:paraId="6121D48C">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90,000.00</w:t>
                </w:r>
              </w:p>
            </w:tc>
            <w:tc>
              <w:tcPr>
                <w:tcW w:w="1591" w:type="dxa"/>
                <w:vAlign w:val="center"/>
              </w:tcPr>
              <w:p w14:paraId="31F0C223">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15C9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4996636B">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应急与要素保障资金</w:t>
                </w:r>
              </w:p>
            </w:tc>
            <w:tc>
              <w:tcPr>
                <w:tcW w:w="1309" w:type="dxa"/>
                <w:vAlign w:val="center"/>
              </w:tcPr>
              <w:p w14:paraId="5AA46BE9">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74799338">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296,923.07</w:t>
                </w:r>
              </w:p>
            </w:tc>
            <w:tc>
              <w:tcPr>
                <w:tcW w:w="1462" w:type="dxa"/>
                <w:vAlign w:val="center"/>
              </w:tcPr>
              <w:p w14:paraId="08B1408D">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593,846.16</w:t>
                </w:r>
              </w:p>
            </w:tc>
            <w:tc>
              <w:tcPr>
                <w:tcW w:w="1591" w:type="dxa"/>
                <w:vAlign w:val="center"/>
              </w:tcPr>
              <w:p w14:paraId="6A9412F7">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7D9A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3B04F558">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技改转产补助款</w:t>
                </w:r>
              </w:p>
            </w:tc>
            <w:tc>
              <w:tcPr>
                <w:tcW w:w="1309" w:type="dxa"/>
                <w:vAlign w:val="center"/>
              </w:tcPr>
              <w:p w14:paraId="600B91A1">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1C1A6C17">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76,923.07</w:t>
                </w:r>
              </w:p>
            </w:tc>
            <w:tc>
              <w:tcPr>
                <w:tcW w:w="1462" w:type="dxa"/>
                <w:vAlign w:val="center"/>
              </w:tcPr>
              <w:p w14:paraId="0779230F">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153,846.16</w:t>
                </w:r>
              </w:p>
            </w:tc>
            <w:tc>
              <w:tcPr>
                <w:tcW w:w="1591" w:type="dxa"/>
                <w:vAlign w:val="center"/>
              </w:tcPr>
              <w:p w14:paraId="1C13B205">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413F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68DCBFB6">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新能源、新材料及新型智能化装备产业化项目</w:t>
                </w:r>
              </w:p>
            </w:tc>
            <w:tc>
              <w:tcPr>
                <w:tcW w:w="1309" w:type="dxa"/>
                <w:vAlign w:val="center"/>
              </w:tcPr>
              <w:p w14:paraId="169F32A9">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231F0FA5">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49,999.98</w:t>
                </w:r>
              </w:p>
            </w:tc>
            <w:tc>
              <w:tcPr>
                <w:tcW w:w="1462" w:type="dxa"/>
                <w:vAlign w:val="center"/>
              </w:tcPr>
              <w:p w14:paraId="4D770BB7">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49,999.98</w:t>
                </w:r>
              </w:p>
            </w:tc>
            <w:tc>
              <w:tcPr>
                <w:tcW w:w="1591" w:type="dxa"/>
                <w:vAlign w:val="center"/>
              </w:tcPr>
              <w:p w14:paraId="14014C2D">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5C9E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3BDC9D5A">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重庆两江新区现代服务业综合试点专项补助</w:t>
                </w:r>
              </w:p>
            </w:tc>
            <w:tc>
              <w:tcPr>
                <w:tcW w:w="1309" w:type="dxa"/>
                <w:vAlign w:val="center"/>
              </w:tcPr>
              <w:p w14:paraId="4C395E5A">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2B43CB10">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605,493.36</w:t>
                </w:r>
              </w:p>
            </w:tc>
            <w:tc>
              <w:tcPr>
                <w:tcW w:w="1462" w:type="dxa"/>
                <w:vAlign w:val="center"/>
              </w:tcPr>
              <w:p w14:paraId="10221613">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605,493.36</w:t>
                </w:r>
              </w:p>
            </w:tc>
            <w:tc>
              <w:tcPr>
                <w:tcW w:w="1591" w:type="dxa"/>
                <w:vAlign w:val="center"/>
              </w:tcPr>
              <w:p w14:paraId="395A05DA">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58E6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4EC5AC0D">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工业投资和技术改造专项补助资金</w:t>
                </w:r>
              </w:p>
            </w:tc>
            <w:tc>
              <w:tcPr>
                <w:tcW w:w="1309" w:type="dxa"/>
                <w:vAlign w:val="center"/>
              </w:tcPr>
              <w:p w14:paraId="1BB10DF3">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4F3BF3B1">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83,780.00</w:t>
                </w:r>
              </w:p>
            </w:tc>
            <w:tc>
              <w:tcPr>
                <w:tcW w:w="1462" w:type="dxa"/>
                <w:vAlign w:val="center"/>
              </w:tcPr>
              <w:p w14:paraId="67A37157">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83,780.00</w:t>
                </w:r>
              </w:p>
            </w:tc>
            <w:tc>
              <w:tcPr>
                <w:tcW w:w="1591" w:type="dxa"/>
                <w:vAlign w:val="center"/>
              </w:tcPr>
              <w:p w14:paraId="0FFFC293">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5942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1FAE953D">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搬迁返还补偿款</w:t>
                </w:r>
              </w:p>
            </w:tc>
            <w:tc>
              <w:tcPr>
                <w:tcW w:w="1309" w:type="dxa"/>
                <w:vAlign w:val="center"/>
              </w:tcPr>
              <w:p w14:paraId="24A426B4">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2DC49328">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677,192.91</w:t>
                </w:r>
              </w:p>
            </w:tc>
            <w:tc>
              <w:tcPr>
                <w:tcW w:w="1462" w:type="dxa"/>
                <w:vAlign w:val="center"/>
              </w:tcPr>
              <w:p w14:paraId="0069CACE">
                <w:pPr>
                  <w:widowControl w:val="0"/>
                  <w:jc w:val="right"/>
                  <w:rPr>
                    <w:rFonts w:cs="Times New Roman"/>
                    <w:color w:val="000000" w:themeColor="text1"/>
                    <w14:textFill>
                      <w14:solidFill>
                        <w14:schemeClr w14:val="tx1"/>
                      </w14:solidFill>
                    </w14:textFill>
                  </w:rPr>
                </w:pPr>
              </w:p>
            </w:tc>
            <w:tc>
              <w:tcPr>
                <w:tcW w:w="1591" w:type="dxa"/>
                <w:vAlign w:val="center"/>
              </w:tcPr>
              <w:p w14:paraId="6A447240">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w:t>
                </w:r>
              </w:p>
            </w:tc>
          </w:tr>
          <w:tr w14:paraId="6FB0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304FBF90">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救火防护装备项目国拨资金</w:t>
                </w:r>
              </w:p>
            </w:tc>
            <w:tc>
              <w:tcPr>
                <w:tcW w:w="1309" w:type="dxa"/>
                <w:vAlign w:val="center"/>
              </w:tcPr>
              <w:p w14:paraId="4CC2B4A5">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0B3F5077">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2,105,390.73</w:t>
                </w:r>
              </w:p>
            </w:tc>
            <w:tc>
              <w:tcPr>
                <w:tcW w:w="1462" w:type="dxa"/>
                <w:vAlign w:val="center"/>
              </w:tcPr>
              <w:p w14:paraId="62FE1B8E">
                <w:pPr>
                  <w:widowControl w:val="0"/>
                  <w:jc w:val="right"/>
                  <w:rPr>
                    <w:rFonts w:cs="Times New Roman"/>
                    <w:color w:val="000000" w:themeColor="text1"/>
                    <w14:textFill>
                      <w14:solidFill>
                        <w14:schemeClr w14:val="tx1"/>
                      </w14:solidFill>
                    </w14:textFill>
                  </w:rPr>
                </w:pPr>
              </w:p>
            </w:tc>
            <w:tc>
              <w:tcPr>
                <w:tcW w:w="1591" w:type="dxa"/>
                <w:vAlign w:val="center"/>
              </w:tcPr>
              <w:p w14:paraId="61E894E3">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与资产相关、与收益相关</w:t>
                </w:r>
              </w:p>
            </w:tc>
          </w:tr>
          <w:tr w14:paraId="49D0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4BD5CD11">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自然灾害防治技术装备工程化攻关专项国拨资金</w:t>
                </w:r>
              </w:p>
            </w:tc>
            <w:tc>
              <w:tcPr>
                <w:tcW w:w="1309" w:type="dxa"/>
                <w:vAlign w:val="center"/>
              </w:tcPr>
              <w:p w14:paraId="5C5BC847">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149AE2DE">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960,674.02</w:t>
                </w:r>
              </w:p>
            </w:tc>
            <w:tc>
              <w:tcPr>
                <w:tcW w:w="1462" w:type="dxa"/>
                <w:vAlign w:val="center"/>
              </w:tcPr>
              <w:p w14:paraId="7D6938C1">
                <w:pPr>
                  <w:widowControl w:val="0"/>
                  <w:jc w:val="right"/>
                  <w:rPr>
                    <w:rFonts w:cs="Times New Roman"/>
                    <w:color w:val="000000" w:themeColor="text1"/>
                    <w14:textFill>
                      <w14:solidFill>
                        <w14:schemeClr w14:val="tx1"/>
                      </w14:solidFill>
                    </w14:textFill>
                  </w:rPr>
                </w:pPr>
              </w:p>
            </w:tc>
            <w:tc>
              <w:tcPr>
                <w:tcW w:w="1591" w:type="dxa"/>
                <w:vAlign w:val="center"/>
              </w:tcPr>
              <w:p w14:paraId="4836FF30">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与资产相关、与收益相关</w:t>
                </w:r>
              </w:p>
            </w:tc>
          </w:tr>
          <w:tr w14:paraId="68C9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225A2FA8">
                <w:pPr>
                  <w:widowControl/>
                  <w:jc w:val="both"/>
                  <w:textAlignment w:val="center"/>
                  <w:rPr>
                    <w:rFonts w:cs="Times New Roman"/>
                    <w:color w:val="000000"/>
                    <w:lang w:bidi="ar"/>
                  </w:rPr>
                </w:pPr>
                <w:r>
                  <w:rPr>
                    <w:rFonts w:cs="Times New Roman"/>
                    <w:color w:val="000000"/>
                    <w:lang w:bidi="ar"/>
                  </w:rPr>
                  <w:t>其他</w:t>
                </w:r>
              </w:p>
            </w:tc>
            <w:tc>
              <w:tcPr>
                <w:tcW w:w="1309" w:type="dxa"/>
                <w:vAlign w:val="center"/>
              </w:tcPr>
              <w:p w14:paraId="45EA49FC">
                <w:pPr>
                  <w:widowControl/>
                  <w:jc w:val="center"/>
                  <w:textAlignment w:val="center"/>
                  <w:rPr>
                    <w:rFonts w:cs="Times New Roman"/>
                    <w:color w:val="000000"/>
                    <w:lang w:bidi="ar"/>
                  </w:rPr>
                </w:pPr>
                <w:r>
                  <w:rPr>
                    <w:rFonts w:cs="Times New Roman"/>
                    <w:color w:val="000000"/>
                    <w:lang w:bidi="ar"/>
                  </w:rPr>
                  <w:t>其他收益</w:t>
                </w:r>
              </w:p>
            </w:tc>
            <w:tc>
              <w:tcPr>
                <w:tcW w:w="1462" w:type="dxa"/>
                <w:vAlign w:val="center"/>
              </w:tcPr>
              <w:p w14:paraId="6A823639">
                <w:pPr>
                  <w:widowControl/>
                  <w:jc w:val="right"/>
                  <w:textAlignment w:val="center"/>
                  <w:rPr>
                    <w:rFonts w:eastAsia="Arial Narrow" w:cs="Times New Roman"/>
                    <w:color w:val="000000"/>
                    <w:lang w:bidi="ar"/>
                  </w:rPr>
                </w:pPr>
                <w:r>
                  <w:rPr>
                    <w:rFonts w:eastAsia="Arial Narrow" w:cs="Times New Roman"/>
                    <w:color w:val="000000"/>
                    <w:lang w:bidi="ar"/>
                  </w:rPr>
                  <w:t>2,867,554.13</w:t>
                </w:r>
              </w:p>
            </w:tc>
            <w:tc>
              <w:tcPr>
                <w:tcW w:w="1462" w:type="dxa"/>
                <w:vAlign w:val="center"/>
              </w:tcPr>
              <w:p w14:paraId="18AE7FFB">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3,079,675.77</w:t>
                </w:r>
              </w:p>
            </w:tc>
            <w:tc>
              <w:tcPr>
                <w:tcW w:w="1591" w:type="dxa"/>
                <w:vAlign w:val="center"/>
              </w:tcPr>
              <w:p w14:paraId="2541CD0E">
                <w:pPr>
                  <w:widowControl/>
                  <w:jc w:val="center"/>
                  <w:textAlignment w:val="center"/>
                  <w:rPr>
                    <w:rFonts w:asciiTheme="minorEastAsia" w:hAnsiTheme="minorEastAsia" w:eastAsiaTheme="minorEastAsia" w:cstheme="minorEastAsia"/>
                    <w:color w:val="000000"/>
                    <w:lang w:bidi="ar"/>
                  </w:rPr>
                </w:pPr>
                <w:r>
                  <w:rPr>
                    <w:rFonts w:hint="eastAsia" w:asciiTheme="minorEastAsia" w:hAnsiTheme="minorEastAsia" w:eastAsiaTheme="minorEastAsia" w:cstheme="minorEastAsia"/>
                    <w:color w:val="000000"/>
                    <w:lang w:bidi="ar"/>
                  </w:rPr>
                  <w:t>与资产相关、与收益相关</w:t>
                </w:r>
              </w:p>
            </w:tc>
          </w:tr>
          <w:tr w14:paraId="2599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173" w:type="dxa"/>
                <w:vAlign w:val="center"/>
              </w:tcPr>
              <w:p w14:paraId="64A28C20">
                <w:pPr>
                  <w:widowControl/>
                  <w:jc w:val="both"/>
                  <w:textAlignment w:val="center"/>
                  <w:rPr>
                    <w:rFonts w:cs="Times New Roman"/>
                    <w:color w:val="000000" w:themeColor="text1"/>
                    <w14:textFill>
                      <w14:solidFill>
                        <w14:schemeClr w14:val="tx1"/>
                      </w14:solidFill>
                    </w14:textFill>
                  </w:rPr>
                </w:pPr>
                <w:r>
                  <w:rPr>
                    <w:rFonts w:cs="Times New Roman"/>
                    <w:color w:val="000000"/>
                  </w:rPr>
                  <w:t>二、直接计入其他收益</w:t>
                </w:r>
              </w:p>
            </w:tc>
            <w:tc>
              <w:tcPr>
                <w:tcW w:w="1309" w:type="dxa"/>
                <w:vAlign w:val="center"/>
              </w:tcPr>
              <w:p w14:paraId="7D2F69EC">
                <w:pPr>
                  <w:widowControl w:val="0"/>
                  <w:jc w:val="center"/>
                  <w:rPr>
                    <w:rFonts w:cs="Times New Roman"/>
                    <w:color w:val="000000" w:themeColor="text1"/>
                    <w14:textFill>
                      <w14:solidFill>
                        <w14:schemeClr w14:val="tx1"/>
                      </w14:solidFill>
                    </w14:textFill>
                  </w:rPr>
                </w:pPr>
              </w:p>
            </w:tc>
            <w:tc>
              <w:tcPr>
                <w:tcW w:w="1462" w:type="dxa"/>
                <w:vAlign w:val="center"/>
              </w:tcPr>
              <w:p w14:paraId="204F3E96">
                <w:pPr>
                  <w:widowControl/>
                  <w:jc w:val="right"/>
                  <w:textAlignment w:val="center"/>
                  <w:rPr>
                    <w:rFonts w:cs="Times New Roman"/>
                    <w:color w:val="000000" w:themeColor="text1"/>
                    <w14:textFill>
                      <w14:solidFill>
                        <w14:schemeClr w14:val="tx1"/>
                      </w14:solidFill>
                    </w14:textFill>
                  </w:rPr>
                </w:pPr>
              </w:p>
            </w:tc>
            <w:tc>
              <w:tcPr>
                <w:tcW w:w="1462" w:type="dxa"/>
                <w:vAlign w:val="center"/>
              </w:tcPr>
              <w:p w14:paraId="22ED6FE0">
                <w:pPr>
                  <w:widowControl/>
                  <w:jc w:val="right"/>
                  <w:textAlignment w:val="center"/>
                  <w:rPr>
                    <w:rFonts w:cs="Times New Roman"/>
                    <w:color w:val="000000" w:themeColor="text1"/>
                    <w14:textFill>
                      <w14:solidFill>
                        <w14:schemeClr w14:val="tx1"/>
                      </w14:solidFill>
                    </w14:textFill>
                  </w:rPr>
                </w:pPr>
              </w:p>
            </w:tc>
            <w:tc>
              <w:tcPr>
                <w:tcW w:w="1591" w:type="dxa"/>
                <w:vAlign w:val="center"/>
              </w:tcPr>
              <w:p w14:paraId="3D4683DF">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p>
            </w:tc>
          </w:tr>
          <w:tr w14:paraId="0A15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5ACCCDBA">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运费补贴</w:t>
                </w:r>
              </w:p>
            </w:tc>
            <w:tc>
              <w:tcPr>
                <w:tcW w:w="1309" w:type="dxa"/>
                <w:vAlign w:val="center"/>
              </w:tcPr>
              <w:p w14:paraId="2586D760">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461A7ADB">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7,906,158.13</w:t>
                </w:r>
              </w:p>
            </w:tc>
            <w:tc>
              <w:tcPr>
                <w:tcW w:w="1462" w:type="dxa"/>
                <w:vAlign w:val="center"/>
              </w:tcPr>
              <w:p w14:paraId="4B28EF4E">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4,192,468.09</w:t>
                </w:r>
              </w:p>
            </w:tc>
            <w:tc>
              <w:tcPr>
                <w:tcW w:w="1591" w:type="dxa"/>
                <w:vAlign w:val="center"/>
              </w:tcPr>
              <w:p w14:paraId="54F2E9F7">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1A6F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677137E1">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工业企业技术改造经济贡献增量奖补资金</w:t>
                </w:r>
              </w:p>
            </w:tc>
            <w:tc>
              <w:tcPr>
                <w:tcW w:w="1309" w:type="dxa"/>
                <w:vAlign w:val="center"/>
              </w:tcPr>
              <w:p w14:paraId="4AC7391A">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5BDB9C2C">
                <w:pPr>
                  <w:widowControl w:val="0"/>
                  <w:jc w:val="right"/>
                  <w:rPr>
                    <w:rFonts w:cs="Times New Roman"/>
                    <w:color w:val="000000" w:themeColor="text1"/>
                    <w14:textFill>
                      <w14:solidFill>
                        <w14:schemeClr w14:val="tx1"/>
                      </w14:solidFill>
                    </w14:textFill>
                  </w:rPr>
                </w:pPr>
              </w:p>
            </w:tc>
            <w:tc>
              <w:tcPr>
                <w:tcW w:w="1462" w:type="dxa"/>
                <w:vAlign w:val="center"/>
              </w:tcPr>
              <w:p w14:paraId="7FC634AD">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1,833,700.00</w:t>
                </w:r>
              </w:p>
            </w:tc>
            <w:tc>
              <w:tcPr>
                <w:tcW w:w="1591" w:type="dxa"/>
                <w:vAlign w:val="center"/>
              </w:tcPr>
              <w:p w14:paraId="481B3A1E">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2DD0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2901B1AE">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专精特新奖励资金</w:t>
                </w:r>
              </w:p>
            </w:tc>
            <w:tc>
              <w:tcPr>
                <w:tcW w:w="1309" w:type="dxa"/>
                <w:vAlign w:val="center"/>
              </w:tcPr>
              <w:p w14:paraId="54205BE1">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2A38B824">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450,000.00</w:t>
                </w:r>
              </w:p>
            </w:tc>
            <w:tc>
              <w:tcPr>
                <w:tcW w:w="1462" w:type="dxa"/>
                <w:vAlign w:val="center"/>
              </w:tcPr>
              <w:p w14:paraId="5C62A60C">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1,000,000.00</w:t>
                </w:r>
              </w:p>
            </w:tc>
            <w:tc>
              <w:tcPr>
                <w:tcW w:w="1591" w:type="dxa"/>
                <w:vAlign w:val="center"/>
              </w:tcPr>
              <w:p w14:paraId="0E8F2A13">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16D4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0294CF9B">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绿色制造单位奖补资金</w:t>
                </w:r>
              </w:p>
            </w:tc>
            <w:tc>
              <w:tcPr>
                <w:tcW w:w="1309" w:type="dxa"/>
                <w:vAlign w:val="center"/>
              </w:tcPr>
              <w:p w14:paraId="1C0CFE26">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1AF5CD3E">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1,500,000.00</w:t>
                </w:r>
              </w:p>
            </w:tc>
            <w:tc>
              <w:tcPr>
                <w:tcW w:w="1462" w:type="dxa"/>
                <w:vAlign w:val="center"/>
              </w:tcPr>
              <w:p w14:paraId="2DF77426">
                <w:pPr>
                  <w:widowControl w:val="0"/>
                  <w:jc w:val="right"/>
                  <w:rPr>
                    <w:rFonts w:cs="Times New Roman"/>
                    <w:color w:val="000000" w:themeColor="text1"/>
                    <w14:textFill>
                      <w14:solidFill>
                        <w14:schemeClr w14:val="tx1"/>
                      </w14:solidFill>
                    </w14:textFill>
                  </w:rPr>
                </w:pPr>
              </w:p>
            </w:tc>
            <w:tc>
              <w:tcPr>
                <w:tcW w:w="1591" w:type="dxa"/>
                <w:vAlign w:val="center"/>
              </w:tcPr>
              <w:p w14:paraId="4779A565">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325E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00CE811F">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2024年湖北省军民融合发展专项资金</w:t>
                </w:r>
              </w:p>
            </w:tc>
            <w:tc>
              <w:tcPr>
                <w:tcW w:w="1309" w:type="dxa"/>
                <w:vAlign w:val="center"/>
              </w:tcPr>
              <w:p w14:paraId="3C27A8C9">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643E5F16">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5,760,000.00</w:t>
                </w:r>
              </w:p>
            </w:tc>
            <w:tc>
              <w:tcPr>
                <w:tcW w:w="1462" w:type="dxa"/>
                <w:vAlign w:val="center"/>
              </w:tcPr>
              <w:p w14:paraId="3D9B1718">
                <w:pPr>
                  <w:widowControl w:val="0"/>
                  <w:jc w:val="right"/>
                  <w:rPr>
                    <w:rFonts w:cs="Times New Roman"/>
                    <w:color w:val="000000" w:themeColor="text1"/>
                    <w14:textFill>
                      <w14:solidFill>
                        <w14:schemeClr w14:val="tx1"/>
                      </w14:solidFill>
                    </w14:textFill>
                  </w:rPr>
                </w:pPr>
              </w:p>
            </w:tc>
            <w:tc>
              <w:tcPr>
                <w:tcW w:w="1591" w:type="dxa"/>
                <w:vAlign w:val="center"/>
              </w:tcPr>
              <w:p w14:paraId="1BD2A865">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33F2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37A21C70">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稳岗补贴</w:t>
                </w:r>
              </w:p>
            </w:tc>
            <w:tc>
              <w:tcPr>
                <w:tcW w:w="1309" w:type="dxa"/>
                <w:vAlign w:val="center"/>
              </w:tcPr>
              <w:p w14:paraId="4D995DBC">
                <w:pPr>
                  <w:widowControl w:val="0"/>
                  <w:jc w:val="center"/>
                  <w:rPr>
                    <w:rFonts w:cs="Times New Roman"/>
                    <w:color w:val="000000" w:themeColor="text1"/>
                    <w14:textFill>
                      <w14:solidFill>
                        <w14:schemeClr w14:val="tx1"/>
                      </w14:solidFill>
                    </w14:textFill>
                  </w:rPr>
                </w:pPr>
              </w:p>
            </w:tc>
            <w:tc>
              <w:tcPr>
                <w:tcW w:w="1462" w:type="dxa"/>
                <w:vAlign w:val="center"/>
              </w:tcPr>
              <w:p w14:paraId="1A852CE4">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580,769.05</w:t>
                </w:r>
              </w:p>
            </w:tc>
            <w:tc>
              <w:tcPr>
                <w:tcW w:w="1462" w:type="dxa"/>
                <w:vAlign w:val="center"/>
              </w:tcPr>
              <w:p w14:paraId="678018BB">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976,698.49</w:t>
                </w:r>
              </w:p>
            </w:tc>
            <w:tc>
              <w:tcPr>
                <w:tcW w:w="1591" w:type="dxa"/>
                <w:vAlign w:val="center"/>
              </w:tcPr>
              <w:p w14:paraId="707B9C06">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27C9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3DE2090E">
                <w:pPr>
                  <w:widowControl/>
                  <w:jc w:val="both"/>
                  <w:textAlignment w:val="center"/>
                  <w:rPr>
                    <w:rFonts w:cs="Times New Roman"/>
                    <w:color w:val="000000" w:themeColor="text1"/>
                    <w14:textFill>
                      <w14:solidFill>
                        <w14:schemeClr w14:val="tx1"/>
                      </w14:solidFill>
                    </w14:textFill>
                  </w:rPr>
                </w:pPr>
                <w:r>
                  <w:rPr>
                    <w:rFonts w:cs="Times New Roman"/>
                    <w:color w:val="000000"/>
                    <w:lang w:bidi="ar"/>
                  </w:rPr>
                  <w:t>其他</w:t>
                </w:r>
              </w:p>
            </w:tc>
            <w:tc>
              <w:tcPr>
                <w:tcW w:w="1309" w:type="dxa"/>
                <w:vAlign w:val="center"/>
              </w:tcPr>
              <w:p w14:paraId="41D89302">
                <w:pPr>
                  <w:widowControl/>
                  <w:jc w:val="center"/>
                  <w:textAlignment w:val="center"/>
                  <w:rPr>
                    <w:rFonts w:cs="Times New Roman"/>
                    <w:color w:val="000000" w:themeColor="text1"/>
                    <w14:textFill>
                      <w14:solidFill>
                        <w14:schemeClr w14:val="tx1"/>
                      </w14:solidFill>
                    </w14:textFill>
                  </w:rPr>
                </w:pPr>
                <w:r>
                  <w:rPr>
                    <w:rFonts w:cs="Times New Roman"/>
                    <w:color w:val="000000"/>
                    <w:lang w:bidi="ar"/>
                  </w:rPr>
                  <w:t>其他收益</w:t>
                </w:r>
              </w:p>
            </w:tc>
            <w:tc>
              <w:tcPr>
                <w:tcW w:w="1462" w:type="dxa"/>
                <w:vAlign w:val="center"/>
              </w:tcPr>
              <w:p w14:paraId="03DFC334">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5,953,044.44</w:t>
                </w:r>
              </w:p>
            </w:tc>
            <w:tc>
              <w:tcPr>
                <w:tcW w:w="1462" w:type="dxa"/>
                <w:vAlign w:val="center"/>
              </w:tcPr>
              <w:p w14:paraId="45158E2D">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4,604,378.95</w:t>
                </w:r>
              </w:p>
            </w:tc>
            <w:tc>
              <w:tcPr>
                <w:tcW w:w="1591" w:type="dxa"/>
                <w:vAlign w:val="center"/>
              </w:tcPr>
              <w:p w14:paraId="014D507F">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与收益相关</w:t>
                </w:r>
              </w:p>
            </w:tc>
          </w:tr>
          <w:tr w14:paraId="394B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4D38E924">
                <w:pPr>
                  <w:widowControl/>
                  <w:jc w:val="both"/>
                  <w:textAlignment w:val="center"/>
                  <w:rPr>
                    <w:rFonts w:cs="Times New Roman"/>
                    <w:color w:val="000000" w:themeColor="text1"/>
                    <w14:textFill>
                      <w14:solidFill>
                        <w14:schemeClr w14:val="tx1"/>
                      </w14:solidFill>
                    </w14:textFill>
                  </w:rPr>
                </w:pPr>
                <w:r>
                  <w:rPr>
                    <w:rFonts w:cs="Times New Roman"/>
                    <w:color w:val="000000"/>
                  </w:rPr>
                  <w:t>三、冲减成本费用的政府补助</w:t>
                </w:r>
              </w:p>
            </w:tc>
            <w:tc>
              <w:tcPr>
                <w:tcW w:w="1309" w:type="dxa"/>
                <w:vAlign w:val="center"/>
              </w:tcPr>
              <w:p w14:paraId="3CB7EF60">
                <w:pPr>
                  <w:widowControl w:val="0"/>
                  <w:jc w:val="center"/>
                  <w:rPr>
                    <w:rFonts w:cs="Times New Roman"/>
                    <w:color w:val="000000" w:themeColor="text1"/>
                    <w14:textFill>
                      <w14:solidFill>
                        <w14:schemeClr w14:val="tx1"/>
                      </w14:solidFill>
                    </w14:textFill>
                  </w:rPr>
                </w:pPr>
              </w:p>
            </w:tc>
            <w:tc>
              <w:tcPr>
                <w:tcW w:w="1462" w:type="dxa"/>
                <w:vAlign w:val="center"/>
              </w:tcPr>
              <w:p w14:paraId="505F39B8">
                <w:pPr>
                  <w:widowControl w:val="0"/>
                  <w:jc w:val="right"/>
                  <w:rPr>
                    <w:rFonts w:cs="Times New Roman"/>
                    <w:color w:val="000000" w:themeColor="text1"/>
                    <w14:textFill>
                      <w14:solidFill>
                        <w14:schemeClr w14:val="tx1"/>
                      </w14:solidFill>
                    </w14:textFill>
                  </w:rPr>
                </w:pPr>
              </w:p>
            </w:tc>
            <w:tc>
              <w:tcPr>
                <w:tcW w:w="1462" w:type="dxa"/>
                <w:vAlign w:val="center"/>
              </w:tcPr>
              <w:p w14:paraId="1EC49A20">
                <w:pPr>
                  <w:widowControl w:val="0"/>
                  <w:jc w:val="right"/>
                  <w:rPr>
                    <w:rFonts w:cs="Times New Roman"/>
                    <w:color w:val="000000" w:themeColor="text1"/>
                    <w14:textFill>
                      <w14:solidFill>
                        <w14:schemeClr w14:val="tx1"/>
                      </w14:solidFill>
                    </w14:textFill>
                  </w:rPr>
                </w:pPr>
              </w:p>
            </w:tc>
            <w:tc>
              <w:tcPr>
                <w:tcW w:w="1591" w:type="dxa"/>
                <w:vAlign w:val="center"/>
              </w:tcPr>
              <w:p w14:paraId="65484698">
                <w:pPr>
                  <w:widowControl w:val="0"/>
                  <w:jc w:val="center"/>
                  <w:rPr>
                    <w:rFonts w:asciiTheme="minorEastAsia" w:hAnsiTheme="minorEastAsia" w:eastAsiaTheme="minorEastAsia" w:cstheme="minorEastAsia"/>
                    <w:color w:val="000000" w:themeColor="text1"/>
                    <w14:textFill>
                      <w14:solidFill>
                        <w14:schemeClr w14:val="tx1"/>
                      </w14:solidFill>
                    </w14:textFill>
                  </w:rPr>
                </w:pPr>
              </w:p>
            </w:tc>
          </w:tr>
          <w:tr w14:paraId="05FE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7C928A1F">
                <w:pPr>
                  <w:widowControl/>
                  <w:jc w:val="both"/>
                  <w:textAlignment w:val="center"/>
                  <w:rPr>
                    <w:rFonts w:cs="Times New Roman"/>
                    <w:color w:val="000000" w:themeColor="text1"/>
                    <w14:textFill>
                      <w14:solidFill>
                        <w14:schemeClr w14:val="tx1"/>
                      </w14:solidFill>
                    </w14:textFill>
                  </w:rPr>
                </w:pPr>
                <w:r>
                  <w:rPr>
                    <w:rFonts w:cs="Times New Roman"/>
                    <w:color w:val="000000"/>
                  </w:rPr>
                  <w:t>吉林省服务业发展专项资金</w:t>
                </w:r>
              </w:p>
            </w:tc>
            <w:tc>
              <w:tcPr>
                <w:tcW w:w="1309" w:type="dxa"/>
                <w:vAlign w:val="center"/>
              </w:tcPr>
              <w:p w14:paraId="3BF63F04">
                <w:pPr>
                  <w:widowControl/>
                  <w:jc w:val="center"/>
                  <w:textAlignment w:val="center"/>
                  <w:rPr>
                    <w:rFonts w:cs="Times New Roman"/>
                    <w:color w:val="000000" w:themeColor="text1"/>
                    <w14:textFill>
                      <w14:solidFill>
                        <w14:schemeClr w14:val="tx1"/>
                      </w14:solidFill>
                    </w14:textFill>
                  </w:rPr>
                </w:pPr>
                <w:r>
                  <w:rPr>
                    <w:rFonts w:cs="Times New Roman"/>
                    <w:color w:val="000000"/>
                  </w:rPr>
                  <w:t>管理费用</w:t>
                </w:r>
              </w:p>
            </w:tc>
            <w:tc>
              <w:tcPr>
                <w:tcW w:w="1462" w:type="dxa"/>
                <w:vAlign w:val="center"/>
              </w:tcPr>
              <w:p w14:paraId="1F3BD9B7">
                <w:pPr>
                  <w:widowControl/>
                  <w:jc w:val="right"/>
                  <w:textAlignment w:val="center"/>
                  <w:rPr>
                    <w:rFonts w:cs="Times New Roman"/>
                    <w:color w:val="000000" w:themeColor="text1"/>
                    <w14:textFill>
                      <w14:solidFill>
                        <w14:schemeClr w14:val="tx1"/>
                      </w14:solidFill>
                    </w14:textFill>
                  </w:rPr>
                </w:pPr>
                <w:r>
                  <w:rPr>
                    <w:rFonts w:cs="Times New Roman"/>
                    <w:color w:val="000000"/>
                  </w:rPr>
                  <w:t>25,000.00</w:t>
                </w:r>
              </w:p>
            </w:tc>
            <w:tc>
              <w:tcPr>
                <w:tcW w:w="1462" w:type="dxa"/>
                <w:vAlign w:val="center"/>
              </w:tcPr>
              <w:p w14:paraId="7FA9BEA1">
                <w:pPr>
                  <w:widowControl/>
                  <w:jc w:val="right"/>
                  <w:textAlignment w:val="center"/>
                  <w:rPr>
                    <w:rFonts w:cs="Times New Roman"/>
                    <w:color w:val="000000" w:themeColor="text1"/>
                    <w14:textFill>
                      <w14:solidFill>
                        <w14:schemeClr w14:val="tx1"/>
                      </w14:solidFill>
                    </w14:textFill>
                  </w:rPr>
                </w:pPr>
                <w:r>
                  <w:rPr>
                    <w:rFonts w:cs="Times New Roman"/>
                    <w:color w:val="000000"/>
                  </w:rPr>
                  <w:t>25,000.00</w:t>
                </w:r>
              </w:p>
            </w:tc>
            <w:tc>
              <w:tcPr>
                <w:tcW w:w="1591" w:type="dxa"/>
                <w:vAlign w:val="center"/>
              </w:tcPr>
              <w:p w14:paraId="4236F34E">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rPr>
                  <w:t>与资产相关</w:t>
                </w:r>
              </w:p>
            </w:tc>
          </w:tr>
          <w:tr w14:paraId="1F3C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4FC6331E">
                <w:pPr>
                  <w:widowControl/>
                  <w:jc w:val="both"/>
                  <w:textAlignment w:val="center"/>
                  <w:rPr>
                    <w:rFonts w:cs="Times New Roman"/>
                    <w:color w:val="000000" w:themeColor="text1"/>
                    <w14:textFill>
                      <w14:solidFill>
                        <w14:schemeClr w14:val="tx1"/>
                      </w14:solidFill>
                    </w14:textFill>
                  </w:rPr>
                </w:pPr>
                <w:r>
                  <w:rPr>
                    <w:rFonts w:cs="Times New Roman"/>
                    <w:color w:val="000000"/>
                  </w:rPr>
                  <w:t>财政贴息</w:t>
                </w:r>
              </w:p>
            </w:tc>
            <w:tc>
              <w:tcPr>
                <w:tcW w:w="1309" w:type="dxa"/>
                <w:vAlign w:val="center"/>
              </w:tcPr>
              <w:p w14:paraId="5C7AD16E">
                <w:pPr>
                  <w:widowControl/>
                  <w:jc w:val="center"/>
                  <w:textAlignment w:val="center"/>
                  <w:rPr>
                    <w:rFonts w:cs="Times New Roman"/>
                    <w:color w:val="000000" w:themeColor="text1"/>
                    <w14:textFill>
                      <w14:solidFill>
                        <w14:schemeClr w14:val="tx1"/>
                      </w14:solidFill>
                    </w14:textFill>
                  </w:rPr>
                </w:pPr>
                <w:r>
                  <w:rPr>
                    <w:rFonts w:cs="Times New Roman"/>
                    <w:color w:val="000000"/>
                  </w:rPr>
                  <w:t>财务费用</w:t>
                </w:r>
              </w:p>
            </w:tc>
            <w:tc>
              <w:tcPr>
                <w:tcW w:w="1462" w:type="dxa"/>
                <w:vAlign w:val="center"/>
              </w:tcPr>
              <w:p w14:paraId="5B92EFFB">
                <w:pPr>
                  <w:widowControl/>
                  <w:jc w:val="right"/>
                  <w:textAlignment w:val="center"/>
                  <w:rPr>
                    <w:rFonts w:cs="Times New Roman"/>
                    <w:color w:val="000000" w:themeColor="text1"/>
                    <w14:textFill>
                      <w14:solidFill>
                        <w14:schemeClr w14:val="tx1"/>
                      </w14:solidFill>
                    </w14:textFill>
                  </w:rPr>
                </w:pPr>
                <w:r>
                  <w:rPr>
                    <w:rFonts w:cs="Times New Roman"/>
                    <w:color w:val="000000"/>
                  </w:rPr>
                  <w:t>1,951,800.00</w:t>
                </w:r>
              </w:p>
            </w:tc>
            <w:tc>
              <w:tcPr>
                <w:tcW w:w="1462" w:type="dxa"/>
                <w:vAlign w:val="center"/>
              </w:tcPr>
              <w:p w14:paraId="20635216">
                <w:pPr>
                  <w:widowControl/>
                  <w:jc w:val="right"/>
                  <w:textAlignment w:val="center"/>
                  <w:rPr>
                    <w:rFonts w:cs="Times New Roman"/>
                    <w:color w:val="000000" w:themeColor="text1"/>
                    <w14:textFill>
                      <w14:solidFill>
                        <w14:schemeClr w14:val="tx1"/>
                      </w14:solidFill>
                    </w14:textFill>
                  </w:rPr>
                </w:pPr>
                <w:r>
                  <w:rPr>
                    <w:rFonts w:cs="Times New Roman"/>
                    <w:color w:val="000000"/>
                  </w:rPr>
                  <w:t>366,000.00</w:t>
                </w:r>
              </w:p>
            </w:tc>
            <w:tc>
              <w:tcPr>
                <w:tcW w:w="1591" w:type="dxa"/>
                <w:vAlign w:val="center"/>
              </w:tcPr>
              <w:p w14:paraId="57DAC95D">
                <w:pPr>
                  <w:widowControl/>
                  <w:jc w:val="center"/>
                  <w:textAlignment w:val="center"/>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rPr>
                  <w:t>与收益相关</w:t>
                </w:r>
              </w:p>
            </w:tc>
          </w:tr>
          <w:tr w14:paraId="6435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3" w:type="dxa"/>
                <w:vAlign w:val="center"/>
              </w:tcPr>
              <w:p w14:paraId="0A4A8F93">
                <w:pPr>
                  <w:widowControl/>
                  <w:jc w:val="center"/>
                  <w:textAlignment w:val="center"/>
                  <w:rPr>
                    <w:rFonts w:cs="Times New Roman"/>
                    <w:color w:val="000000" w:themeColor="text1"/>
                    <w14:textFill>
                      <w14:solidFill>
                        <w14:schemeClr w14:val="tx1"/>
                      </w14:solidFill>
                    </w14:textFill>
                  </w:rPr>
                </w:pPr>
                <w:r>
                  <w:rPr>
                    <w:rFonts w:cs="Times New Roman"/>
                    <w:color w:val="000000"/>
                  </w:rPr>
                  <w:t>合计</w:t>
                </w:r>
              </w:p>
            </w:tc>
            <w:tc>
              <w:tcPr>
                <w:tcW w:w="1309" w:type="dxa"/>
                <w:vAlign w:val="center"/>
              </w:tcPr>
              <w:p w14:paraId="21E072C4">
                <w:pPr>
                  <w:widowControl w:val="0"/>
                  <w:jc w:val="center"/>
                  <w:rPr>
                    <w:rFonts w:cs="Times New Roman"/>
                    <w:color w:val="000000" w:themeColor="text1"/>
                    <w14:textFill>
                      <w14:solidFill>
                        <w14:schemeClr w14:val="tx1"/>
                      </w14:solidFill>
                    </w14:textFill>
                  </w:rPr>
                </w:pPr>
              </w:p>
            </w:tc>
            <w:tc>
              <w:tcPr>
                <w:tcW w:w="1462" w:type="dxa"/>
                <w:vAlign w:val="center"/>
              </w:tcPr>
              <w:p w14:paraId="129F5B2D">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37,191,806.30</w:t>
                </w:r>
              </w:p>
            </w:tc>
            <w:tc>
              <w:tcPr>
                <w:tcW w:w="1462" w:type="dxa"/>
                <w:vAlign w:val="center"/>
              </w:tcPr>
              <w:p w14:paraId="05A75544">
                <w:pPr>
                  <w:widowControl/>
                  <w:jc w:val="right"/>
                  <w:textAlignment w:val="center"/>
                  <w:rPr>
                    <w:rFonts w:cs="Times New Roman"/>
                    <w:color w:val="000000" w:themeColor="text1"/>
                    <w14:textFill>
                      <w14:solidFill>
                        <w14:schemeClr w14:val="tx1"/>
                      </w14:solidFill>
                    </w14:textFill>
                  </w:rPr>
                </w:pPr>
                <w:r>
                  <w:rPr>
                    <w:rFonts w:eastAsia="Arial Narrow" w:cs="Times New Roman"/>
                    <w:color w:val="000000"/>
                    <w:lang w:bidi="ar"/>
                  </w:rPr>
                  <w:t>25,452,924.88</w:t>
                </w:r>
              </w:p>
            </w:tc>
            <w:tc>
              <w:tcPr>
                <w:tcW w:w="1591" w:type="dxa"/>
                <w:vAlign w:val="center"/>
              </w:tcPr>
              <w:p w14:paraId="03501613">
                <w:pPr>
                  <w:widowControl w:val="0"/>
                  <w:jc w:val="center"/>
                  <w:rPr>
                    <w:rFonts w:cs="Times New Roman"/>
                    <w:color w:val="000000" w:themeColor="text1"/>
                    <w14:textFill>
                      <w14:solidFill>
                        <w14:schemeClr w14:val="tx1"/>
                      </w14:solidFill>
                    </w14:textFill>
                  </w:rPr>
                </w:pPr>
              </w:p>
            </w:tc>
          </w:tr>
        </w:tbl>
        <w:p w14:paraId="44E185F5">
          <w:pPr>
            <w:rPr>
              <w:color w:val="000000" w:themeColor="text1"/>
              <w14:textFill>
                <w14:solidFill>
                  <w14:schemeClr w14:val="tx1"/>
                </w14:solidFill>
              </w14:textFill>
            </w:rPr>
          </w:pPr>
        </w:p>
      </w:sdtContent>
    </w:sdt>
    <w:p w14:paraId="786B49F0">
      <w:pPr>
        <w:rPr>
          <w:color w:val="000000" w:themeColor="text1"/>
          <w14:textFill>
            <w14:solidFill>
              <w14:schemeClr w14:val="tx1"/>
            </w14:solidFill>
          </w14:textFill>
        </w:rPr>
      </w:pPr>
    </w:p>
    <w:bookmarkEnd w:id="404"/>
    <w:bookmarkEnd w:id="406"/>
    <w:p w14:paraId="111050EA">
      <w:pPr>
        <w:pStyle w:val="56"/>
        <w:numPr>
          <w:ilvl w:val="0"/>
          <w:numId w:val="43"/>
        </w:numPr>
        <w:ind w:left="420" w:hanging="420"/>
        <w:rPr>
          <w:rFonts w:ascii="宋体" w:hAnsi="宋体"/>
          <w:color w:val="000000" w:themeColor="text1"/>
          <w14:textFill>
            <w14:solidFill>
              <w14:schemeClr w14:val="tx1"/>
            </w14:solidFill>
          </w14:textFill>
        </w:rPr>
      </w:pPr>
      <w:bookmarkStart w:id="407" w:name="_Hlk167976349"/>
      <w:r>
        <w:rPr>
          <w:rFonts w:hint="eastAsia" w:ascii="宋体" w:hAnsi="宋体"/>
          <w:color w:val="000000" w:themeColor="text1"/>
          <w14:textFill>
            <w14:solidFill>
              <w14:schemeClr w14:val="tx1"/>
            </w14:solidFill>
          </w14:textFill>
        </w:rPr>
        <w:t>与金融工具相关的风险</w:t>
      </w:r>
    </w:p>
    <w:p w14:paraId="065E19F7">
      <w:pPr>
        <w:pStyle w:val="57"/>
        <w:numPr>
          <w:ilvl w:val="0"/>
          <w:numId w:val="100"/>
        </w:numPr>
        <w:rPr>
          <w:color w:val="000000" w:themeColor="text1"/>
          <w14:textFill>
            <w14:solidFill>
              <w14:schemeClr w14:val="tx1"/>
            </w14:solidFill>
          </w14:textFill>
        </w:rPr>
      </w:pPr>
      <w:r>
        <w:rPr>
          <w:rFonts w:hint="eastAsia"/>
          <w:color w:val="000000" w:themeColor="text1"/>
          <w14:textFill>
            <w14:solidFill>
              <w14:schemeClr w14:val="tx1"/>
            </w14:solidFill>
          </w14:textFill>
        </w:rPr>
        <w:t>金融工具的风险</w:t>
      </w:r>
    </w:p>
    <w:sdt>
      <w:sdtPr>
        <w:rPr>
          <w:color w:val="000000" w:themeColor="text1"/>
          <w14:textFill>
            <w14:solidFill>
              <w14:schemeClr w14:val="tx1"/>
            </w14:solidFill>
          </w14:textFill>
        </w:rPr>
        <w:alias w:val="是否适用：与金融工具相关的风险[双击切换]"/>
        <w:tag w:val="_GBC_e1cf17d3b39745d798050adfebdd2723"/>
        <w:id w:val="147482783"/>
        <w:placeholder>
          <w:docPart w:val="GBC22222222222222222222222222222"/>
        </w:placeholder>
      </w:sdtPr>
      <w:sdtEndPr>
        <w:rPr>
          <w:color w:val="000000" w:themeColor="text1"/>
          <w14:textFill>
            <w14:solidFill>
              <w14:schemeClr w14:val="tx1"/>
            </w14:solidFill>
          </w14:textFill>
        </w:rPr>
      </w:sdtEndPr>
      <w:sdtContent>
        <w:p w14:paraId="18F49E45">
          <w:pPr>
            <w:rPr>
              <w:b/>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6A28373">
      <w:pPr>
        <w:rPr>
          <w:color w:val="000000" w:themeColor="text1"/>
          <w14:textFill>
            <w14:solidFill>
              <w14:schemeClr w14:val="tx1"/>
            </w14:solidFill>
          </w14:textFill>
        </w:rPr>
      </w:pPr>
    </w:p>
    <w:p w14:paraId="42D97C99">
      <w:pPr>
        <w:pStyle w:val="57"/>
        <w:numPr>
          <w:ilvl w:val="0"/>
          <w:numId w:val="100"/>
        </w:numPr>
        <w:rPr>
          <w:color w:val="000000" w:themeColor="text1"/>
          <w14:textFill>
            <w14:solidFill>
              <w14:schemeClr w14:val="tx1"/>
            </w14:solidFill>
          </w14:textFill>
        </w:rPr>
      </w:pPr>
      <w:r>
        <w:rPr>
          <w:rFonts w:hint="eastAsia"/>
          <w:color w:val="000000" w:themeColor="text1"/>
          <w14:textFill>
            <w14:solidFill>
              <w14:schemeClr w14:val="tx1"/>
            </w14:solidFill>
          </w14:textFill>
        </w:rPr>
        <w:t>套期</w:t>
      </w:r>
    </w:p>
    <w:p w14:paraId="2E4D8BD0">
      <w:pPr>
        <w:pStyle w:val="58"/>
        <w:numPr>
          <w:ilvl w:val="0"/>
          <w:numId w:val="101"/>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公司开展套期业务进行风险管理</w:t>
      </w:r>
    </w:p>
    <w:sdt>
      <w:sdtPr>
        <w:rPr>
          <w:color w:val="000000" w:themeColor="text1"/>
          <w14:textFill>
            <w14:solidFill>
              <w14:schemeClr w14:val="tx1"/>
            </w14:solidFill>
          </w14:textFill>
        </w:rPr>
        <w:alias w:val="是否适用：公司开展套期业务进行风险管理情况[双击切换]"/>
        <w:tag w:val="_GBC_2f499c37491c40ebb25e43ccee2adbf5"/>
        <w:id w:val="147478898"/>
        <w:placeholder>
          <w:docPart w:val="GBC22222222222222222222222222222"/>
        </w:placeholder>
      </w:sdtPr>
      <w:sdtEndPr>
        <w:rPr>
          <w:color w:val="000000" w:themeColor="text1"/>
          <w14:textFill>
            <w14:solidFill>
              <w14:schemeClr w14:val="tx1"/>
            </w14:solidFill>
          </w14:textFill>
        </w:rPr>
      </w:sdtEndPr>
      <w:sdtContent>
        <w:p w14:paraId="4236D5B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5834716">
      <w:pPr>
        <w:rPr>
          <w:color w:val="000000" w:themeColor="text1"/>
          <w14:textFill>
            <w14:solidFill>
              <w14:schemeClr w14:val="tx1"/>
            </w14:solidFill>
          </w14:textFill>
        </w:rPr>
      </w:pPr>
    </w:p>
    <w:p w14:paraId="1C71397B">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开展套期业务进行风险管理的其他说明[双击切换]"/>
        <w:tag w:val="_GBC_75de8ffa05014fb7849cdf4959d00e5b"/>
        <w:id w:val="147482744"/>
        <w:placeholder>
          <w:docPart w:val="GBC22222222222222222222222222222"/>
        </w:placeholder>
      </w:sdtPr>
      <w:sdtEndPr>
        <w:rPr>
          <w:color w:val="000000" w:themeColor="text1"/>
          <w14:textFill>
            <w14:solidFill>
              <w14:schemeClr w14:val="tx1"/>
            </w14:solidFill>
          </w14:textFill>
        </w:rPr>
      </w:sdtEndPr>
      <w:sdtContent>
        <w:p w14:paraId="19EF32F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08C9223">
      <w:pPr>
        <w:rPr>
          <w:color w:val="000000" w:themeColor="text1"/>
          <w14:textFill>
            <w14:solidFill>
              <w14:schemeClr w14:val="tx1"/>
            </w14:solidFill>
          </w14:textFill>
        </w:rPr>
      </w:pPr>
    </w:p>
    <w:p w14:paraId="4EA614EF">
      <w:pPr>
        <w:pStyle w:val="58"/>
        <w:numPr>
          <w:ilvl w:val="0"/>
          <w:numId w:val="101"/>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公司开展符合条件套期业务并应用套期会计</w:t>
      </w:r>
    </w:p>
    <w:sdt>
      <w:sdtPr>
        <w:rPr>
          <w:color w:val="000000" w:themeColor="text1"/>
          <w14:textFill>
            <w14:solidFill>
              <w14:schemeClr w14:val="tx1"/>
            </w14:solidFill>
          </w14:textFill>
        </w:rPr>
        <w:alias w:val="是否适用：公司开展符合条件套期业务并应用套期会计情况[双击切换]"/>
        <w:tag w:val="_GBC_6e6b563ac07d4214b853bf73488c53f8"/>
        <w:id w:val="147461463"/>
        <w:placeholder>
          <w:docPart w:val="GBC22222222222222222222222222222"/>
        </w:placeholder>
      </w:sdtPr>
      <w:sdtEndPr>
        <w:rPr>
          <w:color w:val="000000" w:themeColor="text1"/>
          <w14:textFill>
            <w14:solidFill>
              <w14:schemeClr w14:val="tx1"/>
            </w14:solidFill>
          </w14:textFill>
        </w:rPr>
      </w:sdtEndPr>
      <w:sdtContent>
        <w:p w14:paraId="3430E77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3BEEAE">
      <w:pPr>
        <w:rPr>
          <w:color w:val="000000" w:themeColor="text1"/>
          <w14:textFill>
            <w14:solidFill>
              <w14:schemeClr w14:val="tx1"/>
            </w14:solidFill>
          </w14:textFill>
        </w:rPr>
      </w:pPr>
    </w:p>
    <w:p w14:paraId="33EB0B1B">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开展符合条件套期业务并应用套期会计情况的其他说明[双击切换]"/>
        <w:tag w:val="_GBC_27a95a99453a402ca0b1fc92fc64b202"/>
        <w:id w:val="147482035"/>
        <w:placeholder>
          <w:docPart w:val="GBC22222222222222222222222222222"/>
        </w:placeholder>
      </w:sdtPr>
      <w:sdtEndPr>
        <w:rPr>
          <w:color w:val="000000" w:themeColor="text1"/>
          <w14:textFill>
            <w14:solidFill>
              <w14:schemeClr w14:val="tx1"/>
            </w14:solidFill>
          </w14:textFill>
        </w:rPr>
      </w:sdtEndPr>
      <w:sdtContent>
        <w:p w14:paraId="4DEFF82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C1B857B">
      <w:pPr>
        <w:rPr>
          <w:color w:val="000000" w:themeColor="text1"/>
          <w14:textFill>
            <w14:solidFill>
              <w14:schemeClr w14:val="tx1"/>
            </w14:solidFill>
          </w14:textFill>
        </w:rPr>
      </w:pPr>
    </w:p>
    <w:p w14:paraId="1F110AE6">
      <w:pPr>
        <w:pStyle w:val="58"/>
        <w:numPr>
          <w:ilvl w:val="0"/>
          <w:numId w:val="101"/>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公司开展套期业务进行风险管理、预期能实现风险管理目标但未应用套期会计</w:t>
      </w:r>
    </w:p>
    <w:sdt>
      <w:sdtPr>
        <w:rPr>
          <w:color w:val="000000" w:themeColor="text1"/>
          <w14:textFill>
            <w14:solidFill>
              <w14:schemeClr w14:val="tx1"/>
            </w14:solidFill>
          </w14:textFill>
        </w:rPr>
        <w:alias w:val="是否适用：公司开展套期业务进行风险管理、预期能实现风险管理目标但未应用套期会计[双击切换]"/>
        <w:tag w:val="_GBC_8ff64f4b33cf4c818fade70a82ac65ca"/>
        <w:id w:val="147456330"/>
        <w:placeholder>
          <w:docPart w:val="GBC22222222222222222222222222222"/>
        </w:placeholder>
      </w:sdtPr>
      <w:sdtEndPr>
        <w:rPr>
          <w:color w:val="000000" w:themeColor="text1"/>
          <w14:textFill>
            <w14:solidFill>
              <w14:schemeClr w14:val="tx1"/>
            </w14:solidFill>
          </w14:textFill>
        </w:rPr>
      </w:sdtEndPr>
      <w:sdtContent>
        <w:p w14:paraId="228B2EA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AB4F1CD">
      <w:pPr>
        <w:rPr>
          <w:color w:val="000000" w:themeColor="text1"/>
          <w14:textFill>
            <w14:solidFill>
              <w14:schemeClr w14:val="tx1"/>
            </w14:solidFill>
          </w14:textFill>
        </w:rPr>
      </w:pPr>
    </w:p>
    <w:p w14:paraId="52CA943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开展套期业务进行风险管理、预期能实现风险管理目标但未应用套期会计的其他说明[双击切换]"/>
        <w:tag w:val="_GBC_a996d12612974969937163f50fa093b8"/>
        <w:id w:val="147461077"/>
        <w:placeholder>
          <w:docPart w:val="GBC22222222222222222222222222222"/>
        </w:placeholder>
      </w:sdtPr>
      <w:sdtEndPr>
        <w:rPr>
          <w:color w:val="000000" w:themeColor="text1"/>
          <w14:textFill>
            <w14:solidFill>
              <w14:schemeClr w14:val="tx1"/>
            </w14:solidFill>
          </w14:textFill>
        </w:rPr>
      </w:sdtEndPr>
      <w:sdtContent>
        <w:p w14:paraId="49CBD65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AA47CF">
      <w:pPr>
        <w:rPr>
          <w:color w:val="000000" w:themeColor="text1"/>
          <w14:textFill>
            <w14:solidFill>
              <w14:schemeClr w14:val="tx1"/>
            </w14:solidFill>
          </w14:textFill>
        </w:rPr>
      </w:pPr>
    </w:p>
    <w:p w14:paraId="490B4E9A">
      <w:pPr>
        <w:pStyle w:val="57"/>
        <w:numPr>
          <w:ilvl w:val="0"/>
          <w:numId w:val="100"/>
        </w:numPr>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金融资产转移</w:t>
      </w:r>
    </w:p>
    <w:p w14:paraId="6C93CD8F">
      <w:pPr>
        <w:pStyle w:val="58"/>
        <w:numPr>
          <w:ilvl w:val="0"/>
          <w:numId w:val="102"/>
        </w:numPr>
        <w:ind w:left="425" w:hanging="425"/>
        <w:rPr>
          <w:color w:val="000000" w:themeColor="text1"/>
          <w14:textFill>
            <w14:solidFill>
              <w14:schemeClr w14:val="tx1"/>
            </w14:solidFill>
          </w14:textFill>
        </w:rPr>
      </w:pPr>
      <w:bookmarkStart w:id="408" w:name="_Hlk153550670"/>
      <w:r>
        <w:rPr>
          <w:rFonts w:hint="eastAsia"/>
          <w:color w:val="000000" w:themeColor="text1"/>
          <w14:textFill>
            <w14:solidFill>
              <w14:schemeClr w14:val="tx1"/>
            </w14:solidFill>
          </w14:textFill>
        </w:rPr>
        <w:t>转移方式分类</w:t>
      </w:r>
    </w:p>
    <w:sdt>
      <w:sdtPr>
        <w:rPr>
          <w:color w:val="000000" w:themeColor="text1"/>
          <w14:textFill>
            <w14:solidFill>
              <w14:schemeClr w14:val="tx1"/>
            </w14:solidFill>
          </w14:textFill>
        </w:rPr>
        <w:alias w:val="是否适用：转移方式分类[双击切换]"/>
        <w:tag w:val="_GBC_3e1020fb455f4853972cca8d6b0a6b3e"/>
        <w:id w:val="147454313"/>
        <w:placeholder>
          <w:docPart w:val="GBC22222222222222222222222222222"/>
        </w:placeholder>
      </w:sdtPr>
      <w:sdtEndPr>
        <w:rPr>
          <w:color w:val="000000" w:themeColor="text1"/>
          <w14:textFill>
            <w14:solidFill>
              <w14:schemeClr w14:val="tx1"/>
            </w14:solidFill>
          </w14:textFill>
        </w:rPr>
      </w:sdtEndPr>
      <w:sdtContent>
        <w:p w14:paraId="1375850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907207C">
      <w:pPr>
        <w:rPr>
          <w:color w:val="000000" w:themeColor="text1"/>
          <w14:textFill>
            <w14:solidFill>
              <w14:schemeClr w14:val="tx1"/>
            </w14:solidFill>
          </w14:textFill>
        </w:rPr>
      </w:pPr>
    </w:p>
    <w:bookmarkEnd w:id="408"/>
    <w:p w14:paraId="35D6CD61">
      <w:pPr>
        <w:pStyle w:val="58"/>
        <w:numPr>
          <w:ilvl w:val="0"/>
          <w:numId w:val="102"/>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因转移而终止确认的金融资产</w:t>
      </w:r>
    </w:p>
    <w:sdt>
      <w:sdtPr>
        <w:rPr>
          <w:rFonts w:hint="eastAsia"/>
          <w:color w:val="000000" w:themeColor="text1"/>
          <w14:textFill>
            <w14:solidFill>
              <w14:schemeClr w14:val="tx1"/>
            </w14:solidFill>
          </w14:textFill>
        </w:rPr>
        <w:alias w:val="是否适用：因转移而终止确认的金融资产[双击切换]"/>
        <w:tag w:val="_GBC_46574eb995bc458dacbb66d429fbeb28"/>
        <w:id w:val="147469573"/>
        <w:placeholder>
          <w:docPart w:val="GBC22222222222222222222222222222"/>
        </w:placeholder>
      </w:sdtPr>
      <w:sdtEndPr>
        <w:rPr>
          <w:rFonts w:hint="eastAsia"/>
          <w:color w:val="000000" w:themeColor="text1"/>
          <w14:textFill>
            <w14:solidFill>
              <w14:schemeClr w14:val="tx1"/>
            </w14:solidFill>
          </w14:textFill>
        </w:rPr>
      </w:sdtEndPr>
      <w:sdtContent>
        <w:p w14:paraId="3DF3200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6A0370">
      <w:pPr>
        <w:rPr>
          <w:color w:val="000000" w:themeColor="text1"/>
          <w14:textFill>
            <w14:solidFill>
              <w14:schemeClr w14:val="tx1"/>
            </w14:solidFill>
          </w14:textFill>
        </w:rPr>
      </w:pPr>
    </w:p>
    <w:p w14:paraId="020B65B1">
      <w:pPr>
        <w:pStyle w:val="58"/>
        <w:numPr>
          <w:ilvl w:val="0"/>
          <w:numId w:val="102"/>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继续涉入的转移金融资产</w:t>
      </w:r>
    </w:p>
    <w:sdt>
      <w:sdtPr>
        <w:rPr>
          <w:color w:val="000000" w:themeColor="text1"/>
          <w14:textFill>
            <w14:solidFill>
              <w14:schemeClr w14:val="tx1"/>
            </w14:solidFill>
          </w14:textFill>
        </w:rPr>
        <w:alias w:val="是否适用：继续涉入的转移金融资产[双击切换]"/>
        <w:tag w:val="_GBC_839df5011587479d8e96a4229c69e37a"/>
        <w:id w:val="147459235"/>
        <w:placeholder>
          <w:docPart w:val="GBC22222222222222222222222222222"/>
        </w:placeholder>
      </w:sdtPr>
      <w:sdtEndPr>
        <w:rPr>
          <w:color w:val="000000" w:themeColor="text1"/>
          <w14:textFill>
            <w14:solidFill>
              <w14:schemeClr w14:val="tx1"/>
            </w14:solidFill>
          </w14:textFill>
        </w:rPr>
      </w:sdtEndPr>
      <w:sdtContent>
        <w:p w14:paraId="136BDF8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D77951">
      <w:pPr>
        <w:rPr>
          <w:color w:val="000000" w:themeColor="text1"/>
          <w14:textFill>
            <w14:solidFill>
              <w14:schemeClr w14:val="tx1"/>
            </w14:solidFill>
          </w14:textFill>
        </w:rPr>
      </w:pPr>
    </w:p>
    <w:p w14:paraId="2EB0903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金融资产转移其他说明[双击切换]"/>
        <w:tag w:val="_GBC_d5c96ff7d4c3440e81b67f6ecd7164b1"/>
        <w:id w:val="147462781"/>
        <w:placeholder>
          <w:docPart w:val="GBC22222222222222222222222222222"/>
        </w:placeholder>
      </w:sdtPr>
      <w:sdtEndPr>
        <w:rPr>
          <w:color w:val="000000" w:themeColor="text1"/>
          <w14:textFill>
            <w14:solidFill>
              <w14:schemeClr w14:val="tx1"/>
            </w14:solidFill>
          </w14:textFill>
        </w:rPr>
      </w:sdtEndPr>
      <w:sdtContent>
        <w:p w14:paraId="0FD7963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D94887D">
      <w:pPr>
        <w:rPr>
          <w:color w:val="000000" w:themeColor="text1"/>
          <w14:textFill>
            <w14:solidFill>
              <w14:schemeClr w14:val="tx1"/>
            </w14:solidFill>
          </w14:textFill>
        </w:rPr>
      </w:pPr>
    </w:p>
    <w:bookmarkEnd w:id="407"/>
    <w:p w14:paraId="49DD7897">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公允价值的披露</w:t>
      </w:r>
    </w:p>
    <w:p w14:paraId="1ECB6C41">
      <w:pPr>
        <w:pStyle w:val="57"/>
        <w:numPr>
          <w:ilvl w:val="0"/>
          <w:numId w:val="103"/>
        </w:numPr>
        <w:rPr>
          <w:rFonts w:ascii="宋体" w:hAnsi="宋体"/>
          <w:color w:val="000000" w:themeColor="text1"/>
          <w14:textFill>
            <w14:solidFill>
              <w14:schemeClr w14:val="tx1"/>
            </w14:solidFill>
          </w14:textFill>
        </w:rPr>
      </w:pPr>
      <w:bookmarkStart w:id="409" w:name="_Hlk10539195"/>
      <w:r>
        <w:rPr>
          <w:rFonts w:hint="eastAsia" w:ascii="宋体" w:hAnsi="宋体"/>
          <w:color w:val="000000" w:themeColor="text1"/>
          <w14:textFill>
            <w14:solidFill>
              <w14:schemeClr w14:val="tx1"/>
            </w14:solidFill>
          </w14:textFill>
        </w:rPr>
        <w:t>以公允价值计量的资产和负债的期末公允价值</w:t>
      </w:r>
    </w:p>
    <w:sdt>
      <w:sdtPr>
        <w:rPr>
          <w:color w:val="000000" w:themeColor="text1"/>
          <w14:textFill>
            <w14:solidFill>
              <w14:schemeClr w14:val="tx1"/>
            </w14:solidFill>
          </w14:textFill>
        </w:rPr>
        <w:alias w:val="是否适用：以公允价值计量的资产和负债的期末公允价值[双击切换]"/>
        <w:tag w:val="_GBC_291486261b6a4e8092eea55d961b7664"/>
        <w:id w:val="147462269"/>
        <w:placeholder>
          <w:docPart w:val="GBC22222222222222222222222222222"/>
        </w:placeholder>
      </w:sdtPr>
      <w:sdtEndPr>
        <w:rPr>
          <w:color w:val="000000" w:themeColor="text1"/>
          <w14:textFill>
            <w14:solidFill>
              <w14:schemeClr w14:val="tx1"/>
            </w14:solidFill>
          </w14:textFill>
        </w:rPr>
      </w:sdtEndPr>
      <w:sdtContent>
        <w:p w14:paraId="0762A00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B2DB67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以公允价值计量的资产和负债的期末公允价值"/>
          <w:tag w:val="_GBC_4b785696cde44d3f8a4a7d28ab963e38"/>
          <w:id w:val="1474707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以公允价值计量的资产和负债的期末公允价值"/>
          <w:tag w:val="_GBC_3bb5670d72804a4b8298edc3e439955a"/>
          <w:id w:val="1474742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409"/>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80"/>
        <w:gridCol w:w="1678"/>
        <w:gridCol w:w="1637"/>
        <w:gridCol w:w="1705"/>
        <w:gridCol w:w="1489"/>
      </w:tblGrid>
      <w:tr w14:paraId="2CFC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 w:hRule="atLeast"/>
        </w:trPr>
        <w:sdt>
          <w:sdtPr>
            <w:rPr>
              <w:rFonts w:cs="Times New Roman"/>
            </w:rPr>
            <w:tag w:val="_PLD_25e2bb7801744f08a089c0e6a2b31b9b"/>
            <w:id w:val="147475657"/>
          </w:sdtPr>
          <w:sdtEndPr>
            <w:rPr>
              <w:rFonts w:cs="Times New Roman"/>
            </w:rPr>
          </w:sdtEndPr>
          <w:sdtContent>
            <w:tc>
              <w:tcPr>
                <w:tcW w:w="1339" w:type="pct"/>
                <w:vMerge w:val="restart"/>
                <w:tcBorders>
                  <w:top w:val="single" w:color="auto" w:sz="4" w:space="0"/>
                  <w:left w:val="single" w:color="auto" w:sz="4" w:space="0"/>
                  <w:right w:val="single" w:color="auto" w:sz="4" w:space="0"/>
                </w:tcBorders>
                <w:vAlign w:val="center"/>
              </w:tcPr>
              <w:p w14:paraId="723D06EF">
                <w:pPr>
                  <w:jc w:val="cente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ad919f08ba5040a28e31328eb66da0bf"/>
            <w:id w:val="147456850"/>
          </w:sdtPr>
          <w:sdtEndPr>
            <w:rPr>
              <w:rFonts w:cs="Times New Roman"/>
            </w:rPr>
          </w:sdtEndPr>
          <w:sdtContent>
            <w:tc>
              <w:tcPr>
                <w:tcW w:w="3661" w:type="pct"/>
                <w:gridSpan w:val="4"/>
                <w:tcBorders>
                  <w:top w:val="single" w:color="auto" w:sz="4" w:space="0"/>
                  <w:left w:val="single" w:color="auto" w:sz="4" w:space="0"/>
                  <w:bottom w:val="single" w:color="auto" w:sz="4" w:space="0"/>
                  <w:right w:val="single" w:color="auto" w:sz="4" w:space="0"/>
                </w:tcBorders>
                <w:vAlign w:val="center"/>
              </w:tcPr>
              <w:p w14:paraId="31A4BC03">
                <w:pPr>
                  <w:jc w:val="cente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期末公允价值</w:t>
                </w:r>
              </w:p>
            </w:tc>
          </w:sdtContent>
        </w:sdt>
      </w:tr>
      <w:tr w14:paraId="2216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 w:hRule="atLeast"/>
        </w:trPr>
        <w:tc>
          <w:tcPr>
            <w:tcW w:w="1339" w:type="pct"/>
            <w:vMerge w:val="continue"/>
            <w:tcBorders>
              <w:left w:val="single" w:color="auto" w:sz="4" w:space="0"/>
              <w:bottom w:val="single" w:color="auto" w:sz="4" w:space="0"/>
              <w:right w:val="single" w:color="auto" w:sz="4" w:space="0"/>
            </w:tcBorders>
            <w:vAlign w:val="center"/>
          </w:tcPr>
          <w:p w14:paraId="28ABC415">
            <w:pPr>
              <w:jc w:val="center"/>
              <w:outlineLvl w:val="2"/>
              <w:rPr>
                <w:rFonts w:cs="Times New Roman"/>
                <w:color w:val="000000" w:themeColor="text1"/>
                <w14:textFill>
                  <w14:solidFill>
                    <w14:schemeClr w14:val="tx1"/>
                  </w14:solidFill>
                </w14:textFill>
              </w:rPr>
            </w:pPr>
          </w:p>
        </w:tc>
        <w:sdt>
          <w:sdtPr>
            <w:rPr>
              <w:rFonts w:cs="Times New Roman"/>
            </w:rPr>
            <w:tag w:val="_PLD_4bb34c3d92bf450fb80f7c0c95977a2b"/>
            <w:id w:val="147474111"/>
          </w:sdtPr>
          <w:sdtEndPr>
            <w:rPr>
              <w:rFonts w:cs="Times New Roman"/>
            </w:rPr>
          </w:sdtEndPr>
          <w:sdtContent>
            <w:tc>
              <w:tcPr>
                <w:tcW w:w="944" w:type="pct"/>
                <w:tcBorders>
                  <w:top w:val="single" w:color="auto" w:sz="4" w:space="0"/>
                  <w:left w:val="single" w:color="auto" w:sz="4" w:space="0"/>
                  <w:bottom w:val="single" w:color="auto" w:sz="4" w:space="0"/>
                  <w:right w:val="single" w:color="auto" w:sz="4" w:space="0"/>
                </w:tcBorders>
                <w:vAlign w:val="center"/>
              </w:tcPr>
              <w:p w14:paraId="652B3F7E">
                <w:pPr>
                  <w:jc w:val="cente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第一层次公允价值计量</w:t>
                </w:r>
              </w:p>
            </w:tc>
          </w:sdtContent>
        </w:sdt>
        <w:sdt>
          <w:sdtPr>
            <w:rPr>
              <w:rFonts w:cs="Times New Roman"/>
            </w:rPr>
            <w:tag w:val="_PLD_08753059c9e04a10af2918fbc1559bed"/>
            <w:id w:val="147483121"/>
          </w:sdtPr>
          <w:sdtEndPr>
            <w:rPr>
              <w:rFonts w:cs="Times New Roman"/>
            </w:rPr>
          </w:sdtEndPr>
          <w:sdtContent>
            <w:tc>
              <w:tcPr>
                <w:tcW w:w="921" w:type="pct"/>
                <w:tcBorders>
                  <w:top w:val="single" w:color="auto" w:sz="4" w:space="0"/>
                  <w:left w:val="single" w:color="auto" w:sz="4" w:space="0"/>
                  <w:bottom w:val="single" w:color="auto" w:sz="4" w:space="0"/>
                  <w:right w:val="single" w:color="auto" w:sz="4" w:space="0"/>
                </w:tcBorders>
                <w:vAlign w:val="center"/>
              </w:tcPr>
              <w:p w14:paraId="073607F5">
                <w:pPr>
                  <w:jc w:val="cente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第二层次公允价值计量</w:t>
                </w:r>
              </w:p>
            </w:tc>
          </w:sdtContent>
        </w:sdt>
        <w:sdt>
          <w:sdtPr>
            <w:rPr>
              <w:rFonts w:cs="Times New Roman"/>
            </w:rPr>
            <w:tag w:val="_PLD_b263de838c9c4afa9fddb6dee6409a62"/>
            <w:id w:val="147460158"/>
          </w:sdtPr>
          <w:sdtEndPr>
            <w:rPr>
              <w:rFonts w:cs="Times New Roman"/>
            </w:rPr>
          </w:sdtEndPr>
          <w:sdtContent>
            <w:tc>
              <w:tcPr>
                <w:tcW w:w="959" w:type="pct"/>
                <w:tcBorders>
                  <w:top w:val="single" w:color="auto" w:sz="4" w:space="0"/>
                  <w:left w:val="single" w:color="auto" w:sz="4" w:space="0"/>
                  <w:bottom w:val="single" w:color="auto" w:sz="4" w:space="0"/>
                  <w:right w:val="single" w:color="auto" w:sz="4" w:space="0"/>
                </w:tcBorders>
                <w:vAlign w:val="center"/>
              </w:tcPr>
              <w:p w14:paraId="48892FD6">
                <w:pPr>
                  <w:jc w:val="cente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第三层次公允价值计量</w:t>
                </w:r>
              </w:p>
            </w:tc>
          </w:sdtContent>
        </w:sdt>
        <w:sdt>
          <w:sdtPr>
            <w:rPr>
              <w:rFonts w:cs="Times New Roman"/>
            </w:rPr>
            <w:tag w:val="_PLD_50eba344a451417c8072228a7a4959c5"/>
            <w:id w:val="147465408"/>
          </w:sdtPr>
          <w:sdtEndPr>
            <w:rPr>
              <w:rFonts w:cs="Times New Roman"/>
            </w:rPr>
          </w:sdtEndPr>
          <w:sdtContent>
            <w:tc>
              <w:tcPr>
                <w:tcW w:w="838" w:type="pct"/>
                <w:tcBorders>
                  <w:top w:val="single" w:color="auto" w:sz="4" w:space="0"/>
                  <w:left w:val="single" w:color="auto" w:sz="4" w:space="0"/>
                  <w:bottom w:val="single" w:color="auto" w:sz="4" w:space="0"/>
                  <w:right w:val="single" w:color="auto" w:sz="4" w:space="0"/>
                </w:tcBorders>
                <w:vAlign w:val="center"/>
              </w:tcPr>
              <w:p w14:paraId="18488985">
                <w:pPr>
                  <w:jc w:val="cente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r>
      <w:tr w14:paraId="2E53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7" w:hRule="atLeast"/>
        </w:trPr>
        <w:tc>
          <w:tcPr>
            <w:tcW w:w="1339" w:type="pct"/>
            <w:tcBorders>
              <w:top w:val="single" w:color="auto" w:sz="4" w:space="0"/>
              <w:left w:val="single" w:color="auto" w:sz="4" w:space="0"/>
              <w:bottom w:val="single" w:color="auto" w:sz="4" w:space="0"/>
              <w:right w:val="single" w:color="auto" w:sz="4" w:space="0"/>
            </w:tcBorders>
          </w:tcPr>
          <w:p w14:paraId="0EF2F583">
            <w:pPr>
              <w:outlineLvl w:val="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一、持续的公允价值计量</w:t>
            </w:r>
          </w:p>
        </w:tc>
        <w:tc>
          <w:tcPr>
            <w:tcW w:w="944" w:type="pct"/>
            <w:tcBorders>
              <w:top w:val="single" w:color="auto" w:sz="4" w:space="0"/>
              <w:left w:val="single" w:color="auto" w:sz="4" w:space="0"/>
              <w:bottom w:val="single" w:color="auto" w:sz="4" w:space="0"/>
              <w:right w:val="single" w:color="auto" w:sz="4" w:space="0"/>
            </w:tcBorders>
            <w:vAlign w:val="center"/>
          </w:tcPr>
          <w:p w14:paraId="187A4344">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0E7BC78A">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34F9E931">
            <w:pPr>
              <w:jc w:val="right"/>
              <w:rPr>
                <w:rFonts w:cs="Times New Roman"/>
              </w:rPr>
            </w:pPr>
          </w:p>
        </w:tc>
        <w:tc>
          <w:tcPr>
            <w:tcW w:w="838" w:type="pct"/>
            <w:tcBorders>
              <w:top w:val="single" w:color="auto" w:sz="4" w:space="0"/>
              <w:left w:val="single" w:color="auto" w:sz="4" w:space="0"/>
              <w:bottom w:val="single" w:color="auto" w:sz="4" w:space="0"/>
              <w:right w:val="single" w:color="auto" w:sz="4" w:space="0"/>
            </w:tcBorders>
            <w:vAlign w:val="center"/>
          </w:tcPr>
          <w:p w14:paraId="1D682121">
            <w:pPr>
              <w:jc w:val="right"/>
              <w:rPr>
                <w:rFonts w:cs="Times New Roman"/>
              </w:rPr>
            </w:pPr>
          </w:p>
        </w:tc>
      </w:tr>
      <w:tr w14:paraId="65A6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4A0B9514">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（一）交易性金融资产</w:t>
            </w:r>
          </w:p>
        </w:tc>
        <w:tc>
          <w:tcPr>
            <w:tcW w:w="944" w:type="pct"/>
            <w:tcBorders>
              <w:top w:val="single" w:color="auto" w:sz="4" w:space="0"/>
              <w:left w:val="single" w:color="auto" w:sz="4" w:space="0"/>
              <w:bottom w:val="single" w:color="auto" w:sz="4" w:space="0"/>
              <w:right w:val="single" w:color="auto" w:sz="4" w:space="0"/>
            </w:tcBorders>
            <w:vAlign w:val="center"/>
          </w:tcPr>
          <w:p w14:paraId="7209EC65">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257ECC6D">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69CBEB25">
            <w:pPr>
              <w:jc w:val="right"/>
              <w:textAlignment w:val="center"/>
              <w:rPr>
                <w:rFonts w:cs="Times New Roman"/>
              </w:rPr>
            </w:pPr>
            <w:r>
              <w:rPr>
                <w:rFonts w:cs="Times New Roman"/>
                <w:color w:val="000000"/>
              </w:rPr>
              <w:t>630,009.80</w:t>
            </w:r>
          </w:p>
        </w:tc>
        <w:tc>
          <w:tcPr>
            <w:tcW w:w="838" w:type="pct"/>
            <w:tcBorders>
              <w:top w:val="single" w:color="auto" w:sz="4" w:space="0"/>
              <w:left w:val="single" w:color="auto" w:sz="4" w:space="0"/>
              <w:bottom w:val="single" w:color="auto" w:sz="4" w:space="0"/>
              <w:right w:val="single" w:color="auto" w:sz="4" w:space="0"/>
            </w:tcBorders>
            <w:vAlign w:val="center"/>
          </w:tcPr>
          <w:p w14:paraId="306C48F6">
            <w:pPr>
              <w:jc w:val="right"/>
              <w:textAlignment w:val="center"/>
              <w:rPr>
                <w:rFonts w:cs="Times New Roman"/>
              </w:rPr>
            </w:pPr>
            <w:r>
              <w:rPr>
                <w:rFonts w:cs="Times New Roman"/>
                <w:color w:val="000000"/>
              </w:rPr>
              <w:t>630,009.80</w:t>
            </w:r>
          </w:p>
        </w:tc>
      </w:tr>
      <w:tr w14:paraId="5895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55D7C22E">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1.以公允价值计量且变动计入当期损益的金融资产</w:t>
            </w:r>
          </w:p>
        </w:tc>
        <w:tc>
          <w:tcPr>
            <w:tcW w:w="944" w:type="pct"/>
            <w:tcBorders>
              <w:top w:val="single" w:color="auto" w:sz="4" w:space="0"/>
              <w:left w:val="single" w:color="auto" w:sz="4" w:space="0"/>
              <w:bottom w:val="single" w:color="auto" w:sz="4" w:space="0"/>
              <w:right w:val="single" w:color="auto" w:sz="4" w:space="0"/>
            </w:tcBorders>
            <w:vAlign w:val="center"/>
          </w:tcPr>
          <w:p w14:paraId="08E4B4A3">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581372A9">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155DDBD4">
            <w:pPr>
              <w:jc w:val="right"/>
              <w:textAlignment w:val="center"/>
              <w:rPr>
                <w:rFonts w:cs="Times New Roman"/>
              </w:rPr>
            </w:pPr>
            <w:r>
              <w:rPr>
                <w:rFonts w:cs="Times New Roman"/>
                <w:color w:val="000000"/>
              </w:rPr>
              <w:t>630,009.80</w:t>
            </w:r>
          </w:p>
        </w:tc>
        <w:tc>
          <w:tcPr>
            <w:tcW w:w="838" w:type="pct"/>
            <w:tcBorders>
              <w:top w:val="single" w:color="auto" w:sz="4" w:space="0"/>
              <w:left w:val="single" w:color="auto" w:sz="4" w:space="0"/>
              <w:bottom w:val="single" w:color="auto" w:sz="4" w:space="0"/>
              <w:right w:val="single" w:color="auto" w:sz="4" w:space="0"/>
            </w:tcBorders>
            <w:vAlign w:val="center"/>
          </w:tcPr>
          <w:p w14:paraId="5FA3E74B">
            <w:pPr>
              <w:jc w:val="right"/>
              <w:textAlignment w:val="center"/>
              <w:rPr>
                <w:rFonts w:cs="Times New Roman"/>
              </w:rPr>
            </w:pPr>
            <w:r>
              <w:rPr>
                <w:rFonts w:cs="Times New Roman"/>
                <w:color w:val="000000"/>
              </w:rPr>
              <w:t>630,009.80</w:t>
            </w:r>
          </w:p>
        </w:tc>
      </w:tr>
      <w:tr w14:paraId="3C9B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7C8B96AF">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（1）债务工具投资</w:t>
            </w:r>
          </w:p>
        </w:tc>
        <w:tc>
          <w:tcPr>
            <w:tcW w:w="944" w:type="pct"/>
            <w:tcBorders>
              <w:top w:val="single" w:color="auto" w:sz="4" w:space="0"/>
              <w:left w:val="single" w:color="auto" w:sz="4" w:space="0"/>
              <w:bottom w:val="single" w:color="auto" w:sz="4" w:space="0"/>
              <w:right w:val="single" w:color="auto" w:sz="4" w:space="0"/>
            </w:tcBorders>
            <w:vAlign w:val="center"/>
          </w:tcPr>
          <w:p w14:paraId="3707E3E9">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1A2AA5AE">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02F57EFF">
            <w:pPr>
              <w:jc w:val="right"/>
              <w:rPr>
                <w:rFonts w:cs="Times New Roman"/>
              </w:rPr>
            </w:pPr>
          </w:p>
        </w:tc>
        <w:tc>
          <w:tcPr>
            <w:tcW w:w="838" w:type="pct"/>
            <w:tcBorders>
              <w:top w:val="single" w:color="auto" w:sz="4" w:space="0"/>
              <w:left w:val="single" w:color="auto" w:sz="4" w:space="0"/>
              <w:bottom w:val="single" w:color="auto" w:sz="4" w:space="0"/>
              <w:right w:val="single" w:color="auto" w:sz="4" w:space="0"/>
            </w:tcBorders>
            <w:vAlign w:val="center"/>
          </w:tcPr>
          <w:p w14:paraId="373C6131">
            <w:pPr>
              <w:jc w:val="right"/>
              <w:rPr>
                <w:rFonts w:cs="Times New Roman"/>
              </w:rPr>
            </w:pPr>
          </w:p>
        </w:tc>
      </w:tr>
      <w:tr w14:paraId="4B4A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705E0822">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（2）权益工具投资</w:t>
            </w:r>
          </w:p>
        </w:tc>
        <w:tc>
          <w:tcPr>
            <w:tcW w:w="944" w:type="pct"/>
            <w:tcBorders>
              <w:top w:val="single" w:color="auto" w:sz="4" w:space="0"/>
              <w:left w:val="single" w:color="auto" w:sz="4" w:space="0"/>
              <w:bottom w:val="single" w:color="auto" w:sz="4" w:space="0"/>
              <w:right w:val="single" w:color="auto" w:sz="4" w:space="0"/>
            </w:tcBorders>
            <w:vAlign w:val="center"/>
          </w:tcPr>
          <w:p w14:paraId="07BAFEE1">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53D7D20C">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72E84408">
            <w:pPr>
              <w:jc w:val="right"/>
              <w:textAlignment w:val="center"/>
              <w:rPr>
                <w:rFonts w:cs="Times New Roman"/>
              </w:rPr>
            </w:pPr>
            <w:r>
              <w:rPr>
                <w:rFonts w:cs="Times New Roman"/>
                <w:color w:val="000000"/>
              </w:rPr>
              <w:t>630,009.80</w:t>
            </w:r>
          </w:p>
        </w:tc>
        <w:tc>
          <w:tcPr>
            <w:tcW w:w="838" w:type="pct"/>
            <w:tcBorders>
              <w:top w:val="single" w:color="auto" w:sz="4" w:space="0"/>
              <w:left w:val="single" w:color="auto" w:sz="4" w:space="0"/>
              <w:bottom w:val="single" w:color="auto" w:sz="4" w:space="0"/>
              <w:right w:val="single" w:color="auto" w:sz="4" w:space="0"/>
            </w:tcBorders>
            <w:vAlign w:val="center"/>
          </w:tcPr>
          <w:p w14:paraId="20A3AA5D">
            <w:pPr>
              <w:jc w:val="right"/>
              <w:textAlignment w:val="center"/>
              <w:rPr>
                <w:rFonts w:cs="Times New Roman"/>
              </w:rPr>
            </w:pPr>
            <w:r>
              <w:rPr>
                <w:rFonts w:cs="Times New Roman"/>
                <w:color w:val="000000"/>
              </w:rPr>
              <w:t>630,009.80</w:t>
            </w:r>
          </w:p>
        </w:tc>
      </w:tr>
      <w:tr w14:paraId="7277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9" w:hRule="atLeast"/>
        </w:trPr>
        <w:tc>
          <w:tcPr>
            <w:tcW w:w="1339" w:type="pct"/>
            <w:tcBorders>
              <w:top w:val="single" w:color="auto" w:sz="4" w:space="0"/>
              <w:left w:val="single" w:color="auto" w:sz="4" w:space="0"/>
              <w:bottom w:val="single" w:color="auto" w:sz="4" w:space="0"/>
              <w:right w:val="single" w:color="auto" w:sz="4" w:space="0"/>
            </w:tcBorders>
          </w:tcPr>
          <w:p w14:paraId="3A789ED4">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 指定以公允价值计量且其变动计入当期损益的金融资产</w:t>
            </w:r>
          </w:p>
        </w:tc>
        <w:tc>
          <w:tcPr>
            <w:tcW w:w="944" w:type="pct"/>
            <w:tcBorders>
              <w:top w:val="single" w:color="auto" w:sz="4" w:space="0"/>
              <w:left w:val="single" w:color="auto" w:sz="4" w:space="0"/>
              <w:bottom w:val="single" w:color="auto" w:sz="4" w:space="0"/>
              <w:right w:val="single" w:color="auto" w:sz="4" w:space="0"/>
            </w:tcBorders>
            <w:vAlign w:val="center"/>
          </w:tcPr>
          <w:p w14:paraId="51C1E2C7">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198483B9">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758B6872">
            <w:pPr>
              <w:jc w:val="right"/>
              <w:rPr>
                <w:rFonts w:cs="Times New Roman"/>
              </w:rPr>
            </w:pPr>
          </w:p>
        </w:tc>
        <w:tc>
          <w:tcPr>
            <w:tcW w:w="838" w:type="pct"/>
            <w:tcBorders>
              <w:top w:val="single" w:color="auto" w:sz="4" w:space="0"/>
              <w:left w:val="single" w:color="auto" w:sz="4" w:space="0"/>
              <w:bottom w:val="single" w:color="auto" w:sz="4" w:space="0"/>
              <w:right w:val="single" w:color="auto" w:sz="4" w:space="0"/>
            </w:tcBorders>
            <w:vAlign w:val="center"/>
          </w:tcPr>
          <w:p w14:paraId="3D03EADE">
            <w:pPr>
              <w:jc w:val="right"/>
              <w:rPr>
                <w:rFonts w:cs="Times New Roman"/>
              </w:rPr>
            </w:pPr>
          </w:p>
        </w:tc>
      </w:tr>
      <w:tr w14:paraId="0ECA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6C40C2D7">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（二）其他债权投资</w:t>
            </w:r>
          </w:p>
        </w:tc>
        <w:tc>
          <w:tcPr>
            <w:tcW w:w="944" w:type="pct"/>
            <w:tcBorders>
              <w:top w:val="single" w:color="auto" w:sz="4" w:space="0"/>
              <w:left w:val="single" w:color="auto" w:sz="4" w:space="0"/>
              <w:bottom w:val="single" w:color="auto" w:sz="4" w:space="0"/>
              <w:right w:val="single" w:color="auto" w:sz="4" w:space="0"/>
            </w:tcBorders>
            <w:vAlign w:val="center"/>
          </w:tcPr>
          <w:p w14:paraId="52732B76">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2D44A823">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1675BFD2">
            <w:pPr>
              <w:jc w:val="right"/>
              <w:rPr>
                <w:rFonts w:cs="Times New Roman"/>
              </w:rPr>
            </w:pPr>
          </w:p>
        </w:tc>
        <w:tc>
          <w:tcPr>
            <w:tcW w:w="838" w:type="pct"/>
            <w:tcBorders>
              <w:top w:val="single" w:color="auto" w:sz="4" w:space="0"/>
              <w:left w:val="single" w:color="auto" w:sz="4" w:space="0"/>
              <w:bottom w:val="single" w:color="auto" w:sz="4" w:space="0"/>
              <w:right w:val="single" w:color="auto" w:sz="4" w:space="0"/>
            </w:tcBorders>
            <w:vAlign w:val="center"/>
          </w:tcPr>
          <w:p w14:paraId="6150EC10">
            <w:pPr>
              <w:jc w:val="right"/>
              <w:rPr>
                <w:rFonts w:cs="Times New Roman"/>
              </w:rPr>
            </w:pPr>
          </w:p>
        </w:tc>
      </w:tr>
      <w:tr w14:paraId="0932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1D0BDF74">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（三）其他权益工具投资</w:t>
            </w:r>
          </w:p>
        </w:tc>
        <w:tc>
          <w:tcPr>
            <w:tcW w:w="944" w:type="pct"/>
            <w:tcBorders>
              <w:top w:val="single" w:color="auto" w:sz="4" w:space="0"/>
              <w:left w:val="single" w:color="auto" w:sz="4" w:space="0"/>
              <w:bottom w:val="single" w:color="auto" w:sz="4" w:space="0"/>
              <w:right w:val="single" w:color="auto" w:sz="4" w:space="0"/>
            </w:tcBorders>
            <w:vAlign w:val="center"/>
          </w:tcPr>
          <w:p w14:paraId="14194729">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6A9D15E8">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1C6B3E43">
            <w:pPr>
              <w:jc w:val="right"/>
              <w:textAlignment w:val="center"/>
              <w:rPr>
                <w:rFonts w:cs="Times New Roman"/>
              </w:rPr>
            </w:pPr>
            <w:r>
              <w:rPr>
                <w:rFonts w:cs="Times New Roman"/>
                <w:color w:val="000000"/>
              </w:rPr>
              <w:t>519,981,620.71</w:t>
            </w:r>
          </w:p>
        </w:tc>
        <w:tc>
          <w:tcPr>
            <w:tcW w:w="838" w:type="pct"/>
            <w:tcBorders>
              <w:top w:val="single" w:color="auto" w:sz="4" w:space="0"/>
              <w:left w:val="single" w:color="auto" w:sz="4" w:space="0"/>
              <w:bottom w:val="single" w:color="auto" w:sz="4" w:space="0"/>
              <w:right w:val="single" w:color="auto" w:sz="4" w:space="0"/>
            </w:tcBorders>
            <w:vAlign w:val="center"/>
          </w:tcPr>
          <w:p w14:paraId="67D1A919">
            <w:pPr>
              <w:jc w:val="right"/>
              <w:textAlignment w:val="center"/>
              <w:rPr>
                <w:rFonts w:cs="Times New Roman"/>
              </w:rPr>
            </w:pPr>
            <w:r>
              <w:rPr>
                <w:rFonts w:cs="Times New Roman"/>
                <w:color w:val="000000"/>
              </w:rPr>
              <w:t>519,981,620.71</w:t>
            </w:r>
          </w:p>
        </w:tc>
      </w:tr>
      <w:tr w14:paraId="586F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79504621">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（四）投资性房地产</w:t>
            </w:r>
          </w:p>
        </w:tc>
        <w:tc>
          <w:tcPr>
            <w:tcW w:w="944" w:type="pct"/>
            <w:tcBorders>
              <w:top w:val="single" w:color="auto" w:sz="4" w:space="0"/>
              <w:left w:val="single" w:color="auto" w:sz="4" w:space="0"/>
              <w:bottom w:val="single" w:color="auto" w:sz="4" w:space="0"/>
              <w:right w:val="single" w:color="auto" w:sz="4" w:space="0"/>
            </w:tcBorders>
            <w:vAlign w:val="center"/>
          </w:tcPr>
          <w:p w14:paraId="0A9B2099">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01CD7991">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069FDF28">
            <w:pPr>
              <w:jc w:val="right"/>
              <w:rPr>
                <w:rFonts w:cs="Times New Roman"/>
              </w:rPr>
            </w:pPr>
          </w:p>
        </w:tc>
        <w:tc>
          <w:tcPr>
            <w:tcW w:w="838" w:type="pct"/>
            <w:tcBorders>
              <w:top w:val="single" w:color="auto" w:sz="4" w:space="0"/>
              <w:left w:val="single" w:color="auto" w:sz="4" w:space="0"/>
              <w:bottom w:val="single" w:color="auto" w:sz="4" w:space="0"/>
              <w:right w:val="single" w:color="auto" w:sz="4" w:space="0"/>
            </w:tcBorders>
            <w:vAlign w:val="center"/>
          </w:tcPr>
          <w:p w14:paraId="24C74691">
            <w:pPr>
              <w:jc w:val="right"/>
              <w:rPr>
                <w:rFonts w:cs="Times New Roman"/>
              </w:rPr>
            </w:pPr>
          </w:p>
        </w:tc>
      </w:tr>
      <w:tr w14:paraId="058D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14:paraId="205249DF">
            <w:pPr>
              <w:outlineLvl w:val="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（五）生物资产</w:t>
            </w:r>
          </w:p>
        </w:tc>
        <w:tc>
          <w:tcPr>
            <w:tcW w:w="944" w:type="pct"/>
            <w:tcBorders>
              <w:top w:val="single" w:color="auto" w:sz="4" w:space="0"/>
              <w:left w:val="single" w:color="auto" w:sz="4" w:space="0"/>
              <w:bottom w:val="single" w:color="auto" w:sz="4" w:space="0"/>
              <w:right w:val="single" w:color="auto" w:sz="4" w:space="0"/>
            </w:tcBorders>
            <w:vAlign w:val="center"/>
          </w:tcPr>
          <w:p w14:paraId="289CBB2B">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16E2680D">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71E74E2A">
            <w:pPr>
              <w:jc w:val="right"/>
              <w:rPr>
                <w:rFonts w:cs="Times New Roman"/>
              </w:rPr>
            </w:pPr>
          </w:p>
        </w:tc>
        <w:tc>
          <w:tcPr>
            <w:tcW w:w="838" w:type="pct"/>
            <w:tcBorders>
              <w:top w:val="single" w:color="auto" w:sz="4" w:space="0"/>
              <w:left w:val="single" w:color="auto" w:sz="4" w:space="0"/>
              <w:bottom w:val="single" w:color="auto" w:sz="4" w:space="0"/>
              <w:right w:val="single" w:color="auto" w:sz="4" w:space="0"/>
            </w:tcBorders>
            <w:vAlign w:val="center"/>
          </w:tcPr>
          <w:p w14:paraId="338004A2">
            <w:pPr>
              <w:jc w:val="right"/>
              <w:rPr>
                <w:rFonts w:cs="Times New Roman"/>
              </w:rPr>
            </w:pPr>
          </w:p>
        </w:tc>
      </w:tr>
      <w:tr w14:paraId="185F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5" w:hRule="atLeast"/>
        </w:trPr>
        <w:tc>
          <w:tcPr>
            <w:tcW w:w="1339" w:type="pct"/>
            <w:tcBorders>
              <w:top w:val="single" w:color="auto" w:sz="4" w:space="0"/>
              <w:left w:val="single" w:color="auto" w:sz="4" w:space="0"/>
              <w:bottom w:val="single" w:color="auto" w:sz="4" w:space="0"/>
              <w:right w:val="single" w:color="auto" w:sz="4" w:space="0"/>
            </w:tcBorders>
          </w:tcPr>
          <w:p w14:paraId="71B21A6C">
            <w:pPr>
              <w:outlineLvl w:val="2"/>
              <w:rPr>
                <w:rFonts w:cs="Times New Roman"/>
              </w:rPr>
            </w:pPr>
            <w:r>
              <w:rPr>
                <w:rFonts w:cs="Times New Roman"/>
              </w:rPr>
              <w:t>（六）应收款项融资</w:t>
            </w:r>
          </w:p>
        </w:tc>
        <w:tc>
          <w:tcPr>
            <w:tcW w:w="944" w:type="pct"/>
            <w:tcBorders>
              <w:top w:val="single" w:color="auto" w:sz="4" w:space="0"/>
              <w:left w:val="single" w:color="auto" w:sz="4" w:space="0"/>
              <w:bottom w:val="single" w:color="auto" w:sz="4" w:space="0"/>
              <w:right w:val="single" w:color="auto" w:sz="4" w:space="0"/>
            </w:tcBorders>
            <w:vAlign w:val="center"/>
          </w:tcPr>
          <w:p w14:paraId="48F9EE5A">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6B252F7D">
            <w:pPr>
              <w:jc w:val="right"/>
              <w:rPr>
                <w:rFonts w:cs="Times New Roman"/>
              </w:rPr>
            </w:pPr>
          </w:p>
        </w:tc>
        <w:tc>
          <w:tcPr>
            <w:tcW w:w="959" w:type="pct"/>
            <w:tcBorders>
              <w:top w:val="single" w:color="auto" w:sz="4" w:space="0"/>
              <w:left w:val="single" w:color="auto" w:sz="4" w:space="0"/>
              <w:bottom w:val="single" w:color="auto" w:sz="4" w:space="0"/>
              <w:right w:val="single" w:color="auto" w:sz="4" w:space="0"/>
            </w:tcBorders>
            <w:vAlign w:val="center"/>
          </w:tcPr>
          <w:p w14:paraId="0104471B">
            <w:pPr>
              <w:jc w:val="right"/>
              <w:textAlignment w:val="center"/>
              <w:rPr>
                <w:rFonts w:cs="Times New Roman"/>
              </w:rPr>
            </w:pPr>
            <w:r>
              <w:rPr>
                <w:rFonts w:cs="Times New Roman"/>
                <w:color w:val="000000"/>
              </w:rPr>
              <w:t>70,905,863.88</w:t>
            </w:r>
          </w:p>
        </w:tc>
        <w:tc>
          <w:tcPr>
            <w:tcW w:w="838" w:type="pct"/>
            <w:tcBorders>
              <w:top w:val="single" w:color="auto" w:sz="4" w:space="0"/>
              <w:left w:val="single" w:color="auto" w:sz="4" w:space="0"/>
              <w:bottom w:val="single" w:color="auto" w:sz="4" w:space="0"/>
              <w:right w:val="single" w:color="auto" w:sz="4" w:space="0"/>
            </w:tcBorders>
            <w:vAlign w:val="center"/>
          </w:tcPr>
          <w:p w14:paraId="5DDF72EF">
            <w:pPr>
              <w:jc w:val="right"/>
              <w:textAlignment w:val="center"/>
              <w:rPr>
                <w:rFonts w:cs="Times New Roman"/>
              </w:rPr>
            </w:pPr>
            <w:r>
              <w:rPr>
                <w:rFonts w:cs="Times New Roman"/>
                <w:color w:val="000000"/>
              </w:rPr>
              <w:t>70,905,863.88</w:t>
            </w:r>
          </w:p>
        </w:tc>
      </w:tr>
      <w:tr w14:paraId="46AC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8" w:hRule="atLeast"/>
        </w:trPr>
        <w:tc>
          <w:tcPr>
            <w:tcW w:w="1339" w:type="pct"/>
            <w:tcBorders>
              <w:top w:val="single" w:color="auto" w:sz="4" w:space="0"/>
              <w:left w:val="single" w:color="auto" w:sz="4" w:space="0"/>
              <w:bottom w:val="single" w:color="auto" w:sz="4" w:space="0"/>
              <w:right w:val="single" w:color="auto" w:sz="4" w:space="0"/>
            </w:tcBorders>
          </w:tcPr>
          <w:p w14:paraId="33B15760">
            <w:pPr>
              <w:outlineLvl w:val="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持续以公允价值计量的资产总额</w:t>
            </w:r>
          </w:p>
        </w:tc>
        <w:tc>
          <w:tcPr>
            <w:tcW w:w="944" w:type="pct"/>
            <w:tcBorders>
              <w:top w:val="single" w:color="auto" w:sz="4" w:space="0"/>
              <w:left w:val="single" w:color="auto" w:sz="4" w:space="0"/>
              <w:bottom w:val="single" w:color="auto" w:sz="4" w:space="0"/>
              <w:right w:val="single" w:color="auto" w:sz="4" w:space="0"/>
            </w:tcBorders>
            <w:vAlign w:val="center"/>
          </w:tcPr>
          <w:p w14:paraId="278BD58F">
            <w:pPr>
              <w:jc w:val="right"/>
              <w:rPr>
                <w:rFonts w:cs="Times New Roman"/>
              </w:rPr>
            </w:pPr>
          </w:p>
        </w:tc>
        <w:tc>
          <w:tcPr>
            <w:tcW w:w="921" w:type="pct"/>
            <w:tcBorders>
              <w:top w:val="single" w:color="auto" w:sz="4" w:space="0"/>
              <w:left w:val="single" w:color="auto" w:sz="4" w:space="0"/>
              <w:bottom w:val="single" w:color="auto" w:sz="4" w:space="0"/>
              <w:right w:val="single" w:color="auto" w:sz="4" w:space="0"/>
            </w:tcBorders>
            <w:vAlign w:val="center"/>
          </w:tcPr>
          <w:p w14:paraId="15B8FFEC">
            <w:pPr>
              <w:jc w:val="right"/>
              <w:rPr>
                <w:rFonts w:cs="Times New Roman"/>
              </w:rPr>
            </w:pPr>
          </w:p>
        </w:tc>
        <w:tc>
          <w:tcPr>
            <w:tcW w:w="1692" w:type="dxa"/>
            <w:tcBorders>
              <w:top w:val="single" w:color="auto" w:sz="4" w:space="0"/>
              <w:left w:val="single" w:color="auto" w:sz="4" w:space="0"/>
              <w:bottom w:val="single" w:color="auto" w:sz="4" w:space="0"/>
              <w:right w:val="single" w:color="auto" w:sz="4" w:space="0"/>
            </w:tcBorders>
            <w:vAlign w:val="center"/>
          </w:tcPr>
          <w:p w14:paraId="2E623974">
            <w:pPr>
              <w:jc w:val="right"/>
              <w:textAlignment w:val="center"/>
              <w:rPr>
                <w:rFonts w:cs="Times New Roman"/>
              </w:rPr>
            </w:pPr>
            <w:r>
              <w:rPr>
                <w:rFonts w:eastAsia="Arial Narrow" w:cs="Times New Roman"/>
                <w:color w:val="000000"/>
                <w:lang w:bidi="ar"/>
              </w:rPr>
              <w:t>591,517,494.39</w:t>
            </w:r>
          </w:p>
        </w:tc>
        <w:tc>
          <w:tcPr>
            <w:tcW w:w="1477" w:type="dxa"/>
            <w:tcBorders>
              <w:top w:val="single" w:color="auto" w:sz="4" w:space="0"/>
              <w:left w:val="single" w:color="auto" w:sz="4" w:space="0"/>
              <w:bottom w:val="single" w:color="auto" w:sz="4" w:space="0"/>
              <w:right w:val="single" w:color="auto" w:sz="4" w:space="0"/>
            </w:tcBorders>
            <w:vAlign w:val="center"/>
          </w:tcPr>
          <w:p w14:paraId="79FEF2E5">
            <w:pPr>
              <w:jc w:val="right"/>
              <w:textAlignment w:val="center"/>
              <w:rPr>
                <w:rFonts w:cs="Times New Roman"/>
              </w:rPr>
            </w:pPr>
            <w:r>
              <w:rPr>
                <w:rFonts w:eastAsia="Arial Narrow" w:cs="Times New Roman"/>
                <w:color w:val="000000"/>
                <w:lang w:bidi="ar"/>
              </w:rPr>
              <w:t>591,517,494.39</w:t>
            </w:r>
          </w:p>
        </w:tc>
      </w:tr>
    </w:tbl>
    <w:p w14:paraId="6E611496"/>
    <w:p w14:paraId="4A101FCE">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持续和非持续第一层次公允价值计量项目市价的确定依据</w:t>
      </w:r>
    </w:p>
    <w:sdt>
      <w:sdtPr>
        <w:rPr>
          <w:color w:val="000000" w:themeColor="text1"/>
          <w14:textFill>
            <w14:solidFill>
              <w14:schemeClr w14:val="tx1"/>
            </w14:solidFill>
          </w14:textFill>
        </w:rPr>
        <w:alias w:val="是否适用：持续和非持续第一层次公允价值计量项目市价的确定依据[双击切换]"/>
        <w:tag w:val="_GBC_699178e78c6743f697df07ed34d59216"/>
        <w:id w:val="147483600"/>
        <w:placeholder>
          <w:docPart w:val="GBC22222222222222222222222222222"/>
        </w:placeholder>
      </w:sdtPr>
      <w:sdtEndPr>
        <w:rPr>
          <w:color w:val="000000" w:themeColor="text1"/>
          <w14:textFill>
            <w14:solidFill>
              <w14:schemeClr w14:val="tx1"/>
            </w14:solidFill>
          </w14:textFill>
        </w:rPr>
      </w:sdtEndPr>
      <w:sdtContent>
        <w:p w14:paraId="005C23F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EAF61DB">
      <w:pPr>
        <w:rPr>
          <w:rFonts w:cs="Arial"/>
          <w:color w:val="000000" w:themeColor="text1"/>
          <w14:textFill>
            <w14:solidFill>
              <w14:schemeClr w14:val="tx1"/>
            </w14:solidFill>
          </w14:textFill>
        </w:rPr>
      </w:pPr>
      <w:sdt>
        <w:sdtPr>
          <w:rPr>
            <w:rFonts w:hint="eastAsia" w:cs="Arial"/>
            <w:color w:val="000000" w:themeColor="text1"/>
            <w14:textFill>
              <w14:solidFill>
                <w14:schemeClr w14:val="tx1"/>
              </w14:solidFill>
            </w14:textFill>
          </w:rPr>
          <w:alias w:val="持续和非持续第一层次公允价值计量项目市价的确定依据"/>
          <w:tag w:val="_GBC_8db65a2ca59047da919942f97cfc594e"/>
          <w:id w:val="147454060"/>
          <w:placeholder>
            <w:docPart w:val="GBC22222222222222222222222222222"/>
          </w:placeholder>
        </w:sdtPr>
        <w:sdtEndPr>
          <w:rPr>
            <w:rFonts w:hint="eastAsia" w:cs="Arial"/>
            <w:color w:val="000000" w:themeColor="text1"/>
            <w14:textFill>
              <w14:solidFill>
                <w14:schemeClr w14:val="tx1"/>
              </w14:solidFill>
            </w14:textFill>
          </w:rPr>
        </w:sdtEndPr>
        <w:sdtContent>
          <w:r>
            <w:rPr>
              <w:rFonts w:hint="eastAsia" w:cs="Arial"/>
              <w:color w:val="000000" w:themeColor="text1"/>
              <w14:textFill>
                <w14:solidFill>
                  <w14:schemeClr w14:val="tx1"/>
                </w14:solidFill>
              </w14:textFill>
            </w:rPr>
            <w:t>是在计量日能够取得的相同资产或负债在活跃市场上未经调整的报价。</w:t>
          </w:r>
        </w:sdtContent>
      </w:sdt>
    </w:p>
    <w:p w14:paraId="4407D0BD">
      <w:pPr>
        <w:tabs>
          <w:tab w:val="left" w:pos="1134"/>
        </w:tabs>
        <w:rPr>
          <w:rFonts w:cs="Cambria"/>
          <w:b/>
          <w:color w:val="000000" w:themeColor="text1"/>
          <w14:textFill>
            <w14:solidFill>
              <w14:schemeClr w14:val="tx1"/>
            </w14:solidFill>
          </w14:textFill>
        </w:rPr>
      </w:pPr>
    </w:p>
    <w:p w14:paraId="7DCE8D90">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持续和非持续第二层次公允价值计量项目，采用的估值技术和重要参数的定性及定量信息</w:t>
      </w:r>
    </w:p>
    <w:sdt>
      <w:sdtPr>
        <w:rPr>
          <w:rFonts w:hint="eastAsia" w:cs="Cambria"/>
          <w:color w:val="000000" w:themeColor="text1"/>
          <w14:textFill>
            <w14:solidFill>
              <w14:schemeClr w14:val="tx1"/>
            </w14:solidFill>
          </w14:textFill>
        </w:rPr>
        <w:alias w:val="是否适用：持续和非持续第二层次公允价值计量项目，采用的估值技术和重要参数的定性及定量信息[双击切换]"/>
        <w:tag w:val="_GBC_8bee9b1c9bf241d5ae1f2c4578fc3b6c"/>
        <w:id w:val="147463810"/>
        <w:placeholder>
          <w:docPart w:val="GBC22222222222222222222222222222"/>
        </w:placeholder>
      </w:sdtPr>
      <w:sdtEndPr>
        <w:rPr>
          <w:rFonts w:hint="eastAsia" w:cs="Cambria"/>
          <w:color w:val="000000" w:themeColor="text1"/>
          <w14:textFill>
            <w14:solidFill>
              <w14:schemeClr w14:val="tx1"/>
            </w14:solidFill>
          </w14:textFill>
        </w:rPr>
      </w:sdtEndPr>
      <w:sdtContent>
        <w:p w14:paraId="1EAFB951">
          <w:pPr>
            <w:tabs>
              <w:tab w:val="left" w:pos="1134"/>
            </w:tabs>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w:instrText>
          </w:r>
          <w:r>
            <w:rPr>
              <w:rFonts w:hint="eastAsia" w:ascii="宋体" w:hAnsi="宋体" w:cs="Cambria"/>
              <w:color w:val="000000" w:themeColor="text1"/>
              <w14:textFill>
                <w14:solidFill>
                  <w14:schemeClr w14:val="tx1"/>
                </w14:solidFill>
              </w14:textFill>
            </w:rPr>
            <w:instrText xml:space="preserve">MACROBUTTON  SnrToggleCheckbox √适用</w:instrText>
          </w:r>
          <w:r>
            <w:rPr>
              <w:rFonts w:ascii="宋体" w:hAnsi="宋体" w:cs="Cambria"/>
              <w:color w:val="000000" w:themeColor="text1"/>
              <w14:textFill>
                <w14:solidFill>
                  <w14:schemeClr w14:val="tx1"/>
                </w14:solidFill>
              </w14:textFill>
            </w:rPr>
            <w:instrText xml:space="preserve">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sdt>
      <w:sdtPr>
        <w:rPr>
          <w:rFonts w:cs="Cambria"/>
          <w:color w:val="000000" w:themeColor="text1"/>
          <w14:textFill>
            <w14:solidFill>
              <w14:schemeClr w14:val="tx1"/>
            </w14:solidFill>
          </w14:textFill>
        </w:rPr>
        <w:alias w:val="持续和非持续第二层次公允价值计量项目，采用的估值技术和重要参数的定性及定量信息"/>
        <w:tag w:val="_GBC_406ac04d46a9411bb4890572e539e6ca"/>
        <w:id w:val="147469455"/>
        <w:placeholder>
          <w:docPart w:val="GBC22222222222222222222222222222"/>
        </w:placeholder>
      </w:sdtPr>
      <w:sdtEndPr>
        <w:rPr>
          <w:rFonts w:cs="Cambria"/>
          <w:color w:val="000000" w:themeColor="text1"/>
          <w14:textFill>
            <w14:solidFill>
              <w14:schemeClr w14:val="tx1"/>
            </w14:solidFill>
          </w14:textFill>
        </w:rPr>
      </w:sdtEndPr>
      <w:sdtContent>
        <w:p w14:paraId="70058D99">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是除第一层次输入值外相关资产或负债直接或间接可观察的输入值；</w:t>
          </w:r>
        </w:p>
        <w:p w14:paraId="75E29BD7">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二层次输入值包括：1）活跃市场中类似资产或负债的报价；2）非活跃市场中相同或类似资产或负债的报价；3）除报价以外的其他可观察输入值，包括在正常报价间隔期间可观察的利率和收益率曲线、隐含波动率和信用利差等；4）市场验证的输入值等。</w:t>
          </w:r>
        </w:p>
      </w:sdtContent>
    </w:sdt>
    <w:p w14:paraId="29C88F60">
      <w:pPr>
        <w:rPr>
          <w:color w:val="000000" w:themeColor="text1"/>
          <w14:textFill>
            <w14:solidFill>
              <w14:schemeClr w14:val="tx1"/>
            </w14:solidFill>
          </w14:textFill>
        </w:rPr>
      </w:pPr>
    </w:p>
    <w:p w14:paraId="5DC8402B">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持续和非持续第三层次公允价值计量项目，采用的估值技术和重要参数的定性及定量信息</w:t>
      </w:r>
    </w:p>
    <w:sdt>
      <w:sdtPr>
        <w:rPr>
          <w:rFonts w:hint="eastAsia"/>
          <w:color w:val="000000" w:themeColor="text1"/>
          <w14:textFill>
            <w14:solidFill>
              <w14:schemeClr w14:val="tx1"/>
            </w14:solidFill>
          </w14:textFill>
        </w:rPr>
        <w:alias w:val="是否适用：持续和非持续第三层次公允价值计量项目，采用的估值技术和重要参数的定性及定量信息[双击切换]"/>
        <w:tag w:val="_GBC_4feedb18bf344f2ebff0035f82f30e3c"/>
        <w:id w:val="147477841"/>
        <w:placeholder>
          <w:docPart w:val="GBC22222222222222222222222222222"/>
        </w:placeholder>
      </w:sdtPr>
      <w:sdtEndPr>
        <w:rPr>
          <w:rFonts w:hint="eastAsia"/>
          <w:color w:val="000000" w:themeColor="text1"/>
          <w14:textFill>
            <w14:solidFill>
              <w14:schemeClr w14:val="tx1"/>
            </w14:solidFill>
          </w14:textFill>
        </w:rPr>
      </w:sdtEndPr>
      <w:sdtContent>
        <w:p w14:paraId="3813076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持续和非持续第三层次公允价值计量项目，采用的估值技术和重要参数的定性及定量信息"/>
        <w:tag w:val="_GBC_db2fdcfb26ce4ca9ac1e8da23b16aaaa"/>
        <w:id w:val="147461853"/>
        <w:placeholder>
          <w:docPart w:val="GBC22222222222222222222222222222"/>
        </w:placeholder>
      </w:sdtPr>
      <w:sdtEndPr>
        <w:rPr>
          <w:rFonts w:hint="eastAsia"/>
          <w:color w:val="000000" w:themeColor="text1"/>
          <w14:textFill>
            <w14:solidFill>
              <w14:schemeClr w14:val="tx1"/>
            </w14:solidFill>
          </w14:textFill>
        </w:rPr>
      </w:sdtEndPr>
      <w:sdtContent>
        <w:p w14:paraId="71B423CF">
          <w:pPr>
            <w:rPr>
              <w:color w:val="000000" w:themeColor="text1"/>
              <w14:textFill>
                <w14:solidFill>
                  <w14:schemeClr w14:val="tx1"/>
                </w14:solidFill>
              </w14:textFill>
            </w:rPr>
          </w:pPr>
          <w:r>
            <w:rPr>
              <w:rFonts w:hint="eastAsia"/>
              <w:color w:val="000000" w:themeColor="text1"/>
              <w14:textFill>
                <w14:solidFill>
                  <w14:schemeClr w14:val="tx1"/>
                </w14:solidFill>
              </w14:textFill>
            </w:rPr>
            <w:t>是相关资产或负债的不可观察输入值。</w:t>
          </w:r>
        </w:p>
      </w:sdtContent>
    </w:sdt>
    <w:p w14:paraId="38EB0823">
      <w:pPr>
        <w:tabs>
          <w:tab w:val="left" w:pos="1134"/>
        </w:tabs>
        <w:rPr>
          <w:rFonts w:cs="Cambria"/>
          <w:b/>
          <w:color w:val="000000" w:themeColor="text1"/>
          <w14:textFill>
            <w14:solidFill>
              <w14:schemeClr w14:val="tx1"/>
            </w14:solidFill>
          </w14:textFill>
        </w:rPr>
      </w:pPr>
    </w:p>
    <w:p w14:paraId="7694BBBA">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持续的第三层次公允价值计量项目，期初与期末账面价值间的调节信息及不可观察参数敏感性分析</w:t>
      </w:r>
    </w:p>
    <w:sdt>
      <w:sdtPr>
        <w:rPr>
          <w:rFonts w:hint="eastAsia"/>
          <w:color w:val="000000" w:themeColor="text1"/>
          <w14:textFill>
            <w14:solidFill>
              <w14:schemeClr w14:val="tx1"/>
            </w14:solidFill>
          </w14:textFill>
        </w:rPr>
        <w:alias w:val="是否适用：持续的第三层次公允价值计量项目，期初与期末账面价值间的调节信息及不可观察参数敏感性分析[双击切换]"/>
        <w:tag w:val="_GBC_fbb80659fa8c4cbba85b32b2b514495c"/>
        <w:id w:val="147472657"/>
        <w:placeholder>
          <w:docPart w:val="GBC22222222222222222222222222222"/>
        </w:placeholder>
      </w:sdtPr>
      <w:sdtEndPr>
        <w:rPr>
          <w:rFonts w:hint="eastAsia"/>
          <w:color w:val="000000" w:themeColor="text1"/>
          <w14:textFill>
            <w14:solidFill>
              <w14:schemeClr w14:val="tx1"/>
            </w14:solidFill>
          </w14:textFill>
        </w:rPr>
      </w:sdtEndPr>
      <w:sdtContent>
        <w:p w14:paraId="3FCF717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1F5896F">
      <w:pPr>
        <w:tabs>
          <w:tab w:val="left" w:pos="1134"/>
        </w:tabs>
        <w:rPr>
          <w:rFonts w:cs="Cambria"/>
          <w:b/>
          <w:color w:val="000000" w:themeColor="text1"/>
          <w14:textFill>
            <w14:solidFill>
              <w14:schemeClr w14:val="tx1"/>
            </w14:solidFill>
          </w14:textFill>
        </w:rPr>
      </w:pPr>
    </w:p>
    <w:p w14:paraId="2DF2D15F">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持续的公允价值计量项目，本期内发生各层级之间转换的，转换的原因及确定转换时点的政策</w:t>
      </w:r>
    </w:p>
    <w:sdt>
      <w:sdtPr>
        <w:rPr>
          <w:rFonts w:hint="eastAsia"/>
          <w:color w:val="000000" w:themeColor="text1"/>
          <w14:textFill>
            <w14:solidFill>
              <w14:schemeClr w14:val="tx1"/>
            </w14:solidFill>
          </w14:textFill>
        </w:rPr>
        <w:alias w:val="是否适用：持续的公允价值计量项目，本期内发生各层级之间转换的，转换的原因及确定转换时点的政策[双击切换]"/>
        <w:tag w:val="_GBC_e3d16a79a58242bc9c7be1f3a6f00898"/>
        <w:id w:val="147465977"/>
        <w:placeholder>
          <w:docPart w:val="GBC22222222222222222222222222222"/>
        </w:placeholder>
      </w:sdtPr>
      <w:sdtEndPr>
        <w:rPr>
          <w:rFonts w:hint="eastAsia"/>
          <w:color w:val="000000" w:themeColor="text1"/>
          <w14:textFill>
            <w14:solidFill>
              <w14:schemeClr w14:val="tx1"/>
            </w14:solidFill>
          </w14:textFill>
        </w:rPr>
      </w:sdtEndPr>
      <w:sdtContent>
        <w:p w14:paraId="657A9CE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2B8198A">
      <w:pPr>
        <w:tabs>
          <w:tab w:val="left" w:pos="1134"/>
        </w:tabs>
        <w:rPr>
          <w:rFonts w:cs="Cambria"/>
          <w:b/>
          <w:color w:val="000000" w:themeColor="text1"/>
          <w14:textFill>
            <w14:solidFill>
              <w14:schemeClr w14:val="tx1"/>
            </w14:solidFill>
          </w14:textFill>
        </w:rPr>
      </w:pPr>
    </w:p>
    <w:p w14:paraId="72D56157">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本期内发生的估值技术变更及变更原因</w:t>
      </w:r>
    </w:p>
    <w:sdt>
      <w:sdtPr>
        <w:rPr>
          <w:color w:val="000000" w:themeColor="text1"/>
          <w14:textFill>
            <w14:solidFill>
              <w14:schemeClr w14:val="tx1"/>
            </w14:solidFill>
          </w14:textFill>
        </w:rPr>
        <w:alias w:val="是否适用：本期内发生的估值技术变更及变更原因[双击切换]"/>
        <w:tag w:val="_GBC_b070160060a9485c87417fe5a8b5e02f"/>
        <w:id w:val="147453059"/>
        <w:placeholder>
          <w:docPart w:val="GBC22222222222222222222222222222"/>
        </w:placeholder>
      </w:sdtPr>
      <w:sdtEndPr>
        <w:rPr>
          <w:color w:val="000000" w:themeColor="text1"/>
          <w14:textFill>
            <w14:solidFill>
              <w14:schemeClr w14:val="tx1"/>
            </w14:solidFill>
          </w14:textFill>
        </w:rPr>
      </w:sdtEndPr>
      <w:sdtContent>
        <w:p w14:paraId="664E521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1CFCB34">
      <w:pPr>
        <w:rPr>
          <w:rFonts w:cstheme="minorBidi"/>
          <w:color w:val="000000" w:themeColor="text1"/>
          <w14:textFill>
            <w14:solidFill>
              <w14:schemeClr w14:val="tx1"/>
            </w14:solidFill>
          </w14:textFill>
        </w:rPr>
      </w:pPr>
    </w:p>
    <w:p w14:paraId="7E202D35">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不以公允价值计量的金融资产和金融负债的公允价值情况</w:t>
      </w:r>
    </w:p>
    <w:sdt>
      <w:sdtPr>
        <w:rPr>
          <w:rFonts w:hint="eastAsia" w:cstheme="minorBidi"/>
          <w:color w:val="000000" w:themeColor="text1"/>
          <w14:textFill>
            <w14:solidFill>
              <w14:schemeClr w14:val="tx1"/>
            </w14:solidFill>
          </w14:textFill>
        </w:rPr>
        <w:alias w:val="是否适用：不以公允价值计量的金融资产和金融负债的公允价值情况[双击切换]"/>
        <w:tag w:val="_GBC_848a058035fb408c922e66294e86defb"/>
        <w:id w:val="147474356"/>
        <w:placeholder>
          <w:docPart w:val="GBC22222222222222222222222222222"/>
        </w:placeholder>
      </w:sdtPr>
      <w:sdtEndPr>
        <w:rPr>
          <w:rFonts w:hint="eastAsia" w:cstheme="minorBidi"/>
          <w:color w:val="000000" w:themeColor="text1"/>
          <w14:textFill>
            <w14:solidFill>
              <w14:schemeClr w14:val="tx1"/>
            </w14:solidFill>
          </w14:textFill>
        </w:rPr>
      </w:sdtEndPr>
      <w:sdtContent>
        <w:p w14:paraId="64F27B52">
          <w:pPr>
            <w:rPr>
              <w:rFonts w:cstheme="minorBidi"/>
              <w:color w:val="000000" w:themeColor="text1"/>
              <w14:textFill>
                <w14:solidFill>
                  <w14:schemeClr w14:val="tx1"/>
                </w14:solidFill>
              </w14:textFill>
            </w:rPr>
          </w:pPr>
          <w:r>
            <w:rPr>
              <w:rFonts w:ascii="宋体" w:hAnsi="宋体" w:cstheme="minorBidi"/>
              <w:color w:val="000000" w:themeColor="text1"/>
              <w14:textFill>
                <w14:solidFill>
                  <w14:schemeClr w14:val="tx1"/>
                </w14:solidFill>
              </w14:textFill>
            </w:rPr>
            <w:fldChar w:fldCharType="begin"/>
          </w:r>
          <w:r>
            <w:rPr>
              <w:rFonts w:hint="eastAsia" w:ascii="宋体" w:hAnsi="宋体" w:cstheme="minorBidi"/>
              <w:color w:val="000000" w:themeColor="text1"/>
              <w14:textFill>
                <w14:solidFill>
                  <w14:schemeClr w14:val="tx1"/>
                </w14:solidFill>
              </w14:textFill>
            </w:rPr>
            <w:instrText xml:space="preserve"> MACROBUTTON  SnrToggleCheckbox □适用 </w:instrText>
          </w:r>
          <w:r>
            <w:rPr>
              <w:rFonts w:ascii="宋体" w:hAnsi="宋体" w:cstheme="minorBidi"/>
              <w:color w:val="000000" w:themeColor="text1"/>
              <w14:textFill>
                <w14:solidFill>
                  <w14:schemeClr w14:val="tx1"/>
                </w14:solidFill>
              </w14:textFill>
            </w:rPr>
            <w:fldChar w:fldCharType="end"/>
          </w:r>
          <w:r>
            <w:rPr>
              <w:rFonts w:ascii="宋体" w:hAnsi="宋体" w:cstheme="minorBidi"/>
              <w:color w:val="000000" w:themeColor="text1"/>
              <w14:textFill>
                <w14:solidFill>
                  <w14:schemeClr w14:val="tx1"/>
                </w14:solidFill>
              </w14:textFill>
            </w:rPr>
            <w:fldChar w:fldCharType="begin"/>
          </w:r>
          <w:r>
            <w:rPr>
              <w:rFonts w:hint="eastAsia" w:ascii="宋体" w:hAnsi="宋体" w:cstheme="minorBidi"/>
              <w:color w:val="000000" w:themeColor="text1"/>
              <w14:textFill>
                <w14:solidFill>
                  <w14:schemeClr w14:val="tx1"/>
                </w14:solidFill>
              </w14:textFill>
            </w:rPr>
            <w:instrText xml:space="preserve"> MACROBUTTON  SnrToggleCheckbox √不适用 </w:instrText>
          </w:r>
          <w:r>
            <w:rPr>
              <w:rFonts w:ascii="宋体" w:hAnsi="宋体" w:cstheme="minorBidi"/>
              <w:color w:val="000000" w:themeColor="text1"/>
              <w14:textFill>
                <w14:solidFill>
                  <w14:schemeClr w14:val="tx1"/>
                </w14:solidFill>
              </w14:textFill>
            </w:rPr>
            <w:fldChar w:fldCharType="end"/>
          </w:r>
        </w:p>
      </w:sdtContent>
    </w:sdt>
    <w:p w14:paraId="0DF4F36D">
      <w:pPr>
        <w:rPr>
          <w:rFonts w:cstheme="minorBidi"/>
          <w:color w:val="000000" w:themeColor="text1"/>
          <w14:textFill>
            <w14:solidFill>
              <w14:schemeClr w14:val="tx1"/>
            </w14:solidFill>
          </w14:textFill>
        </w:rPr>
      </w:pPr>
    </w:p>
    <w:p w14:paraId="1C6E36E8">
      <w:pPr>
        <w:pStyle w:val="57"/>
        <w:numPr>
          <w:ilvl w:val="0"/>
          <w:numId w:val="103"/>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公允价值其他需要披露的事项[双击切换]"/>
        <w:tag w:val="_GBC_9174a0e7dec04e80924ee384dabe783a"/>
        <w:id w:val="147467787"/>
        <w:placeholder>
          <w:docPart w:val="GBC22222222222222222222222222222"/>
        </w:placeholder>
      </w:sdtPr>
      <w:sdtEndPr>
        <w:rPr>
          <w:rFonts w:hint="eastAsia"/>
          <w:color w:val="000000" w:themeColor="text1"/>
          <w14:textFill>
            <w14:solidFill>
              <w14:schemeClr w14:val="tx1"/>
            </w14:solidFill>
          </w14:textFill>
        </w:rPr>
      </w:sdtEndPr>
      <w:sdtContent>
        <w:p w14:paraId="79780A2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0CEB991">
      <w:pPr>
        <w:rPr>
          <w:color w:val="000000" w:themeColor="text1"/>
          <w14:textFill>
            <w14:solidFill>
              <w14:schemeClr w14:val="tx1"/>
            </w14:solidFill>
          </w14:textFill>
        </w:rPr>
      </w:pPr>
    </w:p>
    <w:p w14:paraId="14AB34C9">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关联方及关联交易</w:t>
      </w:r>
    </w:p>
    <w:p w14:paraId="28EB7D9A">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本企业的母公司情况</w:t>
      </w:r>
    </w:p>
    <w:sdt>
      <w:sdtPr>
        <w:rPr>
          <w:color w:val="000000" w:themeColor="text1"/>
          <w14:textFill>
            <w14:solidFill>
              <w14:schemeClr w14:val="tx1"/>
            </w14:solidFill>
          </w14:textFill>
        </w:rPr>
        <w:alias w:val="是否适用：本企业的母公司情况[双击切换]"/>
        <w:tag w:val="_GBC_ead7e4ec9cc847adb62aa8efd8005802"/>
        <w:id w:val="147474107"/>
        <w:placeholder>
          <w:docPart w:val="GBC22222222222222222222222222222"/>
        </w:placeholder>
      </w:sdtPr>
      <w:sdtEndPr>
        <w:rPr>
          <w:color w:val="000000" w:themeColor="text1"/>
          <w14:textFill>
            <w14:solidFill>
              <w14:schemeClr w14:val="tx1"/>
            </w14:solidFill>
          </w14:textFill>
        </w:rPr>
      </w:sdtEndPr>
      <w:sdtContent>
        <w:p w14:paraId="499B419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42D4D3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本企业的母公司情况"/>
          <w:tag w:val="_GBC_6deea75122314a599b3383585a0f5cfe"/>
          <w:id w:val="1474678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本企业的母公司情况"/>
          <w:tag w:val="_GBC_3d5eae3a190749288b0c0bc9b1b1a3a3"/>
          <w:id w:val="1474770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1232"/>
        <w:gridCol w:w="2451"/>
        <w:gridCol w:w="1356"/>
        <w:gridCol w:w="1222"/>
        <w:gridCol w:w="1403"/>
      </w:tblGrid>
      <w:tr w14:paraId="33F1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sdt>
          <w:sdtPr>
            <w:rPr>
              <w:rFonts w:cs="Times New Roman"/>
            </w:rPr>
            <w:tag w:val="_PLD_19f86fac20c44d648212d3b573ca4c90"/>
            <w:id w:val="147462467"/>
          </w:sdtPr>
          <w:sdtEndPr>
            <w:rPr>
              <w:rFonts w:cs="Times New Roman"/>
            </w:rPr>
          </w:sdtEndPr>
          <w:sdtContent>
            <w:tc>
              <w:tcPr>
                <w:tcW w:w="765" w:type="pct"/>
                <w:tcBorders>
                  <w:top w:val="single" w:color="auto" w:sz="4" w:space="0"/>
                  <w:left w:val="single" w:color="auto" w:sz="4" w:space="0"/>
                  <w:bottom w:val="single" w:color="auto" w:sz="4" w:space="0"/>
                  <w:right w:val="single" w:color="auto" w:sz="4" w:space="0"/>
                </w:tcBorders>
                <w:vAlign w:val="center"/>
              </w:tcPr>
              <w:p w14:paraId="6708BC0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母公司名称</w:t>
                </w:r>
              </w:p>
            </w:tc>
          </w:sdtContent>
        </w:sdt>
        <w:sdt>
          <w:sdtPr>
            <w:rPr>
              <w:rFonts w:cs="Times New Roman"/>
            </w:rPr>
            <w:tag w:val="_PLD_d0e9e84346084d4db76e60afa87cf85a"/>
            <w:id w:val="147476387"/>
          </w:sdtPr>
          <w:sdtEndPr>
            <w:rPr>
              <w:rFonts w:cs="Times New Roman"/>
            </w:rPr>
          </w:sdtEndPr>
          <w:sdtContent>
            <w:tc>
              <w:tcPr>
                <w:tcW w:w="680" w:type="pct"/>
                <w:tcBorders>
                  <w:top w:val="single" w:color="auto" w:sz="4" w:space="0"/>
                  <w:left w:val="single" w:color="auto" w:sz="4" w:space="0"/>
                  <w:bottom w:val="single" w:color="auto" w:sz="4" w:space="0"/>
                  <w:right w:val="single" w:color="auto" w:sz="4" w:space="0"/>
                </w:tcBorders>
                <w:vAlign w:val="center"/>
              </w:tcPr>
              <w:p w14:paraId="773E728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注册地</w:t>
                </w:r>
              </w:p>
            </w:tc>
          </w:sdtContent>
        </w:sdt>
        <w:sdt>
          <w:sdtPr>
            <w:rPr>
              <w:rFonts w:cs="Times New Roman"/>
            </w:rPr>
            <w:tag w:val="_PLD_862851f8ff08431ea28c3420f555e42d"/>
            <w:id w:val="147459917"/>
          </w:sdtPr>
          <w:sdtEndPr>
            <w:rPr>
              <w:rFonts w:cs="Times New Roman"/>
            </w:rPr>
          </w:sdtEndPr>
          <w:sdtContent>
            <w:tc>
              <w:tcPr>
                <w:tcW w:w="1353" w:type="pct"/>
                <w:tcBorders>
                  <w:top w:val="single" w:color="auto" w:sz="4" w:space="0"/>
                  <w:left w:val="single" w:color="auto" w:sz="4" w:space="0"/>
                  <w:bottom w:val="single" w:color="auto" w:sz="4" w:space="0"/>
                  <w:right w:val="single" w:color="auto" w:sz="4" w:space="0"/>
                </w:tcBorders>
                <w:vAlign w:val="center"/>
              </w:tcPr>
              <w:p w14:paraId="535AEDB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业务性质</w:t>
                </w:r>
              </w:p>
            </w:tc>
          </w:sdtContent>
        </w:sdt>
        <w:sdt>
          <w:sdtPr>
            <w:rPr>
              <w:rFonts w:cs="Times New Roman"/>
            </w:rPr>
            <w:tag w:val="_PLD_77ed8bc59084448aa6eced74a15c106f"/>
            <w:id w:val="147478082"/>
          </w:sdtPr>
          <w:sdtEndPr>
            <w:rPr>
              <w:rFonts w:cs="Times New Roman"/>
            </w:rPr>
          </w:sdtEndPr>
          <w:sdtContent>
            <w:tc>
              <w:tcPr>
                <w:tcW w:w="749" w:type="pct"/>
                <w:tcBorders>
                  <w:top w:val="single" w:color="auto" w:sz="4" w:space="0"/>
                  <w:left w:val="single" w:color="auto" w:sz="4" w:space="0"/>
                  <w:bottom w:val="single" w:color="auto" w:sz="4" w:space="0"/>
                  <w:right w:val="single" w:color="auto" w:sz="4" w:space="0"/>
                </w:tcBorders>
                <w:vAlign w:val="center"/>
              </w:tcPr>
              <w:p w14:paraId="072D00C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注册资本</w:t>
                </w:r>
              </w:p>
            </w:tc>
          </w:sdtContent>
        </w:sdt>
        <w:sdt>
          <w:sdtPr>
            <w:rPr>
              <w:rFonts w:cs="Times New Roman"/>
            </w:rPr>
            <w:tag w:val="_PLD_360f61c4c6c14f0abe6480ef7f30e958"/>
            <w:id w:val="147459545"/>
          </w:sdtPr>
          <w:sdtEndPr>
            <w:rPr>
              <w:rFonts w:cs="Times New Roman"/>
            </w:rPr>
          </w:sdtEndPr>
          <w:sdtContent>
            <w:tc>
              <w:tcPr>
                <w:tcW w:w="675" w:type="pct"/>
                <w:tcBorders>
                  <w:top w:val="single" w:color="auto" w:sz="4" w:space="0"/>
                  <w:left w:val="single" w:color="auto" w:sz="4" w:space="0"/>
                  <w:bottom w:val="single" w:color="auto" w:sz="4" w:space="0"/>
                  <w:right w:val="single" w:color="auto" w:sz="4" w:space="0"/>
                </w:tcBorders>
                <w:vAlign w:val="center"/>
              </w:tcPr>
              <w:p w14:paraId="173D99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母公司对本企业的持股比例(%)</w:t>
                </w:r>
              </w:p>
            </w:tc>
          </w:sdtContent>
        </w:sdt>
        <w:sdt>
          <w:sdtPr>
            <w:rPr>
              <w:rFonts w:cs="Times New Roman"/>
            </w:rPr>
            <w:tag w:val="_PLD_3ef945e24ca64fc394d2e6b861604fcf"/>
            <w:id w:val="147465922"/>
          </w:sdtPr>
          <w:sdtEndPr>
            <w:rPr>
              <w:rFonts w:cs="Times New Roman"/>
            </w:rPr>
          </w:sdtEndPr>
          <w:sdtContent>
            <w:tc>
              <w:tcPr>
                <w:tcW w:w="775" w:type="pct"/>
                <w:tcBorders>
                  <w:top w:val="single" w:color="auto" w:sz="4" w:space="0"/>
                  <w:left w:val="single" w:color="auto" w:sz="4" w:space="0"/>
                  <w:bottom w:val="single" w:color="auto" w:sz="4" w:space="0"/>
                  <w:right w:val="single" w:color="auto" w:sz="4" w:space="0"/>
                </w:tcBorders>
                <w:vAlign w:val="center"/>
              </w:tcPr>
              <w:p w14:paraId="669B13A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母公司对本企业的表决权比例(%)</w:t>
                </w:r>
              </w:p>
            </w:tc>
          </w:sdtContent>
        </w:sdt>
      </w:tr>
      <w:tr w14:paraId="068E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65" w:type="pct"/>
            <w:tcBorders>
              <w:top w:val="single" w:color="auto" w:sz="4" w:space="0"/>
              <w:left w:val="single" w:color="auto" w:sz="4" w:space="0"/>
              <w:bottom w:val="single" w:color="auto" w:sz="4" w:space="0"/>
              <w:right w:val="single" w:color="auto" w:sz="4" w:space="0"/>
            </w:tcBorders>
            <w:vAlign w:val="center"/>
          </w:tcPr>
          <w:p w14:paraId="448E5C5A">
            <w:pPr>
              <w:textAlignment w:val="center"/>
              <w:rPr>
                <w:rFonts w:cs="Times New Roman"/>
              </w:rPr>
            </w:pPr>
            <w:r>
              <w:rPr>
                <w:rFonts w:cs="Times New Roman"/>
                <w:color w:val="000000"/>
                <w:lang w:bidi="ar"/>
              </w:rPr>
              <w:t>新兴际华集团有限公司</w:t>
            </w:r>
          </w:p>
        </w:tc>
        <w:tc>
          <w:tcPr>
            <w:tcW w:w="680" w:type="pct"/>
            <w:tcBorders>
              <w:top w:val="single" w:color="auto" w:sz="4" w:space="0"/>
              <w:left w:val="single" w:color="auto" w:sz="4" w:space="0"/>
              <w:bottom w:val="single" w:color="auto" w:sz="4" w:space="0"/>
              <w:right w:val="single" w:color="auto" w:sz="4" w:space="0"/>
            </w:tcBorders>
            <w:vAlign w:val="center"/>
          </w:tcPr>
          <w:p w14:paraId="4CF1CB7F">
            <w:pPr>
              <w:jc w:val="center"/>
              <w:textAlignment w:val="center"/>
              <w:rPr>
                <w:rFonts w:cs="Times New Roman"/>
              </w:rPr>
            </w:pPr>
            <w:r>
              <w:rPr>
                <w:rFonts w:cs="Times New Roman"/>
                <w:color w:val="000000"/>
                <w:lang w:bidi="ar"/>
              </w:rPr>
              <w:t>北京市朝阳区东三环中路</w:t>
            </w:r>
            <w:r>
              <w:rPr>
                <w:rFonts w:eastAsia="Arial Narrow" w:cs="Times New Roman"/>
                <w:color w:val="000000"/>
                <w:lang w:bidi="ar"/>
              </w:rPr>
              <w:t>5</w:t>
            </w:r>
            <w:r>
              <w:rPr>
                <w:rFonts w:cs="Times New Roman"/>
                <w:color w:val="000000"/>
                <w:lang w:bidi="ar"/>
              </w:rPr>
              <w:t>号楼</w:t>
            </w:r>
            <w:r>
              <w:rPr>
                <w:rFonts w:eastAsia="Arial Narrow" w:cs="Times New Roman"/>
                <w:color w:val="000000"/>
                <w:lang w:bidi="ar"/>
              </w:rPr>
              <w:t>62</w:t>
            </w:r>
            <w:r>
              <w:rPr>
                <w:rFonts w:cs="Times New Roman"/>
                <w:color w:val="000000"/>
                <w:lang w:bidi="ar"/>
              </w:rPr>
              <w:t>层、</w:t>
            </w:r>
            <w:r>
              <w:rPr>
                <w:rFonts w:eastAsia="Arial Narrow" w:cs="Times New Roman"/>
                <w:color w:val="000000"/>
                <w:lang w:bidi="ar"/>
              </w:rPr>
              <w:t>63</w:t>
            </w:r>
            <w:r>
              <w:rPr>
                <w:rFonts w:cs="Times New Roman"/>
                <w:color w:val="000000"/>
                <w:lang w:bidi="ar"/>
              </w:rPr>
              <w:t>层</w:t>
            </w:r>
          </w:p>
        </w:tc>
        <w:tc>
          <w:tcPr>
            <w:tcW w:w="1353" w:type="pct"/>
            <w:tcBorders>
              <w:top w:val="single" w:color="auto" w:sz="4" w:space="0"/>
              <w:left w:val="single" w:color="auto" w:sz="4" w:space="0"/>
              <w:bottom w:val="single" w:color="auto" w:sz="4" w:space="0"/>
              <w:right w:val="single" w:color="auto" w:sz="4" w:space="0"/>
            </w:tcBorders>
            <w:vAlign w:val="center"/>
          </w:tcPr>
          <w:p w14:paraId="71B3688F">
            <w:pPr>
              <w:jc w:val="center"/>
              <w:textAlignment w:val="center"/>
              <w:rPr>
                <w:rFonts w:cs="Times New Roman"/>
              </w:rPr>
            </w:pPr>
            <w:r>
              <w:rPr>
                <w:rFonts w:cs="Times New Roman"/>
                <w:color w:val="000000"/>
                <w:lang w:bidi="ar"/>
              </w:rPr>
              <w:t>经营国务院授权范围内的国有资产，开展有关投资业务；对所投资公司和直属企业资产的经营管理等</w:t>
            </w:r>
          </w:p>
        </w:tc>
        <w:tc>
          <w:tcPr>
            <w:tcW w:w="749" w:type="pct"/>
            <w:tcBorders>
              <w:top w:val="single" w:color="auto" w:sz="4" w:space="0"/>
              <w:left w:val="single" w:color="auto" w:sz="4" w:space="0"/>
              <w:bottom w:val="single" w:color="auto" w:sz="4" w:space="0"/>
              <w:right w:val="single" w:color="auto" w:sz="4" w:space="0"/>
            </w:tcBorders>
            <w:vAlign w:val="center"/>
          </w:tcPr>
          <w:p w14:paraId="0850AFCA">
            <w:pPr>
              <w:jc w:val="right"/>
              <w:textAlignment w:val="center"/>
              <w:rPr>
                <w:rFonts w:cs="Times New Roman"/>
              </w:rPr>
            </w:pPr>
            <w:r>
              <w:rPr>
                <w:rFonts w:cs="Times New Roman"/>
                <w:color w:val="000000"/>
              </w:rPr>
              <w:t>518,730.00</w:t>
            </w:r>
          </w:p>
        </w:tc>
        <w:tc>
          <w:tcPr>
            <w:tcW w:w="675" w:type="pct"/>
            <w:tcBorders>
              <w:top w:val="single" w:color="auto" w:sz="4" w:space="0"/>
              <w:left w:val="single" w:color="auto" w:sz="4" w:space="0"/>
              <w:bottom w:val="single" w:color="auto" w:sz="4" w:space="0"/>
              <w:right w:val="single" w:color="auto" w:sz="4" w:space="0"/>
            </w:tcBorders>
            <w:vAlign w:val="center"/>
          </w:tcPr>
          <w:p w14:paraId="6CC22334">
            <w:pPr>
              <w:jc w:val="right"/>
              <w:textAlignment w:val="center"/>
              <w:rPr>
                <w:rFonts w:cs="Times New Roman"/>
              </w:rPr>
            </w:pPr>
            <w:r>
              <w:rPr>
                <w:rFonts w:cs="Times New Roman"/>
                <w:color w:val="000000"/>
              </w:rPr>
              <w:t>47.55</w:t>
            </w:r>
          </w:p>
        </w:tc>
        <w:tc>
          <w:tcPr>
            <w:tcW w:w="775" w:type="pct"/>
            <w:tcBorders>
              <w:top w:val="single" w:color="auto" w:sz="4" w:space="0"/>
              <w:left w:val="single" w:color="auto" w:sz="4" w:space="0"/>
              <w:bottom w:val="single" w:color="auto" w:sz="4" w:space="0"/>
              <w:right w:val="single" w:color="auto" w:sz="4" w:space="0"/>
            </w:tcBorders>
            <w:vAlign w:val="center"/>
          </w:tcPr>
          <w:p w14:paraId="26FE81EF">
            <w:pPr>
              <w:jc w:val="right"/>
              <w:textAlignment w:val="center"/>
              <w:rPr>
                <w:rFonts w:cs="Times New Roman"/>
              </w:rPr>
            </w:pPr>
            <w:r>
              <w:rPr>
                <w:rFonts w:cs="Times New Roman"/>
                <w:color w:val="000000"/>
              </w:rPr>
              <w:t>47.55</w:t>
            </w:r>
          </w:p>
        </w:tc>
      </w:tr>
    </w:tbl>
    <w:p w14:paraId="723FE6BA">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本企业的母公司情况的说明</w:t>
      </w:r>
    </w:p>
    <w:sdt>
      <w:sdtPr>
        <w:rPr>
          <w:rFonts w:cs="Cambria"/>
          <w:color w:val="000000" w:themeColor="text1"/>
          <w14:textFill>
            <w14:solidFill>
              <w14:schemeClr w14:val="tx1"/>
            </w14:solidFill>
          </w14:textFill>
        </w:rPr>
        <w:alias w:val="本企业的母公司情况的说明"/>
        <w:tag w:val="_GBC_23f67537c1df4d9d9ede9fbc78ad06a4"/>
        <w:id w:val="147467725"/>
        <w:placeholder>
          <w:docPart w:val="GBC22222222222222222222222222222"/>
        </w:placeholder>
      </w:sdtPr>
      <w:sdtEndPr>
        <w:rPr>
          <w:rFonts w:cs="Cambria"/>
          <w:color w:val="000000" w:themeColor="text1"/>
          <w14:textFill>
            <w14:solidFill>
              <w14:schemeClr w14:val="tx1"/>
            </w14:solidFill>
          </w14:textFill>
        </w:rPr>
      </w:sdtEndPr>
      <w:sdtContent>
        <w:p w14:paraId="28B214DF">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无</w:t>
          </w:r>
        </w:p>
      </w:sdtContent>
    </w:sdt>
    <w:p w14:paraId="53360F6F">
      <w:pPr>
        <w:rPr>
          <w:color w:val="000000" w:themeColor="text1"/>
          <w14:textFill>
            <w14:solidFill>
              <w14:schemeClr w14:val="tx1"/>
            </w14:solidFill>
          </w14:textFill>
        </w:rPr>
      </w:pPr>
      <w:r>
        <w:rPr>
          <w:rFonts w:hint="eastAsia"/>
          <w:color w:val="000000" w:themeColor="text1"/>
          <w14:textFill>
            <w14:solidFill>
              <w14:schemeClr w14:val="tx1"/>
            </w14:solidFill>
          </w14:textFill>
        </w:rPr>
        <w:t>本企业最终控制方是</w:t>
      </w:r>
      <w:sdt>
        <w:sdtPr>
          <w:rPr>
            <w:rFonts w:hint="eastAsia"/>
            <w:color w:val="000000" w:themeColor="text1"/>
            <w14:textFill>
              <w14:solidFill>
                <w14:schemeClr w14:val="tx1"/>
              </w14:solidFill>
            </w14:textFill>
          </w:rPr>
          <w:alias w:val="本企业最终控制方"/>
          <w:tag w:val="_GBC_951a676520994ab7a3822c5f58c20b7d"/>
          <w:id w:val="147468520"/>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国务院国有资产监督管理委员会</w:t>
          </w:r>
        </w:sdtContent>
      </w:sdt>
    </w:p>
    <w:p w14:paraId="5967DB7B">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本企业的母公司情况的其他说明"/>
        <w:tag w:val="_GBC_72b4ca7a02944263a74be4174baff4cf"/>
        <w:id w:val="147453488"/>
        <w:placeholder>
          <w:docPart w:val="GBC22222222222222222222222222222"/>
        </w:placeholder>
      </w:sdtPr>
      <w:sdtEndPr>
        <w:rPr>
          <w:color w:val="000000" w:themeColor="text1"/>
          <w14:textFill>
            <w14:solidFill>
              <w14:schemeClr w14:val="tx1"/>
            </w14:solidFill>
          </w14:textFill>
        </w:rPr>
      </w:sdtEndPr>
      <w:sdtContent>
        <w:p w14:paraId="63EC69E6">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77AA3A1D">
      <w:pPr>
        <w:rPr>
          <w:color w:val="000000" w:themeColor="text1"/>
          <w14:textFill>
            <w14:solidFill>
              <w14:schemeClr w14:val="tx1"/>
            </w14:solidFill>
          </w14:textFill>
        </w:rPr>
      </w:pPr>
    </w:p>
    <w:p w14:paraId="332C2977">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本企业的子公司情况</w:t>
      </w:r>
    </w:p>
    <w:p w14:paraId="52F18FB9">
      <w:pPr>
        <w:rPr>
          <w:color w:val="000000" w:themeColor="text1"/>
          <w14:textFill>
            <w14:solidFill>
              <w14:schemeClr w14:val="tx1"/>
            </w14:solidFill>
          </w14:textFill>
        </w:rPr>
      </w:pPr>
      <w:r>
        <w:rPr>
          <w:rFonts w:hint="eastAsia"/>
          <w:color w:val="000000" w:themeColor="text1"/>
          <w14:textFill>
            <w14:solidFill>
              <w14:schemeClr w14:val="tx1"/>
            </w14:solidFill>
          </w14:textFill>
        </w:rPr>
        <w:t>本企业子公司的情况详见附注</w:t>
      </w:r>
    </w:p>
    <w:sdt>
      <w:sdtPr>
        <w:rPr>
          <w:color w:val="000000" w:themeColor="text1"/>
          <w14:textFill>
            <w14:solidFill>
              <w14:schemeClr w14:val="tx1"/>
            </w14:solidFill>
          </w14:textFill>
        </w:rPr>
        <w:alias w:val="是否适用：本公司的子公司情况详见附注[双击切换]"/>
        <w:tag w:val="_GBC_a8d551b9f62149d3bf9322adae2c671f"/>
        <w:id w:val="147469475"/>
        <w:placeholder>
          <w:docPart w:val="GBC22222222222222222222222222222"/>
        </w:placeholder>
      </w:sdtPr>
      <w:sdtEndPr>
        <w:rPr>
          <w:color w:val="000000" w:themeColor="text1"/>
          <w14:textFill>
            <w14:solidFill>
              <w14:schemeClr w14:val="tx1"/>
            </w14:solidFill>
          </w14:textFill>
        </w:rPr>
      </w:sdtEndPr>
      <w:sdtContent>
        <w:p w14:paraId="62B8396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本公司的子公司情况详见附注"/>
        <w:tag w:val="_GBC_bb3e2669c3cc45d0a6637b1809087708"/>
        <w:id w:val="147469106"/>
        <w:placeholder>
          <w:docPart w:val="GBC22222222222222222222222222222"/>
        </w:placeholder>
      </w:sdtPr>
      <w:sdtEndPr>
        <w:rPr>
          <w:rFonts w:hint="eastAsia"/>
          <w:color w:val="000000" w:themeColor="text1"/>
          <w14:textFill>
            <w14:solidFill>
              <w14:schemeClr w14:val="tx1"/>
            </w14:solidFill>
          </w14:textFill>
        </w:rPr>
      </w:sdtEndPr>
      <w:sdtContent>
        <w:p w14:paraId="12768AF9">
          <w:pPr>
            <w:rPr>
              <w:color w:val="000000" w:themeColor="text1"/>
              <w14:textFill>
                <w14:solidFill>
                  <w14:schemeClr w14:val="tx1"/>
                </w14:solidFill>
              </w14:textFill>
            </w:rPr>
          </w:pPr>
          <w:r>
            <w:rPr>
              <w:rFonts w:hint="eastAsia"/>
              <w:color w:val="000000" w:themeColor="text1"/>
              <w14:textFill>
                <w14:solidFill>
                  <w14:schemeClr w14:val="tx1"/>
                </w14:solidFill>
              </w14:textFill>
            </w:rPr>
            <w:t>十、1、（1）</w:t>
          </w:r>
        </w:p>
      </w:sdtContent>
    </w:sdt>
    <w:p w14:paraId="57E73E0C">
      <w:pPr>
        <w:tabs>
          <w:tab w:val="left" w:pos="1134"/>
        </w:tabs>
        <w:rPr>
          <w:rFonts w:cs="Cambria"/>
          <w:color w:val="000000" w:themeColor="text1"/>
          <w14:textFill>
            <w14:solidFill>
              <w14:schemeClr w14:val="tx1"/>
            </w14:solidFill>
          </w14:textFill>
        </w:rPr>
      </w:pPr>
    </w:p>
    <w:p w14:paraId="609BE286">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本企业合营和联营企业情况</w:t>
      </w:r>
    </w:p>
    <w:p w14:paraId="38B6339A">
      <w:pPr>
        <w:rPr>
          <w:color w:val="000000" w:themeColor="text1"/>
          <w14:textFill>
            <w14:solidFill>
              <w14:schemeClr w14:val="tx1"/>
            </w14:solidFill>
          </w14:textFill>
        </w:rPr>
      </w:pPr>
      <w:r>
        <w:rPr>
          <w:rFonts w:hint="eastAsia"/>
          <w:color w:val="000000" w:themeColor="text1"/>
          <w14:textFill>
            <w14:solidFill>
              <w14:schemeClr w14:val="tx1"/>
            </w14:solidFill>
          </w14:textFill>
        </w:rPr>
        <w:t>本企业重要的合营或联营企业详见附注</w:t>
      </w:r>
    </w:p>
    <w:sdt>
      <w:sdtPr>
        <w:rPr>
          <w:color w:val="000000" w:themeColor="text1"/>
          <w14:textFill>
            <w14:solidFill>
              <w14:schemeClr w14:val="tx1"/>
            </w14:solidFill>
          </w14:textFill>
        </w:rPr>
        <w:alias w:val="是否适用：本企业重要的合营或联营企业详见附注[双击切换]"/>
        <w:tag w:val="_GBC_2a369d3377e94598b2a744dfe59973e2"/>
        <w:id w:val="147478885"/>
        <w:placeholder>
          <w:docPart w:val="GBC22222222222222222222222222222"/>
        </w:placeholder>
      </w:sdtPr>
      <w:sdtEndPr>
        <w:rPr>
          <w:color w:val="000000" w:themeColor="text1"/>
          <w14:textFill>
            <w14:solidFill>
              <w14:schemeClr w14:val="tx1"/>
            </w14:solidFill>
          </w14:textFill>
        </w:rPr>
      </w:sdtEndPr>
      <w:sdtContent>
        <w:p w14:paraId="0EAAE24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本企业重要的合营或联营企业详见附注"/>
        <w:tag w:val="_GBC_3c58c586b3d3412d9989e9dff0b9f4cf"/>
        <w:id w:val="147482758"/>
        <w:placeholder>
          <w:docPart w:val="GBC22222222222222222222222222222"/>
        </w:placeholder>
      </w:sdtPr>
      <w:sdtEndPr>
        <w:rPr>
          <w:rFonts w:hint="eastAsia"/>
          <w:color w:val="000000" w:themeColor="text1"/>
          <w14:textFill>
            <w14:solidFill>
              <w14:schemeClr w14:val="tx1"/>
            </w14:solidFill>
          </w14:textFill>
        </w:rPr>
      </w:sdtEndPr>
      <w:sdtContent>
        <w:p w14:paraId="092B286C">
          <w:pPr>
            <w:rPr>
              <w:color w:val="000000" w:themeColor="text1"/>
              <w14:textFill>
                <w14:solidFill>
                  <w14:schemeClr w14:val="tx1"/>
                </w14:solidFill>
              </w14:textFill>
            </w:rPr>
          </w:pPr>
          <w:r>
            <w:rPr>
              <w:rFonts w:hint="eastAsia"/>
              <w:color w:val="000000" w:themeColor="text1"/>
              <w14:textFill>
                <w14:solidFill>
                  <w14:schemeClr w14:val="tx1"/>
                </w14:solidFill>
              </w14:textFill>
            </w:rPr>
            <w:t>十、3、（1）</w:t>
          </w:r>
        </w:p>
      </w:sdtContent>
    </w:sdt>
    <w:p w14:paraId="1C468D77">
      <w:pPr>
        <w:rPr>
          <w:color w:val="000000" w:themeColor="text1"/>
          <w14:textFill>
            <w14:solidFill>
              <w14:schemeClr w14:val="tx1"/>
            </w14:solidFill>
          </w14:textFill>
        </w:rPr>
      </w:pPr>
    </w:p>
    <w:p w14:paraId="6F2FB1A0">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本期与本公司发生关联方交易，或前期与本公司发生关联方交易形成余额的其他合营或联营企业情况如下</w:t>
      </w:r>
    </w:p>
    <w:sdt>
      <w:sdtPr>
        <w:rPr>
          <w:color w:val="000000" w:themeColor="text1"/>
          <w14:textFill>
            <w14:solidFill>
              <w14:schemeClr w14:val="tx1"/>
            </w14:solidFill>
          </w14:textFill>
        </w:rPr>
        <w:alias w:val="是否适用：本期与本公司发生关联方交易，或前期与本公司发生关联方交易形成余额的其他合营或联营企业情况如下[双击切换]"/>
        <w:tag w:val="_GBC_cab97913a7cc4573b25c34077eadbc4c"/>
        <w:id w:val="147462340"/>
        <w:placeholder>
          <w:docPart w:val="GBC22222222222222222222222222222"/>
        </w:placeholder>
      </w:sdtPr>
      <w:sdtEndPr>
        <w:rPr>
          <w:color w:val="000000" w:themeColor="text1"/>
          <w14:textFill>
            <w14:solidFill>
              <w14:schemeClr w14:val="tx1"/>
            </w14:solidFill>
          </w14:textFill>
        </w:rPr>
      </w:sdtEndPr>
      <w:sdtContent>
        <w:p w14:paraId="34C24DD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6"/>
        <w:gridCol w:w="4693"/>
      </w:tblGrid>
      <w:tr w14:paraId="1614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sdt>
          <w:sdtPr>
            <w:tag w:val="_PLD_e5c009b9730d40bc93f36e5e672cbe84"/>
            <w:id w:val="147457721"/>
          </w:sdtPr>
          <w:sdtContent>
            <w:tc>
              <w:tcPr>
                <w:tcW w:w="2407" w:type="pct"/>
                <w:tcBorders>
                  <w:top w:val="single" w:color="auto" w:sz="4" w:space="0"/>
                  <w:left w:val="single" w:color="auto" w:sz="4" w:space="0"/>
                  <w:bottom w:val="single" w:color="auto" w:sz="4" w:space="0"/>
                  <w:right w:val="single" w:color="auto" w:sz="4" w:space="0"/>
                </w:tcBorders>
              </w:tcPr>
              <w:p w14:paraId="412AC57E">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合营或联营企业名称</w:t>
                </w:r>
              </w:p>
            </w:tc>
          </w:sdtContent>
        </w:sdt>
        <w:sdt>
          <w:sdtPr>
            <w:tag w:val="_PLD_84c60036e8b849288542661d1d1b9890"/>
            <w:id w:val="147470879"/>
          </w:sdtPr>
          <w:sdtContent>
            <w:tc>
              <w:tcPr>
                <w:tcW w:w="2593" w:type="pct"/>
                <w:tcBorders>
                  <w:top w:val="single" w:color="auto" w:sz="4" w:space="0"/>
                  <w:left w:val="single" w:color="auto" w:sz="4" w:space="0"/>
                  <w:bottom w:val="single" w:color="auto" w:sz="4" w:space="0"/>
                  <w:right w:val="single" w:color="auto" w:sz="4" w:space="0"/>
                </w:tcBorders>
              </w:tcPr>
              <w:p w14:paraId="6C6C5E9E">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与本企业关系</w:t>
                </w:r>
              </w:p>
            </w:tc>
          </w:sdtContent>
        </w:sdt>
      </w:tr>
      <w:tr w14:paraId="0653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45C8663B">
            <w:pPr>
              <w:textAlignment w:val="top"/>
            </w:pPr>
            <w:r>
              <w:rPr>
                <w:rFonts w:hint="eastAsia" w:ascii="宋体" w:hAnsi="宋体"/>
                <w:color w:val="000000"/>
                <w:lang w:bidi="ar"/>
              </w:rPr>
              <w:t>南京英斯瑞德高分子材料股份有限公司</w:t>
            </w:r>
          </w:p>
        </w:tc>
        <w:tc>
          <w:tcPr>
            <w:tcW w:w="2593" w:type="pct"/>
            <w:tcBorders>
              <w:top w:val="single" w:color="auto" w:sz="4" w:space="0"/>
              <w:left w:val="single" w:color="auto" w:sz="4" w:space="0"/>
              <w:bottom w:val="single" w:color="auto" w:sz="4" w:space="0"/>
              <w:right w:val="single" w:color="auto" w:sz="4" w:space="0"/>
            </w:tcBorders>
          </w:tcPr>
          <w:p w14:paraId="1CACDB0A">
            <w:pPr>
              <w:jc w:val="center"/>
              <w:textAlignment w:val="top"/>
            </w:pPr>
            <w:r>
              <w:rPr>
                <w:rFonts w:hint="eastAsia" w:ascii="宋体" w:hAnsi="宋体"/>
                <w:color w:val="000000"/>
                <w:lang w:bidi="ar"/>
              </w:rPr>
              <w:t>子公司联营企业</w:t>
            </w:r>
          </w:p>
        </w:tc>
      </w:tr>
      <w:tr w14:paraId="111A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15B5258B">
            <w:pPr>
              <w:textAlignment w:val="top"/>
            </w:pPr>
            <w:r>
              <w:rPr>
                <w:rFonts w:hint="eastAsia" w:ascii="宋体" w:hAnsi="宋体"/>
                <w:color w:val="000000"/>
                <w:lang w:bidi="ar"/>
              </w:rPr>
              <w:t>河北玄德智能科技发展股份有限公司</w:t>
            </w:r>
          </w:p>
        </w:tc>
        <w:tc>
          <w:tcPr>
            <w:tcW w:w="2593" w:type="pct"/>
            <w:tcBorders>
              <w:top w:val="single" w:color="auto" w:sz="4" w:space="0"/>
              <w:left w:val="single" w:color="auto" w:sz="4" w:space="0"/>
              <w:bottom w:val="single" w:color="auto" w:sz="4" w:space="0"/>
              <w:right w:val="single" w:color="auto" w:sz="4" w:space="0"/>
            </w:tcBorders>
          </w:tcPr>
          <w:p w14:paraId="62D3AACD">
            <w:pPr>
              <w:jc w:val="center"/>
              <w:textAlignment w:val="top"/>
            </w:pPr>
            <w:r>
              <w:rPr>
                <w:rFonts w:hint="eastAsia" w:ascii="宋体" w:hAnsi="宋体"/>
                <w:color w:val="000000"/>
                <w:lang w:bidi="ar"/>
              </w:rPr>
              <w:t>子公司联营企业</w:t>
            </w:r>
          </w:p>
        </w:tc>
      </w:tr>
      <w:tr w14:paraId="15DA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230FC9C2">
            <w:pPr>
              <w:textAlignment w:val="top"/>
            </w:pPr>
            <w:r>
              <w:rPr>
                <w:rFonts w:hint="eastAsia" w:ascii="宋体" w:hAnsi="宋体"/>
                <w:color w:val="000000"/>
                <w:lang w:bidi="ar"/>
              </w:rPr>
              <w:t>宜昌际华仙女服饰有限公司</w:t>
            </w:r>
          </w:p>
        </w:tc>
        <w:tc>
          <w:tcPr>
            <w:tcW w:w="2593" w:type="pct"/>
            <w:tcBorders>
              <w:top w:val="single" w:color="auto" w:sz="4" w:space="0"/>
              <w:left w:val="single" w:color="auto" w:sz="4" w:space="0"/>
              <w:bottom w:val="single" w:color="auto" w:sz="4" w:space="0"/>
              <w:right w:val="single" w:color="auto" w:sz="4" w:space="0"/>
            </w:tcBorders>
          </w:tcPr>
          <w:p w14:paraId="6E0B6214">
            <w:pPr>
              <w:jc w:val="center"/>
              <w:textAlignment w:val="top"/>
            </w:pPr>
            <w:r>
              <w:rPr>
                <w:rFonts w:hint="eastAsia" w:ascii="宋体" w:hAnsi="宋体"/>
                <w:color w:val="000000"/>
                <w:lang w:bidi="ar"/>
              </w:rPr>
              <w:t>子公司联营企业</w:t>
            </w:r>
          </w:p>
        </w:tc>
      </w:tr>
      <w:tr w14:paraId="4BD1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30913144">
            <w:pPr>
              <w:textAlignment w:val="top"/>
            </w:pPr>
            <w:r>
              <w:rPr>
                <w:rFonts w:hint="eastAsia" w:ascii="宋体" w:hAnsi="宋体"/>
                <w:color w:val="000000"/>
                <w:lang w:bidi="ar"/>
              </w:rPr>
              <w:t>湖南中晟高分子新材料有限公司</w:t>
            </w:r>
          </w:p>
        </w:tc>
        <w:tc>
          <w:tcPr>
            <w:tcW w:w="2593" w:type="pct"/>
            <w:tcBorders>
              <w:top w:val="single" w:color="auto" w:sz="4" w:space="0"/>
              <w:left w:val="single" w:color="auto" w:sz="4" w:space="0"/>
              <w:bottom w:val="single" w:color="auto" w:sz="4" w:space="0"/>
              <w:right w:val="single" w:color="auto" w:sz="4" w:space="0"/>
            </w:tcBorders>
          </w:tcPr>
          <w:p w14:paraId="3EFE1C9E">
            <w:pPr>
              <w:jc w:val="center"/>
              <w:textAlignment w:val="top"/>
            </w:pPr>
            <w:r>
              <w:rPr>
                <w:rFonts w:hint="eastAsia" w:ascii="宋体" w:hAnsi="宋体"/>
                <w:color w:val="000000"/>
                <w:lang w:bidi="ar"/>
              </w:rPr>
              <w:t>子公司联营企业</w:t>
            </w:r>
          </w:p>
        </w:tc>
      </w:tr>
      <w:tr w14:paraId="5DB9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5218F3A8">
            <w:pPr>
              <w:textAlignment w:val="top"/>
            </w:pPr>
            <w:r>
              <w:rPr>
                <w:rFonts w:hint="eastAsia" w:ascii="宋体" w:hAnsi="宋体"/>
                <w:color w:val="000000"/>
                <w:lang w:bidi="ar"/>
              </w:rPr>
              <w:t>湖北际华置业有限公司</w:t>
            </w:r>
          </w:p>
        </w:tc>
        <w:tc>
          <w:tcPr>
            <w:tcW w:w="2593" w:type="pct"/>
            <w:tcBorders>
              <w:top w:val="single" w:color="auto" w:sz="4" w:space="0"/>
              <w:left w:val="single" w:color="auto" w:sz="4" w:space="0"/>
              <w:bottom w:val="single" w:color="auto" w:sz="4" w:space="0"/>
              <w:right w:val="single" w:color="auto" w:sz="4" w:space="0"/>
            </w:tcBorders>
          </w:tcPr>
          <w:p w14:paraId="47DA09AA">
            <w:pPr>
              <w:jc w:val="center"/>
              <w:textAlignment w:val="top"/>
            </w:pPr>
            <w:r>
              <w:rPr>
                <w:rFonts w:hint="eastAsia" w:ascii="宋体" w:hAnsi="宋体"/>
                <w:color w:val="000000"/>
                <w:lang w:bidi="ar"/>
              </w:rPr>
              <w:t>子公司联营企业</w:t>
            </w:r>
          </w:p>
        </w:tc>
      </w:tr>
      <w:tr w14:paraId="64EF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5565C67D">
            <w:pPr>
              <w:textAlignment w:val="top"/>
            </w:pPr>
            <w:r>
              <w:rPr>
                <w:rFonts w:hint="eastAsia" w:ascii="宋体" w:hAnsi="宋体"/>
                <w:color w:val="000000"/>
                <w:lang w:bidi="ar"/>
              </w:rPr>
              <w:t>际华洁能（天津）环保科技发展有限公司</w:t>
            </w:r>
          </w:p>
        </w:tc>
        <w:tc>
          <w:tcPr>
            <w:tcW w:w="2593" w:type="pct"/>
            <w:tcBorders>
              <w:top w:val="single" w:color="auto" w:sz="4" w:space="0"/>
              <w:left w:val="single" w:color="auto" w:sz="4" w:space="0"/>
              <w:bottom w:val="single" w:color="auto" w:sz="4" w:space="0"/>
              <w:right w:val="single" w:color="auto" w:sz="4" w:space="0"/>
            </w:tcBorders>
          </w:tcPr>
          <w:p w14:paraId="28A864CB">
            <w:pPr>
              <w:jc w:val="center"/>
              <w:textAlignment w:val="top"/>
            </w:pPr>
            <w:r>
              <w:rPr>
                <w:rFonts w:hint="eastAsia" w:ascii="宋体" w:hAnsi="宋体"/>
                <w:color w:val="000000"/>
                <w:lang w:bidi="ar"/>
              </w:rPr>
              <w:t>子公司联营企业</w:t>
            </w:r>
          </w:p>
        </w:tc>
      </w:tr>
      <w:tr w14:paraId="1BD0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07" w:type="pct"/>
            <w:tcBorders>
              <w:top w:val="single" w:color="auto" w:sz="4" w:space="0"/>
              <w:left w:val="single" w:color="auto" w:sz="4" w:space="0"/>
              <w:bottom w:val="single" w:color="auto" w:sz="4" w:space="0"/>
              <w:right w:val="single" w:color="auto" w:sz="4" w:space="0"/>
            </w:tcBorders>
          </w:tcPr>
          <w:p w14:paraId="627D866C">
            <w:pPr>
              <w:textAlignment w:val="top"/>
            </w:pPr>
            <w:r>
              <w:rPr>
                <w:rFonts w:hint="eastAsia" w:ascii="宋体" w:hAnsi="宋体"/>
                <w:color w:val="000000"/>
                <w:lang w:bidi="ar"/>
              </w:rPr>
              <w:t>邢台诚达房地产开发有限公司</w:t>
            </w:r>
          </w:p>
        </w:tc>
        <w:tc>
          <w:tcPr>
            <w:tcW w:w="2593" w:type="pct"/>
            <w:tcBorders>
              <w:top w:val="single" w:color="auto" w:sz="4" w:space="0"/>
              <w:left w:val="single" w:color="auto" w:sz="4" w:space="0"/>
              <w:bottom w:val="single" w:color="auto" w:sz="4" w:space="0"/>
              <w:right w:val="single" w:color="auto" w:sz="4" w:space="0"/>
            </w:tcBorders>
          </w:tcPr>
          <w:p w14:paraId="26889A6F">
            <w:pPr>
              <w:jc w:val="center"/>
              <w:textAlignment w:val="top"/>
            </w:pPr>
            <w:r>
              <w:rPr>
                <w:rFonts w:hint="eastAsia" w:ascii="宋体" w:hAnsi="宋体"/>
                <w:color w:val="000000"/>
                <w:lang w:bidi="ar"/>
              </w:rPr>
              <w:t>子公司联营企业</w:t>
            </w:r>
          </w:p>
        </w:tc>
      </w:tr>
    </w:tbl>
    <w:p w14:paraId="70F37BD8">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其他说明</w:t>
      </w:r>
    </w:p>
    <w:sdt>
      <w:sdtPr>
        <w:rPr>
          <w:rFonts w:cs="Cambria"/>
          <w:color w:val="000000" w:themeColor="text1"/>
          <w14:textFill>
            <w14:solidFill>
              <w14:schemeClr w14:val="tx1"/>
            </w14:solidFill>
          </w14:textFill>
        </w:rPr>
        <w:alias w:val="是否适用：存在关联方交易或余额的合营和联营企业情况说明[双击切换]"/>
        <w:tag w:val="_GBC_6d56e8a9eaca4f499d758b2eb96268bf"/>
        <w:id w:val="147455021"/>
        <w:placeholder>
          <w:docPart w:val="GBC22222222222222222222222222222"/>
        </w:placeholder>
      </w:sdtPr>
      <w:sdtEndPr>
        <w:rPr>
          <w:rFonts w:cs="Cambria"/>
          <w:color w:val="000000" w:themeColor="text1"/>
          <w14:textFill>
            <w14:solidFill>
              <w14:schemeClr w14:val="tx1"/>
            </w14:solidFill>
          </w14:textFill>
        </w:rPr>
      </w:sdtEndPr>
      <w:sdtContent>
        <w:p w14:paraId="34CAC229">
          <w:pPr>
            <w:tabs>
              <w:tab w:val="left" w:pos="1134"/>
            </w:tabs>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73BF3098">
      <w:pPr>
        <w:tabs>
          <w:tab w:val="left" w:pos="1134"/>
        </w:tabs>
        <w:rPr>
          <w:rFonts w:cs="Cambria"/>
          <w:color w:val="000000" w:themeColor="text1"/>
          <w14:textFill>
            <w14:solidFill>
              <w14:schemeClr w14:val="tx1"/>
            </w14:solidFill>
          </w14:textFill>
        </w:rPr>
      </w:pPr>
    </w:p>
    <w:p w14:paraId="3EB6E2F8">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其他关联方情况</w:t>
      </w:r>
    </w:p>
    <w:sdt>
      <w:sdtPr>
        <w:rPr>
          <w:color w:val="000000" w:themeColor="text1"/>
          <w14:textFill>
            <w14:solidFill>
              <w14:schemeClr w14:val="tx1"/>
            </w14:solidFill>
          </w14:textFill>
        </w:rPr>
        <w:alias w:val="是否适用：其他关联方情况[双击切换]"/>
        <w:tag w:val="_GBC_f9c029ef57734babb6375a74af1e3736"/>
        <w:id w:val="147481878"/>
        <w:placeholder>
          <w:docPart w:val="GBC22222222222222222222222222222"/>
        </w:placeholder>
      </w:sdtPr>
      <w:sdtEndPr>
        <w:rPr>
          <w:color w:val="000000" w:themeColor="text1"/>
          <w14:textFill>
            <w14:solidFill>
              <w14:schemeClr w14:val="tx1"/>
            </w14:solidFill>
          </w14:textFill>
        </w:rPr>
      </w:sdtEndPr>
      <w:sdtContent>
        <w:p w14:paraId="26B25DC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71"/>
        <w:gridCol w:w="4078"/>
      </w:tblGrid>
      <w:tr w14:paraId="1A34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blHeader/>
        </w:trPr>
        <w:sdt>
          <w:sdtPr>
            <w:tag w:val="_PLD_8fe00abbc9b249a98b2e3ac6b12f12db"/>
            <w:id w:val="147460527"/>
          </w:sdtPr>
          <w:sdtContent>
            <w:tc>
              <w:tcPr>
                <w:tcW w:w="2746" w:type="pct"/>
                <w:tcBorders>
                  <w:top w:val="single" w:color="auto" w:sz="4" w:space="0"/>
                  <w:left w:val="single" w:color="auto" w:sz="4" w:space="0"/>
                  <w:bottom w:val="single" w:color="auto" w:sz="4" w:space="0"/>
                  <w:right w:val="single" w:color="auto" w:sz="4" w:space="0"/>
                </w:tcBorders>
              </w:tcPr>
              <w:p w14:paraId="7110B543">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其他关联方名称</w:t>
                </w:r>
              </w:p>
            </w:tc>
          </w:sdtContent>
        </w:sdt>
        <w:sdt>
          <w:sdtPr>
            <w:tag w:val="_PLD_c1304840da1e482f80286e0c7ca19002"/>
            <w:id w:val="147470390"/>
          </w:sdtPr>
          <w:sdtContent>
            <w:tc>
              <w:tcPr>
                <w:tcW w:w="2253" w:type="pct"/>
                <w:tcBorders>
                  <w:top w:val="single" w:color="auto" w:sz="4" w:space="0"/>
                  <w:left w:val="single" w:color="auto" w:sz="4" w:space="0"/>
                  <w:bottom w:val="single" w:color="auto" w:sz="4" w:space="0"/>
                  <w:right w:val="single" w:color="auto" w:sz="4" w:space="0"/>
                </w:tcBorders>
              </w:tcPr>
              <w:p w14:paraId="7D5713A9">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其他关联方与本企业关系</w:t>
                </w:r>
              </w:p>
            </w:tc>
          </w:sdtContent>
        </w:sdt>
      </w:tr>
      <w:tr w14:paraId="1343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36A911D">
            <w:pPr>
              <w:rPr>
                <w:rFonts w:cs="Cambria"/>
              </w:rPr>
            </w:pPr>
            <w:r>
              <w:t>北京呼家楼宾馆有限公司</w:t>
            </w:r>
          </w:p>
        </w:tc>
        <w:sdt>
          <w:sdtPr>
            <w:rPr>
              <w:rFonts w:cs="Cambria"/>
              <w:color w:val="000000" w:themeColor="text1"/>
              <w14:textFill>
                <w14:solidFill>
                  <w14:schemeClr w14:val="tx1"/>
                </w14:solidFill>
              </w14:textFill>
            </w:rPr>
            <w:alias w:val="本企业的其他关联方情况明细－其他关联方与本公司关系"/>
            <w:tag w:val="_GBC_2205fb8ea5f648b5a0c9e8e3f8499f9f"/>
            <w:id w:val="14747871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rPr>
              <w:rFonts w:cs="Cambria"/>
              <w:color w:val="000000" w:themeColor="text1"/>
              <w14:textFill>
                <w14:solidFill>
                  <w14:schemeClr w14:val="tx1"/>
                </w14:solidFill>
              </w14:textFill>
            </w:rPr>
          </w:sdtEndPr>
          <w:sdtContent>
            <w:tc>
              <w:tcPr>
                <w:tcW w:w="2253" w:type="pct"/>
                <w:tcBorders>
                  <w:top w:val="single" w:color="auto" w:sz="4" w:space="0"/>
                  <w:left w:val="single" w:color="auto" w:sz="4" w:space="0"/>
                  <w:bottom w:val="single" w:color="auto" w:sz="4" w:space="0"/>
                  <w:right w:val="single" w:color="auto" w:sz="4" w:space="0"/>
                </w:tcBorders>
              </w:tcPr>
              <w:p w14:paraId="2CBB89BA">
                <w:pPr>
                  <w:jc w:val="center"/>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母公司的全资子公司</w:t>
                </w:r>
              </w:p>
            </w:tc>
          </w:sdtContent>
        </w:sdt>
      </w:tr>
      <w:tr w14:paraId="3A2B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1B45210">
            <w:pPr>
              <w:rPr>
                <w:rFonts w:cs="Cambria"/>
              </w:rPr>
            </w:pPr>
            <w:r>
              <w:t>河北新兴能源科技股份有限公司</w:t>
            </w:r>
          </w:p>
        </w:tc>
        <w:tc>
          <w:tcPr>
            <w:tcW w:w="2253" w:type="pct"/>
            <w:tcBorders>
              <w:top w:val="single" w:color="auto" w:sz="4" w:space="0"/>
              <w:left w:val="single" w:color="auto" w:sz="4" w:space="0"/>
              <w:bottom w:val="single" w:color="auto" w:sz="4" w:space="0"/>
              <w:right w:val="single" w:color="auto" w:sz="4" w:space="0"/>
            </w:tcBorders>
          </w:tcPr>
          <w:p w14:paraId="674A9D21">
            <w:pPr>
              <w:jc w:val="center"/>
              <w:rPr>
                <w:color w:val="000000" w:themeColor="text1"/>
                <w14:textFill>
                  <w14:solidFill>
                    <w14:schemeClr w14:val="tx1"/>
                  </w14:solidFill>
                </w14:textFill>
              </w:rPr>
            </w:pPr>
            <w:r>
              <w:t>母公司的控股子公司</w:t>
            </w:r>
          </w:p>
        </w:tc>
      </w:tr>
      <w:tr w14:paraId="3FF1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C31227B">
            <w:pPr>
              <w:rPr>
                <w:rFonts w:cs="Cambria"/>
              </w:rPr>
            </w:pPr>
            <w:r>
              <w:t>新兴际华（北京）材料技术研究院有限公司</w:t>
            </w:r>
          </w:p>
        </w:tc>
        <w:tc>
          <w:tcPr>
            <w:tcW w:w="2253" w:type="pct"/>
            <w:tcBorders>
              <w:top w:val="single" w:color="auto" w:sz="4" w:space="0"/>
              <w:left w:val="single" w:color="auto" w:sz="4" w:space="0"/>
              <w:bottom w:val="single" w:color="auto" w:sz="4" w:space="0"/>
              <w:right w:val="single" w:color="auto" w:sz="4" w:space="0"/>
            </w:tcBorders>
          </w:tcPr>
          <w:p w14:paraId="47BB4384">
            <w:pPr>
              <w:jc w:val="center"/>
              <w:rPr>
                <w:color w:val="000000" w:themeColor="text1"/>
                <w14:textFill>
                  <w14:solidFill>
                    <w14:schemeClr w14:val="tx1"/>
                  </w14:solidFill>
                </w14:textFill>
              </w:rPr>
            </w:pPr>
            <w:r>
              <w:t>母公司的全资子公司</w:t>
            </w:r>
          </w:p>
        </w:tc>
      </w:tr>
      <w:tr w14:paraId="0E55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B315B0F">
            <w:pPr>
              <w:rPr>
                <w:rFonts w:cs="Cambria"/>
              </w:rPr>
            </w:pPr>
            <w:r>
              <w:t>新兴际华应急装备技术有限公司</w:t>
            </w:r>
          </w:p>
        </w:tc>
        <w:tc>
          <w:tcPr>
            <w:tcW w:w="2253" w:type="pct"/>
            <w:tcBorders>
              <w:top w:val="single" w:color="auto" w:sz="4" w:space="0"/>
              <w:left w:val="single" w:color="auto" w:sz="4" w:space="0"/>
              <w:bottom w:val="single" w:color="auto" w:sz="4" w:space="0"/>
              <w:right w:val="single" w:color="auto" w:sz="4" w:space="0"/>
            </w:tcBorders>
          </w:tcPr>
          <w:p w14:paraId="0EA33EC6">
            <w:pPr>
              <w:jc w:val="center"/>
              <w:rPr>
                <w:color w:val="000000" w:themeColor="text1"/>
                <w14:textFill>
                  <w14:solidFill>
                    <w14:schemeClr w14:val="tx1"/>
                  </w14:solidFill>
                </w14:textFill>
              </w:rPr>
            </w:pPr>
            <w:r>
              <w:t>母公司的全资子公司</w:t>
            </w:r>
          </w:p>
        </w:tc>
      </w:tr>
      <w:tr w14:paraId="79A5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14198C9D">
            <w:pPr>
              <w:rPr>
                <w:rFonts w:cs="Cambria"/>
              </w:rPr>
            </w:pPr>
            <w:r>
              <w:t>新兴际华资产经营管理有限公司</w:t>
            </w:r>
          </w:p>
        </w:tc>
        <w:tc>
          <w:tcPr>
            <w:tcW w:w="2253" w:type="pct"/>
            <w:tcBorders>
              <w:top w:val="single" w:color="auto" w:sz="4" w:space="0"/>
              <w:left w:val="single" w:color="auto" w:sz="4" w:space="0"/>
              <w:bottom w:val="single" w:color="auto" w:sz="4" w:space="0"/>
              <w:right w:val="single" w:color="auto" w:sz="4" w:space="0"/>
            </w:tcBorders>
          </w:tcPr>
          <w:p w14:paraId="42820B5C">
            <w:pPr>
              <w:jc w:val="center"/>
              <w:rPr>
                <w:color w:val="000000" w:themeColor="text1"/>
                <w14:textFill>
                  <w14:solidFill>
                    <w14:schemeClr w14:val="tx1"/>
                  </w14:solidFill>
                </w14:textFill>
              </w:rPr>
            </w:pPr>
            <w:r>
              <w:t>母公司的全资子公司</w:t>
            </w:r>
          </w:p>
        </w:tc>
      </w:tr>
      <w:tr w14:paraId="700F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5820AF6">
            <w:pPr>
              <w:rPr>
                <w:rFonts w:cs="Cambria"/>
              </w:rPr>
            </w:pPr>
            <w:r>
              <w:t>芜湖新兴铸管有限责任公司</w:t>
            </w:r>
          </w:p>
        </w:tc>
        <w:tc>
          <w:tcPr>
            <w:tcW w:w="2253" w:type="pct"/>
            <w:tcBorders>
              <w:top w:val="single" w:color="auto" w:sz="4" w:space="0"/>
              <w:left w:val="single" w:color="auto" w:sz="4" w:space="0"/>
              <w:bottom w:val="single" w:color="auto" w:sz="4" w:space="0"/>
              <w:right w:val="single" w:color="auto" w:sz="4" w:space="0"/>
            </w:tcBorders>
          </w:tcPr>
          <w:p w14:paraId="01F2EA80">
            <w:pPr>
              <w:jc w:val="center"/>
              <w:rPr>
                <w:color w:val="000000" w:themeColor="text1"/>
                <w14:textFill>
                  <w14:solidFill>
                    <w14:schemeClr w14:val="tx1"/>
                  </w14:solidFill>
                </w14:textFill>
              </w:rPr>
            </w:pPr>
            <w:r>
              <w:t>母公司的控股子公司</w:t>
            </w:r>
          </w:p>
        </w:tc>
      </w:tr>
      <w:tr w14:paraId="19F6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245CF15">
            <w:pPr>
              <w:rPr>
                <w:rFonts w:cs="Cambria"/>
              </w:rPr>
            </w:pPr>
            <w:r>
              <w:t>新兴际华投资有限公司</w:t>
            </w:r>
          </w:p>
        </w:tc>
        <w:tc>
          <w:tcPr>
            <w:tcW w:w="2253" w:type="pct"/>
            <w:tcBorders>
              <w:top w:val="single" w:color="auto" w:sz="4" w:space="0"/>
              <w:left w:val="single" w:color="auto" w:sz="4" w:space="0"/>
              <w:bottom w:val="single" w:color="auto" w:sz="4" w:space="0"/>
              <w:right w:val="single" w:color="auto" w:sz="4" w:space="0"/>
            </w:tcBorders>
          </w:tcPr>
          <w:p w14:paraId="57234E8C">
            <w:pPr>
              <w:jc w:val="center"/>
              <w:rPr>
                <w:color w:val="000000" w:themeColor="text1"/>
                <w14:textFill>
                  <w14:solidFill>
                    <w14:schemeClr w14:val="tx1"/>
                  </w14:solidFill>
                </w14:textFill>
              </w:rPr>
            </w:pPr>
            <w:r>
              <w:t>母公司的控股子公司</w:t>
            </w:r>
          </w:p>
        </w:tc>
      </w:tr>
      <w:tr w14:paraId="5962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F302F3E">
            <w:pPr>
              <w:rPr>
                <w:rFonts w:cs="Cambria"/>
              </w:rPr>
            </w:pPr>
            <w:r>
              <w:t>新兴际华应急产业有限公司</w:t>
            </w:r>
          </w:p>
        </w:tc>
        <w:tc>
          <w:tcPr>
            <w:tcW w:w="2253" w:type="pct"/>
            <w:tcBorders>
              <w:top w:val="single" w:color="auto" w:sz="4" w:space="0"/>
              <w:left w:val="single" w:color="auto" w:sz="4" w:space="0"/>
              <w:bottom w:val="single" w:color="auto" w:sz="4" w:space="0"/>
              <w:right w:val="single" w:color="auto" w:sz="4" w:space="0"/>
            </w:tcBorders>
          </w:tcPr>
          <w:p w14:paraId="7A59B044">
            <w:pPr>
              <w:jc w:val="center"/>
              <w:rPr>
                <w:color w:val="000000" w:themeColor="text1"/>
                <w14:textFill>
                  <w14:solidFill>
                    <w14:schemeClr w14:val="tx1"/>
                  </w14:solidFill>
                </w14:textFill>
              </w:rPr>
            </w:pPr>
            <w:r>
              <w:t>母公司的全资子公司</w:t>
            </w:r>
          </w:p>
        </w:tc>
      </w:tr>
      <w:tr w14:paraId="7F13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2673B15">
            <w:pPr>
              <w:rPr>
                <w:rFonts w:cs="Cambria"/>
              </w:rPr>
            </w:pPr>
            <w:r>
              <w:t>石家庄际华资产管理有限公司</w:t>
            </w:r>
          </w:p>
        </w:tc>
        <w:tc>
          <w:tcPr>
            <w:tcW w:w="2253" w:type="pct"/>
            <w:tcBorders>
              <w:top w:val="single" w:color="auto" w:sz="4" w:space="0"/>
              <w:left w:val="single" w:color="auto" w:sz="4" w:space="0"/>
              <w:bottom w:val="single" w:color="auto" w:sz="4" w:space="0"/>
              <w:right w:val="single" w:color="auto" w:sz="4" w:space="0"/>
            </w:tcBorders>
          </w:tcPr>
          <w:p w14:paraId="43C2C421">
            <w:pPr>
              <w:jc w:val="center"/>
              <w:rPr>
                <w:color w:val="000000" w:themeColor="text1"/>
                <w14:textFill>
                  <w14:solidFill>
                    <w14:schemeClr w14:val="tx1"/>
                  </w14:solidFill>
                </w14:textFill>
              </w:rPr>
            </w:pPr>
            <w:r>
              <w:t>母公司的控股子公司</w:t>
            </w:r>
          </w:p>
        </w:tc>
      </w:tr>
      <w:tr w14:paraId="56AC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2E08A00">
            <w:pPr>
              <w:rPr>
                <w:rFonts w:cs="Cambria"/>
              </w:rPr>
            </w:pPr>
            <w:r>
              <w:t>广东新兴铸管有限公司</w:t>
            </w:r>
          </w:p>
        </w:tc>
        <w:tc>
          <w:tcPr>
            <w:tcW w:w="2253" w:type="pct"/>
            <w:tcBorders>
              <w:top w:val="single" w:color="auto" w:sz="4" w:space="0"/>
              <w:left w:val="single" w:color="auto" w:sz="4" w:space="0"/>
              <w:bottom w:val="single" w:color="auto" w:sz="4" w:space="0"/>
              <w:right w:val="single" w:color="auto" w:sz="4" w:space="0"/>
            </w:tcBorders>
          </w:tcPr>
          <w:p w14:paraId="75DE16E0">
            <w:pPr>
              <w:jc w:val="center"/>
              <w:rPr>
                <w:color w:val="000000" w:themeColor="text1"/>
                <w14:textFill>
                  <w14:solidFill>
                    <w14:schemeClr w14:val="tx1"/>
                  </w14:solidFill>
                </w14:textFill>
              </w:rPr>
            </w:pPr>
            <w:r>
              <w:t>母公司的控股子公司</w:t>
            </w:r>
          </w:p>
        </w:tc>
      </w:tr>
      <w:tr w14:paraId="6BD7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F058871">
            <w:pPr>
              <w:rPr>
                <w:rFonts w:cs="Cambria"/>
              </w:rPr>
            </w:pPr>
            <w:r>
              <w:t>上海际华物流有限公司</w:t>
            </w:r>
          </w:p>
        </w:tc>
        <w:tc>
          <w:tcPr>
            <w:tcW w:w="2253" w:type="pct"/>
            <w:tcBorders>
              <w:top w:val="single" w:color="auto" w:sz="4" w:space="0"/>
              <w:left w:val="single" w:color="auto" w:sz="4" w:space="0"/>
              <w:bottom w:val="single" w:color="auto" w:sz="4" w:space="0"/>
              <w:right w:val="single" w:color="auto" w:sz="4" w:space="0"/>
            </w:tcBorders>
          </w:tcPr>
          <w:p w14:paraId="24789548">
            <w:pPr>
              <w:jc w:val="center"/>
              <w:rPr>
                <w:color w:val="000000" w:themeColor="text1"/>
                <w14:textFill>
                  <w14:solidFill>
                    <w14:schemeClr w14:val="tx1"/>
                  </w14:solidFill>
                </w14:textFill>
              </w:rPr>
            </w:pPr>
            <w:r>
              <w:t>母公司的控股子公司</w:t>
            </w:r>
          </w:p>
        </w:tc>
      </w:tr>
      <w:tr w14:paraId="3182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0C15D46">
            <w:pPr>
              <w:rPr>
                <w:rFonts w:cs="Cambria"/>
              </w:rPr>
            </w:pPr>
            <w:r>
              <w:t>际华五三零三服装有限公司</w:t>
            </w:r>
          </w:p>
        </w:tc>
        <w:tc>
          <w:tcPr>
            <w:tcW w:w="2253" w:type="pct"/>
            <w:tcBorders>
              <w:top w:val="single" w:color="auto" w:sz="4" w:space="0"/>
              <w:left w:val="single" w:color="auto" w:sz="4" w:space="0"/>
              <w:bottom w:val="single" w:color="auto" w:sz="4" w:space="0"/>
              <w:right w:val="single" w:color="auto" w:sz="4" w:space="0"/>
            </w:tcBorders>
          </w:tcPr>
          <w:p w14:paraId="329A7F58">
            <w:pPr>
              <w:jc w:val="center"/>
              <w:rPr>
                <w:color w:val="000000" w:themeColor="text1"/>
                <w14:textFill>
                  <w14:solidFill>
                    <w14:schemeClr w14:val="tx1"/>
                  </w14:solidFill>
                </w14:textFill>
              </w:rPr>
            </w:pPr>
            <w:r>
              <w:t>母公司的全资子公司</w:t>
            </w:r>
          </w:p>
        </w:tc>
      </w:tr>
      <w:tr w14:paraId="4B2D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7749140">
            <w:pPr>
              <w:rPr>
                <w:rFonts w:cs="Cambria"/>
              </w:rPr>
            </w:pPr>
            <w:r>
              <w:t>辽宁际华三五二三特种装备有限公司</w:t>
            </w:r>
          </w:p>
        </w:tc>
        <w:tc>
          <w:tcPr>
            <w:tcW w:w="2253" w:type="pct"/>
            <w:tcBorders>
              <w:top w:val="single" w:color="auto" w:sz="4" w:space="0"/>
              <w:left w:val="single" w:color="auto" w:sz="4" w:space="0"/>
              <w:bottom w:val="single" w:color="auto" w:sz="4" w:space="0"/>
              <w:right w:val="single" w:color="auto" w:sz="4" w:space="0"/>
            </w:tcBorders>
          </w:tcPr>
          <w:p w14:paraId="213B812A">
            <w:pPr>
              <w:jc w:val="center"/>
              <w:rPr>
                <w:color w:val="000000" w:themeColor="text1"/>
                <w14:textFill>
                  <w14:solidFill>
                    <w14:schemeClr w14:val="tx1"/>
                  </w14:solidFill>
                </w14:textFill>
              </w:rPr>
            </w:pPr>
            <w:r>
              <w:t>母公司的全资子公司</w:t>
            </w:r>
          </w:p>
        </w:tc>
      </w:tr>
      <w:tr w14:paraId="1594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F19B12E">
            <w:pPr>
              <w:rPr>
                <w:rFonts w:cs="Cambria"/>
              </w:rPr>
            </w:pPr>
            <w:r>
              <w:t>秦皇岛际华三五四四鞋业有限公司</w:t>
            </w:r>
          </w:p>
        </w:tc>
        <w:tc>
          <w:tcPr>
            <w:tcW w:w="2253" w:type="pct"/>
            <w:tcBorders>
              <w:top w:val="single" w:color="auto" w:sz="4" w:space="0"/>
              <w:left w:val="single" w:color="auto" w:sz="4" w:space="0"/>
              <w:bottom w:val="single" w:color="auto" w:sz="4" w:space="0"/>
              <w:right w:val="single" w:color="auto" w:sz="4" w:space="0"/>
            </w:tcBorders>
          </w:tcPr>
          <w:p w14:paraId="6428724E">
            <w:pPr>
              <w:jc w:val="center"/>
              <w:rPr>
                <w:color w:val="000000" w:themeColor="text1"/>
                <w14:textFill>
                  <w14:solidFill>
                    <w14:schemeClr w14:val="tx1"/>
                  </w14:solidFill>
                </w14:textFill>
              </w:rPr>
            </w:pPr>
            <w:r>
              <w:t>母公司的全资子公司</w:t>
            </w:r>
          </w:p>
        </w:tc>
      </w:tr>
      <w:tr w14:paraId="26B9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0EDEA07">
            <w:pPr>
              <w:rPr>
                <w:rFonts w:cs="Cambria"/>
              </w:rPr>
            </w:pPr>
            <w:r>
              <w:t>贵州际华三五三五商贸有限公司</w:t>
            </w:r>
          </w:p>
        </w:tc>
        <w:tc>
          <w:tcPr>
            <w:tcW w:w="2253" w:type="pct"/>
            <w:tcBorders>
              <w:top w:val="single" w:color="auto" w:sz="4" w:space="0"/>
              <w:left w:val="single" w:color="auto" w:sz="4" w:space="0"/>
              <w:bottom w:val="single" w:color="auto" w:sz="4" w:space="0"/>
              <w:right w:val="single" w:color="auto" w:sz="4" w:space="0"/>
            </w:tcBorders>
          </w:tcPr>
          <w:p w14:paraId="14F369FB">
            <w:pPr>
              <w:jc w:val="center"/>
              <w:rPr>
                <w:color w:val="000000" w:themeColor="text1"/>
                <w14:textFill>
                  <w14:solidFill>
                    <w14:schemeClr w14:val="tx1"/>
                  </w14:solidFill>
                </w14:textFill>
              </w:rPr>
            </w:pPr>
            <w:r>
              <w:t>母公司的控股子公司</w:t>
            </w:r>
          </w:p>
        </w:tc>
      </w:tr>
      <w:tr w14:paraId="2852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76FB54E">
            <w:pPr>
              <w:rPr>
                <w:rFonts w:cs="Cambria"/>
              </w:rPr>
            </w:pPr>
            <w:r>
              <w:t>新兴职业装备生产技术研究所</w:t>
            </w:r>
          </w:p>
        </w:tc>
        <w:tc>
          <w:tcPr>
            <w:tcW w:w="2253" w:type="pct"/>
            <w:tcBorders>
              <w:top w:val="single" w:color="auto" w:sz="4" w:space="0"/>
              <w:left w:val="single" w:color="auto" w:sz="4" w:space="0"/>
              <w:bottom w:val="single" w:color="auto" w:sz="4" w:space="0"/>
              <w:right w:val="single" w:color="auto" w:sz="4" w:space="0"/>
            </w:tcBorders>
          </w:tcPr>
          <w:p w14:paraId="7C12A521">
            <w:pPr>
              <w:jc w:val="center"/>
              <w:rPr>
                <w:color w:val="000000" w:themeColor="text1"/>
                <w14:textFill>
                  <w14:solidFill>
                    <w14:schemeClr w14:val="tx1"/>
                  </w14:solidFill>
                </w14:textFill>
              </w:rPr>
            </w:pPr>
            <w:r>
              <w:t>母公司的控股子公司</w:t>
            </w:r>
          </w:p>
        </w:tc>
      </w:tr>
      <w:tr w14:paraId="600B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1BF83E9">
            <w:pPr>
              <w:rPr>
                <w:rFonts w:cs="Cambria"/>
              </w:rPr>
            </w:pPr>
            <w:r>
              <w:t>济南泰山鞋厂</w:t>
            </w:r>
          </w:p>
        </w:tc>
        <w:tc>
          <w:tcPr>
            <w:tcW w:w="2253" w:type="pct"/>
            <w:tcBorders>
              <w:top w:val="single" w:color="auto" w:sz="4" w:space="0"/>
              <w:left w:val="single" w:color="auto" w:sz="4" w:space="0"/>
              <w:bottom w:val="single" w:color="auto" w:sz="4" w:space="0"/>
              <w:right w:val="single" w:color="auto" w:sz="4" w:space="0"/>
            </w:tcBorders>
          </w:tcPr>
          <w:p w14:paraId="2E65C20C">
            <w:pPr>
              <w:jc w:val="center"/>
              <w:rPr>
                <w:color w:val="000000" w:themeColor="text1"/>
                <w14:textFill>
                  <w14:solidFill>
                    <w14:schemeClr w14:val="tx1"/>
                  </w14:solidFill>
                </w14:textFill>
              </w:rPr>
            </w:pPr>
            <w:r>
              <w:t>母公司的控股子公司</w:t>
            </w:r>
          </w:p>
        </w:tc>
      </w:tr>
      <w:tr w14:paraId="7E52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64FACF4">
            <w:pPr>
              <w:rPr>
                <w:rFonts w:cs="Cambria"/>
              </w:rPr>
            </w:pPr>
            <w:r>
              <w:t>黄石新兴管业有限公司</w:t>
            </w:r>
          </w:p>
        </w:tc>
        <w:tc>
          <w:tcPr>
            <w:tcW w:w="2253" w:type="pct"/>
            <w:tcBorders>
              <w:top w:val="single" w:color="auto" w:sz="4" w:space="0"/>
              <w:left w:val="single" w:color="auto" w:sz="4" w:space="0"/>
              <w:bottom w:val="single" w:color="auto" w:sz="4" w:space="0"/>
              <w:right w:val="single" w:color="auto" w:sz="4" w:space="0"/>
            </w:tcBorders>
          </w:tcPr>
          <w:p w14:paraId="18EE18B8">
            <w:pPr>
              <w:jc w:val="center"/>
              <w:rPr>
                <w:color w:val="000000" w:themeColor="text1"/>
                <w14:textFill>
                  <w14:solidFill>
                    <w14:schemeClr w14:val="tx1"/>
                  </w14:solidFill>
                </w14:textFill>
              </w:rPr>
            </w:pPr>
            <w:r>
              <w:t>母公司的控股子公司</w:t>
            </w:r>
          </w:p>
        </w:tc>
      </w:tr>
      <w:tr w14:paraId="29E1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9CDE2E1">
            <w:pPr>
              <w:rPr>
                <w:rFonts w:cs="Cambria"/>
              </w:rPr>
            </w:pPr>
            <w:r>
              <w:t>湖北新兴全力机械有限公司</w:t>
            </w:r>
          </w:p>
        </w:tc>
        <w:tc>
          <w:tcPr>
            <w:tcW w:w="2253" w:type="pct"/>
            <w:tcBorders>
              <w:top w:val="single" w:color="auto" w:sz="4" w:space="0"/>
              <w:left w:val="single" w:color="auto" w:sz="4" w:space="0"/>
              <w:bottom w:val="single" w:color="auto" w:sz="4" w:space="0"/>
              <w:right w:val="single" w:color="auto" w:sz="4" w:space="0"/>
            </w:tcBorders>
          </w:tcPr>
          <w:p w14:paraId="28EF47A7">
            <w:pPr>
              <w:jc w:val="center"/>
              <w:rPr>
                <w:color w:val="000000" w:themeColor="text1"/>
                <w14:textFill>
                  <w14:solidFill>
                    <w14:schemeClr w14:val="tx1"/>
                  </w14:solidFill>
                </w14:textFill>
              </w:rPr>
            </w:pPr>
            <w:r>
              <w:t>母公司的控股子公司</w:t>
            </w:r>
          </w:p>
        </w:tc>
      </w:tr>
      <w:tr w14:paraId="1B57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2DC2B79">
            <w:pPr>
              <w:rPr>
                <w:rFonts w:cs="Cambria"/>
              </w:rPr>
            </w:pPr>
            <w:r>
              <w:t>新兴重工集团有限公司</w:t>
            </w:r>
          </w:p>
        </w:tc>
        <w:tc>
          <w:tcPr>
            <w:tcW w:w="2253" w:type="pct"/>
            <w:tcBorders>
              <w:top w:val="single" w:color="auto" w:sz="4" w:space="0"/>
              <w:left w:val="single" w:color="auto" w:sz="4" w:space="0"/>
              <w:bottom w:val="single" w:color="auto" w:sz="4" w:space="0"/>
              <w:right w:val="single" w:color="auto" w:sz="4" w:space="0"/>
            </w:tcBorders>
          </w:tcPr>
          <w:p w14:paraId="6846489A">
            <w:pPr>
              <w:jc w:val="center"/>
              <w:rPr>
                <w:color w:val="000000" w:themeColor="text1"/>
                <w14:textFill>
                  <w14:solidFill>
                    <w14:schemeClr w14:val="tx1"/>
                  </w14:solidFill>
                </w14:textFill>
              </w:rPr>
            </w:pPr>
            <w:r>
              <w:t>母公司的全资子公司</w:t>
            </w:r>
          </w:p>
        </w:tc>
      </w:tr>
      <w:tr w14:paraId="6B62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62097A5">
            <w:pPr>
              <w:rPr>
                <w:rFonts w:cs="Cambria"/>
              </w:rPr>
            </w:pPr>
            <w:r>
              <w:t>新兴河北工程技术有限公司</w:t>
            </w:r>
          </w:p>
        </w:tc>
        <w:tc>
          <w:tcPr>
            <w:tcW w:w="2253" w:type="pct"/>
            <w:tcBorders>
              <w:top w:val="single" w:color="auto" w:sz="4" w:space="0"/>
              <w:left w:val="single" w:color="auto" w:sz="4" w:space="0"/>
              <w:bottom w:val="single" w:color="auto" w:sz="4" w:space="0"/>
              <w:right w:val="single" w:color="auto" w:sz="4" w:space="0"/>
            </w:tcBorders>
          </w:tcPr>
          <w:p w14:paraId="49CF94BE">
            <w:pPr>
              <w:jc w:val="center"/>
              <w:rPr>
                <w:color w:val="000000" w:themeColor="text1"/>
                <w14:textFill>
                  <w14:solidFill>
                    <w14:schemeClr w14:val="tx1"/>
                  </w14:solidFill>
                </w14:textFill>
              </w:rPr>
            </w:pPr>
            <w:r>
              <w:t>母公司的控股子公司</w:t>
            </w:r>
          </w:p>
        </w:tc>
      </w:tr>
      <w:tr w14:paraId="7209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531AC14">
            <w:pPr>
              <w:rPr>
                <w:rFonts w:cs="Cambria"/>
              </w:rPr>
            </w:pPr>
            <w:r>
              <w:t>天津华津制药有限公司</w:t>
            </w:r>
          </w:p>
        </w:tc>
        <w:tc>
          <w:tcPr>
            <w:tcW w:w="2253" w:type="pct"/>
            <w:tcBorders>
              <w:top w:val="single" w:color="auto" w:sz="4" w:space="0"/>
              <w:left w:val="single" w:color="auto" w:sz="4" w:space="0"/>
              <w:bottom w:val="single" w:color="auto" w:sz="4" w:space="0"/>
              <w:right w:val="single" w:color="auto" w:sz="4" w:space="0"/>
            </w:tcBorders>
          </w:tcPr>
          <w:p w14:paraId="37192FBB">
            <w:pPr>
              <w:jc w:val="center"/>
              <w:rPr>
                <w:color w:val="000000" w:themeColor="text1"/>
                <w14:textFill>
                  <w14:solidFill>
                    <w14:schemeClr w14:val="tx1"/>
                  </w14:solidFill>
                </w14:textFill>
              </w:rPr>
            </w:pPr>
            <w:r>
              <w:t>母公司的全资子公司</w:t>
            </w:r>
          </w:p>
        </w:tc>
      </w:tr>
      <w:tr w14:paraId="49DD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06A18B6">
            <w:pPr>
              <w:rPr>
                <w:rFonts w:cs="Cambria"/>
              </w:rPr>
            </w:pPr>
            <w:r>
              <w:t>河北新兴铸管有限公司</w:t>
            </w:r>
          </w:p>
        </w:tc>
        <w:tc>
          <w:tcPr>
            <w:tcW w:w="2253" w:type="pct"/>
            <w:tcBorders>
              <w:top w:val="single" w:color="auto" w:sz="4" w:space="0"/>
              <w:left w:val="single" w:color="auto" w:sz="4" w:space="0"/>
              <w:bottom w:val="single" w:color="auto" w:sz="4" w:space="0"/>
              <w:right w:val="single" w:color="auto" w:sz="4" w:space="0"/>
            </w:tcBorders>
          </w:tcPr>
          <w:p w14:paraId="4ECB9F6B">
            <w:pPr>
              <w:jc w:val="center"/>
              <w:rPr>
                <w:color w:val="000000" w:themeColor="text1"/>
                <w14:textFill>
                  <w14:solidFill>
                    <w14:schemeClr w14:val="tx1"/>
                  </w14:solidFill>
                </w14:textFill>
              </w:rPr>
            </w:pPr>
            <w:r>
              <w:t>母公司的控股子公司</w:t>
            </w:r>
          </w:p>
        </w:tc>
      </w:tr>
      <w:tr w14:paraId="53E9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6CB5372">
            <w:pPr>
              <w:rPr>
                <w:rFonts w:cs="Cambria"/>
              </w:rPr>
            </w:pPr>
            <w:r>
              <w:t>桃江新兴管件有限责任公司</w:t>
            </w:r>
          </w:p>
        </w:tc>
        <w:tc>
          <w:tcPr>
            <w:tcW w:w="2253" w:type="pct"/>
            <w:tcBorders>
              <w:top w:val="single" w:color="auto" w:sz="4" w:space="0"/>
              <w:left w:val="single" w:color="auto" w:sz="4" w:space="0"/>
              <w:bottom w:val="single" w:color="auto" w:sz="4" w:space="0"/>
              <w:right w:val="single" w:color="auto" w:sz="4" w:space="0"/>
            </w:tcBorders>
          </w:tcPr>
          <w:p w14:paraId="0D9D4944">
            <w:pPr>
              <w:jc w:val="center"/>
              <w:rPr>
                <w:color w:val="000000" w:themeColor="text1"/>
                <w14:textFill>
                  <w14:solidFill>
                    <w14:schemeClr w14:val="tx1"/>
                  </w14:solidFill>
                </w14:textFill>
              </w:rPr>
            </w:pPr>
            <w:r>
              <w:t>母公司的控股子公司</w:t>
            </w:r>
          </w:p>
        </w:tc>
      </w:tr>
      <w:tr w14:paraId="714E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B7A3F40">
            <w:pPr>
              <w:rPr>
                <w:rFonts w:cs="Cambria"/>
              </w:rPr>
            </w:pPr>
            <w:r>
              <w:t>聚联智汇水务科技有限公司</w:t>
            </w:r>
          </w:p>
        </w:tc>
        <w:tc>
          <w:tcPr>
            <w:tcW w:w="2253" w:type="pct"/>
            <w:tcBorders>
              <w:top w:val="single" w:color="auto" w:sz="4" w:space="0"/>
              <w:left w:val="single" w:color="auto" w:sz="4" w:space="0"/>
              <w:bottom w:val="single" w:color="auto" w:sz="4" w:space="0"/>
              <w:right w:val="single" w:color="auto" w:sz="4" w:space="0"/>
            </w:tcBorders>
          </w:tcPr>
          <w:p w14:paraId="365E63A9">
            <w:pPr>
              <w:jc w:val="center"/>
              <w:rPr>
                <w:color w:val="000000" w:themeColor="text1"/>
                <w14:textFill>
                  <w14:solidFill>
                    <w14:schemeClr w14:val="tx1"/>
                  </w14:solidFill>
                </w14:textFill>
              </w:rPr>
            </w:pPr>
            <w:r>
              <w:t>母公司的控股子公司</w:t>
            </w:r>
          </w:p>
        </w:tc>
      </w:tr>
      <w:tr w14:paraId="6B13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EAF41E3">
            <w:pPr>
              <w:rPr>
                <w:rFonts w:cs="Cambria"/>
              </w:rPr>
            </w:pPr>
            <w:r>
              <w:t>上海三五一六置业有限公司</w:t>
            </w:r>
          </w:p>
        </w:tc>
        <w:tc>
          <w:tcPr>
            <w:tcW w:w="2253" w:type="pct"/>
            <w:tcBorders>
              <w:top w:val="single" w:color="auto" w:sz="4" w:space="0"/>
              <w:left w:val="single" w:color="auto" w:sz="4" w:space="0"/>
              <w:bottom w:val="single" w:color="auto" w:sz="4" w:space="0"/>
              <w:right w:val="single" w:color="auto" w:sz="4" w:space="0"/>
            </w:tcBorders>
          </w:tcPr>
          <w:p w14:paraId="5B187BA0">
            <w:pPr>
              <w:jc w:val="center"/>
              <w:rPr>
                <w:color w:val="000000" w:themeColor="text1"/>
                <w14:textFill>
                  <w14:solidFill>
                    <w14:schemeClr w14:val="tx1"/>
                  </w14:solidFill>
                </w14:textFill>
              </w:rPr>
            </w:pPr>
            <w:r>
              <w:t>母公司的全资子公司</w:t>
            </w:r>
          </w:p>
        </w:tc>
      </w:tr>
      <w:tr w14:paraId="3E5F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43187C4">
            <w:pPr>
              <w:rPr>
                <w:rFonts w:cs="Cambria"/>
              </w:rPr>
            </w:pPr>
            <w:r>
              <w:t>广州新星投资发展有限公司</w:t>
            </w:r>
          </w:p>
        </w:tc>
        <w:tc>
          <w:tcPr>
            <w:tcW w:w="2253" w:type="pct"/>
            <w:tcBorders>
              <w:top w:val="single" w:color="auto" w:sz="4" w:space="0"/>
              <w:left w:val="single" w:color="auto" w:sz="4" w:space="0"/>
              <w:bottom w:val="single" w:color="auto" w:sz="4" w:space="0"/>
              <w:right w:val="single" w:color="auto" w:sz="4" w:space="0"/>
            </w:tcBorders>
          </w:tcPr>
          <w:p w14:paraId="2FA1349D">
            <w:pPr>
              <w:jc w:val="center"/>
              <w:rPr>
                <w:color w:val="000000" w:themeColor="text1"/>
                <w14:textFill>
                  <w14:solidFill>
                    <w14:schemeClr w14:val="tx1"/>
                  </w14:solidFill>
                </w14:textFill>
              </w:rPr>
            </w:pPr>
            <w:r>
              <w:t>母公司的全资子公司</w:t>
            </w:r>
          </w:p>
        </w:tc>
      </w:tr>
      <w:tr w14:paraId="7648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111293B1">
            <w:pPr>
              <w:rPr>
                <w:rFonts w:cs="Cambria"/>
              </w:rPr>
            </w:pPr>
            <w:r>
              <w:t>中新联进出口有限公司</w:t>
            </w:r>
          </w:p>
        </w:tc>
        <w:tc>
          <w:tcPr>
            <w:tcW w:w="2253" w:type="pct"/>
            <w:tcBorders>
              <w:top w:val="single" w:color="auto" w:sz="4" w:space="0"/>
              <w:left w:val="single" w:color="auto" w:sz="4" w:space="0"/>
              <w:bottom w:val="single" w:color="auto" w:sz="4" w:space="0"/>
              <w:right w:val="single" w:color="auto" w:sz="4" w:space="0"/>
            </w:tcBorders>
          </w:tcPr>
          <w:p w14:paraId="5DD95880">
            <w:pPr>
              <w:jc w:val="center"/>
              <w:rPr>
                <w:color w:val="000000" w:themeColor="text1"/>
                <w14:textFill>
                  <w14:solidFill>
                    <w14:schemeClr w14:val="tx1"/>
                  </w14:solidFill>
                </w14:textFill>
              </w:rPr>
            </w:pPr>
            <w:r>
              <w:t>母公司的全资子公司</w:t>
            </w:r>
          </w:p>
        </w:tc>
      </w:tr>
      <w:tr w14:paraId="526E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C9C59DA">
            <w:pPr>
              <w:rPr>
                <w:rFonts w:cs="Cambria"/>
              </w:rPr>
            </w:pPr>
            <w:r>
              <w:t>北京三五零一服装厂有限公司</w:t>
            </w:r>
          </w:p>
        </w:tc>
        <w:tc>
          <w:tcPr>
            <w:tcW w:w="2253" w:type="pct"/>
            <w:tcBorders>
              <w:top w:val="single" w:color="auto" w:sz="4" w:space="0"/>
              <w:left w:val="single" w:color="auto" w:sz="4" w:space="0"/>
              <w:bottom w:val="single" w:color="auto" w:sz="4" w:space="0"/>
              <w:right w:val="single" w:color="auto" w:sz="4" w:space="0"/>
            </w:tcBorders>
          </w:tcPr>
          <w:p w14:paraId="1012EDD5">
            <w:pPr>
              <w:jc w:val="center"/>
              <w:rPr>
                <w:color w:val="000000" w:themeColor="text1"/>
                <w14:textFill>
                  <w14:solidFill>
                    <w14:schemeClr w14:val="tx1"/>
                  </w14:solidFill>
                </w14:textFill>
              </w:rPr>
            </w:pPr>
            <w:r>
              <w:t>母公司的全资子公司</w:t>
            </w:r>
          </w:p>
        </w:tc>
      </w:tr>
      <w:tr w14:paraId="1D34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6870C80">
            <w:pPr>
              <w:rPr>
                <w:rFonts w:cs="Cambria"/>
              </w:rPr>
            </w:pPr>
            <w:r>
              <w:t>武汉际华园投资建设有限公司</w:t>
            </w:r>
          </w:p>
        </w:tc>
        <w:tc>
          <w:tcPr>
            <w:tcW w:w="2253" w:type="pct"/>
            <w:tcBorders>
              <w:top w:val="single" w:color="auto" w:sz="4" w:space="0"/>
              <w:left w:val="single" w:color="auto" w:sz="4" w:space="0"/>
              <w:bottom w:val="single" w:color="auto" w:sz="4" w:space="0"/>
              <w:right w:val="single" w:color="auto" w:sz="4" w:space="0"/>
            </w:tcBorders>
          </w:tcPr>
          <w:p w14:paraId="1B83A61C">
            <w:pPr>
              <w:jc w:val="center"/>
              <w:rPr>
                <w:color w:val="000000" w:themeColor="text1"/>
                <w14:textFill>
                  <w14:solidFill>
                    <w14:schemeClr w14:val="tx1"/>
                  </w14:solidFill>
                </w14:textFill>
              </w:rPr>
            </w:pPr>
            <w:r>
              <w:t>母公司的全资子公司</w:t>
            </w:r>
          </w:p>
        </w:tc>
      </w:tr>
      <w:tr w14:paraId="6A6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141E00E">
            <w:pPr>
              <w:rPr>
                <w:rFonts w:cs="Cambria"/>
              </w:rPr>
            </w:pPr>
            <w:r>
              <w:t>咸阳际华投资发展有限公司</w:t>
            </w:r>
          </w:p>
        </w:tc>
        <w:tc>
          <w:tcPr>
            <w:tcW w:w="2253" w:type="pct"/>
            <w:tcBorders>
              <w:top w:val="single" w:color="auto" w:sz="4" w:space="0"/>
              <w:left w:val="single" w:color="auto" w:sz="4" w:space="0"/>
              <w:bottom w:val="single" w:color="auto" w:sz="4" w:space="0"/>
              <w:right w:val="single" w:color="auto" w:sz="4" w:space="0"/>
            </w:tcBorders>
          </w:tcPr>
          <w:p w14:paraId="71C37D39">
            <w:pPr>
              <w:jc w:val="center"/>
              <w:rPr>
                <w:color w:val="000000" w:themeColor="text1"/>
                <w14:textFill>
                  <w14:solidFill>
                    <w14:schemeClr w14:val="tx1"/>
                  </w14:solidFill>
                </w14:textFill>
              </w:rPr>
            </w:pPr>
            <w:r>
              <w:t>母公司的控股子公司</w:t>
            </w:r>
          </w:p>
        </w:tc>
      </w:tr>
      <w:tr w14:paraId="4458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32BF6D3">
            <w:pPr>
              <w:rPr>
                <w:rFonts w:cs="Cambria"/>
              </w:rPr>
            </w:pPr>
            <w:r>
              <w:t>汉川际华三五零九置业有限公司</w:t>
            </w:r>
          </w:p>
        </w:tc>
        <w:tc>
          <w:tcPr>
            <w:tcW w:w="2253" w:type="pct"/>
            <w:tcBorders>
              <w:top w:val="single" w:color="auto" w:sz="4" w:space="0"/>
              <w:left w:val="single" w:color="auto" w:sz="4" w:space="0"/>
              <w:bottom w:val="single" w:color="auto" w:sz="4" w:space="0"/>
              <w:right w:val="single" w:color="auto" w:sz="4" w:space="0"/>
            </w:tcBorders>
          </w:tcPr>
          <w:p w14:paraId="4BCF8547">
            <w:pPr>
              <w:jc w:val="center"/>
              <w:rPr>
                <w:color w:val="000000" w:themeColor="text1"/>
                <w14:textFill>
                  <w14:solidFill>
                    <w14:schemeClr w14:val="tx1"/>
                  </w14:solidFill>
                </w14:textFill>
              </w:rPr>
            </w:pPr>
            <w:r>
              <w:t>母公司的控股子公司</w:t>
            </w:r>
          </w:p>
        </w:tc>
      </w:tr>
      <w:tr w14:paraId="3B5C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3EC9980">
            <w:pPr>
              <w:rPr>
                <w:rFonts w:cs="Cambria"/>
              </w:rPr>
            </w:pPr>
            <w:r>
              <w:t>新兴际华检验检测（北京）有限公司</w:t>
            </w:r>
          </w:p>
        </w:tc>
        <w:tc>
          <w:tcPr>
            <w:tcW w:w="2253" w:type="pct"/>
            <w:tcBorders>
              <w:top w:val="single" w:color="auto" w:sz="4" w:space="0"/>
              <w:left w:val="single" w:color="auto" w:sz="4" w:space="0"/>
              <w:bottom w:val="single" w:color="auto" w:sz="4" w:space="0"/>
              <w:right w:val="single" w:color="auto" w:sz="4" w:space="0"/>
            </w:tcBorders>
          </w:tcPr>
          <w:p w14:paraId="355A152C">
            <w:pPr>
              <w:jc w:val="center"/>
              <w:rPr>
                <w:color w:val="000000" w:themeColor="text1"/>
                <w14:textFill>
                  <w14:solidFill>
                    <w14:schemeClr w14:val="tx1"/>
                  </w14:solidFill>
                </w14:textFill>
              </w:rPr>
            </w:pPr>
            <w:r>
              <w:t>母公司的控股子公司</w:t>
            </w:r>
          </w:p>
        </w:tc>
      </w:tr>
      <w:tr w14:paraId="6FA9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D921BD6">
            <w:pPr>
              <w:rPr>
                <w:rFonts w:cs="Cambria"/>
              </w:rPr>
            </w:pPr>
            <w:r>
              <w:t>天津双鹿大厦有限公司</w:t>
            </w:r>
          </w:p>
        </w:tc>
        <w:tc>
          <w:tcPr>
            <w:tcW w:w="2253" w:type="pct"/>
            <w:tcBorders>
              <w:top w:val="single" w:color="auto" w:sz="4" w:space="0"/>
              <w:left w:val="single" w:color="auto" w:sz="4" w:space="0"/>
              <w:bottom w:val="single" w:color="auto" w:sz="4" w:space="0"/>
              <w:right w:val="single" w:color="auto" w:sz="4" w:space="0"/>
            </w:tcBorders>
          </w:tcPr>
          <w:p w14:paraId="2A10BABB">
            <w:pPr>
              <w:jc w:val="center"/>
              <w:rPr>
                <w:color w:val="000000" w:themeColor="text1"/>
                <w14:textFill>
                  <w14:solidFill>
                    <w14:schemeClr w14:val="tx1"/>
                  </w14:solidFill>
                </w14:textFill>
              </w:rPr>
            </w:pPr>
            <w:r>
              <w:t>母公司的控股子公司</w:t>
            </w:r>
          </w:p>
        </w:tc>
      </w:tr>
      <w:tr w14:paraId="7166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64AB2AA">
            <w:pPr>
              <w:rPr>
                <w:rFonts w:cs="Cambria"/>
              </w:rPr>
            </w:pPr>
            <w:r>
              <w:t>南京际华五三零二科技发展有限公司</w:t>
            </w:r>
          </w:p>
        </w:tc>
        <w:tc>
          <w:tcPr>
            <w:tcW w:w="2253" w:type="pct"/>
            <w:tcBorders>
              <w:top w:val="single" w:color="auto" w:sz="4" w:space="0"/>
              <w:left w:val="single" w:color="auto" w:sz="4" w:space="0"/>
              <w:bottom w:val="single" w:color="auto" w:sz="4" w:space="0"/>
              <w:right w:val="single" w:color="auto" w:sz="4" w:space="0"/>
            </w:tcBorders>
          </w:tcPr>
          <w:p w14:paraId="068D3D77">
            <w:pPr>
              <w:jc w:val="center"/>
              <w:rPr>
                <w:color w:val="000000" w:themeColor="text1"/>
                <w14:textFill>
                  <w14:solidFill>
                    <w14:schemeClr w14:val="tx1"/>
                  </w14:solidFill>
                </w14:textFill>
              </w:rPr>
            </w:pPr>
            <w:r>
              <w:t>母公司的控股子公司</w:t>
            </w:r>
          </w:p>
        </w:tc>
      </w:tr>
      <w:tr w14:paraId="5F0C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5786042C">
            <w:pPr>
              <w:rPr>
                <w:rFonts w:cs="Cambria"/>
              </w:rPr>
            </w:pPr>
            <w:r>
              <w:t>广东际华园投资发展有限公司</w:t>
            </w:r>
          </w:p>
        </w:tc>
        <w:tc>
          <w:tcPr>
            <w:tcW w:w="2253" w:type="pct"/>
            <w:tcBorders>
              <w:top w:val="single" w:color="auto" w:sz="4" w:space="0"/>
              <w:left w:val="single" w:color="auto" w:sz="4" w:space="0"/>
              <w:bottom w:val="single" w:color="auto" w:sz="4" w:space="0"/>
              <w:right w:val="single" w:color="auto" w:sz="4" w:space="0"/>
            </w:tcBorders>
          </w:tcPr>
          <w:p w14:paraId="4D220EA1">
            <w:pPr>
              <w:jc w:val="center"/>
              <w:rPr>
                <w:color w:val="000000" w:themeColor="text1"/>
                <w14:textFill>
                  <w14:solidFill>
                    <w14:schemeClr w14:val="tx1"/>
                  </w14:solidFill>
                </w14:textFill>
              </w:rPr>
            </w:pPr>
            <w:r>
              <w:t>母公司的全资子公司</w:t>
            </w:r>
          </w:p>
        </w:tc>
      </w:tr>
      <w:tr w14:paraId="24B0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570116A">
            <w:pPr>
              <w:rPr>
                <w:rFonts w:cs="Cambria"/>
              </w:rPr>
            </w:pPr>
            <w:r>
              <w:t>新兴际华（岳阳）投资发展有限公司</w:t>
            </w:r>
          </w:p>
        </w:tc>
        <w:tc>
          <w:tcPr>
            <w:tcW w:w="2253" w:type="pct"/>
            <w:tcBorders>
              <w:top w:val="single" w:color="auto" w:sz="4" w:space="0"/>
              <w:left w:val="single" w:color="auto" w:sz="4" w:space="0"/>
              <w:bottom w:val="single" w:color="auto" w:sz="4" w:space="0"/>
              <w:right w:val="single" w:color="auto" w:sz="4" w:space="0"/>
            </w:tcBorders>
          </w:tcPr>
          <w:p w14:paraId="7AE2ADDA">
            <w:pPr>
              <w:jc w:val="center"/>
              <w:rPr>
                <w:color w:val="000000" w:themeColor="text1"/>
                <w14:textFill>
                  <w14:solidFill>
                    <w14:schemeClr w14:val="tx1"/>
                  </w14:solidFill>
                </w14:textFill>
              </w:rPr>
            </w:pPr>
            <w:r>
              <w:t>母公司的控股子公司</w:t>
            </w:r>
          </w:p>
        </w:tc>
      </w:tr>
      <w:tr w14:paraId="3A4E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A79A89B">
            <w:pPr>
              <w:rPr>
                <w:rFonts w:cs="Cambria"/>
              </w:rPr>
            </w:pPr>
            <w:r>
              <w:t>际华军研（北京）特种装备科技有限公司</w:t>
            </w:r>
          </w:p>
        </w:tc>
        <w:tc>
          <w:tcPr>
            <w:tcW w:w="2253" w:type="pct"/>
            <w:tcBorders>
              <w:top w:val="single" w:color="auto" w:sz="4" w:space="0"/>
              <w:left w:val="single" w:color="auto" w:sz="4" w:space="0"/>
              <w:bottom w:val="single" w:color="auto" w:sz="4" w:space="0"/>
              <w:right w:val="single" w:color="auto" w:sz="4" w:space="0"/>
            </w:tcBorders>
          </w:tcPr>
          <w:p w14:paraId="11D2411E">
            <w:pPr>
              <w:jc w:val="center"/>
              <w:rPr>
                <w:color w:val="000000" w:themeColor="text1"/>
                <w14:textFill>
                  <w14:solidFill>
                    <w14:schemeClr w14:val="tx1"/>
                  </w14:solidFill>
                </w14:textFill>
              </w:rPr>
            </w:pPr>
            <w:r>
              <w:t>母公司的控股子公司</w:t>
            </w:r>
          </w:p>
        </w:tc>
      </w:tr>
      <w:tr w14:paraId="08EB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46062F2">
            <w:pPr>
              <w:rPr>
                <w:rFonts w:cs="Cambria"/>
              </w:rPr>
            </w:pPr>
            <w:r>
              <w:t>南京新际资产运营有限公司</w:t>
            </w:r>
          </w:p>
        </w:tc>
        <w:tc>
          <w:tcPr>
            <w:tcW w:w="2253" w:type="pct"/>
            <w:tcBorders>
              <w:top w:val="single" w:color="auto" w:sz="4" w:space="0"/>
              <w:left w:val="single" w:color="auto" w:sz="4" w:space="0"/>
              <w:bottom w:val="single" w:color="auto" w:sz="4" w:space="0"/>
              <w:right w:val="single" w:color="auto" w:sz="4" w:space="0"/>
            </w:tcBorders>
          </w:tcPr>
          <w:p w14:paraId="0E619725">
            <w:pPr>
              <w:jc w:val="center"/>
              <w:rPr>
                <w:color w:val="000000" w:themeColor="text1"/>
                <w14:textFill>
                  <w14:solidFill>
                    <w14:schemeClr w14:val="tx1"/>
                  </w14:solidFill>
                </w14:textFill>
              </w:rPr>
            </w:pPr>
            <w:r>
              <w:t>母公司的控股子公司</w:t>
            </w:r>
          </w:p>
        </w:tc>
      </w:tr>
      <w:tr w14:paraId="0A0D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552578AF">
            <w:pPr>
              <w:rPr>
                <w:rFonts w:cs="Cambria"/>
              </w:rPr>
            </w:pPr>
            <w:r>
              <w:t>际华三五二三特种装备有限公司</w:t>
            </w:r>
          </w:p>
        </w:tc>
        <w:tc>
          <w:tcPr>
            <w:tcW w:w="2253" w:type="pct"/>
            <w:tcBorders>
              <w:top w:val="single" w:color="auto" w:sz="4" w:space="0"/>
              <w:left w:val="single" w:color="auto" w:sz="4" w:space="0"/>
              <w:bottom w:val="single" w:color="auto" w:sz="4" w:space="0"/>
              <w:right w:val="single" w:color="auto" w:sz="4" w:space="0"/>
            </w:tcBorders>
          </w:tcPr>
          <w:p w14:paraId="5687A4BC">
            <w:pPr>
              <w:jc w:val="center"/>
              <w:rPr>
                <w:color w:val="000000" w:themeColor="text1"/>
                <w14:textFill>
                  <w14:solidFill>
                    <w14:schemeClr w14:val="tx1"/>
                  </w14:solidFill>
                </w14:textFill>
              </w:rPr>
            </w:pPr>
            <w:r>
              <w:t>母公司的全资子公司</w:t>
            </w:r>
          </w:p>
        </w:tc>
      </w:tr>
      <w:tr w14:paraId="3724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5188421A">
            <w:pPr>
              <w:rPr>
                <w:rFonts w:cs="Cambria"/>
              </w:rPr>
            </w:pPr>
            <w:r>
              <w:t>新兴铸管国际发展有限公司</w:t>
            </w:r>
          </w:p>
        </w:tc>
        <w:tc>
          <w:tcPr>
            <w:tcW w:w="2253" w:type="pct"/>
            <w:tcBorders>
              <w:top w:val="single" w:color="auto" w:sz="4" w:space="0"/>
              <w:left w:val="single" w:color="auto" w:sz="4" w:space="0"/>
              <w:bottom w:val="single" w:color="auto" w:sz="4" w:space="0"/>
              <w:right w:val="single" w:color="auto" w:sz="4" w:space="0"/>
            </w:tcBorders>
          </w:tcPr>
          <w:p w14:paraId="5AEF2669">
            <w:pPr>
              <w:jc w:val="center"/>
              <w:rPr>
                <w:color w:val="000000" w:themeColor="text1"/>
                <w14:textFill>
                  <w14:solidFill>
                    <w14:schemeClr w14:val="tx1"/>
                  </w14:solidFill>
                </w14:textFill>
              </w:rPr>
            </w:pPr>
            <w:r>
              <w:t>母公司的控股子公司</w:t>
            </w:r>
          </w:p>
        </w:tc>
      </w:tr>
      <w:tr w14:paraId="0F50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65B4685">
            <w:pPr>
              <w:rPr>
                <w:rFonts w:cs="Cambria"/>
              </w:rPr>
            </w:pPr>
            <w:r>
              <w:t>新兴际华伊犁农牧科技发展有限公司</w:t>
            </w:r>
          </w:p>
        </w:tc>
        <w:tc>
          <w:tcPr>
            <w:tcW w:w="2253" w:type="pct"/>
            <w:tcBorders>
              <w:top w:val="single" w:color="auto" w:sz="4" w:space="0"/>
              <w:left w:val="single" w:color="auto" w:sz="4" w:space="0"/>
              <w:bottom w:val="single" w:color="auto" w:sz="4" w:space="0"/>
              <w:right w:val="single" w:color="auto" w:sz="4" w:space="0"/>
            </w:tcBorders>
          </w:tcPr>
          <w:p w14:paraId="1E3C3C35">
            <w:pPr>
              <w:jc w:val="center"/>
              <w:rPr>
                <w:color w:val="000000" w:themeColor="text1"/>
                <w14:textFill>
                  <w14:solidFill>
                    <w14:schemeClr w14:val="tx1"/>
                  </w14:solidFill>
                </w14:textFill>
              </w:rPr>
            </w:pPr>
            <w:r>
              <w:t>母公司的控股子公司</w:t>
            </w:r>
          </w:p>
        </w:tc>
      </w:tr>
      <w:tr w14:paraId="0805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EC4EC2F">
            <w:pPr>
              <w:rPr>
                <w:rFonts w:cs="Cambria"/>
              </w:rPr>
            </w:pPr>
            <w:r>
              <w:t>襄阳新兴际华投资发展有限公司</w:t>
            </w:r>
          </w:p>
        </w:tc>
        <w:tc>
          <w:tcPr>
            <w:tcW w:w="2253" w:type="pct"/>
            <w:tcBorders>
              <w:top w:val="single" w:color="auto" w:sz="4" w:space="0"/>
              <w:left w:val="single" w:color="auto" w:sz="4" w:space="0"/>
              <w:bottom w:val="single" w:color="auto" w:sz="4" w:space="0"/>
              <w:right w:val="single" w:color="auto" w:sz="4" w:space="0"/>
            </w:tcBorders>
          </w:tcPr>
          <w:p w14:paraId="4576411B">
            <w:pPr>
              <w:jc w:val="center"/>
              <w:rPr>
                <w:color w:val="000000" w:themeColor="text1"/>
                <w14:textFill>
                  <w14:solidFill>
                    <w14:schemeClr w14:val="tx1"/>
                  </w14:solidFill>
                </w14:textFill>
              </w:rPr>
            </w:pPr>
            <w:r>
              <w:t>母公司的控股子公司</w:t>
            </w:r>
          </w:p>
        </w:tc>
      </w:tr>
      <w:tr w14:paraId="0090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67AA11A">
            <w:pPr>
              <w:rPr>
                <w:rFonts w:cs="Cambria"/>
              </w:rPr>
            </w:pPr>
            <w:r>
              <w:t>南京三五〇三投资发展有限公司</w:t>
            </w:r>
          </w:p>
        </w:tc>
        <w:tc>
          <w:tcPr>
            <w:tcW w:w="2253" w:type="pct"/>
            <w:tcBorders>
              <w:top w:val="single" w:color="auto" w:sz="4" w:space="0"/>
              <w:left w:val="single" w:color="auto" w:sz="4" w:space="0"/>
              <w:bottom w:val="single" w:color="auto" w:sz="4" w:space="0"/>
              <w:right w:val="single" w:color="auto" w:sz="4" w:space="0"/>
            </w:tcBorders>
          </w:tcPr>
          <w:p w14:paraId="1A531237">
            <w:pPr>
              <w:jc w:val="center"/>
              <w:rPr>
                <w:color w:val="000000" w:themeColor="text1"/>
                <w14:textFill>
                  <w14:solidFill>
                    <w14:schemeClr w14:val="tx1"/>
                  </w14:solidFill>
                </w14:textFill>
              </w:rPr>
            </w:pPr>
            <w:r>
              <w:t>母公司的控股子公司</w:t>
            </w:r>
          </w:p>
        </w:tc>
      </w:tr>
      <w:tr w14:paraId="0CFC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B154789">
            <w:pPr>
              <w:rPr>
                <w:rFonts w:cs="Cambria"/>
              </w:rPr>
            </w:pPr>
            <w:r>
              <w:t>新兴铸管集团邯郸新材料有限公司</w:t>
            </w:r>
          </w:p>
        </w:tc>
        <w:tc>
          <w:tcPr>
            <w:tcW w:w="2253" w:type="pct"/>
            <w:tcBorders>
              <w:top w:val="single" w:color="auto" w:sz="4" w:space="0"/>
              <w:left w:val="single" w:color="auto" w:sz="4" w:space="0"/>
              <w:bottom w:val="single" w:color="auto" w:sz="4" w:space="0"/>
              <w:right w:val="single" w:color="auto" w:sz="4" w:space="0"/>
            </w:tcBorders>
          </w:tcPr>
          <w:p w14:paraId="6EF34B94">
            <w:pPr>
              <w:jc w:val="center"/>
              <w:rPr>
                <w:color w:val="000000" w:themeColor="text1"/>
                <w14:textFill>
                  <w14:solidFill>
                    <w14:schemeClr w14:val="tx1"/>
                  </w14:solidFill>
                </w14:textFill>
              </w:rPr>
            </w:pPr>
            <w:r>
              <w:t>母公司的控股子公司</w:t>
            </w:r>
          </w:p>
        </w:tc>
      </w:tr>
      <w:tr w14:paraId="099D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6D891F0">
            <w:pPr>
              <w:rPr>
                <w:rFonts w:cs="Cambria"/>
              </w:rPr>
            </w:pPr>
            <w:r>
              <w:t>新兴际华集团财务有限公司</w:t>
            </w:r>
          </w:p>
        </w:tc>
        <w:tc>
          <w:tcPr>
            <w:tcW w:w="2253" w:type="pct"/>
            <w:tcBorders>
              <w:top w:val="single" w:color="auto" w:sz="4" w:space="0"/>
              <w:left w:val="single" w:color="auto" w:sz="4" w:space="0"/>
              <w:bottom w:val="single" w:color="auto" w:sz="4" w:space="0"/>
              <w:right w:val="single" w:color="auto" w:sz="4" w:space="0"/>
            </w:tcBorders>
          </w:tcPr>
          <w:p w14:paraId="6AB29BBB">
            <w:pPr>
              <w:jc w:val="center"/>
              <w:rPr>
                <w:color w:val="000000" w:themeColor="text1"/>
                <w14:textFill>
                  <w14:solidFill>
                    <w14:schemeClr w14:val="tx1"/>
                  </w14:solidFill>
                </w14:textFill>
              </w:rPr>
            </w:pPr>
            <w:r>
              <w:t>母公司的全资子公司</w:t>
            </w:r>
          </w:p>
        </w:tc>
      </w:tr>
      <w:tr w14:paraId="2BD6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6CF2B8A">
            <w:pPr>
              <w:rPr>
                <w:rFonts w:cs="Cambria"/>
              </w:rPr>
            </w:pPr>
            <w:r>
              <w:t>北京三兴汽车有限公司</w:t>
            </w:r>
          </w:p>
        </w:tc>
        <w:tc>
          <w:tcPr>
            <w:tcW w:w="2253" w:type="pct"/>
            <w:tcBorders>
              <w:top w:val="single" w:color="auto" w:sz="4" w:space="0"/>
              <w:left w:val="single" w:color="auto" w:sz="4" w:space="0"/>
              <w:bottom w:val="single" w:color="auto" w:sz="4" w:space="0"/>
              <w:right w:val="single" w:color="auto" w:sz="4" w:space="0"/>
            </w:tcBorders>
          </w:tcPr>
          <w:p w14:paraId="21387ADF">
            <w:pPr>
              <w:jc w:val="center"/>
              <w:rPr>
                <w:color w:val="000000" w:themeColor="text1"/>
                <w14:textFill>
                  <w14:solidFill>
                    <w14:schemeClr w14:val="tx1"/>
                  </w14:solidFill>
                </w14:textFill>
              </w:rPr>
            </w:pPr>
            <w:r>
              <w:t>母公司的全资子公司</w:t>
            </w:r>
          </w:p>
        </w:tc>
      </w:tr>
      <w:tr w14:paraId="5657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CFC6FFF">
            <w:pPr>
              <w:rPr>
                <w:rFonts w:cs="Cambria"/>
              </w:rPr>
            </w:pPr>
            <w:r>
              <w:t>天津金汇药业集团有限公司</w:t>
            </w:r>
          </w:p>
        </w:tc>
        <w:tc>
          <w:tcPr>
            <w:tcW w:w="2253" w:type="pct"/>
            <w:tcBorders>
              <w:top w:val="single" w:color="auto" w:sz="4" w:space="0"/>
              <w:left w:val="single" w:color="auto" w:sz="4" w:space="0"/>
              <w:bottom w:val="single" w:color="auto" w:sz="4" w:space="0"/>
              <w:right w:val="single" w:color="auto" w:sz="4" w:space="0"/>
            </w:tcBorders>
          </w:tcPr>
          <w:p w14:paraId="268419A2">
            <w:pPr>
              <w:jc w:val="center"/>
              <w:rPr>
                <w:color w:val="000000" w:themeColor="text1"/>
                <w14:textFill>
                  <w14:solidFill>
                    <w14:schemeClr w14:val="tx1"/>
                  </w14:solidFill>
                </w14:textFill>
              </w:rPr>
            </w:pPr>
            <w:r>
              <w:t>母公司的控股子公司</w:t>
            </w:r>
          </w:p>
        </w:tc>
      </w:tr>
      <w:tr w14:paraId="4192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16F9EF1">
            <w:pPr>
              <w:rPr>
                <w:rFonts w:cs="Cambria"/>
              </w:rPr>
            </w:pPr>
            <w:r>
              <w:t>财富嘉苑（天津）置业有限公司</w:t>
            </w:r>
          </w:p>
        </w:tc>
        <w:tc>
          <w:tcPr>
            <w:tcW w:w="2253" w:type="pct"/>
            <w:tcBorders>
              <w:top w:val="single" w:color="auto" w:sz="4" w:space="0"/>
              <w:left w:val="single" w:color="auto" w:sz="4" w:space="0"/>
              <w:bottom w:val="single" w:color="auto" w:sz="4" w:space="0"/>
              <w:right w:val="single" w:color="auto" w:sz="4" w:space="0"/>
            </w:tcBorders>
          </w:tcPr>
          <w:p w14:paraId="540BA678">
            <w:pPr>
              <w:jc w:val="center"/>
              <w:rPr>
                <w:color w:val="000000" w:themeColor="text1"/>
                <w14:textFill>
                  <w14:solidFill>
                    <w14:schemeClr w14:val="tx1"/>
                  </w14:solidFill>
                </w14:textFill>
              </w:rPr>
            </w:pPr>
            <w:r>
              <w:t>母公司的全资子公司</w:t>
            </w:r>
          </w:p>
        </w:tc>
      </w:tr>
      <w:tr w14:paraId="7A8B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5E05636">
            <w:pPr>
              <w:rPr>
                <w:rFonts w:cs="Cambria"/>
              </w:rPr>
            </w:pPr>
            <w:r>
              <w:t>新兴铸管阜康能源有限公司</w:t>
            </w:r>
          </w:p>
        </w:tc>
        <w:tc>
          <w:tcPr>
            <w:tcW w:w="2253" w:type="pct"/>
            <w:tcBorders>
              <w:top w:val="single" w:color="auto" w:sz="4" w:space="0"/>
              <w:left w:val="single" w:color="auto" w:sz="4" w:space="0"/>
              <w:bottom w:val="single" w:color="auto" w:sz="4" w:space="0"/>
              <w:right w:val="single" w:color="auto" w:sz="4" w:space="0"/>
            </w:tcBorders>
          </w:tcPr>
          <w:p w14:paraId="31CE76FA">
            <w:pPr>
              <w:jc w:val="center"/>
              <w:rPr>
                <w:color w:val="000000" w:themeColor="text1"/>
                <w14:textFill>
                  <w14:solidFill>
                    <w14:schemeClr w14:val="tx1"/>
                  </w14:solidFill>
                </w14:textFill>
              </w:rPr>
            </w:pPr>
            <w:r>
              <w:t>母公司的控股子公司</w:t>
            </w:r>
          </w:p>
        </w:tc>
      </w:tr>
      <w:tr w14:paraId="3979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5A3E84D5">
            <w:pPr>
              <w:rPr>
                <w:rFonts w:cs="Cambria"/>
              </w:rPr>
            </w:pPr>
            <w:r>
              <w:t>中铸新兴企业管理有限公司</w:t>
            </w:r>
          </w:p>
        </w:tc>
        <w:tc>
          <w:tcPr>
            <w:tcW w:w="2253" w:type="pct"/>
            <w:tcBorders>
              <w:top w:val="single" w:color="auto" w:sz="4" w:space="0"/>
              <w:left w:val="single" w:color="auto" w:sz="4" w:space="0"/>
              <w:bottom w:val="single" w:color="auto" w:sz="4" w:space="0"/>
              <w:right w:val="single" w:color="auto" w:sz="4" w:space="0"/>
            </w:tcBorders>
          </w:tcPr>
          <w:p w14:paraId="4595EF07">
            <w:pPr>
              <w:jc w:val="center"/>
              <w:rPr>
                <w:color w:val="000000" w:themeColor="text1"/>
                <w14:textFill>
                  <w14:solidFill>
                    <w14:schemeClr w14:val="tx1"/>
                  </w14:solidFill>
                </w14:textFill>
              </w:rPr>
            </w:pPr>
            <w:r>
              <w:t>母公司的控股子公司</w:t>
            </w:r>
          </w:p>
        </w:tc>
      </w:tr>
      <w:tr w14:paraId="4898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3E833C64">
            <w:pPr>
              <w:rPr>
                <w:rFonts w:cs="Cambria"/>
              </w:rPr>
            </w:pPr>
            <w:r>
              <w:t>新兴铸管股份有限公司</w:t>
            </w:r>
          </w:p>
        </w:tc>
        <w:tc>
          <w:tcPr>
            <w:tcW w:w="2253" w:type="pct"/>
            <w:tcBorders>
              <w:top w:val="single" w:color="auto" w:sz="4" w:space="0"/>
              <w:left w:val="single" w:color="auto" w:sz="4" w:space="0"/>
              <w:bottom w:val="single" w:color="auto" w:sz="4" w:space="0"/>
              <w:right w:val="single" w:color="auto" w:sz="4" w:space="0"/>
            </w:tcBorders>
          </w:tcPr>
          <w:p w14:paraId="3F432AD4">
            <w:pPr>
              <w:jc w:val="center"/>
              <w:rPr>
                <w:color w:val="000000" w:themeColor="text1"/>
                <w14:textFill>
                  <w14:solidFill>
                    <w14:schemeClr w14:val="tx1"/>
                  </w14:solidFill>
                </w14:textFill>
              </w:rPr>
            </w:pPr>
            <w:r>
              <w:t>母公司的控股子公司</w:t>
            </w:r>
          </w:p>
        </w:tc>
      </w:tr>
      <w:tr w14:paraId="51CF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972DCB6">
            <w:pPr>
              <w:rPr>
                <w:rFonts w:cs="Cambria"/>
              </w:rPr>
            </w:pPr>
            <w:r>
              <w:t>新兴发展（北京）国际贸易有限公司</w:t>
            </w:r>
          </w:p>
        </w:tc>
        <w:tc>
          <w:tcPr>
            <w:tcW w:w="2253" w:type="pct"/>
            <w:tcBorders>
              <w:top w:val="single" w:color="auto" w:sz="4" w:space="0"/>
              <w:left w:val="single" w:color="auto" w:sz="4" w:space="0"/>
              <w:bottom w:val="single" w:color="auto" w:sz="4" w:space="0"/>
              <w:right w:val="single" w:color="auto" w:sz="4" w:space="0"/>
            </w:tcBorders>
          </w:tcPr>
          <w:p w14:paraId="6AAF8E17">
            <w:pPr>
              <w:jc w:val="center"/>
              <w:rPr>
                <w:color w:val="000000" w:themeColor="text1"/>
                <w14:textFill>
                  <w14:solidFill>
                    <w14:schemeClr w14:val="tx1"/>
                  </w14:solidFill>
                </w14:textFill>
              </w:rPr>
            </w:pPr>
            <w:r>
              <w:t>母公司的全资子公司</w:t>
            </w:r>
          </w:p>
        </w:tc>
      </w:tr>
      <w:tr w14:paraId="11C7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1F95ADD6">
            <w:pPr>
              <w:rPr>
                <w:rFonts w:cs="Cambria"/>
              </w:rPr>
            </w:pPr>
            <w:r>
              <w:t>广东新兴发展供应链管理有限公司</w:t>
            </w:r>
          </w:p>
        </w:tc>
        <w:tc>
          <w:tcPr>
            <w:tcW w:w="2253" w:type="pct"/>
            <w:tcBorders>
              <w:top w:val="single" w:color="auto" w:sz="4" w:space="0"/>
              <w:left w:val="single" w:color="auto" w:sz="4" w:space="0"/>
              <w:bottom w:val="single" w:color="auto" w:sz="4" w:space="0"/>
              <w:right w:val="single" w:color="auto" w:sz="4" w:space="0"/>
            </w:tcBorders>
          </w:tcPr>
          <w:p w14:paraId="716A91C7">
            <w:pPr>
              <w:jc w:val="center"/>
              <w:rPr>
                <w:color w:val="000000" w:themeColor="text1"/>
                <w14:textFill>
                  <w14:solidFill>
                    <w14:schemeClr w14:val="tx1"/>
                  </w14:solidFill>
                </w14:textFill>
              </w:rPr>
            </w:pPr>
            <w:r>
              <w:t>母公司的控股子公司</w:t>
            </w:r>
          </w:p>
        </w:tc>
      </w:tr>
      <w:tr w14:paraId="3B14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50ECBCB">
            <w:pPr>
              <w:rPr>
                <w:rFonts w:cs="Cambria"/>
              </w:rPr>
            </w:pPr>
            <w:r>
              <w:t>贵港新兴城投有限责任公司</w:t>
            </w:r>
          </w:p>
        </w:tc>
        <w:tc>
          <w:tcPr>
            <w:tcW w:w="2253" w:type="pct"/>
            <w:tcBorders>
              <w:top w:val="single" w:color="auto" w:sz="4" w:space="0"/>
              <w:left w:val="single" w:color="auto" w:sz="4" w:space="0"/>
              <w:bottom w:val="single" w:color="auto" w:sz="4" w:space="0"/>
              <w:right w:val="single" w:color="auto" w:sz="4" w:space="0"/>
            </w:tcBorders>
          </w:tcPr>
          <w:p w14:paraId="2EE8C322">
            <w:pPr>
              <w:jc w:val="center"/>
              <w:rPr>
                <w:color w:val="000000" w:themeColor="text1"/>
                <w14:textFill>
                  <w14:solidFill>
                    <w14:schemeClr w14:val="tx1"/>
                  </w14:solidFill>
                </w14:textFill>
              </w:rPr>
            </w:pPr>
            <w:r>
              <w:t>母公司的全资子公司</w:t>
            </w:r>
          </w:p>
        </w:tc>
      </w:tr>
      <w:tr w14:paraId="596A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485E107">
            <w:pPr>
              <w:rPr>
                <w:rFonts w:cs="Cambria"/>
              </w:rPr>
            </w:pPr>
            <w:r>
              <w:t>新兴际华（上海）工程科技研究院有限公司</w:t>
            </w:r>
          </w:p>
        </w:tc>
        <w:tc>
          <w:tcPr>
            <w:tcW w:w="2253" w:type="pct"/>
            <w:tcBorders>
              <w:top w:val="single" w:color="auto" w:sz="4" w:space="0"/>
              <w:left w:val="single" w:color="auto" w:sz="4" w:space="0"/>
              <w:bottom w:val="single" w:color="auto" w:sz="4" w:space="0"/>
              <w:right w:val="single" w:color="auto" w:sz="4" w:space="0"/>
            </w:tcBorders>
          </w:tcPr>
          <w:p w14:paraId="5C258515">
            <w:pPr>
              <w:jc w:val="center"/>
              <w:rPr>
                <w:color w:val="000000" w:themeColor="text1"/>
                <w14:textFill>
                  <w14:solidFill>
                    <w14:schemeClr w14:val="tx1"/>
                  </w14:solidFill>
                </w14:textFill>
              </w:rPr>
            </w:pPr>
            <w:r>
              <w:t>母公司的全资子公司</w:t>
            </w:r>
          </w:p>
        </w:tc>
      </w:tr>
      <w:tr w14:paraId="5D96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18FB290">
            <w:pPr>
              <w:rPr>
                <w:rFonts w:cs="Cambria"/>
              </w:rPr>
            </w:pPr>
            <w:r>
              <w:t>陕西际华园开发建设有限公司</w:t>
            </w:r>
          </w:p>
        </w:tc>
        <w:tc>
          <w:tcPr>
            <w:tcW w:w="2253" w:type="pct"/>
            <w:tcBorders>
              <w:top w:val="single" w:color="auto" w:sz="4" w:space="0"/>
              <w:left w:val="single" w:color="auto" w:sz="4" w:space="0"/>
              <w:bottom w:val="single" w:color="auto" w:sz="4" w:space="0"/>
              <w:right w:val="single" w:color="auto" w:sz="4" w:space="0"/>
            </w:tcBorders>
          </w:tcPr>
          <w:p w14:paraId="2C7A531D">
            <w:pPr>
              <w:jc w:val="center"/>
              <w:rPr>
                <w:color w:val="000000" w:themeColor="text1"/>
                <w14:textFill>
                  <w14:solidFill>
                    <w14:schemeClr w14:val="tx1"/>
                  </w14:solidFill>
                </w14:textFill>
              </w:rPr>
            </w:pPr>
            <w:r>
              <w:t>母公司的全资子公司</w:t>
            </w:r>
          </w:p>
        </w:tc>
      </w:tr>
      <w:tr w14:paraId="0103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C2E0ADD">
            <w:pPr>
              <w:rPr>
                <w:rFonts w:cs="Cambria"/>
              </w:rPr>
            </w:pPr>
            <w:r>
              <w:t>四川省川建管道有限公司</w:t>
            </w:r>
          </w:p>
        </w:tc>
        <w:tc>
          <w:tcPr>
            <w:tcW w:w="2253" w:type="pct"/>
            <w:tcBorders>
              <w:top w:val="single" w:color="auto" w:sz="4" w:space="0"/>
              <w:left w:val="single" w:color="auto" w:sz="4" w:space="0"/>
              <w:bottom w:val="single" w:color="auto" w:sz="4" w:space="0"/>
              <w:right w:val="single" w:color="auto" w:sz="4" w:space="0"/>
            </w:tcBorders>
          </w:tcPr>
          <w:p w14:paraId="7396CC84">
            <w:pPr>
              <w:jc w:val="center"/>
              <w:rPr>
                <w:color w:val="000000" w:themeColor="text1"/>
                <w14:textFill>
                  <w14:solidFill>
                    <w14:schemeClr w14:val="tx1"/>
                  </w14:solidFill>
                </w14:textFill>
              </w:rPr>
            </w:pPr>
            <w:r>
              <w:t>母公司的控股子公司</w:t>
            </w:r>
          </w:p>
        </w:tc>
      </w:tr>
      <w:tr w14:paraId="755F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E059D40">
            <w:pPr>
              <w:rPr>
                <w:rFonts w:cs="Cambria"/>
              </w:rPr>
            </w:pPr>
            <w:r>
              <w:t>荷原商业管理（北京）有限公司</w:t>
            </w:r>
          </w:p>
        </w:tc>
        <w:tc>
          <w:tcPr>
            <w:tcW w:w="2253" w:type="pct"/>
            <w:tcBorders>
              <w:top w:val="single" w:color="auto" w:sz="4" w:space="0"/>
              <w:left w:val="single" w:color="auto" w:sz="4" w:space="0"/>
              <w:bottom w:val="single" w:color="auto" w:sz="4" w:space="0"/>
              <w:right w:val="single" w:color="auto" w:sz="4" w:space="0"/>
            </w:tcBorders>
          </w:tcPr>
          <w:p w14:paraId="6D72E85E">
            <w:pPr>
              <w:jc w:val="center"/>
              <w:rPr>
                <w:color w:val="000000" w:themeColor="text1"/>
                <w14:textFill>
                  <w14:solidFill>
                    <w14:schemeClr w14:val="tx1"/>
                  </w14:solidFill>
                </w14:textFill>
              </w:rPr>
            </w:pPr>
            <w:r>
              <w:t>母公司的全资子公司</w:t>
            </w:r>
          </w:p>
        </w:tc>
      </w:tr>
      <w:tr w14:paraId="77ED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79A671B">
            <w:pPr>
              <w:rPr>
                <w:rFonts w:cs="Cambria"/>
              </w:rPr>
            </w:pPr>
            <w:r>
              <w:t>武汉汉江资产运营有限公司</w:t>
            </w:r>
          </w:p>
        </w:tc>
        <w:tc>
          <w:tcPr>
            <w:tcW w:w="2253" w:type="pct"/>
            <w:tcBorders>
              <w:top w:val="single" w:color="auto" w:sz="4" w:space="0"/>
              <w:left w:val="single" w:color="auto" w:sz="4" w:space="0"/>
              <w:bottom w:val="single" w:color="auto" w:sz="4" w:space="0"/>
              <w:right w:val="single" w:color="auto" w:sz="4" w:space="0"/>
            </w:tcBorders>
          </w:tcPr>
          <w:p w14:paraId="01E391C8">
            <w:pPr>
              <w:jc w:val="center"/>
              <w:rPr>
                <w:color w:val="000000" w:themeColor="text1"/>
                <w14:textFill>
                  <w14:solidFill>
                    <w14:schemeClr w14:val="tx1"/>
                  </w14:solidFill>
                </w14:textFill>
              </w:rPr>
            </w:pPr>
            <w:r>
              <w:t>母公司的控股子公司</w:t>
            </w:r>
          </w:p>
        </w:tc>
      </w:tr>
      <w:tr w14:paraId="7C2C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59531C79">
            <w:pPr>
              <w:rPr>
                <w:rFonts w:cs="Cambria"/>
              </w:rPr>
            </w:pPr>
            <w:r>
              <w:t>新兴移山（天津）重工有限公司</w:t>
            </w:r>
          </w:p>
        </w:tc>
        <w:tc>
          <w:tcPr>
            <w:tcW w:w="2253" w:type="pct"/>
            <w:tcBorders>
              <w:top w:val="single" w:color="auto" w:sz="4" w:space="0"/>
              <w:left w:val="single" w:color="auto" w:sz="4" w:space="0"/>
              <w:bottom w:val="single" w:color="auto" w:sz="4" w:space="0"/>
              <w:right w:val="single" w:color="auto" w:sz="4" w:space="0"/>
            </w:tcBorders>
          </w:tcPr>
          <w:p w14:paraId="0E936338">
            <w:pPr>
              <w:jc w:val="center"/>
              <w:rPr>
                <w:color w:val="000000" w:themeColor="text1"/>
                <w14:textFill>
                  <w14:solidFill>
                    <w14:schemeClr w14:val="tx1"/>
                  </w14:solidFill>
                </w14:textFill>
              </w:rPr>
            </w:pPr>
            <w:r>
              <w:t>母公司的全资子公司</w:t>
            </w:r>
          </w:p>
        </w:tc>
      </w:tr>
      <w:tr w14:paraId="6F5B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4B98E8B">
            <w:pPr>
              <w:rPr>
                <w:rFonts w:cs="Cambria"/>
              </w:rPr>
            </w:pPr>
            <w:r>
              <w:t>新兴际华物业服务（北京）有限公司</w:t>
            </w:r>
          </w:p>
        </w:tc>
        <w:tc>
          <w:tcPr>
            <w:tcW w:w="2253" w:type="pct"/>
            <w:tcBorders>
              <w:top w:val="single" w:color="auto" w:sz="4" w:space="0"/>
              <w:left w:val="single" w:color="auto" w:sz="4" w:space="0"/>
              <w:bottom w:val="single" w:color="auto" w:sz="4" w:space="0"/>
              <w:right w:val="single" w:color="auto" w:sz="4" w:space="0"/>
            </w:tcBorders>
          </w:tcPr>
          <w:p w14:paraId="1F9DC456">
            <w:pPr>
              <w:jc w:val="center"/>
              <w:rPr>
                <w:color w:val="000000" w:themeColor="text1"/>
                <w14:textFill>
                  <w14:solidFill>
                    <w14:schemeClr w14:val="tx1"/>
                  </w14:solidFill>
                </w14:textFill>
              </w:rPr>
            </w:pPr>
            <w:r>
              <w:t>母公司的全资子公司</w:t>
            </w:r>
          </w:p>
        </w:tc>
      </w:tr>
      <w:tr w14:paraId="27E7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2A5B7A0">
            <w:pPr>
              <w:rPr>
                <w:rFonts w:cs="Cambria"/>
              </w:rPr>
            </w:pPr>
            <w:r>
              <w:t>新兴际华（北京）应急救援科技有限公司</w:t>
            </w:r>
          </w:p>
        </w:tc>
        <w:tc>
          <w:tcPr>
            <w:tcW w:w="2253" w:type="pct"/>
            <w:tcBorders>
              <w:top w:val="single" w:color="auto" w:sz="4" w:space="0"/>
              <w:left w:val="single" w:color="auto" w:sz="4" w:space="0"/>
              <w:bottom w:val="single" w:color="auto" w:sz="4" w:space="0"/>
              <w:right w:val="single" w:color="auto" w:sz="4" w:space="0"/>
            </w:tcBorders>
          </w:tcPr>
          <w:p w14:paraId="07C2785E">
            <w:pPr>
              <w:jc w:val="center"/>
              <w:rPr>
                <w:color w:val="000000" w:themeColor="text1"/>
                <w14:textFill>
                  <w14:solidFill>
                    <w14:schemeClr w14:val="tx1"/>
                  </w14:solidFill>
                </w14:textFill>
              </w:rPr>
            </w:pPr>
            <w:r>
              <w:t>母公司的全资子公司</w:t>
            </w:r>
          </w:p>
        </w:tc>
      </w:tr>
      <w:tr w14:paraId="3E74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7CCD18C">
            <w:pPr>
              <w:rPr>
                <w:rFonts w:cs="Cambria"/>
              </w:rPr>
            </w:pPr>
            <w:r>
              <w:t>荷原置地控股有限公司</w:t>
            </w:r>
          </w:p>
        </w:tc>
        <w:tc>
          <w:tcPr>
            <w:tcW w:w="2253" w:type="pct"/>
            <w:tcBorders>
              <w:top w:val="single" w:color="auto" w:sz="4" w:space="0"/>
              <w:left w:val="single" w:color="auto" w:sz="4" w:space="0"/>
              <w:bottom w:val="single" w:color="auto" w:sz="4" w:space="0"/>
              <w:right w:val="single" w:color="auto" w:sz="4" w:space="0"/>
            </w:tcBorders>
          </w:tcPr>
          <w:p w14:paraId="1EA9D7D0">
            <w:pPr>
              <w:jc w:val="center"/>
              <w:rPr>
                <w:color w:val="000000" w:themeColor="text1"/>
                <w14:textFill>
                  <w14:solidFill>
                    <w14:schemeClr w14:val="tx1"/>
                  </w14:solidFill>
                </w14:textFill>
              </w:rPr>
            </w:pPr>
            <w:r>
              <w:t>其他关联方</w:t>
            </w:r>
          </w:p>
        </w:tc>
      </w:tr>
      <w:tr w14:paraId="2073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73C10109">
            <w:pPr>
              <w:rPr>
                <w:rFonts w:cs="Cambria"/>
              </w:rPr>
            </w:pPr>
            <w:r>
              <w:t>际华（天津）智能热力有限公司</w:t>
            </w:r>
          </w:p>
        </w:tc>
        <w:tc>
          <w:tcPr>
            <w:tcW w:w="2253" w:type="pct"/>
            <w:tcBorders>
              <w:top w:val="single" w:color="auto" w:sz="4" w:space="0"/>
              <w:left w:val="single" w:color="auto" w:sz="4" w:space="0"/>
              <w:bottom w:val="single" w:color="auto" w:sz="4" w:space="0"/>
              <w:right w:val="single" w:color="auto" w:sz="4" w:space="0"/>
            </w:tcBorders>
          </w:tcPr>
          <w:p w14:paraId="63D8246C">
            <w:pPr>
              <w:jc w:val="center"/>
              <w:rPr>
                <w:color w:val="000000" w:themeColor="text1"/>
                <w14:textFill>
                  <w14:solidFill>
                    <w14:schemeClr w14:val="tx1"/>
                  </w14:solidFill>
                </w14:textFill>
              </w:rPr>
            </w:pPr>
            <w:r>
              <w:t>其他关联方</w:t>
            </w:r>
          </w:p>
        </w:tc>
      </w:tr>
      <w:tr w14:paraId="4920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87EB212">
            <w:pPr>
              <w:rPr>
                <w:rFonts w:cs="Cambria"/>
              </w:rPr>
            </w:pPr>
            <w:r>
              <w:t>湖北三六一一应急装备有限公司</w:t>
            </w:r>
          </w:p>
        </w:tc>
        <w:tc>
          <w:tcPr>
            <w:tcW w:w="2253" w:type="pct"/>
            <w:tcBorders>
              <w:top w:val="single" w:color="auto" w:sz="4" w:space="0"/>
              <w:left w:val="single" w:color="auto" w:sz="4" w:space="0"/>
              <w:bottom w:val="single" w:color="auto" w:sz="4" w:space="0"/>
              <w:right w:val="single" w:color="auto" w:sz="4" w:space="0"/>
            </w:tcBorders>
          </w:tcPr>
          <w:p w14:paraId="184B561B">
            <w:pPr>
              <w:jc w:val="center"/>
              <w:rPr>
                <w:color w:val="000000" w:themeColor="text1"/>
                <w14:textFill>
                  <w14:solidFill>
                    <w14:schemeClr w14:val="tx1"/>
                  </w14:solidFill>
                </w14:textFill>
              </w:rPr>
            </w:pPr>
            <w:r>
              <w:t>母公司的全资子公司</w:t>
            </w:r>
          </w:p>
        </w:tc>
      </w:tr>
      <w:tr w14:paraId="49A0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2E4C09D">
            <w:pPr>
              <w:rPr>
                <w:rFonts w:cs="Cambria"/>
              </w:rPr>
            </w:pPr>
            <w:r>
              <w:t>天津移山工程机械有限公司</w:t>
            </w:r>
          </w:p>
        </w:tc>
        <w:tc>
          <w:tcPr>
            <w:tcW w:w="2253" w:type="pct"/>
            <w:tcBorders>
              <w:top w:val="single" w:color="auto" w:sz="4" w:space="0"/>
              <w:left w:val="single" w:color="auto" w:sz="4" w:space="0"/>
              <w:bottom w:val="single" w:color="auto" w:sz="4" w:space="0"/>
              <w:right w:val="single" w:color="auto" w:sz="4" w:space="0"/>
            </w:tcBorders>
          </w:tcPr>
          <w:p w14:paraId="04B6D66A">
            <w:pPr>
              <w:jc w:val="center"/>
              <w:rPr>
                <w:color w:val="000000" w:themeColor="text1"/>
                <w14:textFill>
                  <w14:solidFill>
                    <w14:schemeClr w14:val="tx1"/>
                  </w14:solidFill>
                </w14:textFill>
              </w:rPr>
            </w:pPr>
            <w:r>
              <w:t>母公司的全资子公司</w:t>
            </w:r>
          </w:p>
        </w:tc>
      </w:tr>
      <w:tr w14:paraId="6917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8BBE538">
            <w:pPr>
              <w:rPr>
                <w:rFonts w:cs="Cambria"/>
              </w:rPr>
            </w:pPr>
            <w:r>
              <w:t>新兴际华科技（天津）有限公司</w:t>
            </w:r>
          </w:p>
        </w:tc>
        <w:tc>
          <w:tcPr>
            <w:tcW w:w="2253" w:type="pct"/>
            <w:tcBorders>
              <w:top w:val="single" w:color="auto" w:sz="4" w:space="0"/>
              <w:left w:val="single" w:color="auto" w:sz="4" w:space="0"/>
              <w:bottom w:val="single" w:color="auto" w:sz="4" w:space="0"/>
              <w:right w:val="single" w:color="auto" w:sz="4" w:space="0"/>
            </w:tcBorders>
          </w:tcPr>
          <w:p w14:paraId="53C19F52">
            <w:pPr>
              <w:jc w:val="center"/>
              <w:rPr>
                <w:color w:val="000000" w:themeColor="text1"/>
                <w14:textFill>
                  <w14:solidFill>
                    <w14:schemeClr w14:val="tx1"/>
                  </w14:solidFill>
                </w14:textFill>
              </w:rPr>
            </w:pPr>
            <w:r>
              <w:t>母公司的控股子公司</w:t>
            </w:r>
          </w:p>
        </w:tc>
      </w:tr>
      <w:tr w14:paraId="3AF7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266B1E71">
            <w:pPr>
              <w:rPr>
                <w:rFonts w:cs="Cambria"/>
              </w:rPr>
            </w:pPr>
            <w:r>
              <w:t>新兴铸管（上海）金属资源有限公司</w:t>
            </w:r>
          </w:p>
        </w:tc>
        <w:tc>
          <w:tcPr>
            <w:tcW w:w="2253" w:type="pct"/>
            <w:tcBorders>
              <w:top w:val="single" w:color="auto" w:sz="4" w:space="0"/>
              <w:left w:val="single" w:color="auto" w:sz="4" w:space="0"/>
              <w:bottom w:val="single" w:color="auto" w:sz="4" w:space="0"/>
              <w:right w:val="single" w:color="auto" w:sz="4" w:space="0"/>
            </w:tcBorders>
          </w:tcPr>
          <w:p w14:paraId="4DE765F2">
            <w:pPr>
              <w:jc w:val="center"/>
              <w:rPr>
                <w:color w:val="000000" w:themeColor="text1"/>
                <w14:textFill>
                  <w14:solidFill>
                    <w14:schemeClr w14:val="tx1"/>
                  </w14:solidFill>
                </w14:textFill>
              </w:rPr>
            </w:pPr>
            <w:r>
              <w:t>母公司的全资子公司</w:t>
            </w:r>
          </w:p>
        </w:tc>
      </w:tr>
      <w:tr w14:paraId="27BF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E6D4311">
            <w:pPr>
              <w:rPr>
                <w:rFonts w:cs="Cambria"/>
              </w:rPr>
            </w:pPr>
            <w:r>
              <w:t>大连新东昌置地有限公司</w:t>
            </w:r>
          </w:p>
        </w:tc>
        <w:tc>
          <w:tcPr>
            <w:tcW w:w="2253" w:type="pct"/>
            <w:tcBorders>
              <w:top w:val="single" w:color="auto" w:sz="4" w:space="0"/>
              <w:left w:val="single" w:color="auto" w:sz="4" w:space="0"/>
              <w:bottom w:val="single" w:color="auto" w:sz="4" w:space="0"/>
              <w:right w:val="single" w:color="auto" w:sz="4" w:space="0"/>
            </w:tcBorders>
          </w:tcPr>
          <w:p w14:paraId="1C3C335D">
            <w:pPr>
              <w:jc w:val="center"/>
              <w:rPr>
                <w:color w:val="000000" w:themeColor="text1"/>
                <w14:textFill>
                  <w14:solidFill>
                    <w14:schemeClr w14:val="tx1"/>
                  </w14:solidFill>
                </w14:textFill>
              </w:rPr>
            </w:pPr>
            <w:r>
              <w:t>母公司的控股子公司</w:t>
            </w:r>
          </w:p>
        </w:tc>
      </w:tr>
      <w:tr w14:paraId="64E6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4053C396">
            <w:pPr>
              <w:rPr>
                <w:rFonts w:cs="Cambria"/>
              </w:rPr>
            </w:pPr>
            <w:r>
              <w:t>新兴达美（天津）投资有限公司</w:t>
            </w:r>
          </w:p>
        </w:tc>
        <w:tc>
          <w:tcPr>
            <w:tcW w:w="2253" w:type="pct"/>
            <w:tcBorders>
              <w:top w:val="single" w:color="auto" w:sz="4" w:space="0"/>
              <w:left w:val="single" w:color="auto" w:sz="4" w:space="0"/>
              <w:bottom w:val="single" w:color="auto" w:sz="4" w:space="0"/>
              <w:right w:val="single" w:color="auto" w:sz="4" w:space="0"/>
            </w:tcBorders>
          </w:tcPr>
          <w:p w14:paraId="11F84712">
            <w:pPr>
              <w:jc w:val="center"/>
              <w:rPr>
                <w:color w:val="000000" w:themeColor="text1"/>
                <w14:textFill>
                  <w14:solidFill>
                    <w14:schemeClr w14:val="tx1"/>
                  </w14:solidFill>
                </w14:textFill>
              </w:rPr>
            </w:pPr>
            <w:r>
              <w:t>母公司的全资子公司</w:t>
            </w:r>
          </w:p>
        </w:tc>
      </w:tr>
      <w:tr w14:paraId="66D3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EDE6DA5">
            <w:pPr>
              <w:rPr>
                <w:rFonts w:cs="Cambria"/>
              </w:rPr>
            </w:pPr>
            <w:r>
              <w:t>新兴际华（北京）智能装备技术研究院有限公司</w:t>
            </w:r>
          </w:p>
        </w:tc>
        <w:tc>
          <w:tcPr>
            <w:tcW w:w="2253" w:type="pct"/>
            <w:tcBorders>
              <w:top w:val="single" w:color="auto" w:sz="4" w:space="0"/>
              <w:left w:val="single" w:color="auto" w:sz="4" w:space="0"/>
              <w:bottom w:val="single" w:color="auto" w:sz="4" w:space="0"/>
              <w:right w:val="single" w:color="auto" w:sz="4" w:space="0"/>
            </w:tcBorders>
          </w:tcPr>
          <w:p w14:paraId="670ADFB0">
            <w:pPr>
              <w:jc w:val="center"/>
              <w:rPr>
                <w:color w:val="000000" w:themeColor="text1"/>
                <w14:textFill>
                  <w14:solidFill>
                    <w14:schemeClr w14:val="tx1"/>
                  </w14:solidFill>
                </w14:textFill>
              </w:rPr>
            </w:pPr>
            <w:r>
              <w:t>母公司的全资子公司</w:t>
            </w:r>
          </w:p>
        </w:tc>
      </w:tr>
      <w:tr w14:paraId="72FB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0EFC8B90">
            <w:pPr>
              <w:rPr>
                <w:rFonts w:cs="Cambria"/>
              </w:rPr>
            </w:pPr>
            <w:r>
              <w:t>湖北三六一一特种装备有限责任公司</w:t>
            </w:r>
          </w:p>
        </w:tc>
        <w:tc>
          <w:tcPr>
            <w:tcW w:w="2253" w:type="pct"/>
            <w:tcBorders>
              <w:top w:val="single" w:color="auto" w:sz="4" w:space="0"/>
              <w:left w:val="single" w:color="auto" w:sz="4" w:space="0"/>
              <w:bottom w:val="single" w:color="auto" w:sz="4" w:space="0"/>
              <w:right w:val="single" w:color="auto" w:sz="4" w:space="0"/>
            </w:tcBorders>
          </w:tcPr>
          <w:p w14:paraId="0E3BF6D4">
            <w:pPr>
              <w:jc w:val="center"/>
              <w:rPr>
                <w:color w:val="000000" w:themeColor="text1"/>
                <w14:textFill>
                  <w14:solidFill>
                    <w14:schemeClr w14:val="tx1"/>
                  </w14:solidFill>
                </w14:textFill>
              </w:rPr>
            </w:pPr>
            <w:r>
              <w:t>母公司的控股子公司</w:t>
            </w:r>
          </w:p>
        </w:tc>
      </w:tr>
      <w:tr w14:paraId="6D1B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62296C5F">
            <w:pPr>
              <w:rPr>
                <w:rFonts w:cs="Cambria"/>
              </w:rPr>
            </w:pPr>
            <w:r>
              <w:t>新兴铸管（埃及）股份有限公司</w:t>
            </w:r>
          </w:p>
        </w:tc>
        <w:tc>
          <w:tcPr>
            <w:tcW w:w="2253" w:type="pct"/>
            <w:tcBorders>
              <w:top w:val="single" w:color="auto" w:sz="4" w:space="0"/>
              <w:left w:val="single" w:color="auto" w:sz="4" w:space="0"/>
              <w:bottom w:val="single" w:color="auto" w:sz="4" w:space="0"/>
              <w:right w:val="single" w:color="auto" w:sz="4" w:space="0"/>
            </w:tcBorders>
          </w:tcPr>
          <w:p w14:paraId="41073C20">
            <w:pPr>
              <w:jc w:val="center"/>
              <w:rPr>
                <w:color w:val="000000" w:themeColor="text1"/>
                <w14:textFill>
                  <w14:solidFill>
                    <w14:schemeClr w14:val="tx1"/>
                  </w14:solidFill>
                </w14:textFill>
              </w:rPr>
            </w:pPr>
            <w:r>
              <w:t>母公司的控股子公司</w:t>
            </w:r>
          </w:p>
        </w:tc>
      </w:tr>
      <w:tr w14:paraId="3F55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746" w:type="pct"/>
            <w:tcBorders>
              <w:top w:val="single" w:color="auto" w:sz="4" w:space="0"/>
              <w:left w:val="single" w:color="auto" w:sz="4" w:space="0"/>
              <w:bottom w:val="single" w:color="auto" w:sz="4" w:space="0"/>
              <w:right w:val="single" w:color="auto" w:sz="4" w:space="0"/>
            </w:tcBorders>
            <w:vAlign w:val="center"/>
          </w:tcPr>
          <w:p w14:paraId="53E319AD">
            <w:pPr>
              <w:rPr>
                <w:rFonts w:cs="Cambria"/>
              </w:rPr>
            </w:pPr>
            <w:r>
              <w:t>新兴铸管集团资源投资发展有限公司</w:t>
            </w:r>
          </w:p>
        </w:tc>
        <w:tc>
          <w:tcPr>
            <w:tcW w:w="2253" w:type="pct"/>
            <w:tcBorders>
              <w:top w:val="single" w:color="auto" w:sz="4" w:space="0"/>
              <w:left w:val="single" w:color="auto" w:sz="4" w:space="0"/>
              <w:bottom w:val="single" w:color="auto" w:sz="4" w:space="0"/>
              <w:right w:val="single" w:color="auto" w:sz="4" w:space="0"/>
            </w:tcBorders>
          </w:tcPr>
          <w:p w14:paraId="726C5BCD">
            <w:pPr>
              <w:jc w:val="center"/>
              <w:rPr>
                <w:color w:val="000000" w:themeColor="text1"/>
                <w14:textFill>
                  <w14:solidFill>
                    <w14:schemeClr w14:val="tx1"/>
                  </w14:solidFill>
                </w14:textFill>
              </w:rPr>
            </w:pPr>
            <w:r>
              <w:t>母公司的控股子公司</w:t>
            </w:r>
          </w:p>
        </w:tc>
      </w:tr>
    </w:tbl>
    <w:p w14:paraId="606F2033"/>
    <w:p w14:paraId="70F56C88">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他说明</w:t>
      </w:r>
    </w:p>
    <w:sdt>
      <w:sdtPr>
        <w:rPr>
          <w:rFonts w:cs="Cambria"/>
          <w:color w:val="000000" w:themeColor="text1"/>
          <w14:textFill>
            <w14:solidFill>
              <w14:schemeClr w14:val="tx1"/>
            </w14:solidFill>
          </w14:textFill>
        </w:rPr>
        <w:alias w:val="本企业的其他关联方情况的说明"/>
        <w:tag w:val="_GBC_214bcb1375e347c4be22006f5cc854a9"/>
        <w:id w:val="147468222"/>
        <w:placeholder>
          <w:docPart w:val="GBC22222222222222222222222222222"/>
        </w:placeholder>
      </w:sdtPr>
      <w:sdtEndPr>
        <w:rPr>
          <w:rFonts w:cs="Cambria"/>
          <w:color w:val="000000" w:themeColor="text1"/>
          <w14:textFill>
            <w14:solidFill>
              <w14:schemeClr w14:val="tx1"/>
            </w14:solidFill>
          </w14:textFill>
        </w:rPr>
      </w:sdtEndPr>
      <w:sdtContent>
        <w:p w14:paraId="24089014">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无</w:t>
          </w:r>
        </w:p>
      </w:sdtContent>
    </w:sdt>
    <w:p w14:paraId="364FD148">
      <w:pPr>
        <w:tabs>
          <w:tab w:val="left" w:pos="1134"/>
        </w:tabs>
        <w:rPr>
          <w:rFonts w:cs="Cambria"/>
          <w:b/>
          <w:color w:val="000000" w:themeColor="text1"/>
          <w14:textFill>
            <w14:solidFill>
              <w14:schemeClr w14:val="tx1"/>
            </w14:solidFill>
          </w14:textFill>
        </w:rPr>
      </w:pPr>
    </w:p>
    <w:p w14:paraId="6D6727B2">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关联交易情况</w:t>
      </w:r>
    </w:p>
    <w:p w14:paraId="75026A81">
      <w:pPr>
        <w:pStyle w:val="58"/>
        <w:numPr>
          <w:ilvl w:val="0"/>
          <w:numId w:val="105"/>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购销商品、提供和接受劳务的关联交易</w:t>
      </w:r>
    </w:p>
    <w:p w14:paraId="7D74FBEF">
      <w:pPr>
        <w:rPr>
          <w:color w:val="000000" w:themeColor="text1"/>
          <w14:textFill>
            <w14:solidFill>
              <w14:schemeClr w14:val="tx1"/>
            </w14:solidFill>
          </w14:textFill>
        </w:rPr>
      </w:pPr>
      <w:r>
        <w:rPr>
          <w:rFonts w:hint="eastAsia"/>
          <w:color w:val="000000" w:themeColor="text1"/>
          <w14:textFill>
            <w14:solidFill>
              <w14:schemeClr w14:val="tx1"/>
            </w14:solidFill>
          </w14:textFill>
        </w:rPr>
        <w:t>采购商品/接受劳务情况表</w:t>
      </w:r>
    </w:p>
    <w:sdt>
      <w:sdtPr>
        <w:rPr>
          <w:color w:val="000000" w:themeColor="text1"/>
          <w14:textFill>
            <w14:solidFill>
              <w14:schemeClr w14:val="tx1"/>
            </w14:solidFill>
          </w14:textFill>
        </w:rPr>
        <w:alias w:val="是否适用：采购商品或接受劳务情况表[双击切换]"/>
        <w:tag w:val="_GBC_af7e43b831354837910c4edde708e04a"/>
        <w:id w:val="-1197921612"/>
      </w:sdtPr>
      <w:sdtEndPr>
        <w:rPr>
          <w:color w:val="000000" w:themeColor="text1"/>
          <w14:textFill>
            <w14:solidFill>
              <w14:schemeClr w14:val="tx1"/>
            </w14:solidFill>
          </w14:textFill>
        </w:rPr>
      </w:sdtEndPr>
      <w:sdtContent>
        <w:p w14:paraId="20928FF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1AC5223A">
      <w:pPr>
        <w:jc w:val="right"/>
        <w:rPr>
          <w:rFonts w:cs="Cambria"/>
          <w:b/>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采购商品接受劳务情况表"/>
          <w:tag w:val="_GBC_45ae86deace34388a904346eae355be1"/>
          <w:id w:val="-1982688498"/>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采购商品接受劳务情况表"/>
          <w:tag w:val="_GBC_ac9ca64b68bd493da1d7e7c719a6104c"/>
          <w:id w:val="-561246161"/>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274"/>
        <w:gridCol w:w="1538"/>
        <w:gridCol w:w="1547"/>
        <w:gridCol w:w="1685"/>
      </w:tblGrid>
      <w:tr w14:paraId="7B6305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5" w:hRule="atLeast"/>
          <w:tblHeader/>
        </w:trPr>
        <w:sdt>
          <w:sdtPr>
            <w:rPr>
              <w:rFonts w:cs="Times New Roman"/>
            </w:rPr>
            <w:tag w:val="_PLD_c09a7dc97d494a8fb07056392e54876a"/>
            <w:id w:val="-1786563649"/>
          </w:sdtPr>
          <w:sdtEndPr>
            <w:rPr>
              <w:rFonts w:cs="Times New Roman"/>
            </w:rPr>
          </w:sdtEndPr>
          <w:sdtContent>
            <w:tc>
              <w:tcPr>
                <w:tcW w:w="2362" w:type="pct"/>
                <w:tcBorders>
                  <w:top w:val="single" w:color="auto" w:sz="4" w:space="0"/>
                  <w:left w:val="single" w:color="auto" w:sz="4" w:space="0"/>
                  <w:bottom w:val="single" w:color="auto" w:sz="4" w:space="0"/>
                  <w:right w:val="single" w:color="auto" w:sz="4" w:space="0"/>
                </w:tcBorders>
                <w:vAlign w:val="center"/>
              </w:tcPr>
              <w:p w14:paraId="3AEB601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关联方</w:t>
                </w:r>
              </w:p>
            </w:tc>
          </w:sdtContent>
        </w:sdt>
        <w:sdt>
          <w:sdtPr>
            <w:rPr>
              <w:rFonts w:cs="Times New Roman"/>
            </w:rPr>
            <w:tag w:val="_PLD_6f5fdab53c694e56963e5e189cd0c28d"/>
            <w:id w:val="2078944842"/>
          </w:sdtPr>
          <w:sdtEndPr>
            <w:rPr>
              <w:rFonts w:cs="Times New Roman"/>
            </w:rPr>
          </w:sdtEndPr>
          <w:sdtContent>
            <w:tc>
              <w:tcPr>
                <w:tcW w:w="850" w:type="pct"/>
                <w:tcBorders>
                  <w:top w:val="single" w:color="auto" w:sz="4" w:space="0"/>
                  <w:left w:val="single" w:color="auto" w:sz="4" w:space="0"/>
                  <w:bottom w:val="single" w:color="auto" w:sz="4" w:space="0"/>
                  <w:right w:val="single" w:color="auto" w:sz="4" w:space="0"/>
                </w:tcBorders>
                <w:vAlign w:val="center"/>
              </w:tcPr>
              <w:p w14:paraId="70BCF5D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关联交易内容</w:t>
                </w:r>
              </w:p>
            </w:tc>
          </w:sdtContent>
        </w:sdt>
        <w:sdt>
          <w:sdtPr>
            <w:rPr>
              <w:rFonts w:cs="Times New Roman"/>
            </w:rPr>
            <w:tag w:val="_PLD_1237b998b2a64f30a674dff433b841b0"/>
            <w:id w:val="414214711"/>
          </w:sdtPr>
          <w:sdtEndPr>
            <w:rPr>
              <w:rFonts w:cs="Times New Roman"/>
            </w:rPr>
          </w:sdtEndPr>
          <w:sdtContent>
            <w:tc>
              <w:tcPr>
                <w:tcW w:w="855" w:type="pct"/>
                <w:tcBorders>
                  <w:top w:val="single" w:color="auto" w:sz="4" w:space="0"/>
                  <w:left w:val="single" w:color="auto" w:sz="4" w:space="0"/>
                  <w:right w:val="single" w:color="auto" w:sz="4" w:space="0"/>
                </w:tcBorders>
                <w:vAlign w:val="center"/>
              </w:tcPr>
              <w:p w14:paraId="6064028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f7d77ff6fdf642199e4c9fc12f00610d"/>
            <w:id w:val="688265091"/>
          </w:sdtPr>
          <w:sdtEndPr>
            <w:rPr>
              <w:rFonts w:cs="Times New Roman"/>
            </w:rPr>
          </w:sdtEndPr>
          <w:sdtContent>
            <w:tc>
              <w:tcPr>
                <w:tcW w:w="931" w:type="pct"/>
                <w:tcBorders>
                  <w:top w:val="single" w:color="auto" w:sz="4" w:space="0"/>
                  <w:left w:val="single" w:color="auto" w:sz="4" w:space="0"/>
                  <w:right w:val="single" w:color="auto" w:sz="4" w:space="0"/>
                </w:tcBorders>
                <w:vAlign w:val="center"/>
              </w:tcPr>
              <w:p w14:paraId="798F383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sdt>
        <w:sdtPr>
          <w:rPr>
            <w:rFonts w:cs="Times New Roman"/>
            <w:color w:val="000000" w:themeColor="text1"/>
            <w14:textFill>
              <w14:solidFill>
                <w14:schemeClr w14:val="tx1"/>
              </w14:solidFill>
            </w14:textFill>
          </w:rPr>
          <w:alias w:val="采购商品接受劳务情况明细"/>
          <w:tag w:val="_TUP_6a1f8fb777604032986c4beda62c76c1"/>
          <w:id w:val="1507318083"/>
          <w:placeholder>
            <w:docPart w:val="{dac80138-80a9-4f66-bd31-592d454e5556}"/>
          </w:placeholder>
        </w:sdtPr>
        <w:sdtEndPr>
          <w:rPr>
            <w:rFonts w:cs="Times New Roman"/>
            <w:color w:val="000000" w:themeColor="text1"/>
            <w14:textFill>
              <w14:solidFill>
                <w14:schemeClr w14:val="tx1"/>
              </w14:solidFill>
            </w14:textFill>
          </w:rPr>
        </w:sdtEndPr>
        <w:sdtContent>
          <w:tr w14:paraId="705923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4869B140">
                <w:pPr>
                  <w:rPr>
                    <w:rFonts w:cs="Times New Roman"/>
                  </w:rPr>
                </w:pPr>
                <w:bookmarkStart w:id="410" w:name="_Hlk40536931"/>
                <w:r>
                  <w:rPr>
                    <w:rFonts w:cs="Times New Roman"/>
                  </w:rPr>
                  <w:t>石家庄际华资产管理有限公司</w:t>
                </w:r>
              </w:p>
            </w:tc>
            <w:tc>
              <w:tcPr>
                <w:tcW w:w="850" w:type="pct"/>
                <w:tcBorders>
                  <w:top w:val="single" w:color="auto" w:sz="4" w:space="0"/>
                  <w:left w:val="single" w:color="auto" w:sz="4" w:space="0"/>
                  <w:bottom w:val="single" w:color="auto" w:sz="4" w:space="0"/>
                  <w:right w:val="single" w:color="auto" w:sz="4" w:space="0"/>
                </w:tcBorders>
              </w:tcPr>
              <w:p w14:paraId="3D0EAEBA">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0C19E330">
                <w:pPr>
                  <w:jc w:val="right"/>
                  <w:rPr>
                    <w:rFonts w:cs="Times New Roman"/>
                  </w:rPr>
                </w:pPr>
                <w:r>
                  <w:rPr>
                    <w:rFonts w:cs="Times New Roman"/>
                  </w:rPr>
                  <w:t>13,555,674.58</w:t>
                </w:r>
              </w:p>
            </w:tc>
            <w:tc>
              <w:tcPr>
                <w:tcW w:w="931" w:type="pct"/>
                <w:tcBorders>
                  <w:top w:val="single" w:color="auto" w:sz="4" w:space="0"/>
                  <w:left w:val="single" w:color="auto" w:sz="4" w:space="0"/>
                  <w:bottom w:val="single" w:color="auto" w:sz="4" w:space="0"/>
                  <w:right w:val="single" w:color="auto" w:sz="4" w:space="0"/>
                </w:tcBorders>
              </w:tcPr>
              <w:p w14:paraId="3EFDF7E6">
                <w:pPr>
                  <w:jc w:val="right"/>
                  <w:rPr>
                    <w:rFonts w:cs="Times New Roman"/>
                  </w:rPr>
                </w:pPr>
                <w:r>
                  <w:rPr>
                    <w:rFonts w:cs="Times New Roman"/>
                  </w:rPr>
                  <w:t>23,962,644.37</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201679132"/>
          <w:placeholder>
            <w:docPart w:val="{dac80138-80a9-4f66-bd31-592d454e5556}"/>
          </w:placeholder>
        </w:sdtPr>
        <w:sdtEndPr>
          <w:rPr>
            <w:rFonts w:cs="Times New Roman"/>
            <w:color w:val="000000" w:themeColor="text1"/>
            <w14:textFill>
              <w14:solidFill>
                <w14:schemeClr w14:val="tx1"/>
              </w14:solidFill>
            </w14:textFill>
          </w:rPr>
        </w:sdtEndPr>
        <w:sdtContent>
          <w:tr w14:paraId="1606BA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21561FA8">
                <w:pPr>
                  <w:rPr>
                    <w:rFonts w:cs="Times New Roman"/>
                  </w:rPr>
                </w:pPr>
                <w:r>
                  <w:rPr>
                    <w:rFonts w:cs="Times New Roman"/>
                  </w:rPr>
                  <w:t>湖南中晟高分子新材料有限公司</w:t>
                </w:r>
              </w:p>
            </w:tc>
            <w:tc>
              <w:tcPr>
                <w:tcW w:w="850" w:type="pct"/>
                <w:tcBorders>
                  <w:top w:val="single" w:color="auto" w:sz="4" w:space="0"/>
                  <w:left w:val="single" w:color="auto" w:sz="4" w:space="0"/>
                  <w:bottom w:val="single" w:color="auto" w:sz="4" w:space="0"/>
                  <w:right w:val="single" w:color="auto" w:sz="4" w:space="0"/>
                </w:tcBorders>
              </w:tcPr>
              <w:p w14:paraId="09B3F731">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3C53FF28">
                <w:pPr>
                  <w:jc w:val="right"/>
                  <w:rPr>
                    <w:rFonts w:cs="Times New Roman"/>
                  </w:rPr>
                </w:pPr>
                <w:r>
                  <w:rPr>
                    <w:rFonts w:cs="Times New Roman"/>
                  </w:rPr>
                  <w:t>14,162,135.01</w:t>
                </w:r>
              </w:p>
            </w:tc>
            <w:tc>
              <w:tcPr>
                <w:tcW w:w="931" w:type="pct"/>
                <w:tcBorders>
                  <w:top w:val="single" w:color="auto" w:sz="4" w:space="0"/>
                  <w:left w:val="single" w:color="auto" w:sz="4" w:space="0"/>
                  <w:bottom w:val="single" w:color="auto" w:sz="4" w:space="0"/>
                  <w:right w:val="single" w:color="auto" w:sz="4" w:space="0"/>
                </w:tcBorders>
              </w:tcPr>
              <w:p w14:paraId="4A1ADACB">
                <w:pPr>
                  <w:jc w:val="right"/>
                  <w:rPr>
                    <w:rFonts w:cs="Times New Roman"/>
                  </w:rPr>
                </w:pPr>
                <w:r>
                  <w:rPr>
                    <w:rFonts w:cs="Times New Roman"/>
                  </w:rPr>
                  <w:t>35,344,591.09</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579101088"/>
          <w:placeholder>
            <w:docPart w:val="{dac80138-80a9-4f66-bd31-592d454e5556}"/>
          </w:placeholder>
        </w:sdtPr>
        <w:sdtEndPr>
          <w:rPr>
            <w:rFonts w:cs="Times New Roman"/>
            <w:color w:val="000000" w:themeColor="text1"/>
            <w14:textFill>
              <w14:solidFill>
                <w14:schemeClr w14:val="tx1"/>
              </w14:solidFill>
            </w14:textFill>
          </w:rPr>
        </w:sdtEndPr>
        <w:sdtContent>
          <w:tr w14:paraId="3623AF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Pr>
            <w:tc>
              <w:tcPr>
                <w:tcW w:w="2362" w:type="pct"/>
                <w:tcBorders>
                  <w:top w:val="single" w:color="auto" w:sz="4" w:space="0"/>
                  <w:left w:val="single" w:color="auto" w:sz="4" w:space="0"/>
                  <w:bottom w:val="single" w:color="auto" w:sz="4" w:space="0"/>
                  <w:right w:val="single" w:color="auto" w:sz="4" w:space="0"/>
                </w:tcBorders>
              </w:tcPr>
              <w:p w14:paraId="7DA37543">
                <w:pPr>
                  <w:rPr>
                    <w:rFonts w:cs="Times New Roman"/>
                  </w:rPr>
                </w:pPr>
                <w:r>
                  <w:rPr>
                    <w:rFonts w:cs="Times New Roman"/>
                  </w:rPr>
                  <w:t>南京英斯瑞德高分子材料股份有限公司</w:t>
                </w:r>
              </w:p>
            </w:tc>
            <w:tc>
              <w:tcPr>
                <w:tcW w:w="850" w:type="pct"/>
                <w:tcBorders>
                  <w:top w:val="single" w:color="auto" w:sz="4" w:space="0"/>
                  <w:left w:val="single" w:color="auto" w:sz="4" w:space="0"/>
                  <w:bottom w:val="single" w:color="auto" w:sz="4" w:space="0"/>
                  <w:right w:val="single" w:color="auto" w:sz="4" w:space="0"/>
                </w:tcBorders>
              </w:tcPr>
              <w:p w14:paraId="72131D12">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0B053312">
                <w:pPr>
                  <w:jc w:val="right"/>
                  <w:rPr>
                    <w:rFonts w:cs="Times New Roman"/>
                  </w:rPr>
                </w:pPr>
                <w:r>
                  <w:rPr>
                    <w:rFonts w:cs="Times New Roman"/>
                  </w:rPr>
                  <w:t>2,169,198.36</w:t>
                </w:r>
              </w:p>
            </w:tc>
            <w:tc>
              <w:tcPr>
                <w:tcW w:w="931" w:type="pct"/>
                <w:tcBorders>
                  <w:top w:val="single" w:color="auto" w:sz="4" w:space="0"/>
                  <w:left w:val="single" w:color="auto" w:sz="4" w:space="0"/>
                  <w:bottom w:val="single" w:color="auto" w:sz="4" w:space="0"/>
                  <w:right w:val="single" w:color="auto" w:sz="4" w:space="0"/>
                </w:tcBorders>
              </w:tcPr>
              <w:p w14:paraId="22567EA7">
                <w:pPr>
                  <w:jc w:val="right"/>
                  <w:rPr>
                    <w:rFonts w:cs="Times New Roman"/>
                  </w:rPr>
                </w:pPr>
                <w:r>
                  <w:rPr>
                    <w:rFonts w:cs="Times New Roman"/>
                  </w:rPr>
                  <w:t>5,718,659.15</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2124570592"/>
          <w:placeholder>
            <w:docPart w:val="{dac80138-80a9-4f66-bd31-592d454e5556}"/>
          </w:placeholder>
        </w:sdtPr>
        <w:sdtEndPr>
          <w:rPr>
            <w:rFonts w:cs="Times New Roman"/>
            <w:color w:val="000000" w:themeColor="text1"/>
            <w14:textFill>
              <w14:solidFill>
                <w14:schemeClr w14:val="tx1"/>
              </w14:solidFill>
            </w14:textFill>
          </w:rPr>
        </w:sdtEndPr>
        <w:sdtContent>
          <w:tr w14:paraId="211928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Pr>
            <w:tc>
              <w:tcPr>
                <w:tcW w:w="2362" w:type="pct"/>
                <w:tcBorders>
                  <w:top w:val="single" w:color="auto" w:sz="4" w:space="0"/>
                  <w:left w:val="single" w:color="auto" w:sz="4" w:space="0"/>
                  <w:bottom w:val="single" w:color="auto" w:sz="4" w:space="0"/>
                  <w:right w:val="single" w:color="auto" w:sz="4" w:space="0"/>
                </w:tcBorders>
              </w:tcPr>
              <w:p w14:paraId="46CD5A72">
                <w:pPr>
                  <w:rPr>
                    <w:rFonts w:cs="Times New Roman"/>
                  </w:rPr>
                </w:pPr>
                <w:r>
                  <w:rPr>
                    <w:rFonts w:cs="Times New Roman"/>
                  </w:rPr>
                  <w:t>新兴际华（北京）材料技术研究院有限公司</w:t>
                </w:r>
              </w:p>
            </w:tc>
            <w:tc>
              <w:tcPr>
                <w:tcW w:w="850" w:type="pct"/>
                <w:tcBorders>
                  <w:top w:val="single" w:color="auto" w:sz="4" w:space="0"/>
                  <w:left w:val="single" w:color="auto" w:sz="4" w:space="0"/>
                  <w:bottom w:val="single" w:color="auto" w:sz="4" w:space="0"/>
                  <w:right w:val="single" w:color="auto" w:sz="4" w:space="0"/>
                </w:tcBorders>
              </w:tcPr>
              <w:p w14:paraId="0B8022DB">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18922421">
                <w:pPr>
                  <w:jc w:val="right"/>
                  <w:rPr>
                    <w:rFonts w:cs="Times New Roman"/>
                  </w:rPr>
                </w:pPr>
                <w:r>
                  <w:rPr>
                    <w:rFonts w:cs="Times New Roman"/>
                  </w:rPr>
                  <w:t>1,006,529.20</w:t>
                </w:r>
              </w:p>
            </w:tc>
            <w:tc>
              <w:tcPr>
                <w:tcW w:w="931" w:type="pct"/>
                <w:tcBorders>
                  <w:top w:val="single" w:color="auto" w:sz="4" w:space="0"/>
                  <w:left w:val="single" w:color="auto" w:sz="4" w:space="0"/>
                  <w:bottom w:val="single" w:color="auto" w:sz="4" w:space="0"/>
                  <w:right w:val="single" w:color="auto" w:sz="4" w:space="0"/>
                </w:tcBorders>
              </w:tcPr>
              <w:p w14:paraId="6B07FE6D">
                <w:pPr>
                  <w:jc w:val="right"/>
                  <w:rPr>
                    <w:rFonts w:cs="Times New Roman"/>
                  </w:rPr>
                </w:pPr>
                <w:r>
                  <w:rPr>
                    <w:rFonts w:cs="Times New Roman"/>
                  </w:rPr>
                  <w:t>291,334.53</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982729117"/>
          <w:placeholder>
            <w:docPart w:val="{dac80138-80a9-4f66-bd31-592d454e5556}"/>
          </w:placeholder>
        </w:sdtPr>
        <w:sdtEndPr>
          <w:rPr>
            <w:rFonts w:cs="Times New Roman"/>
            <w:color w:val="000000" w:themeColor="text1"/>
            <w14:textFill>
              <w14:solidFill>
                <w14:schemeClr w14:val="tx1"/>
              </w14:solidFill>
            </w14:textFill>
          </w:rPr>
        </w:sdtEndPr>
        <w:sdtContent>
          <w:tr w14:paraId="6A452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53EEA0E3">
                <w:pPr>
                  <w:rPr>
                    <w:rFonts w:cs="Times New Roman"/>
                  </w:rPr>
                </w:pPr>
                <w:r>
                  <w:rPr>
                    <w:rFonts w:cs="Times New Roman"/>
                  </w:rPr>
                  <w:t>新兴际华检验检测（北京）有限公司</w:t>
                </w:r>
              </w:p>
            </w:tc>
            <w:tc>
              <w:tcPr>
                <w:tcW w:w="850" w:type="pct"/>
                <w:tcBorders>
                  <w:top w:val="single" w:color="auto" w:sz="4" w:space="0"/>
                  <w:left w:val="single" w:color="auto" w:sz="4" w:space="0"/>
                  <w:bottom w:val="single" w:color="auto" w:sz="4" w:space="0"/>
                  <w:right w:val="single" w:color="auto" w:sz="4" w:space="0"/>
                </w:tcBorders>
              </w:tcPr>
              <w:p w14:paraId="4C01C81C">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4C4DD23F">
                <w:pPr>
                  <w:jc w:val="right"/>
                  <w:rPr>
                    <w:rFonts w:cs="Times New Roman"/>
                  </w:rPr>
                </w:pPr>
                <w:r>
                  <w:rPr>
                    <w:rFonts w:cs="Times New Roman"/>
                  </w:rPr>
                  <w:t>83,448.59</w:t>
                </w:r>
              </w:p>
            </w:tc>
            <w:tc>
              <w:tcPr>
                <w:tcW w:w="931" w:type="pct"/>
                <w:tcBorders>
                  <w:top w:val="single" w:color="auto" w:sz="4" w:space="0"/>
                  <w:left w:val="single" w:color="auto" w:sz="4" w:space="0"/>
                  <w:bottom w:val="single" w:color="auto" w:sz="4" w:space="0"/>
                  <w:right w:val="single" w:color="auto" w:sz="4" w:space="0"/>
                </w:tcBorders>
              </w:tcPr>
              <w:p w14:paraId="13F3BAC4">
                <w:pPr>
                  <w:jc w:val="right"/>
                  <w:rPr>
                    <w:rFonts w:cs="Times New Roman"/>
                  </w:rPr>
                </w:pPr>
                <w:r>
                  <w:rPr>
                    <w:rFonts w:cs="Times New Roman"/>
                  </w:rPr>
                  <w:t>47,339.63</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691834251"/>
          <w:placeholder>
            <w:docPart w:val="{dac80138-80a9-4f66-bd31-592d454e5556}"/>
          </w:placeholder>
        </w:sdtPr>
        <w:sdtEndPr>
          <w:rPr>
            <w:rFonts w:cs="Times New Roman"/>
            <w:color w:val="000000" w:themeColor="text1"/>
            <w14:textFill>
              <w14:solidFill>
                <w14:schemeClr w14:val="tx1"/>
              </w14:solidFill>
            </w14:textFill>
          </w:rPr>
        </w:sdtEndPr>
        <w:sdtContent>
          <w:tr w14:paraId="591BC0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23587D1F">
                <w:pPr>
                  <w:rPr>
                    <w:rFonts w:cs="Times New Roman"/>
                  </w:rPr>
                </w:pPr>
                <w:r>
                  <w:rPr>
                    <w:rFonts w:cs="Times New Roman"/>
                  </w:rPr>
                  <w:t>新兴际华（上海）工程科技研究院有限公司</w:t>
                </w:r>
              </w:p>
            </w:tc>
            <w:tc>
              <w:tcPr>
                <w:tcW w:w="850" w:type="pct"/>
                <w:tcBorders>
                  <w:top w:val="single" w:color="auto" w:sz="4" w:space="0"/>
                  <w:left w:val="single" w:color="auto" w:sz="4" w:space="0"/>
                  <w:bottom w:val="single" w:color="auto" w:sz="4" w:space="0"/>
                  <w:right w:val="single" w:color="auto" w:sz="4" w:space="0"/>
                </w:tcBorders>
              </w:tcPr>
              <w:p w14:paraId="4787233F">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02D06C13">
                <w:pPr>
                  <w:jc w:val="right"/>
                  <w:rPr>
                    <w:rFonts w:cs="Times New Roman"/>
                  </w:rPr>
                </w:pPr>
                <w:r>
                  <w:rPr>
                    <w:rFonts w:cs="Times New Roman"/>
                  </w:rPr>
                  <w:t>77,433.63</w:t>
                </w:r>
              </w:p>
            </w:tc>
            <w:tc>
              <w:tcPr>
                <w:tcW w:w="931" w:type="pct"/>
                <w:tcBorders>
                  <w:top w:val="single" w:color="auto" w:sz="4" w:space="0"/>
                  <w:left w:val="single" w:color="auto" w:sz="4" w:space="0"/>
                  <w:bottom w:val="single" w:color="auto" w:sz="4" w:space="0"/>
                  <w:right w:val="single" w:color="auto" w:sz="4" w:space="0"/>
                </w:tcBorders>
              </w:tcPr>
              <w:p w14:paraId="68D72432">
                <w:pPr>
                  <w:jc w:val="right"/>
                  <w:rPr>
                    <w:rFonts w:cs="Times New Roman"/>
                  </w:rPr>
                </w:pP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301656365"/>
          <w:placeholder>
            <w:docPart w:val="{dac80138-80a9-4f66-bd31-592d454e5556}"/>
          </w:placeholder>
        </w:sdtPr>
        <w:sdtEndPr>
          <w:rPr>
            <w:rFonts w:cs="Times New Roman"/>
            <w:color w:val="000000" w:themeColor="text1"/>
            <w14:textFill>
              <w14:solidFill>
                <w14:schemeClr w14:val="tx1"/>
              </w14:solidFill>
            </w14:textFill>
          </w:rPr>
        </w:sdtEndPr>
        <w:sdtContent>
          <w:tr w14:paraId="561EFB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4D3AF7EF">
                <w:pPr>
                  <w:rPr>
                    <w:rFonts w:cs="Times New Roman"/>
                  </w:rPr>
                </w:pPr>
                <w:r>
                  <w:rPr>
                    <w:rFonts w:cs="Times New Roman"/>
                  </w:rPr>
                  <w:t>上海际华物流有限公司</w:t>
                </w:r>
              </w:p>
            </w:tc>
            <w:tc>
              <w:tcPr>
                <w:tcW w:w="850" w:type="pct"/>
                <w:tcBorders>
                  <w:top w:val="single" w:color="auto" w:sz="4" w:space="0"/>
                  <w:left w:val="single" w:color="auto" w:sz="4" w:space="0"/>
                  <w:bottom w:val="single" w:color="auto" w:sz="4" w:space="0"/>
                  <w:right w:val="single" w:color="auto" w:sz="4" w:space="0"/>
                </w:tcBorders>
              </w:tcPr>
              <w:p w14:paraId="1C0FE781">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25CE9E36">
                <w:pPr>
                  <w:jc w:val="right"/>
                  <w:rPr>
                    <w:rFonts w:cs="Times New Roman"/>
                  </w:rPr>
                </w:pPr>
                <w:r>
                  <w:rPr>
                    <w:rFonts w:cs="Times New Roman"/>
                  </w:rPr>
                  <w:t>58,676.28</w:t>
                </w:r>
              </w:p>
            </w:tc>
            <w:tc>
              <w:tcPr>
                <w:tcW w:w="931" w:type="pct"/>
                <w:tcBorders>
                  <w:top w:val="single" w:color="auto" w:sz="4" w:space="0"/>
                  <w:left w:val="single" w:color="auto" w:sz="4" w:space="0"/>
                  <w:bottom w:val="single" w:color="auto" w:sz="4" w:space="0"/>
                  <w:right w:val="single" w:color="auto" w:sz="4" w:space="0"/>
                </w:tcBorders>
              </w:tcPr>
              <w:p w14:paraId="01111BDE">
                <w:pPr>
                  <w:jc w:val="right"/>
                  <w:rPr>
                    <w:rFonts w:cs="Times New Roman"/>
                  </w:rPr>
                </w:pP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758263469"/>
          <w:placeholder>
            <w:docPart w:val="{dac80138-80a9-4f66-bd31-592d454e5556}"/>
          </w:placeholder>
        </w:sdtPr>
        <w:sdtEndPr>
          <w:rPr>
            <w:rFonts w:cs="Times New Roman"/>
            <w:color w:val="000000" w:themeColor="text1"/>
            <w14:textFill>
              <w14:solidFill>
                <w14:schemeClr w14:val="tx1"/>
              </w14:solidFill>
            </w14:textFill>
          </w:rPr>
        </w:sdtEndPr>
        <w:sdtContent>
          <w:tr w14:paraId="2FB6B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6E1BCE73">
                <w:pPr>
                  <w:rPr>
                    <w:rFonts w:cs="Times New Roman"/>
                  </w:rPr>
                </w:pPr>
                <w:r>
                  <w:rPr>
                    <w:rFonts w:cs="Times New Roman"/>
                  </w:rPr>
                  <w:t>安徽锦源复合材料环保科技有限公司</w:t>
                </w:r>
              </w:p>
            </w:tc>
            <w:tc>
              <w:tcPr>
                <w:tcW w:w="850" w:type="pct"/>
                <w:tcBorders>
                  <w:top w:val="single" w:color="auto" w:sz="4" w:space="0"/>
                  <w:left w:val="single" w:color="auto" w:sz="4" w:space="0"/>
                  <w:bottom w:val="single" w:color="auto" w:sz="4" w:space="0"/>
                  <w:right w:val="single" w:color="auto" w:sz="4" w:space="0"/>
                </w:tcBorders>
              </w:tcPr>
              <w:p w14:paraId="1CD6EDA2">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5E0BEE14">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tcPr>
              <w:p w14:paraId="7771C9EB">
                <w:pPr>
                  <w:jc w:val="right"/>
                  <w:rPr>
                    <w:rFonts w:cs="Times New Roman"/>
                  </w:rPr>
                </w:pPr>
                <w:r>
                  <w:rPr>
                    <w:rFonts w:cs="Times New Roman"/>
                  </w:rPr>
                  <w:t>2,609,108.91</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99162285"/>
          <w:placeholder>
            <w:docPart w:val="{dac80138-80a9-4f66-bd31-592d454e5556}"/>
          </w:placeholder>
        </w:sdtPr>
        <w:sdtEndPr>
          <w:rPr>
            <w:rFonts w:cs="Times New Roman"/>
            <w:color w:val="000000" w:themeColor="text1"/>
            <w14:textFill>
              <w14:solidFill>
                <w14:schemeClr w14:val="tx1"/>
              </w14:solidFill>
            </w14:textFill>
          </w:rPr>
        </w:sdtEndPr>
        <w:sdtContent>
          <w:tr w14:paraId="09944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44B0F98D">
                <w:pPr>
                  <w:rPr>
                    <w:rFonts w:cs="Times New Roman"/>
                  </w:rPr>
                </w:pPr>
                <w:r>
                  <w:rPr>
                    <w:rFonts w:cs="Times New Roman"/>
                  </w:rPr>
                  <w:t>汉川际华三五零九置业有限公司</w:t>
                </w:r>
              </w:p>
            </w:tc>
            <w:tc>
              <w:tcPr>
                <w:tcW w:w="850" w:type="pct"/>
                <w:tcBorders>
                  <w:top w:val="single" w:color="auto" w:sz="4" w:space="0"/>
                  <w:left w:val="single" w:color="auto" w:sz="4" w:space="0"/>
                  <w:bottom w:val="single" w:color="auto" w:sz="4" w:space="0"/>
                  <w:right w:val="single" w:color="auto" w:sz="4" w:space="0"/>
                </w:tcBorders>
              </w:tcPr>
              <w:p w14:paraId="79B12661">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4CA3F7A3">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tcPr>
              <w:p w14:paraId="58A4D8DC">
                <w:pPr>
                  <w:jc w:val="right"/>
                  <w:rPr>
                    <w:rFonts w:cs="Times New Roman"/>
                  </w:rPr>
                </w:pPr>
                <w:r>
                  <w:rPr>
                    <w:rFonts w:cs="Times New Roman"/>
                  </w:rPr>
                  <w:t>336,297.69</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27320265"/>
          <w:placeholder>
            <w:docPart w:val="{dac80138-80a9-4f66-bd31-592d454e5556}"/>
          </w:placeholder>
        </w:sdtPr>
        <w:sdtEndPr>
          <w:rPr>
            <w:rFonts w:cs="Times New Roman"/>
            <w:color w:val="000000" w:themeColor="text1"/>
            <w14:textFill>
              <w14:solidFill>
                <w14:schemeClr w14:val="tx1"/>
              </w14:solidFill>
            </w14:textFill>
          </w:rPr>
        </w:sdtEndPr>
        <w:sdtContent>
          <w:tr w14:paraId="7A188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3A63C5CD">
                <w:pPr>
                  <w:rPr>
                    <w:rFonts w:cs="Times New Roman"/>
                  </w:rPr>
                </w:pPr>
                <w:r>
                  <w:rPr>
                    <w:rFonts w:cs="Times New Roman"/>
                  </w:rPr>
                  <w:t>南京际华五三零二科技发展有限公司</w:t>
                </w:r>
              </w:p>
            </w:tc>
            <w:tc>
              <w:tcPr>
                <w:tcW w:w="850" w:type="pct"/>
                <w:tcBorders>
                  <w:top w:val="single" w:color="auto" w:sz="4" w:space="0"/>
                  <w:left w:val="single" w:color="auto" w:sz="4" w:space="0"/>
                  <w:bottom w:val="single" w:color="auto" w:sz="4" w:space="0"/>
                  <w:right w:val="single" w:color="auto" w:sz="4" w:space="0"/>
                </w:tcBorders>
              </w:tcPr>
              <w:p w14:paraId="7F3EDD9B">
                <w:pPr>
                  <w:jc w:val="center"/>
                  <w:rPr>
                    <w:rFonts w:cs="Times New Roman"/>
                  </w:rPr>
                </w:pPr>
                <w:r>
                  <w:rPr>
                    <w:rFonts w:cs="Times New Roman"/>
                  </w:rPr>
                  <w:t>采购商品</w:t>
                </w:r>
              </w:p>
            </w:tc>
            <w:tc>
              <w:tcPr>
                <w:tcW w:w="855" w:type="pct"/>
                <w:tcBorders>
                  <w:top w:val="single" w:color="auto" w:sz="4" w:space="0"/>
                  <w:left w:val="single" w:color="auto" w:sz="4" w:space="0"/>
                  <w:bottom w:val="single" w:color="auto" w:sz="4" w:space="0"/>
                  <w:right w:val="single" w:color="auto" w:sz="4" w:space="0"/>
                </w:tcBorders>
              </w:tcPr>
              <w:p w14:paraId="701CC41C">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tcPr>
              <w:p w14:paraId="55F53B12">
                <w:pPr>
                  <w:jc w:val="right"/>
                  <w:rPr>
                    <w:rFonts w:cs="Times New Roman"/>
                  </w:rPr>
                </w:pPr>
                <w:r>
                  <w:rPr>
                    <w:rFonts w:cs="Times New Roman"/>
                  </w:rPr>
                  <w:t>2,961.24</w:t>
                </w:r>
              </w:p>
            </w:tc>
          </w:tr>
        </w:sdtContent>
      </w:sdt>
      <w:tr w14:paraId="420C2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Pr>
        <w:tc>
          <w:tcPr>
            <w:tcW w:w="2362" w:type="pct"/>
            <w:tcBorders>
              <w:top w:val="single" w:color="auto" w:sz="4" w:space="0"/>
              <w:left w:val="single" w:color="auto" w:sz="4" w:space="0"/>
              <w:bottom w:val="single" w:color="auto" w:sz="4" w:space="0"/>
              <w:right w:val="single" w:color="auto" w:sz="4" w:space="0"/>
            </w:tcBorders>
          </w:tcPr>
          <w:p w14:paraId="595EAAE4">
            <w:pPr>
              <w:rPr>
                <w:rFonts w:cs="Times New Roman"/>
              </w:rPr>
            </w:pPr>
            <w:r>
              <w:rPr>
                <w:rFonts w:cs="Times New Roman"/>
              </w:rPr>
              <w:t>新兴际华集团财务有限公司</w:t>
            </w:r>
          </w:p>
        </w:tc>
        <w:tc>
          <w:tcPr>
            <w:tcW w:w="850" w:type="pct"/>
            <w:tcBorders>
              <w:top w:val="single" w:color="auto" w:sz="4" w:space="0"/>
              <w:left w:val="single" w:color="auto" w:sz="4" w:space="0"/>
              <w:bottom w:val="single" w:color="auto" w:sz="4" w:space="0"/>
              <w:right w:val="single" w:color="auto" w:sz="4" w:space="0"/>
            </w:tcBorders>
          </w:tcPr>
          <w:p w14:paraId="04DC17E6">
            <w:pPr>
              <w:jc w:val="center"/>
              <w:rPr>
                <w:rFonts w:cs="Times New Roman"/>
              </w:rPr>
            </w:pPr>
            <w:r>
              <w:rPr>
                <w:rFonts w:cs="Times New Roman"/>
              </w:rPr>
              <w:t>接受劳务</w:t>
            </w:r>
          </w:p>
        </w:tc>
        <w:tc>
          <w:tcPr>
            <w:tcW w:w="1547" w:type="dxa"/>
            <w:tcBorders>
              <w:top w:val="single" w:color="auto" w:sz="4" w:space="0"/>
              <w:left w:val="single" w:color="auto" w:sz="4" w:space="0"/>
              <w:bottom w:val="single" w:color="auto" w:sz="4" w:space="0"/>
              <w:right w:val="single" w:color="auto" w:sz="4" w:space="0"/>
            </w:tcBorders>
            <w:vAlign w:val="center"/>
          </w:tcPr>
          <w:p w14:paraId="33BD5958">
            <w:pPr>
              <w:jc w:val="right"/>
              <w:textAlignment w:val="center"/>
              <w:rPr>
                <w:rFonts w:cs="Times New Roman"/>
              </w:rPr>
            </w:pPr>
            <w:r>
              <w:rPr>
                <w:rFonts w:eastAsia="Arial Narrow" w:cs="Times New Roman"/>
                <w:color w:val="000000"/>
                <w:lang w:bidi="ar"/>
              </w:rPr>
              <w:t>6,438,899.65</w:t>
            </w:r>
          </w:p>
        </w:tc>
        <w:tc>
          <w:tcPr>
            <w:tcW w:w="1685" w:type="dxa"/>
            <w:tcBorders>
              <w:top w:val="single" w:color="auto" w:sz="4" w:space="0"/>
              <w:left w:val="single" w:color="auto" w:sz="4" w:space="0"/>
              <w:bottom w:val="single" w:color="auto" w:sz="4" w:space="0"/>
              <w:right w:val="single" w:color="auto" w:sz="4" w:space="0"/>
            </w:tcBorders>
            <w:vAlign w:val="center"/>
          </w:tcPr>
          <w:p w14:paraId="03026D21">
            <w:pPr>
              <w:jc w:val="right"/>
              <w:textAlignment w:val="center"/>
              <w:rPr>
                <w:rFonts w:cs="Times New Roman"/>
              </w:rPr>
            </w:pPr>
            <w:r>
              <w:rPr>
                <w:rFonts w:eastAsia="Arial Narrow" w:cs="Times New Roman"/>
                <w:color w:val="000000"/>
                <w:lang w:bidi="ar"/>
              </w:rPr>
              <w:t>4,325,615.81</w:t>
            </w:r>
          </w:p>
        </w:tc>
      </w:tr>
      <w:sdt>
        <w:sdtPr>
          <w:rPr>
            <w:rFonts w:cs="Times New Roman"/>
            <w:color w:val="000000" w:themeColor="text1"/>
            <w14:textFill>
              <w14:solidFill>
                <w14:schemeClr w14:val="tx1"/>
              </w14:solidFill>
            </w14:textFill>
          </w:rPr>
          <w:alias w:val="采购商品接受劳务情况明细"/>
          <w:tag w:val="_TUP_6a1f8fb777604032986c4beda62c76c1"/>
          <w:id w:val="1825003752"/>
          <w:placeholder>
            <w:docPart w:val="{dac80138-80a9-4f66-bd31-592d454e5556}"/>
          </w:placeholder>
        </w:sdtPr>
        <w:sdtEndPr>
          <w:rPr>
            <w:rFonts w:cs="Times New Roman"/>
            <w:color w:val="000000" w:themeColor="text1"/>
            <w14:textFill>
              <w14:solidFill>
                <w14:schemeClr w14:val="tx1"/>
              </w14:solidFill>
            </w14:textFill>
          </w:rPr>
        </w:sdtEndPr>
        <w:sdtContent>
          <w:tr w14:paraId="52121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19AF7508">
                <w:pPr>
                  <w:rPr>
                    <w:rFonts w:cs="Times New Roman"/>
                  </w:rPr>
                </w:pPr>
                <w:r>
                  <w:rPr>
                    <w:rFonts w:cs="Times New Roman"/>
                  </w:rPr>
                  <w:t>荷原置地控股有限公司</w:t>
                </w:r>
              </w:p>
            </w:tc>
            <w:tc>
              <w:tcPr>
                <w:tcW w:w="850" w:type="pct"/>
                <w:tcBorders>
                  <w:top w:val="single" w:color="auto" w:sz="4" w:space="0"/>
                  <w:left w:val="single" w:color="auto" w:sz="4" w:space="0"/>
                  <w:bottom w:val="single" w:color="auto" w:sz="4" w:space="0"/>
                  <w:right w:val="single" w:color="auto" w:sz="4" w:space="0"/>
                </w:tcBorders>
              </w:tcPr>
              <w:p w14:paraId="49B6EC3F">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1326C8E5">
                <w:pPr>
                  <w:jc w:val="right"/>
                  <w:rPr>
                    <w:rFonts w:cs="Times New Roman"/>
                  </w:rPr>
                </w:pPr>
                <w:r>
                  <w:rPr>
                    <w:rFonts w:cs="Times New Roman"/>
                  </w:rPr>
                  <w:t>4,763,246.94</w:t>
                </w:r>
              </w:p>
            </w:tc>
            <w:tc>
              <w:tcPr>
                <w:tcW w:w="931" w:type="pct"/>
                <w:tcBorders>
                  <w:top w:val="single" w:color="auto" w:sz="4" w:space="0"/>
                  <w:left w:val="single" w:color="auto" w:sz="4" w:space="0"/>
                  <w:bottom w:val="single" w:color="auto" w:sz="4" w:space="0"/>
                  <w:right w:val="single" w:color="auto" w:sz="4" w:space="0"/>
                </w:tcBorders>
                <w:vAlign w:val="center"/>
              </w:tcPr>
              <w:p w14:paraId="0B21875A">
                <w:pPr>
                  <w:jc w:val="right"/>
                  <w:rPr>
                    <w:rFonts w:cs="Times New Roman"/>
                  </w:rPr>
                </w:pPr>
                <w:r>
                  <w:rPr>
                    <w:rFonts w:cs="Times New Roman"/>
                  </w:rPr>
                  <w:t>2,072,233.33</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73698941"/>
          <w:placeholder>
            <w:docPart w:val="{dac80138-80a9-4f66-bd31-592d454e5556}"/>
          </w:placeholder>
        </w:sdtPr>
        <w:sdtEndPr>
          <w:rPr>
            <w:rFonts w:cs="Times New Roman"/>
            <w:color w:val="000000" w:themeColor="text1"/>
            <w14:textFill>
              <w14:solidFill>
                <w14:schemeClr w14:val="tx1"/>
              </w14:solidFill>
            </w14:textFill>
          </w:rPr>
        </w:sdtEndPr>
        <w:sdtContent>
          <w:tr w14:paraId="246FFD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Pr>
            <w:tc>
              <w:tcPr>
                <w:tcW w:w="2362" w:type="pct"/>
                <w:tcBorders>
                  <w:top w:val="single" w:color="auto" w:sz="4" w:space="0"/>
                  <w:left w:val="single" w:color="auto" w:sz="4" w:space="0"/>
                  <w:bottom w:val="single" w:color="auto" w:sz="4" w:space="0"/>
                  <w:right w:val="single" w:color="auto" w:sz="4" w:space="0"/>
                </w:tcBorders>
              </w:tcPr>
              <w:p w14:paraId="7C81A135">
                <w:pPr>
                  <w:rPr>
                    <w:rFonts w:cs="Times New Roman"/>
                  </w:rPr>
                </w:pPr>
                <w:r>
                  <w:rPr>
                    <w:rFonts w:cs="Times New Roman"/>
                  </w:rPr>
                  <w:t>新兴际华集团有限公司</w:t>
                </w:r>
              </w:p>
            </w:tc>
            <w:tc>
              <w:tcPr>
                <w:tcW w:w="850" w:type="pct"/>
                <w:tcBorders>
                  <w:top w:val="single" w:color="auto" w:sz="4" w:space="0"/>
                  <w:left w:val="single" w:color="auto" w:sz="4" w:space="0"/>
                  <w:bottom w:val="single" w:color="auto" w:sz="4" w:space="0"/>
                  <w:right w:val="single" w:color="auto" w:sz="4" w:space="0"/>
                </w:tcBorders>
              </w:tcPr>
              <w:p w14:paraId="56877880">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4DDC4018">
                <w:pPr>
                  <w:jc w:val="right"/>
                  <w:rPr>
                    <w:rFonts w:cs="Times New Roman"/>
                  </w:rPr>
                </w:pPr>
                <w:r>
                  <w:rPr>
                    <w:rFonts w:cs="Times New Roman"/>
                  </w:rPr>
                  <w:t>2,191,094.45</w:t>
                </w:r>
              </w:p>
            </w:tc>
            <w:tc>
              <w:tcPr>
                <w:tcW w:w="931" w:type="pct"/>
                <w:tcBorders>
                  <w:top w:val="single" w:color="auto" w:sz="4" w:space="0"/>
                  <w:left w:val="single" w:color="auto" w:sz="4" w:space="0"/>
                  <w:bottom w:val="single" w:color="auto" w:sz="4" w:space="0"/>
                  <w:right w:val="single" w:color="auto" w:sz="4" w:space="0"/>
                </w:tcBorders>
                <w:vAlign w:val="center"/>
              </w:tcPr>
              <w:p w14:paraId="78B1B82F">
                <w:pPr>
                  <w:jc w:val="right"/>
                  <w:rPr>
                    <w:rFonts w:cs="Times New Roman"/>
                  </w:rPr>
                </w:pPr>
                <w:r>
                  <w:rPr>
                    <w:rFonts w:cs="Times New Roman"/>
                  </w:rPr>
                  <w:t>513,566.67</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997370900"/>
          <w:placeholder>
            <w:docPart w:val="{dac80138-80a9-4f66-bd31-592d454e5556}"/>
          </w:placeholder>
        </w:sdtPr>
        <w:sdtEndPr>
          <w:rPr>
            <w:rFonts w:cs="Times New Roman"/>
            <w:color w:val="000000" w:themeColor="text1"/>
            <w14:textFill>
              <w14:solidFill>
                <w14:schemeClr w14:val="tx1"/>
              </w14:solidFill>
            </w14:textFill>
          </w:rPr>
        </w:sdtEndPr>
        <w:sdtContent>
          <w:tr w14:paraId="5ADE73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766E0725">
                <w:pPr>
                  <w:rPr>
                    <w:rFonts w:cs="Times New Roman"/>
                  </w:rPr>
                </w:pPr>
                <w:r>
                  <w:rPr>
                    <w:rFonts w:cs="Times New Roman"/>
                  </w:rPr>
                  <w:t>新兴际华物业服务（北京）有限公司</w:t>
                </w:r>
              </w:p>
            </w:tc>
            <w:tc>
              <w:tcPr>
                <w:tcW w:w="850" w:type="pct"/>
                <w:tcBorders>
                  <w:top w:val="single" w:color="auto" w:sz="4" w:space="0"/>
                  <w:left w:val="single" w:color="auto" w:sz="4" w:space="0"/>
                  <w:bottom w:val="single" w:color="auto" w:sz="4" w:space="0"/>
                  <w:right w:val="single" w:color="auto" w:sz="4" w:space="0"/>
                </w:tcBorders>
              </w:tcPr>
              <w:p w14:paraId="32DAD4B6">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526B315D">
                <w:pPr>
                  <w:jc w:val="right"/>
                  <w:rPr>
                    <w:rFonts w:cs="Times New Roman"/>
                  </w:rPr>
                </w:pPr>
                <w:r>
                  <w:rPr>
                    <w:rFonts w:cs="Times New Roman"/>
                  </w:rPr>
                  <w:t>530,303.16</w:t>
                </w:r>
              </w:p>
            </w:tc>
            <w:tc>
              <w:tcPr>
                <w:tcW w:w="931" w:type="pct"/>
                <w:tcBorders>
                  <w:top w:val="single" w:color="auto" w:sz="4" w:space="0"/>
                  <w:left w:val="single" w:color="auto" w:sz="4" w:space="0"/>
                  <w:bottom w:val="single" w:color="auto" w:sz="4" w:space="0"/>
                  <w:right w:val="single" w:color="auto" w:sz="4" w:space="0"/>
                </w:tcBorders>
                <w:vAlign w:val="center"/>
              </w:tcPr>
              <w:p w14:paraId="28E08816">
                <w:pPr>
                  <w:jc w:val="right"/>
                  <w:rPr>
                    <w:rFonts w:cs="Times New Roman"/>
                  </w:rPr>
                </w:pPr>
                <w:r>
                  <w:rPr>
                    <w:rFonts w:cs="Times New Roman"/>
                  </w:rPr>
                  <w:t>908,634.86</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953681904"/>
          <w:placeholder>
            <w:docPart w:val="{dac80138-80a9-4f66-bd31-592d454e5556}"/>
          </w:placeholder>
        </w:sdtPr>
        <w:sdtEndPr>
          <w:rPr>
            <w:rFonts w:cs="Times New Roman"/>
            <w:color w:val="000000" w:themeColor="text1"/>
            <w14:textFill>
              <w14:solidFill>
                <w14:schemeClr w14:val="tx1"/>
              </w14:solidFill>
            </w14:textFill>
          </w:rPr>
        </w:sdtEndPr>
        <w:sdtContent>
          <w:tr w14:paraId="64DE43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7C461FAF">
                <w:pPr>
                  <w:rPr>
                    <w:rFonts w:cs="Times New Roman"/>
                  </w:rPr>
                </w:pPr>
                <w:r>
                  <w:rPr>
                    <w:rFonts w:cs="Times New Roman"/>
                  </w:rPr>
                  <w:t>新兴际华检验检测（北京）有限公司</w:t>
                </w:r>
              </w:p>
            </w:tc>
            <w:tc>
              <w:tcPr>
                <w:tcW w:w="850" w:type="pct"/>
                <w:tcBorders>
                  <w:top w:val="single" w:color="auto" w:sz="4" w:space="0"/>
                  <w:left w:val="single" w:color="auto" w:sz="4" w:space="0"/>
                  <w:bottom w:val="single" w:color="auto" w:sz="4" w:space="0"/>
                  <w:right w:val="single" w:color="auto" w:sz="4" w:space="0"/>
                </w:tcBorders>
              </w:tcPr>
              <w:p w14:paraId="00F2408B">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1A3AD0C5">
                <w:pPr>
                  <w:jc w:val="right"/>
                  <w:rPr>
                    <w:rFonts w:cs="Times New Roman"/>
                  </w:rPr>
                </w:pPr>
                <w:r>
                  <w:rPr>
                    <w:rFonts w:cs="Times New Roman"/>
                  </w:rPr>
                  <w:t>97,271.64</w:t>
                </w:r>
              </w:p>
            </w:tc>
            <w:tc>
              <w:tcPr>
                <w:tcW w:w="931" w:type="pct"/>
                <w:tcBorders>
                  <w:top w:val="single" w:color="auto" w:sz="4" w:space="0"/>
                  <w:left w:val="single" w:color="auto" w:sz="4" w:space="0"/>
                  <w:bottom w:val="single" w:color="auto" w:sz="4" w:space="0"/>
                  <w:right w:val="single" w:color="auto" w:sz="4" w:space="0"/>
                </w:tcBorders>
                <w:vAlign w:val="center"/>
              </w:tcPr>
              <w:p w14:paraId="1D36B043">
                <w:pPr>
                  <w:jc w:val="right"/>
                  <w:rPr>
                    <w:rFonts w:cs="Times New Roman"/>
                  </w:rPr>
                </w:pPr>
                <w:r>
                  <w:rPr>
                    <w:rFonts w:cs="Times New Roman"/>
                  </w:rPr>
                  <w:t>95,712.46</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691297248"/>
          <w:placeholder>
            <w:docPart w:val="{dac80138-80a9-4f66-bd31-592d454e5556}"/>
          </w:placeholder>
        </w:sdtPr>
        <w:sdtEndPr>
          <w:rPr>
            <w:rFonts w:cs="Times New Roman"/>
            <w:color w:val="000000" w:themeColor="text1"/>
            <w14:textFill>
              <w14:solidFill>
                <w14:schemeClr w14:val="tx1"/>
              </w14:solidFill>
            </w14:textFill>
          </w:rPr>
        </w:sdtEndPr>
        <w:sdtContent>
          <w:tr w14:paraId="270A72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600BE0F9">
                <w:pPr>
                  <w:rPr>
                    <w:rFonts w:cs="Times New Roman"/>
                  </w:rPr>
                </w:pPr>
                <w:r>
                  <w:rPr>
                    <w:rFonts w:cs="Times New Roman"/>
                  </w:rPr>
                  <w:t>咸阳际华投资发展有限公司</w:t>
                </w:r>
              </w:p>
            </w:tc>
            <w:tc>
              <w:tcPr>
                <w:tcW w:w="850" w:type="pct"/>
                <w:tcBorders>
                  <w:top w:val="single" w:color="auto" w:sz="4" w:space="0"/>
                  <w:left w:val="single" w:color="auto" w:sz="4" w:space="0"/>
                  <w:bottom w:val="single" w:color="auto" w:sz="4" w:space="0"/>
                  <w:right w:val="single" w:color="auto" w:sz="4" w:space="0"/>
                </w:tcBorders>
              </w:tcPr>
              <w:p w14:paraId="45AE4E52">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6FD0DF5A">
                <w:pPr>
                  <w:jc w:val="right"/>
                  <w:rPr>
                    <w:rFonts w:cs="Times New Roman"/>
                  </w:rPr>
                </w:pPr>
                <w:r>
                  <w:rPr>
                    <w:rFonts w:cs="Times New Roman"/>
                  </w:rPr>
                  <w:t>79,530.00</w:t>
                </w:r>
              </w:p>
            </w:tc>
            <w:tc>
              <w:tcPr>
                <w:tcW w:w="931" w:type="pct"/>
                <w:tcBorders>
                  <w:top w:val="single" w:color="auto" w:sz="4" w:space="0"/>
                  <w:left w:val="single" w:color="auto" w:sz="4" w:space="0"/>
                  <w:bottom w:val="single" w:color="auto" w:sz="4" w:space="0"/>
                  <w:right w:val="single" w:color="auto" w:sz="4" w:space="0"/>
                </w:tcBorders>
                <w:vAlign w:val="center"/>
              </w:tcPr>
              <w:p w14:paraId="17E61A17">
                <w:pPr>
                  <w:jc w:val="right"/>
                  <w:rPr>
                    <w:rFonts w:cs="Times New Roman"/>
                  </w:rPr>
                </w:pPr>
                <w:r>
                  <w:rPr>
                    <w:rFonts w:cs="Times New Roman"/>
                  </w:rPr>
                  <w:t>124,558.91</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910078939"/>
          <w:placeholder>
            <w:docPart w:val="{dac80138-80a9-4f66-bd31-592d454e5556}"/>
          </w:placeholder>
        </w:sdtPr>
        <w:sdtEndPr>
          <w:rPr>
            <w:rFonts w:cs="Times New Roman"/>
            <w:color w:val="000000" w:themeColor="text1"/>
            <w14:textFill>
              <w14:solidFill>
                <w14:schemeClr w14:val="tx1"/>
              </w14:solidFill>
            </w14:textFill>
          </w:rPr>
        </w:sdtEndPr>
        <w:sdtContent>
          <w:tr w14:paraId="190CBE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000C58EA">
                <w:pPr>
                  <w:rPr>
                    <w:rFonts w:cs="Times New Roman"/>
                  </w:rPr>
                </w:pPr>
                <w:r>
                  <w:rPr>
                    <w:rFonts w:cs="Times New Roman"/>
                  </w:rPr>
                  <w:t>新兴际华（北京）材料技术研究院有限公司</w:t>
                </w:r>
              </w:p>
            </w:tc>
            <w:tc>
              <w:tcPr>
                <w:tcW w:w="850" w:type="pct"/>
                <w:tcBorders>
                  <w:top w:val="single" w:color="auto" w:sz="4" w:space="0"/>
                  <w:left w:val="single" w:color="auto" w:sz="4" w:space="0"/>
                  <w:bottom w:val="single" w:color="auto" w:sz="4" w:space="0"/>
                  <w:right w:val="single" w:color="auto" w:sz="4" w:space="0"/>
                </w:tcBorders>
              </w:tcPr>
              <w:p w14:paraId="0BBB0944">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390B3315">
                <w:pPr>
                  <w:jc w:val="right"/>
                  <w:rPr>
                    <w:rFonts w:cs="Times New Roman"/>
                  </w:rPr>
                </w:pPr>
                <w:r>
                  <w:rPr>
                    <w:rFonts w:cs="Times New Roman"/>
                  </w:rPr>
                  <w:t>28,256.89</w:t>
                </w:r>
              </w:p>
            </w:tc>
            <w:tc>
              <w:tcPr>
                <w:tcW w:w="931" w:type="pct"/>
                <w:tcBorders>
                  <w:top w:val="single" w:color="auto" w:sz="4" w:space="0"/>
                  <w:left w:val="single" w:color="auto" w:sz="4" w:space="0"/>
                  <w:bottom w:val="single" w:color="auto" w:sz="4" w:space="0"/>
                  <w:right w:val="single" w:color="auto" w:sz="4" w:space="0"/>
                </w:tcBorders>
                <w:vAlign w:val="center"/>
              </w:tcPr>
              <w:p w14:paraId="1121B5E4">
                <w:pPr>
                  <w:jc w:val="right"/>
                  <w:rPr>
                    <w:rFonts w:cs="Times New Roman"/>
                  </w:rPr>
                </w:pP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2061081496"/>
          <w:placeholder>
            <w:docPart w:val="{dac80138-80a9-4f66-bd31-592d454e5556}"/>
          </w:placeholder>
        </w:sdtPr>
        <w:sdtEndPr>
          <w:rPr>
            <w:rFonts w:cs="Times New Roman"/>
            <w:color w:val="000000" w:themeColor="text1"/>
            <w14:textFill>
              <w14:solidFill>
                <w14:schemeClr w14:val="tx1"/>
              </w14:solidFill>
            </w14:textFill>
          </w:rPr>
        </w:sdtEndPr>
        <w:sdtContent>
          <w:tr w14:paraId="39A14F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0A7B9FFA">
                <w:pPr>
                  <w:rPr>
                    <w:rFonts w:cs="Times New Roman"/>
                  </w:rPr>
                </w:pPr>
                <w:r>
                  <w:rPr>
                    <w:rFonts w:cs="Times New Roman"/>
                  </w:rPr>
                  <w:t>聚联智汇水务科技有限公司</w:t>
                </w:r>
              </w:p>
            </w:tc>
            <w:tc>
              <w:tcPr>
                <w:tcW w:w="850" w:type="pct"/>
                <w:tcBorders>
                  <w:top w:val="single" w:color="auto" w:sz="4" w:space="0"/>
                  <w:left w:val="single" w:color="auto" w:sz="4" w:space="0"/>
                  <w:bottom w:val="single" w:color="auto" w:sz="4" w:space="0"/>
                  <w:right w:val="single" w:color="auto" w:sz="4" w:space="0"/>
                </w:tcBorders>
              </w:tcPr>
              <w:p w14:paraId="1B588849">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4D00D7C5">
                <w:pPr>
                  <w:jc w:val="right"/>
                  <w:rPr>
                    <w:rFonts w:cs="Times New Roman"/>
                  </w:rPr>
                </w:pPr>
                <w:r>
                  <w:rPr>
                    <w:rFonts w:cs="Times New Roman"/>
                  </w:rPr>
                  <w:t>4,068.93</w:t>
                </w:r>
              </w:p>
            </w:tc>
            <w:tc>
              <w:tcPr>
                <w:tcW w:w="931" w:type="pct"/>
                <w:tcBorders>
                  <w:top w:val="single" w:color="auto" w:sz="4" w:space="0"/>
                  <w:left w:val="single" w:color="auto" w:sz="4" w:space="0"/>
                  <w:bottom w:val="single" w:color="auto" w:sz="4" w:space="0"/>
                  <w:right w:val="single" w:color="auto" w:sz="4" w:space="0"/>
                </w:tcBorders>
                <w:vAlign w:val="center"/>
              </w:tcPr>
              <w:p w14:paraId="3C43AB6D">
                <w:pPr>
                  <w:jc w:val="right"/>
                  <w:rPr>
                    <w:rFonts w:cs="Times New Roman"/>
                  </w:rPr>
                </w:pP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115480408"/>
          <w:placeholder>
            <w:docPart w:val="{dac80138-80a9-4f66-bd31-592d454e5556}"/>
          </w:placeholder>
        </w:sdtPr>
        <w:sdtEndPr>
          <w:rPr>
            <w:rFonts w:cs="Times New Roman"/>
            <w:color w:val="000000" w:themeColor="text1"/>
            <w14:textFill>
              <w14:solidFill>
                <w14:schemeClr w14:val="tx1"/>
              </w14:solidFill>
            </w14:textFill>
          </w:rPr>
        </w:sdtEndPr>
        <w:sdtContent>
          <w:tr w14:paraId="33EE45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13753E64">
                <w:pPr>
                  <w:rPr>
                    <w:rFonts w:cs="Times New Roman"/>
                  </w:rPr>
                </w:pPr>
                <w:r>
                  <w:rPr>
                    <w:rFonts w:cs="Times New Roman"/>
                  </w:rPr>
                  <w:t>石家庄际华资产管理有限公司</w:t>
                </w:r>
              </w:p>
            </w:tc>
            <w:tc>
              <w:tcPr>
                <w:tcW w:w="850" w:type="pct"/>
                <w:tcBorders>
                  <w:top w:val="single" w:color="auto" w:sz="4" w:space="0"/>
                  <w:left w:val="single" w:color="auto" w:sz="4" w:space="0"/>
                  <w:bottom w:val="single" w:color="auto" w:sz="4" w:space="0"/>
                  <w:right w:val="single" w:color="auto" w:sz="4" w:space="0"/>
                </w:tcBorders>
              </w:tcPr>
              <w:p w14:paraId="49FDE5E6">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1CB80976">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vAlign w:val="center"/>
              </w:tcPr>
              <w:p w14:paraId="045E1627">
                <w:pPr>
                  <w:jc w:val="right"/>
                  <w:rPr>
                    <w:rFonts w:cs="Times New Roman"/>
                  </w:rPr>
                </w:pPr>
                <w:r>
                  <w:rPr>
                    <w:rFonts w:cs="Times New Roman"/>
                  </w:rPr>
                  <w:t>1,036,194.72</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290314794"/>
          <w:placeholder>
            <w:docPart w:val="{dac80138-80a9-4f66-bd31-592d454e5556}"/>
          </w:placeholder>
        </w:sdtPr>
        <w:sdtEndPr>
          <w:rPr>
            <w:rFonts w:cs="Times New Roman"/>
            <w:color w:val="000000" w:themeColor="text1"/>
            <w14:textFill>
              <w14:solidFill>
                <w14:schemeClr w14:val="tx1"/>
              </w14:solidFill>
            </w14:textFill>
          </w:rPr>
        </w:sdtEndPr>
        <w:sdtContent>
          <w:tr w14:paraId="09547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Pr>
            <w:tc>
              <w:tcPr>
                <w:tcW w:w="2362" w:type="pct"/>
                <w:tcBorders>
                  <w:top w:val="single" w:color="auto" w:sz="4" w:space="0"/>
                  <w:left w:val="single" w:color="auto" w:sz="4" w:space="0"/>
                  <w:bottom w:val="single" w:color="auto" w:sz="4" w:space="0"/>
                  <w:right w:val="single" w:color="auto" w:sz="4" w:space="0"/>
                </w:tcBorders>
              </w:tcPr>
              <w:p w14:paraId="70064860">
                <w:pPr>
                  <w:rPr>
                    <w:rFonts w:cs="Times New Roman"/>
                  </w:rPr>
                </w:pPr>
                <w:r>
                  <w:rPr>
                    <w:rFonts w:cs="Times New Roman"/>
                  </w:rPr>
                  <w:t>北京三五零一服装厂有限公司</w:t>
                </w:r>
              </w:p>
            </w:tc>
            <w:tc>
              <w:tcPr>
                <w:tcW w:w="850" w:type="pct"/>
                <w:tcBorders>
                  <w:top w:val="single" w:color="auto" w:sz="4" w:space="0"/>
                  <w:left w:val="single" w:color="auto" w:sz="4" w:space="0"/>
                  <w:bottom w:val="single" w:color="auto" w:sz="4" w:space="0"/>
                  <w:right w:val="single" w:color="auto" w:sz="4" w:space="0"/>
                </w:tcBorders>
              </w:tcPr>
              <w:p w14:paraId="034D193C">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1C5B0E3C">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vAlign w:val="center"/>
              </w:tcPr>
              <w:p w14:paraId="05EB6507">
                <w:pPr>
                  <w:jc w:val="right"/>
                  <w:rPr>
                    <w:rFonts w:cs="Times New Roman"/>
                  </w:rPr>
                </w:pPr>
                <w:r>
                  <w:rPr>
                    <w:rFonts w:cs="Times New Roman"/>
                  </w:rPr>
                  <w:t>8,571.43</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806586149"/>
          <w:placeholder>
            <w:docPart w:val="{dac80138-80a9-4f66-bd31-592d454e5556}"/>
          </w:placeholder>
        </w:sdtPr>
        <w:sdtEndPr>
          <w:rPr>
            <w:rFonts w:cs="Times New Roman"/>
            <w:color w:val="000000" w:themeColor="text1"/>
            <w14:textFill>
              <w14:solidFill>
                <w14:schemeClr w14:val="tx1"/>
              </w14:solidFill>
            </w14:textFill>
          </w:rPr>
        </w:sdtEndPr>
        <w:sdtContent>
          <w:tr w14:paraId="5BB414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575C2F7E">
                <w:pPr>
                  <w:rPr>
                    <w:rFonts w:cs="Times New Roman"/>
                  </w:rPr>
                </w:pPr>
                <w:r>
                  <w:rPr>
                    <w:rFonts w:cs="Times New Roman"/>
                  </w:rPr>
                  <w:t>中铸新兴企业管理有限公司</w:t>
                </w:r>
              </w:p>
            </w:tc>
            <w:tc>
              <w:tcPr>
                <w:tcW w:w="850" w:type="pct"/>
                <w:tcBorders>
                  <w:top w:val="single" w:color="auto" w:sz="4" w:space="0"/>
                  <w:left w:val="single" w:color="auto" w:sz="4" w:space="0"/>
                  <w:bottom w:val="single" w:color="auto" w:sz="4" w:space="0"/>
                  <w:right w:val="single" w:color="auto" w:sz="4" w:space="0"/>
                </w:tcBorders>
              </w:tcPr>
              <w:p w14:paraId="738ADC70">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3D5A0FF1">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vAlign w:val="center"/>
              </w:tcPr>
              <w:p w14:paraId="3C9BAF6F">
                <w:pPr>
                  <w:jc w:val="right"/>
                  <w:rPr>
                    <w:rFonts w:cs="Times New Roman"/>
                  </w:rPr>
                </w:pPr>
                <w:r>
                  <w:rPr>
                    <w:rFonts w:cs="Times New Roman"/>
                  </w:rPr>
                  <w:t>5,100.00</w:t>
                </w:r>
              </w:p>
            </w:tc>
          </w:tr>
        </w:sdtContent>
      </w:sdt>
      <w:sdt>
        <w:sdtPr>
          <w:rPr>
            <w:rFonts w:cs="Times New Roman"/>
            <w:color w:val="000000" w:themeColor="text1"/>
            <w14:textFill>
              <w14:solidFill>
                <w14:schemeClr w14:val="tx1"/>
              </w14:solidFill>
            </w14:textFill>
          </w:rPr>
          <w:alias w:val="采购商品接受劳务情况明细"/>
          <w:tag w:val="_TUP_6a1f8fb777604032986c4beda62c76c1"/>
          <w:id w:val="119730447"/>
          <w:placeholder>
            <w:docPart w:val="{dac80138-80a9-4f66-bd31-592d454e5556}"/>
          </w:placeholder>
        </w:sdtPr>
        <w:sdtEndPr>
          <w:rPr>
            <w:rFonts w:cs="Times New Roman"/>
            <w:color w:val="000000" w:themeColor="text1"/>
            <w14:textFill>
              <w14:solidFill>
                <w14:schemeClr w14:val="tx1"/>
              </w14:solidFill>
            </w14:textFill>
          </w:rPr>
        </w:sdtEndPr>
        <w:sdtContent>
          <w:tr w14:paraId="23A3BF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2362" w:type="pct"/>
                <w:tcBorders>
                  <w:top w:val="single" w:color="auto" w:sz="4" w:space="0"/>
                  <w:left w:val="single" w:color="auto" w:sz="4" w:space="0"/>
                  <w:bottom w:val="single" w:color="auto" w:sz="4" w:space="0"/>
                  <w:right w:val="single" w:color="auto" w:sz="4" w:space="0"/>
                </w:tcBorders>
              </w:tcPr>
              <w:p w14:paraId="36BF4C86">
                <w:pPr>
                  <w:rPr>
                    <w:rFonts w:cs="Times New Roman"/>
                  </w:rPr>
                </w:pPr>
                <w:r>
                  <w:rPr>
                    <w:rFonts w:cs="Times New Roman"/>
                  </w:rPr>
                  <w:t>新兴铸管集团资源投资发展有限公司</w:t>
                </w:r>
              </w:p>
            </w:tc>
            <w:tc>
              <w:tcPr>
                <w:tcW w:w="850" w:type="pct"/>
                <w:tcBorders>
                  <w:top w:val="single" w:color="auto" w:sz="4" w:space="0"/>
                  <w:left w:val="single" w:color="auto" w:sz="4" w:space="0"/>
                  <w:bottom w:val="single" w:color="auto" w:sz="4" w:space="0"/>
                  <w:right w:val="single" w:color="auto" w:sz="4" w:space="0"/>
                </w:tcBorders>
              </w:tcPr>
              <w:p w14:paraId="7E0EA4C6">
                <w:pPr>
                  <w:jc w:val="center"/>
                  <w:rPr>
                    <w:rFonts w:cs="Times New Roman"/>
                  </w:rPr>
                </w:pPr>
                <w:r>
                  <w:rPr>
                    <w:rFonts w:cs="Times New Roman"/>
                  </w:rPr>
                  <w:t>接受劳务</w:t>
                </w:r>
              </w:p>
            </w:tc>
            <w:tc>
              <w:tcPr>
                <w:tcW w:w="855" w:type="pct"/>
                <w:tcBorders>
                  <w:top w:val="single" w:color="auto" w:sz="4" w:space="0"/>
                  <w:left w:val="single" w:color="auto" w:sz="4" w:space="0"/>
                  <w:bottom w:val="single" w:color="auto" w:sz="4" w:space="0"/>
                  <w:right w:val="single" w:color="auto" w:sz="4" w:space="0"/>
                </w:tcBorders>
                <w:vAlign w:val="center"/>
              </w:tcPr>
              <w:p w14:paraId="1B6A3C90">
                <w:pPr>
                  <w:jc w:val="right"/>
                  <w:rPr>
                    <w:rFonts w:cs="Times New Roman"/>
                  </w:rPr>
                </w:pPr>
              </w:p>
            </w:tc>
            <w:tc>
              <w:tcPr>
                <w:tcW w:w="931" w:type="pct"/>
                <w:tcBorders>
                  <w:top w:val="single" w:color="auto" w:sz="4" w:space="0"/>
                  <w:left w:val="single" w:color="auto" w:sz="4" w:space="0"/>
                  <w:bottom w:val="single" w:color="auto" w:sz="4" w:space="0"/>
                  <w:right w:val="single" w:color="auto" w:sz="4" w:space="0"/>
                </w:tcBorders>
                <w:vAlign w:val="center"/>
              </w:tcPr>
              <w:p w14:paraId="5C3D6EDF">
                <w:pPr>
                  <w:jc w:val="right"/>
                  <w:rPr>
                    <w:rFonts w:cs="Times New Roman"/>
                  </w:rPr>
                </w:pPr>
                <w:r>
                  <w:rPr>
                    <w:rFonts w:cs="Times New Roman"/>
                  </w:rPr>
                  <w:t>3,600.00</w:t>
                </w:r>
              </w:p>
            </w:tc>
          </w:tr>
        </w:sdtContent>
      </w:sdt>
    </w:tbl>
    <w:p w14:paraId="59E668AC">
      <w:pPr>
        <w:rPr>
          <w:color w:val="000000" w:themeColor="text1"/>
          <w14:textFill>
            <w14:solidFill>
              <w14:schemeClr w14:val="tx1"/>
            </w14:solidFill>
          </w14:textFill>
        </w:rPr>
      </w:pPr>
    </w:p>
    <w:bookmarkEnd w:id="410"/>
    <w:p w14:paraId="5BB4C7E9"/>
    <w:p w14:paraId="581869C3">
      <w:pPr>
        <w:ind w:right="-775" w:rightChars="-369"/>
        <w:rPr>
          <w:color w:val="000000" w:themeColor="text1"/>
          <w14:textFill>
            <w14:solidFill>
              <w14:schemeClr w14:val="tx1"/>
            </w14:solidFill>
          </w14:textFill>
        </w:rPr>
      </w:pPr>
      <w:r>
        <w:rPr>
          <w:rFonts w:hint="eastAsia"/>
          <w:color w:val="000000" w:themeColor="text1"/>
          <w14:textFill>
            <w14:solidFill>
              <w14:schemeClr w14:val="tx1"/>
            </w14:solidFill>
          </w14:textFill>
        </w:rPr>
        <w:t>出售商品/提供劳务情况表</w:t>
      </w:r>
    </w:p>
    <w:sdt>
      <w:sdtPr>
        <w:rPr>
          <w:color w:val="000000" w:themeColor="text1"/>
          <w14:textFill>
            <w14:solidFill>
              <w14:schemeClr w14:val="tx1"/>
            </w14:solidFill>
          </w14:textFill>
        </w:rPr>
        <w:alias w:val="是否适用：出售商品或提供劳务情况表[双击切换]"/>
        <w:tag w:val="_GBC_18ae630e2f3641959d3a9fc1a3f3ccf3"/>
        <w:id w:val="821466279"/>
      </w:sdtPr>
      <w:sdtEndPr>
        <w:rPr>
          <w:color w:val="000000" w:themeColor="text1"/>
          <w14:textFill>
            <w14:solidFill>
              <w14:schemeClr w14:val="tx1"/>
            </w14:solidFill>
          </w14:textFill>
        </w:rPr>
      </w:sdtEndPr>
      <w:sdtContent>
        <w:p w14:paraId="5837BA1C">
          <w:pPr>
            <w:ind w:right="-775" w:rightChars="-369"/>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649E9DE">
      <w:pPr>
        <w:tabs>
          <w:tab w:val="left" w:pos="3870"/>
        </w:tabs>
        <w:jc w:val="right"/>
        <w:rPr>
          <w:rFonts w:cs="Cambria"/>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color w:val="000000" w:themeColor="text1"/>
            <w14:textFill>
              <w14:solidFill>
                <w14:schemeClr w14:val="tx1"/>
              </w14:solidFill>
            </w14:textFill>
          </w:rPr>
          <w:alias w:val="单位：出售商品提供劳务情况表"/>
          <w:tag w:val="_GBC_d53494f853ed4767a511f9c2c780c566"/>
          <w:id w:val="432710046"/>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出售商品提供劳务情况表"/>
          <w:tag w:val="_GBC_d298f57687684d2eafef1d8c13d51722"/>
          <w:id w:val="207261657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4469"/>
        <w:gridCol w:w="1363"/>
        <w:gridCol w:w="1440"/>
        <w:gridCol w:w="1621"/>
      </w:tblGrid>
      <w:tr w14:paraId="1EB85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Height w:val="273" w:hRule="atLeast"/>
          <w:tblHeader/>
        </w:trPr>
        <w:sdt>
          <w:sdtPr>
            <w:rPr>
              <w:rFonts w:cs="Times New Roman"/>
            </w:rPr>
            <w:tag w:val="_PLD_70510986aab647e99b00ba57c32e64cd"/>
            <w:id w:val="-169180699"/>
          </w:sdtPr>
          <w:sdtEndPr>
            <w:rPr>
              <w:rFonts w:cs="Times New Roman"/>
            </w:rPr>
          </w:sdtEndPr>
          <w:sdtContent>
            <w:tc>
              <w:tcPr>
                <w:tcW w:w="2512" w:type="pct"/>
                <w:tcBorders>
                  <w:top w:val="single" w:color="auto" w:sz="4" w:space="0"/>
                  <w:left w:val="single" w:color="auto" w:sz="4" w:space="0"/>
                  <w:bottom w:val="single" w:color="auto" w:sz="4" w:space="0"/>
                  <w:right w:val="single" w:color="auto" w:sz="4" w:space="0"/>
                </w:tcBorders>
                <w:vAlign w:val="center"/>
              </w:tcPr>
              <w:p w14:paraId="602F622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关联方</w:t>
                </w:r>
              </w:p>
            </w:tc>
          </w:sdtContent>
        </w:sdt>
        <w:sdt>
          <w:sdtPr>
            <w:rPr>
              <w:rFonts w:cs="Times New Roman"/>
            </w:rPr>
            <w:tag w:val="_PLD_66da90262f3d401c8151235b4c6f5e93"/>
            <w:id w:val="-1943207508"/>
          </w:sdtPr>
          <w:sdtEndPr>
            <w:rPr>
              <w:rFonts w:cs="Times New Roman"/>
            </w:rPr>
          </w:sdtEndPr>
          <w:sdtContent>
            <w:tc>
              <w:tcPr>
                <w:tcW w:w="766" w:type="pct"/>
                <w:tcBorders>
                  <w:top w:val="single" w:color="auto" w:sz="4" w:space="0"/>
                  <w:left w:val="single" w:color="auto" w:sz="4" w:space="0"/>
                  <w:bottom w:val="single" w:color="auto" w:sz="4" w:space="0"/>
                  <w:right w:val="single" w:color="auto" w:sz="4" w:space="0"/>
                </w:tcBorders>
                <w:vAlign w:val="center"/>
              </w:tcPr>
              <w:p w14:paraId="4824623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关联交易内容</w:t>
                </w:r>
              </w:p>
            </w:tc>
          </w:sdtContent>
        </w:sdt>
        <w:sdt>
          <w:sdtPr>
            <w:rPr>
              <w:rFonts w:cs="Times New Roman"/>
            </w:rPr>
            <w:tag w:val="_PLD_09c424bd80324eb49dafea569ce1931b"/>
            <w:id w:val="1566753621"/>
          </w:sdtPr>
          <w:sdtEndPr>
            <w:rPr>
              <w:rFonts w:cs="Times New Roman"/>
            </w:rPr>
          </w:sdtEndPr>
          <w:sdtContent>
            <w:tc>
              <w:tcPr>
                <w:tcW w:w="809" w:type="pct"/>
                <w:tcBorders>
                  <w:top w:val="single" w:color="auto" w:sz="4" w:space="0"/>
                  <w:left w:val="single" w:color="auto" w:sz="4" w:space="0"/>
                  <w:right w:val="single" w:color="auto" w:sz="4" w:space="0"/>
                </w:tcBorders>
                <w:vAlign w:val="center"/>
              </w:tcPr>
              <w:p w14:paraId="3AA88AD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fd0f9e0691744db49d5ceaf95d42197c"/>
            <w:id w:val="142784232"/>
          </w:sdtPr>
          <w:sdtEndPr>
            <w:rPr>
              <w:rFonts w:cs="Times New Roman"/>
            </w:rPr>
          </w:sdtEndPr>
          <w:sdtContent>
            <w:tc>
              <w:tcPr>
                <w:tcW w:w="911" w:type="pct"/>
                <w:tcBorders>
                  <w:top w:val="single" w:color="auto" w:sz="4" w:space="0"/>
                  <w:left w:val="single" w:color="auto" w:sz="4" w:space="0"/>
                  <w:right w:val="single" w:color="auto" w:sz="4" w:space="0"/>
                </w:tcBorders>
                <w:vAlign w:val="center"/>
              </w:tcPr>
              <w:p w14:paraId="4FA3F9A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sdt>
        <w:sdtPr>
          <w:rPr>
            <w:rFonts w:cs="Times New Roman"/>
            <w:color w:val="000000" w:themeColor="text1"/>
            <w14:textFill>
              <w14:solidFill>
                <w14:schemeClr w14:val="tx1"/>
              </w14:solidFill>
            </w14:textFill>
          </w:rPr>
          <w:alias w:val="出售商品提供劳务情况明细"/>
          <w:tag w:val="_GBC_d6e24b6ca62645f180ecf5d4621afdc6"/>
          <w:id w:val="1061138428"/>
          <w:placeholder>
            <w:docPart w:val="{6c593e68-85c9-4f50-8d3d-b8d1bf426658}"/>
          </w:placeholder>
        </w:sdtPr>
        <w:sdtEndPr>
          <w:rPr>
            <w:rFonts w:cs="Times New Roman"/>
            <w:color w:val="000000" w:themeColor="text1"/>
            <w14:textFill>
              <w14:solidFill>
                <w14:schemeClr w14:val="tx1"/>
              </w14:solidFill>
            </w14:textFill>
          </w:rPr>
        </w:sdtEndPr>
        <w:sdtContent>
          <w:tr w14:paraId="162158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CB7B34E">
                <w:pPr>
                  <w:rPr>
                    <w:rFonts w:cs="Times New Roman"/>
                  </w:rPr>
                </w:pPr>
                <w:r>
                  <w:rPr>
                    <w:rFonts w:cs="Times New Roman"/>
                  </w:rPr>
                  <w:t>新兴铸管股份有限公司</w:t>
                </w:r>
              </w:p>
            </w:tc>
            <w:tc>
              <w:tcPr>
                <w:tcW w:w="766" w:type="pct"/>
                <w:tcBorders>
                  <w:top w:val="single" w:color="auto" w:sz="4" w:space="0"/>
                  <w:left w:val="single" w:color="auto" w:sz="4" w:space="0"/>
                  <w:bottom w:val="single" w:color="auto" w:sz="4" w:space="0"/>
                  <w:right w:val="single" w:color="auto" w:sz="4" w:space="0"/>
                </w:tcBorders>
              </w:tcPr>
              <w:p w14:paraId="12E62A57">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6EA4C2E">
                <w:pPr>
                  <w:jc w:val="right"/>
                  <w:rPr>
                    <w:rFonts w:cs="Times New Roman"/>
                  </w:rPr>
                </w:pPr>
                <w:r>
                  <w:rPr>
                    <w:rFonts w:cs="Times New Roman"/>
                  </w:rPr>
                  <w:t>34,067,963.69</w:t>
                </w:r>
              </w:p>
            </w:tc>
            <w:tc>
              <w:tcPr>
                <w:tcW w:w="911" w:type="pct"/>
                <w:tcBorders>
                  <w:top w:val="single" w:color="auto" w:sz="4" w:space="0"/>
                  <w:left w:val="single" w:color="auto" w:sz="4" w:space="0"/>
                  <w:bottom w:val="single" w:color="auto" w:sz="4" w:space="0"/>
                  <w:right w:val="single" w:color="auto" w:sz="4" w:space="0"/>
                </w:tcBorders>
              </w:tcPr>
              <w:p w14:paraId="7F172FA2">
                <w:pPr>
                  <w:jc w:val="right"/>
                  <w:rPr>
                    <w:rFonts w:cs="Times New Roman"/>
                  </w:rPr>
                </w:pPr>
                <w:r>
                  <w:rPr>
                    <w:rFonts w:cs="Times New Roman"/>
                  </w:rPr>
                  <w:t>7,501,398.65</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912850573"/>
          <w:placeholder>
            <w:docPart w:val="{6c593e68-85c9-4f50-8d3d-b8d1bf426658}"/>
          </w:placeholder>
        </w:sdtPr>
        <w:sdtEndPr>
          <w:rPr>
            <w:rFonts w:cs="Times New Roman"/>
            <w:color w:val="000000" w:themeColor="text1"/>
            <w14:textFill>
              <w14:solidFill>
                <w14:schemeClr w14:val="tx1"/>
              </w14:solidFill>
            </w14:textFill>
          </w:rPr>
        </w:sdtEndPr>
        <w:sdtContent>
          <w:tr w14:paraId="2C8695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45406062">
                <w:pPr>
                  <w:rPr>
                    <w:rFonts w:cs="Times New Roman"/>
                  </w:rPr>
                </w:pPr>
                <w:r>
                  <w:rPr>
                    <w:rFonts w:cs="Times New Roman"/>
                  </w:rPr>
                  <w:t>新兴铸管（埃及）股份有限公司</w:t>
                </w:r>
              </w:p>
            </w:tc>
            <w:tc>
              <w:tcPr>
                <w:tcW w:w="766" w:type="pct"/>
                <w:tcBorders>
                  <w:top w:val="single" w:color="auto" w:sz="4" w:space="0"/>
                  <w:left w:val="single" w:color="auto" w:sz="4" w:space="0"/>
                  <w:bottom w:val="single" w:color="auto" w:sz="4" w:space="0"/>
                  <w:right w:val="single" w:color="auto" w:sz="4" w:space="0"/>
                </w:tcBorders>
              </w:tcPr>
              <w:p w14:paraId="145C51F7">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10919AF2">
                <w:pPr>
                  <w:jc w:val="right"/>
                  <w:rPr>
                    <w:rFonts w:cs="Times New Roman"/>
                  </w:rPr>
                </w:pPr>
                <w:r>
                  <w:rPr>
                    <w:rFonts w:cs="Times New Roman"/>
                  </w:rPr>
                  <w:t>3,594,596.00</w:t>
                </w:r>
              </w:p>
            </w:tc>
            <w:tc>
              <w:tcPr>
                <w:tcW w:w="911" w:type="pct"/>
                <w:tcBorders>
                  <w:top w:val="single" w:color="auto" w:sz="4" w:space="0"/>
                  <w:left w:val="single" w:color="auto" w:sz="4" w:space="0"/>
                  <w:bottom w:val="single" w:color="auto" w:sz="4" w:space="0"/>
                  <w:right w:val="single" w:color="auto" w:sz="4" w:space="0"/>
                </w:tcBorders>
              </w:tcPr>
              <w:p w14:paraId="7959FF92">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318345358"/>
          <w:placeholder>
            <w:docPart w:val="{6c593e68-85c9-4f50-8d3d-b8d1bf426658}"/>
          </w:placeholder>
        </w:sdtPr>
        <w:sdtEndPr>
          <w:rPr>
            <w:rFonts w:cs="Times New Roman"/>
            <w:color w:val="000000" w:themeColor="text1"/>
            <w14:textFill>
              <w14:solidFill>
                <w14:schemeClr w14:val="tx1"/>
              </w14:solidFill>
            </w14:textFill>
          </w:rPr>
        </w:sdtEndPr>
        <w:sdtContent>
          <w:tr w14:paraId="529F68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E771291">
                <w:pPr>
                  <w:rPr>
                    <w:rFonts w:cs="Times New Roman"/>
                  </w:rPr>
                </w:pPr>
                <w:r>
                  <w:rPr>
                    <w:rFonts w:cs="Times New Roman"/>
                  </w:rPr>
                  <w:t>南京英斯瑞德高分子材料股份有限公司</w:t>
                </w:r>
              </w:p>
            </w:tc>
            <w:tc>
              <w:tcPr>
                <w:tcW w:w="766" w:type="pct"/>
                <w:tcBorders>
                  <w:top w:val="single" w:color="auto" w:sz="4" w:space="0"/>
                  <w:left w:val="single" w:color="auto" w:sz="4" w:space="0"/>
                  <w:bottom w:val="single" w:color="auto" w:sz="4" w:space="0"/>
                  <w:right w:val="single" w:color="auto" w:sz="4" w:space="0"/>
                </w:tcBorders>
              </w:tcPr>
              <w:p w14:paraId="3E79D504">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1034C1FD">
                <w:pPr>
                  <w:jc w:val="right"/>
                  <w:rPr>
                    <w:rFonts w:cs="Times New Roman"/>
                  </w:rPr>
                </w:pPr>
                <w:r>
                  <w:rPr>
                    <w:rFonts w:cs="Times New Roman"/>
                  </w:rPr>
                  <w:t>2,526,813.21</w:t>
                </w:r>
              </w:p>
            </w:tc>
            <w:tc>
              <w:tcPr>
                <w:tcW w:w="911" w:type="pct"/>
                <w:tcBorders>
                  <w:top w:val="single" w:color="auto" w:sz="4" w:space="0"/>
                  <w:left w:val="single" w:color="auto" w:sz="4" w:space="0"/>
                  <w:bottom w:val="single" w:color="auto" w:sz="4" w:space="0"/>
                  <w:right w:val="single" w:color="auto" w:sz="4" w:space="0"/>
                </w:tcBorders>
              </w:tcPr>
              <w:p w14:paraId="45B43CAE">
                <w:pPr>
                  <w:jc w:val="right"/>
                  <w:rPr>
                    <w:rFonts w:cs="Times New Roman"/>
                  </w:rPr>
                </w:pPr>
                <w:r>
                  <w:rPr>
                    <w:rFonts w:cs="Times New Roman"/>
                  </w:rPr>
                  <w:t>2,054,254.00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925723785"/>
          <w:placeholder>
            <w:docPart w:val="{6c593e68-85c9-4f50-8d3d-b8d1bf426658}"/>
          </w:placeholder>
        </w:sdtPr>
        <w:sdtEndPr>
          <w:rPr>
            <w:rFonts w:cs="Times New Roman"/>
            <w:color w:val="000000" w:themeColor="text1"/>
            <w14:textFill>
              <w14:solidFill>
                <w14:schemeClr w14:val="tx1"/>
              </w14:solidFill>
            </w14:textFill>
          </w:rPr>
        </w:sdtEndPr>
        <w:sdtContent>
          <w:tr w14:paraId="6D0F16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49B24603">
                <w:pPr>
                  <w:rPr>
                    <w:rFonts w:cs="Times New Roman"/>
                  </w:rPr>
                </w:pPr>
                <w:r>
                  <w:rPr>
                    <w:rFonts w:cs="Times New Roman"/>
                  </w:rPr>
                  <w:t>新兴际华应急产业有限公司</w:t>
                </w:r>
              </w:p>
            </w:tc>
            <w:tc>
              <w:tcPr>
                <w:tcW w:w="766" w:type="pct"/>
                <w:tcBorders>
                  <w:top w:val="single" w:color="auto" w:sz="4" w:space="0"/>
                  <w:left w:val="single" w:color="auto" w:sz="4" w:space="0"/>
                  <w:bottom w:val="single" w:color="auto" w:sz="4" w:space="0"/>
                  <w:right w:val="single" w:color="auto" w:sz="4" w:space="0"/>
                </w:tcBorders>
              </w:tcPr>
              <w:p w14:paraId="3DBCA72A">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0546BEC">
                <w:pPr>
                  <w:jc w:val="right"/>
                  <w:rPr>
                    <w:rFonts w:cs="Times New Roman"/>
                  </w:rPr>
                </w:pPr>
                <w:r>
                  <w:rPr>
                    <w:rFonts w:cs="Times New Roman"/>
                  </w:rPr>
                  <w:t>2,431,161.82</w:t>
                </w:r>
              </w:p>
            </w:tc>
            <w:tc>
              <w:tcPr>
                <w:tcW w:w="911" w:type="pct"/>
                <w:tcBorders>
                  <w:top w:val="single" w:color="auto" w:sz="4" w:space="0"/>
                  <w:left w:val="single" w:color="auto" w:sz="4" w:space="0"/>
                  <w:bottom w:val="single" w:color="auto" w:sz="4" w:space="0"/>
                  <w:right w:val="single" w:color="auto" w:sz="4" w:space="0"/>
                </w:tcBorders>
              </w:tcPr>
              <w:p w14:paraId="257B10B9">
                <w:pPr>
                  <w:jc w:val="right"/>
                  <w:rPr>
                    <w:rFonts w:cs="Times New Roman"/>
                  </w:rPr>
                </w:pPr>
                <w:r>
                  <w:rPr>
                    <w:rFonts w:cs="Times New Roman"/>
                  </w:rPr>
                  <w:t>2,604,721.74</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766299254"/>
          <w:placeholder>
            <w:docPart w:val="{6c593e68-85c9-4f50-8d3d-b8d1bf426658}"/>
          </w:placeholder>
        </w:sdtPr>
        <w:sdtEndPr>
          <w:rPr>
            <w:rFonts w:cs="Times New Roman"/>
            <w:color w:val="000000" w:themeColor="text1"/>
            <w14:textFill>
              <w14:solidFill>
                <w14:schemeClr w14:val="tx1"/>
              </w14:solidFill>
            </w14:textFill>
          </w:rPr>
        </w:sdtEndPr>
        <w:sdtContent>
          <w:tr w14:paraId="78D887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839BC7D">
                <w:pPr>
                  <w:rPr>
                    <w:rFonts w:cs="Times New Roman"/>
                  </w:rPr>
                </w:pPr>
                <w:r>
                  <w:rPr>
                    <w:rFonts w:cs="Times New Roman"/>
                  </w:rPr>
                  <w:t>新兴际华（北京）材料技术研究院有限公司</w:t>
                </w:r>
              </w:p>
            </w:tc>
            <w:tc>
              <w:tcPr>
                <w:tcW w:w="766" w:type="pct"/>
                <w:tcBorders>
                  <w:top w:val="single" w:color="auto" w:sz="4" w:space="0"/>
                  <w:left w:val="single" w:color="auto" w:sz="4" w:space="0"/>
                  <w:bottom w:val="single" w:color="auto" w:sz="4" w:space="0"/>
                  <w:right w:val="single" w:color="auto" w:sz="4" w:space="0"/>
                </w:tcBorders>
              </w:tcPr>
              <w:p w14:paraId="0AB25575">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98446EA">
                <w:pPr>
                  <w:jc w:val="right"/>
                  <w:rPr>
                    <w:rFonts w:cs="Times New Roman"/>
                  </w:rPr>
                </w:pPr>
                <w:r>
                  <w:rPr>
                    <w:rFonts w:cs="Times New Roman"/>
                  </w:rPr>
                  <w:t>138,167.89</w:t>
                </w:r>
              </w:p>
            </w:tc>
            <w:tc>
              <w:tcPr>
                <w:tcW w:w="911" w:type="pct"/>
                <w:tcBorders>
                  <w:top w:val="single" w:color="auto" w:sz="4" w:space="0"/>
                  <w:left w:val="single" w:color="auto" w:sz="4" w:space="0"/>
                  <w:bottom w:val="single" w:color="auto" w:sz="4" w:space="0"/>
                  <w:right w:val="single" w:color="auto" w:sz="4" w:space="0"/>
                </w:tcBorders>
              </w:tcPr>
              <w:p w14:paraId="076365B2">
                <w:pPr>
                  <w:jc w:val="right"/>
                  <w:rPr>
                    <w:rFonts w:cs="Times New Roman"/>
                  </w:rPr>
                </w:pPr>
                <w:r>
                  <w:rPr>
                    <w:rFonts w:cs="Times New Roman"/>
                  </w:rPr>
                  <w:t>392,840.53</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491459998"/>
          <w:placeholder>
            <w:docPart w:val="{6c593e68-85c9-4f50-8d3d-b8d1bf426658}"/>
          </w:placeholder>
        </w:sdtPr>
        <w:sdtEndPr>
          <w:rPr>
            <w:rFonts w:cs="Times New Roman"/>
            <w:color w:val="000000" w:themeColor="text1"/>
            <w14:textFill>
              <w14:solidFill>
                <w14:schemeClr w14:val="tx1"/>
              </w14:solidFill>
            </w14:textFill>
          </w:rPr>
        </w:sdtEndPr>
        <w:sdtContent>
          <w:tr w14:paraId="0E7472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8114DA0">
                <w:pPr>
                  <w:rPr>
                    <w:rFonts w:cs="Times New Roman"/>
                  </w:rPr>
                </w:pPr>
                <w:r>
                  <w:rPr>
                    <w:rFonts w:cs="Times New Roman"/>
                  </w:rPr>
                  <w:t>湖北新兴全力机械有限公司</w:t>
                </w:r>
              </w:p>
            </w:tc>
            <w:tc>
              <w:tcPr>
                <w:tcW w:w="766" w:type="pct"/>
                <w:tcBorders>
                  <w:top w:val="single" w:color="auto" w:sz="4" w:space="0"/>
                  <w:left w:val="single" w:color="auto" w:sz="4" w:space="0"/>
                  <w:bottom w:val="single" w:color="auto" w:sz="4" w:space="0"/>
                  <w:right w:val="single" w:color="auto" w:sz="4" w:space="0"/>
                </w:tcBorders>
              </w:tcPr>
              <w:p w14:paraId="55FC7746">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005BE27">
                <w:pPr>
                  <w:jc w:val="right"/>
                  <w:rPr>
                    <w:rFonts w:cs="Times New Roman"/>
                  </w:rPr>
                </w:pPr>
                <w:r>
                  <w:rPr>
                    <w:rFonts w:cs="Times New Roman"/>
                  </w:rPr>
                  <w:t>101,849.57</w:t>
                </w:r>
              </w:p>
            </w:tc>
            <w:tc>
              <w:tcPr>
                <w:tcW w:w="911" w:type="pct"/>
                <w:tcBorders>
                  <w:top w:val="single" w:color="auto" w:sz="4" w:space="0"/>
                  <w:left w:val="single" w:color="auto" w:sz="4" w:space="0"/>
                  <w:bottom w:val="single" w:color="auto" w:sz="4" w:space="0"/>
                  <w:right w:val="single" w:color="auto" w:sz="4" w:space="0"/>
                </w:tcBorders>
              </w:tcPr>
              <w:p w14:paraId="22B7BB1D">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2005740666"/>
          <w:placeholder>
            <w:docPart w:val="{6c593e68-85c9-4f50-8d3d-b8d1bf426658}"/>
          </w:placeholder>
        </w:sdtPr>
        <w:sdtEndPr>
          <w:rPr>
            <w:rFonts w:cs="Times New Roman"/>
            <w:color w:val="000000" w:themeColor="text1"/>
            <w14:textFill>
              <w14:solidFill>
                <w14:schemeClr w14:val="tx1"/>
              </w14:solidFill>
            </w14:textFill>
          </w:rPr>
        </w:sdtEndPr>
        <w:sdtContent>
          <w:tr w14:paraId="1EEF13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5BAE2EB">
                <w:pPr>
                  <w:rPr>
                    <w:rFonts w:cs="Times New Roman"/>
                  </w:rPr>
                </w:pPr>
                <w:r>
                  <w:rPr>
                    <w:rFonts w:cs="Times New Roman"/>
                  </w:rPr>
                  <w:t>聚联智汇水务科技有限公司</w:t>
                </w:r>
              </w:p>
            </w:tc>
            <w:tc>
              <w:tcPr>
                <w:tcW w:w="766" w:type="pct"/>
                <w:tcBorders>
                  <w:top w:val="single" w:color="auto" w:sz="4" w:space="0"/>
                  <w:left w:val="single" w:color="auto" w:sz="4" w:space="0"/>
                  <w:bottom w:val="single" w:color="auto" w:sz="4" w:space="0"/>
                  <w:right w:val="single" w:color="auto" w:sz="4" w:space="0"/>
                </w:tcBorders>
              </w:tcPr>
              <w:p w14:paraId="4BF56246">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36274ED8">
                <w:pPr>
                  <w:jc w:val="right"/>
                  <w:rPr>
                    <w:rFonts w:cs="Times New Roman"/>
                  </w:rPr>
                </w:pPr>
                <w:r>
                  <w:rPr>
                    <w:rFonts w:cs="Times New Roman"/>
                  </w:rPr>
                  <w:t>100,103.15</w:t>
                </w:r>
              </w:p>
            </w:tc>
            <w:tc>
              <w:tcPr>
                <w:tcW w:w="911" w:type="pct"/>
                <w:tcBorders>
                  <w:top w:val="single" w:color="auto" w:sz="4" w:space="0"/>
                  <w:left w:val="single" w:color="auto" w:sz="4" w:space="0"/>
                  <w:bottom w:val="single" w:color="auto" w:sz="4" w:space="0"/>
                  <w:right w:val="single" w:color="auto" w:sz="4" w:space="0"/>
                </w:tcBorders>
              </w:tcPr>
              <w:p w14:paraId="6A4C3481">
                <w:pPr>
                  <w:jc w:val="right"/>
                  <w:rPr>
                    <w:rFonts w:cs="Times New Roman"/>
                  </w:rPr>
                </w:pPr>
                <w:r>
                  <w:rPr>
                    <w:rFonts w:cs="Times New Roman"/>
                  </w:rPr>
                  <w:t>28,375,511.00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424544888"/>
          <w:placeholder>
            <w:docPart w:val="{6c593e68-85c9-4f50-8d3d-b8d1bf426658}"/>
          </w:placeholder>
        </w:sdtPr>
        <w:sdtEndPr>
          <w:rPr>
            <w:rFonts w:cs="Times New Roman"/>
            <w:color w:val="000000" w:themeColor="text1"/>
            <w14:textFill>
              <w14:solidFill>
                <w14:schemeClr w14:val="tx1"/>
              </w14:solidFill>
            </w14:textFill>
          </w:rPr>
        </w:sdtEndPr>
        <w:sdtContent>
          <w:tr w14:paraId="32DE1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119840A">
                <w:pPr>
                  <w:rPr>
                    <w:rFonts w:cs="Times New Roman"/>
                  </w:rPr>
                </w:pPr>
                <w:r>
                  <w:rPr>
                    <w:rFonts w:cs="Times New Roman"/>
                  </w:rPr>
                  <w:t>广东际华园投资发展有限公司</w:t>
                </w:r>
              </w:p>
            </w:tc>
            <w:tc>
              <w:tcPr>
                <w:tcW w:w="766" w:type="pct"/>
                <w:tcBorders>
                  <w:top w:val="single" w:color="auto" w:sz="4" w:space="0"/>
                  <w:left w:val="single" w:color="auto" w:sz="4" w:space="0"/>
                  <w:bottom w:val="single" w:color="auto" w:sz="4" w:space="0"/>
                  <w:right w:val="single" w:color="auto" w:sz="4" w:space="0"/>
                </w:tcBorders>
              </w:tcPr>
              <w:p w14:paraId="4F81C07F">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66BF54B0">
                <w:pPr>
                  <w:jc w:val="right"/>
                  <w:rPr>
                    <w:rFonts w:cs="Times New Roman"/>
                  </w:rPr>
                </w:pPr>
                <w:r>
                  <w:rPr>
                    <w:rFonts w:cs="Times New Roman"/>
                  </w:rPr>
                  <w:t>51,398.22</w:t>
                </w:r>
              </w:p>
            </w:tc>
            <w:tc>
              <w:tcPr>
                <w:tcW w:w="911" w:type="pct"/>
                <w:tcBorders>
                  <w:top w:val="single" w:color="auto" w:sz="4" w:space="0"/>
                  <w:left w:val="single" w:color="auto" w:sz="4" w:space="0"/>
                  <w:bottom w:val="single" w:color="auto" w:sz="4" w:space="0"/>
                  <w:right w:val="single" w:color="auto" w:sz="4" w:space="0"/>
                </w:tcBorders>
              </w:tcPr>
              <w:p w14:paraId="01056B44">
                <w:pPr>
                  <w:jc w:val="right"/>
                  <w:rPr>
                    <w:rFonts w:cs="Times New Roman"/>
                  </w:rPr>
                </w:pPr>
                <w:r>
                  <w:rPr>
                    <w:rFonts w:cs="Times New Roman"/>
                  </w:rPr>
                  <w:t>115,451.34</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45593711"/>
          <w:placeholder>
            <w:docPart w:val="{6c593e68-85c9-4f50-8d3d-b8d1bf426658}"/>
          </w:placeholder>
        </w:sdtPr>
        <w:sdtEndPr>
          <w:rPr>
            <w:rFonts w:cs="Times New Roman"/>
            <w:color w:val="000000" w:themeColor="text1"/>
            <w14:textFill>
              <w14:solidFill>
                <w14:schemeClr w14:val="tx1"/>
              </w14:solidFill>
            </w14:textFill>
          </w:rPr>
        </w:sdtEndPr>
        <w:sdtContent>
          <w:tr w14:paraId="6B85A3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270DB23">
                <w:pPr>
                  <w:rPr>
                    <w:rFonts w:cs="Times New Roman"/>
                  </w:rPr>
                </w:pPr>
                <w:r>
                  <w:rPr>
                    <w:rFonts w:cs="Times New Roman"/>
                  </w:rPr>
                  <w:t>桃江新兴管件有限责任公司</w:t>
                </w:r>
              </w:p>
            </w:tc>
            <w:tc>
              <w:tcPr>
                <w:tcW w:w="766" w:type="pct"/>
                <w:tcBorders>
                  <w:top w:val="single" w:color="auto" w:sz="4" w:space="0"/>
                  <w:left w:val="single" w:color="auto" w:sz="4" w:space="0"/>
                  <w:bottom w:val="single" w:color="auto" w:sz="4" w:space="0"/>
                  <w:right w:val="single" w:color="auto" w:sz="4" w:space="0"/>
                </w:tcBorders>
              </w:tcPr>
              <w:p w14:paraId="79DC997B">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80B92A2">
                <w:pPr>
                  <w:jc w:val="right"/>
                  <w:rPr>
                    <w:rFonts w:cs="Times New Roman"/>
                  </w:rPr>
                </w:pPr>
                <w:r>
                  <w:rPr>
                    <w:rFonts w:cs="Times New Roman"/>
                  </w:rPr>
                  <w:t>48,769.96</w:t>
                </w:r>
              </w:p>
            </w:tc>
            <w:tc>
              <w:tcPr>
                <w:tcW w:w="911" w:type="pct"/>
                <w:tcBorders>
                  <w:top w:val="single" w:color="auto" w:sz="4" w:space="0"/>
                  <w:left w:val="single" w:color="auto" w:sz="4" w:space="0"/>
                  <w:bottom w:val="single" w:color="auto" w:sz="4" w:space="0"/>
                  <w:right w:val="single" w:color="auto" w:sz="4" w:space="0"/>
                </w:tcBorders>
              </w:tcPr>
              <w:p w14:paraId="6441A426">
                <w:pPr>
                  <w:jc w:val="right"/>
                  <w:rPr>
                    <w:rFonts w:cs="Times New Roman"/>
                  </w:rPr>
                </w:pPr>
                <w:r>
                  <w:rPr>
                    <w:rFonts w:cs="Times New Roman"/>
                  </w:rPr>
                  <w:t>79,821.94</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2045353148"/>
          <w:placeholder>
            <w:docPart w:val="{6c593e68-85c9-4f50-8d3d-b8d1bf426658}"/>
          </w:placeholder>
        </w:sdtPr>
        <w:sdtEndPr>
          <w:rPr>
            <w:rFonts w:cs="Times New Roman"/>
            <w:color w:val="000000" w:themeColor="text1"/>
            <w14:textFill>
              <w14:solidFill>
                <w14:schemeClr w14:val="tx1"/>
              </w14:solidFill>
            </w14:textFill>
          </w:rPr>
        </w:sdtEndPr>
        <w:sdtContent>
          <w:tr w14:paraId="3505BF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44D70CBD">
                <w:pPr>
                  <w:rPr>
                    <w:rFonts w:cs="Times New Roman"/>
                  </w:rPr>
                </w:pPr>
                <w:r>
                  <w:rPr>
                    <w:rFonts w:cs="Times New Roman"/>
                  </w:rPr>
                  <w:t>天津移山工程机械有限公司</w:t>
                </w:r>
              </w:p>
            </w:tc>
            <w:tc>
              <w:tcPr>
                <w:tcW w:w="766" w:type="pct"/>
                <w:tcBorders>
                  <w:top w:val="single" w:color="auto" w:sz="4" w:space="0"/>
                  <w:left w:val="single" w:color="auto" w:sz="4" w:space="0"/>
                  <w:bottom w:val="single" w:color="auto" w:sz="4" w:space="0"/>
                  <w:right w:val="single" w:color="auto" w:sz="4" w:space="0"/>
                </w:tcBorders>
              </w:tcPr>
              <w:p w14:paraId="0B5743D1">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51C36B9C">
                <w:pPr>
                  <w:jc w:val="right"/>
                  <w:rPr>
                    <w:rFonts w:cs="Times New Roman"/>
                  </w:rPr>
                </w:pPr>
                <w:r>
                  <w:rPr>
                    <w:rFonts w:cs="Times New Roman"/>
                  </w:rPr>
                  <w:t>43,362.83</w:t>
                </w:r>
              </w:p>
            </w:tc>
            <w:tc>
              <w:tcPr>
                <w:tcW w:w="911" w:type="pct"/>
                <w:tcBorders>
                  <w:top w:val="single" w:color="auto" w:sz="4" w:space="0"/>
                  <w:left w:val="single" w:color="auto" w:sz="4" w:space="0"/>
                  <w:bottom w:val="single" w:color="auto" w:sz="4" w:space="0"/>
                  <w:right w:val="single" w:color="auto" w:sz="4" w:space="0"/>
                </w:tcBorders>
              </w:tcPr>
              <w:p w14:paraId="25332A92">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866138108"/>
          <w:placeholder>
            <w:docPart w:val="{6c593e68-85c9-4f50-8d3d-b8d1bf426658}"/>
          </w:placeholder>
        </w:sdtPr>
        <w:sdtEndPr>
          <w:rPr>
            <w:rFonts w:cs="Times New Roman"/>
            <w:color w:val="000000" w:themeColor="text1"/>
            <w14:textFill>
              <w14:solidFill>
                <w14:schemeClr w14:val="tx1"/>
              </w14:solidFill>
            </w14:textFill>
          </w:rPr>
        </w:sdtEndPr>
        <w:sdtContent>
          <w:tr w14:paraId="12D849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377D2B60">
                <w:pPr>
                  <w:rPr>
                    <w:rFonts w:cs="Times New Roman"/>
                  </w:rPr>
                </w:pPr>
                <w:r>
                  <w:rPr>
                    <w:rFonts w:cs="Times New Roman"/>
                  </w:rPr>
                  <w:t>北京三兴汽车有限公司</w:t>
                </w:r>
              </w:p>
            </w:tc>
            <w:tc>
              <w:tcPr>
                <w:tcW w:w="766" w:type="pct"/>
                <w:tcBorders>
                  <w:top w:val="single" w:color="auto" w:sz="4" w:space="0"/>
                  <w:left w:val="single" w:color="auto" w:sz="4" w:space="0"/>
                  <w:bottom w:val="single" w:color="auto" w:sz="4" w:space="0"/>
                  <w:right w:val="single" w:color="auto" w:sz="4" w:space="0"/>
                </w:tcBorders>
              </w:tcPr>
              <w:p w14:paraId="1BB1EAD6">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9B192A2">
                <w:pPr>
                  <w:jc w:val="right"/>
                  <w:rPr>
                    <w:rFonts w:cs="Times New Roman"/>
                  </w:rPr>
                </w:pPr>
                <w:r>
                  <w:rPr>
                    <w:rFonts w:cs="Times New Roman"/>
                  </w:rPr>
                  <w:t>34,809.60</w:t>
                </w:r>
              </w:p>
            </w:tc>
            <w:tc>
              <w:tcPr>
                <w:tcW w:w="911" w:type="pct"/>
                <w:tcBorders>
                  <w:top w:val="single" w:color="auto" w:sz="4" w:space="0"/>
                  <w:left w:val="single" w:color="auto" w:sz="4" w:space="0"/>
                  <w:bottom w:val="single" w:color="auto" w:sz="4" w:space="0"/>
                  <w:right w:val="single" w:color="auto" w:sz="4" w:space="0"/>
                </w:tcBorders>
              </w:tcPr>
              <w:p w14:paraId="42E05223">
                <w:pPr>
                  <w:jc w:val="right"/>
                  <w:rPr>
                    <w:rFonts w:cs="Times New Roman"/>
                  </w:rPr>
                </w:pPr>
                <w:r>
                  <w:rPr>
                    <w:rFonts w:cs="Times New Roman"/>
                  </w:rPr>
                  <w:t>2,123.89</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184716334"/>
          <w:placeholder>
            <w:docPart w:val="{6c593e68-85c9-4f50-8d3d-b8d1bf426658}"/>
          </w:placeholder>
        </w:sdtPr>
        <w:sdtEndPr>
          <w:rPr>
            <w:rFonts w:cs="Times New Roman"/>
            <w:color w:val="000000" w:themeColor="text1"/>
            <w14:textFill>
              <w14:solidFill>
                <w14:schemeClr w14:val="tx1"/>
              </w14:solidFill>
            </w14:textFill>
          </w:rPr>
        </w:sdtEndPr>
        <w:sdtContent>
          <w:tr w14:paraId="3853F6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2E71297">
                <w:pPr>
                  <w:rPr>
                    <w:rFonts w:cs="Times New Roman"/>
                  </w:rPr>
                </w:pPr>
                <w:r>
                  <w:rPr>
                    <w:rFonts w:cs="Times New Roman"/>
                  </w:rPr>
                  <w:t>石家庄际华资产管理有限公司</w:t>
                </w:r>
              </w:p>
            </w:tc>
            <w:tc>
              <w:tcPr>
                <w:tcW w:w="766" w:type="pct"/>
                <w:tcBorders>
                  <w:top w:val="single" w:color="auto" w:sz="4" w:space="0"/>
                  <w:left w:val="single" w:color="auto" w:sz="4" w:space="0"/>
                  <w:bottom w:val="single" w:color="auto" w:sz="4" w:space="0"/>
                  <w:right w:val="single" w:color="auto" w:sz="4" w:space="0"/>
                </w:tcBorders>
              </w:tcPr>
              <w:p w14:paraId="04243E1D">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851FEB0">
                <w:pPr>
                  <w:jc w:val="right"/>
                  <w:rPr>
                    <w:rFonts w:cs="Times New Roman"/>
                  </w:rPr>
                </w:pPr>
                <w:r>
                  <w:rPr>
                    <w:rFonts w:cs="Times New Roman"/>
                  </w:rPr>
                  <w:t>32,745.80</w:t>
                </w:r>
              </w:p>
            </w:tc>
            <w:tc>
              <w:tcPr>
                <w:tcW w:w="911" w:type="pct"/>
                <w:tcBorders>
                  <w:top w:val="single" w:color="auto" w:sz="4" w:space="0"/>
                  <w:left w:val="single" w:color="auto" w:sz="4" w:space="0"/>
                  <w:bottom w:val="single" w:color="auto" w:sz="4" w:space="0"/>
                  <w:right w:val="single" w:color="auto" w:sz="4" w:space="0"/>
                </w:tcBorders>
              </w:tcPr>
              <w:p w14:paraId="7739316B">
                <w:pPr>
                  <w:jc w:val="right"/>
                  <w:rPr>
                    <w:rFonts w:cs="Times New Roman"/>
                  </w:rPr>
                </w:pPr>
                <w:r>
                  <w:rPr>
                    <w:rFonts w:cs="Times New Roman"/>
                  </w:rPr>
                  <w:t>571,824.55</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821223464"/>
          <w:placeholder>
            <w:docPart w:val="{6c593e68-85c9-4f50-8d3d-b8d1bf426658}"/>
          </w:placeholder>
        </w:sdtPr>
        <w:sdtEndPr>
          <w:rPr>
            <w:rFonts w:cs="Times New Roman"/>
            <w:color w:val="000000" w:themeColor="text1"/>
            <w14:textFill>
              <w14:solidFill>
                <w14:schemeClr w14:val="tx1"/>
              </w14:solidFill>
            </w14:textFill>
          </w:rPr>
        </w:sdtEndPr>
        <w:sdtContent>
          <w:tr w14:paraId="74047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D8C19C2">
                <w:pPr>
                  <w:rPr>
                    <w:rFonts w:cs="Times New Roman"/>
                  </w:rPr>
                </w:pPr>
                <w:r>
                  <w:rPr>
                    <w:rFonts w:cs="Times New Roman"/>
                  </w:rPr>
                  <w:t>新兴重工集团有限公司</w:t>
                </w:r>
              </w:p>
            </w:tc>
            <w:tc>
              <w:tcPr>
                <w:tcW w:w="766" w:type="pct"/>
                <w:tcBorders>
                  <w:top w:val="single" w:color="auto" w:sz="4" w:space="0"/>
                  <w:left w:val="single" w:color="auto" w:sz="4" w:space="0"/>
                  <w:bottom w:val="single" w:color="auto" w:sz="4" w:space="0"/>
                  <w:right w:val="single" w:color="auto" w:sz="4" w:space="0"/>
                </w:tcBorders>
              </w:tcPr>
              <w:p w14:paraId="76A014D7">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494ED262">
                <w:pPr>
                  <w:jc w:val="right"/>
                  <w:rPr>
                    <w:rFonts w:cs="Times New Roman"/>
                  </w:rPr>
                </w:pPr>
                <w:r>
                  <w:rPr>
                    <w:rFonts w:cs="Times New Roman"/>
                  </w:rPr>
                  <w:t>24,424.78</w:t>
                </w:r>
              </w:p>
            </w:tc>
            <w:tc>
              <w:tcPr>
                <w:tcW w:w="911" w:type="pct"/>
                <w:tcBorders>
                  <w:top w:val="single" w:color="auto" w:sz="4" w:space="0"/>
                  <w:left w:val="single" w:color="auto" w:sz="4" w:space="0"/>
                  <w:bottom w:val="single" w:color="auto" w:sz="4" w:space="0"/>
                  <w:right w:val="single" w:color="auto" w:sz="4" w:space="0"/>
                </w:tcBorders>
              </w:tcPr>
              <w:p w14:paraId="55B1860A">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482662161"/>
          <w:placeholder>
            <w:docPart w:val="{6c593e68-85c9-4f50-8d3d-b8d1bf426658}"/>
          </w:placeholder>
        </w:sdtPr>
        <w:sdtEndPr>
          <w:rPr>
            <w:rFonts w:cs="Times New Roman"/>
            <w:color w:val="000000" w:themeColor="text1"/>
            <w14:textFill>
              <w14:solidFill>
                <w14:schemeClr w14:val="tx1"/>
              </w14:solidFill>
            </w14:textFill>
          </w:rPr>
        </w:sdtEndPr>
        <w:sdtContent>
          <w:tr w14:paraId="191852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09AD567A">
                <w:pPr>
                  <w:rPr>
                    <w:rFonts w:cs="Times New Roman"/>
                  </w:rPr>
                </w:pPr>
                <w:r>
                  <w:rPr>
                    <w:rFonts w:cs="Times New Roman"/>
                  </w:rPr>
                  <w:t>新兴际华集团有限公司</w:t>
                </w:r>
              </w:p>
            </w:tc>
            <w:tc>
              <w:tcPr>
                <w:tcW w:w="766" w:type="pct"/>
                <w:tcBorders>
                  <w:top w:val="single" w:color="auto" w:sz="4" w:space="0"/>
                  <w:left w:val="single" w:color="auto" w:sz="4" w:space="0"/>
                  <w:bottom w:val="single" w:color="auto" w:sz="4" w:space="0"/>
                  <w:right w:val="single" w:color="auto" w:sz="4" w:space="0"/>
                </w:tcBorders>
              </w:tcPr>
              <w:p w14:paraId="0A748CE2">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2B332356">
                <w:pPr>
                  <w:jc w:val="right"/>
                  <w:rPr>
                    <w:rFonts w:cs="Times New Roman"/>
                  </w:rPr>
                </w:pPr>
                <w:r>
                  <w:rPr>
                    <w:rFonts w:cs="Times New Roman"/>
                  </w:rPr>
                  <w:t>23,309.72</w:t>
                </w:r>
              </w:p>
            </w:tc>
            <w:tc>
              <w:tcPr>
                <w:tcW w:w="911" w:type="pct"/>
                <w:tcBorders>
                  <w:top w:val="single" w:color="auto" w:sz="4" w:space="0"/>
                  <w:left w:val="single" w:color="auto" w:sz="4" w:space="0"/>
                  <w:bottom w:val="single" w:color="auto" w:sz="4" w:space="0"/>
                  <w:right w:val="single" w:color="auto" w:sz="4" w:space="0"/>
                </w:tcBorders>
              </w:tcPr>
              <w:p w14:paraId="636AEAC1">
                <w:pPr>
                  <w:jc w:val="right"/>
                  <w:rPr>
                    <w:rFonts w:cs="Times New Roman"/>
                  </w:rPr>
                </w:pPr>
                <w:r>
                  <w:rPr>
                    <w:rFonts w:cs="Times New Roman"/>
                  </w:rPr>
                  <w:t>17,823.02</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595367714"/>
          <w:placeholder>
            <w:docPart w:val="{6c593e68-85c9-4f50-8d3d-b8d1bf426658}"/>
          </w:placeholder>
        </w:sdtPr>
        <w:sdtEndPr>
          <w:rPr>
            <w:rFonts w:cs="Times New Roman"/>
            <w:color w:val="000000" w:themeColor="text1"/>
            <w14:textFill>
              <w14:solidFill>
                <w14:schemeClr w14:val="tx1"/>
              </w14:solidFill>
            </w14:textFill>
          </w:rPr>
        </w:sdtEndPr>
        <w:sdtContent>
          <w:tr w14:paraId="5A077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BB659A6">
                <w:pPr>
                  <w:rPr>
                    <w:rFonts w:cs="Times New Roman"/>
                  </w:rPr>
                </w:pPr>
                <w:r>
                  <w:rPr>
                    <w:rFonts w:cs="Times New Roman"/>
                  </w:rPr>
                  <w:t>湖北三六一一应急装备有限公司</w:t>
                </w:r>
              </w:p>
            </w:tc>
            <w:tc>
              <w:tcPr>
                <w:tcW w:w="766" w:type="pct"/>
                <w:tcBorders>
                  <w:top w:val="single" w:color="auto" w:sz="4" w:space="0"/>
                  <w:left w:val="single" w:color="auto" w:sz="4" w:space="0"/>
                  <w:bottom w:val="single" w:color="auto" w:sz="4" w:space="0"/>
                  <w:right w:val="single" w:color="auto" w:sz="4" w:space="0"/>
                </w:tcBorders>
              </w:tcPr>
              <w:p w14:paraId="65EBAA6E">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E9BCD8D">
                <w:pPr>
                  <w:jc w:val="right"/>
                  <w:rPr>
                    <w:rFonts w:cs="Times New Roman"/>
                  </w:rPr>
                </w:pPr>
                <w:r>
                  <w:rPr>
                    <w:rFonts w:cs="Times New Roman"/>
                  </w:rPr>
                  <w:t>20,176.99</w:t>
                </w:r>
              </w:p>
            </w:tc>
            <w:tc>
              <w:tcPr>
                <w:tcW w:w="911" w:type="pct"/>
                <w:tcBorders>
                  <w:top w:val="single" w:color="auto" w:sz="4" w:space="0"/>
                  <w:left w:val="single" w:color="auto" w:sz="4" w:space="0"/>
                  <w:bottom w:val="single" w:color="auto" w:sz="4" w:space="0"/>
                  <w:right w:val="single" w:color="auto" w:sz="4" w:space="0"/>
                </w:tcBorders>
              </w:tcPr>
              <w:p w14:paraId="4A0C6417">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479887002"/>
          <w:placeholder>
            <w:docPart w:val="{6c593e68-85c9-4f50-8d3d-b8d1bf426658}"/>
          </w:placeholder>
        </w:sdtPr>
        <w:sdtEndPr>
          <w:rPr>
            <w:rFonts w:cs="Times New Roman"/>
            <w:color w:val="000000" w:themeColor="text1"/>
            <w14:textFill>
              <w14:solidFill>
                <w14:schemeClr w14:val="tx1"/>
              </w14:solidFill>
            </w14:textFill>
          </w:rPr>
        </w:sdtEndPr>
        <w:sdtContent>
          <w:tr w14:paraId="31190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EC15DB9">
                <w:pPr>
                  <w:rPr>
                    <w:rFonts w:cs="Times New Roman"/>
                  </w:rPr>
                </w:pPr>
                <w:r>
                  <w:rPr>
                    <w:rFonts w:cs="Times New Roman"/>
                  </w:rPr>
                  <w:t>新兴际华科技（天津）有限公司</w:t>
                </w:r>
              </w:p>
            </w:tc>
            <w:tc>
              <w:tcPr>
                <w:tcW w:w="766" w:type="pct"/>
                <w:tcBorders>
                  <w:top w:val="single" w:color="auto" w:sz="4" w:space="0"/>
                  <w:left w:val="single" w:color="auto" w:sz="4" w:space="0"/>
                  <w:bottom w:val="single" w:color="auto" w:sz="4" w:space="0"/>
                  <w:right w:val="single" w:color="auto" w:sz="4" w:space="0"/>
                </w:tcBorders>
              </w:tcPr>
              <w:p w14:paraId="3FF50764">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4A3DB570">
                <w:pPr>
                  <w:jc w:val="right"/>
                  <w:rPr>
                    <w:rFonts w:cs="Times New Roman"/>
                  </w:rPr>
                </w:pPr>
                <w:r>
                  <w:rPr>
                    <w:rFonts w:cs="Times New Roman"/>
                  </w:rPr>
                  <w:t>16,752.21</w:t>
                </w:r>
              </w:p>
            </w:tc>
            <w:tc>
              <w:tcPr>
                <w:tcW w:w="911" w:type="pct"/>
                <w:tcBorders>
                  <w:top w:val="single" w:color="auto" w:sz="4" w:space="0"/>
                  <w:left w:val="single" w:color="auto" w:sz="4" w:space="0"/>
                  <w:bottom w:val="single" w:color="auto" w:sz="4" w:space="0"/>
                  <w:right w:val="single" w:color="auto" w:sz="4" w:space="0"/>
                </w:tcBorders>
              </w:tcPr>
              <w:p w14:paraId="2B8B41BD">
                <w:pPr>
                  <w:jc w:val="right"/>
                  <w:rPr>
                    <w:rFonts w:cs="Times New Roman"/>
                  </w:rPr>
                </w:pPr>
                <w:r>
                  <w:rPr>
                    <w:rFonts w:cs="Times New Roman"/>
                  </w:rPr>
                  <w:t>8,849.56</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620840030"/>
          <w:placeholder>
            <w:docPart w:val="{6c593e68-85c9-4f50-8d3d-b8d1bf426658}"/>
          </w:placeholder>
        </w:sdtPr>
        <w:sdtEndPr>
          <w:rPr>
            <w:rFonts w:cs="Times New Roman"/>
            <w:color w:val="000000" w:themeColor="text1"/>
            <w14:textFill>
              <w14:solidFill>
                <w14:schemeClr w14:val="tx1"/>
              </w14:solidFill>
            </w14:textFill>
          </w:rPr>
        </w:sdtEndPr>
        <w:sdtContent>
          <w:tr w14:paraId="28346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0A52C24">
                <w:pPr>
                  <w:rPr>
                    <w:rFonts w:cs="Times New Roman"/>
                  </w:rPr>
                </w:pPr>
                <w:r>
                  <w:rPr>
                    <w:rFonts w:cs="Times New Roman"/>
                  </w:rPr>
                  <w:t>新兴际华（北京）应急救援科技有限公司</w:t>
                </w:r>
              </w:p>
            </w:tc>
            <w:tc>
              <w:tcPr>
                <w:tcW w:w="766" w:type="pct"/>
                <w:tcBorders>
                  <w:top w:val="single" w:color="auto" w:sz="4" w:space="0"/>
                  <w:left w:val="single" w:color="auto" w:sz="4" w:space="0"/>
                  <w:bottom w:val="single" w:color="auto" w:sz="4" w:space="0"/>
                  <w:right w:val="single" w:color="auto" w:sz="4" w:space="0"/>
                </w:tcBorders>
              </w:tcPr>
              <w:p w14:paraId="4AAC153D">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59789F76">
                <w:pPr>
                  <w:jc w:val="right"/>
                  <w:rPr>
                    <w:rFonts w:cs="Times New Roman"/>
                  </w:rPr>
                </w:pPr>
                <w:r>
                  <w:rPr>
                    <w:rFonts w:cs="Times New Roman"/>
                  </w:rPr>
                  <w:t>9,106.19</w:t>
                </w:r>
              </w:p>
            </w:tc>
            <w:tc>
              <w:tcPr>
                <w:tcW w:w="911" w:type="pct"/>
                <w:tcBorders>
                  <w:top w:val="single" w:color="auto" w:sz="4" w:space="0"/>
                  <w:left w:val="single" w:color="auto" w:sz="4" w:space="0"/>
                  <w:bottom w:val="single" w:color="auto" w:sz="4" w:space="0"/>
                  <w:right w:val="single" w:color="auto" w:sz="4" w:space="0"/>
                </w:tcBorders>
              </w:tcPr>
              <w:p w14:paraId="38F3CDFB">
                <w:pPr>
                  <w:jc w:val="right"/>
                  <w:rPr>
                    <w:rFonts w:cs="Times New Roman"/>
                  </w:rPr>
                </w:pPr>
                <w:r>
                  <w:rPr>
                    <w:rFonts w:cs="Times New Roman"/>
                  </w:rPr>
                  <w:t>1,702,622.16</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320772598"/>
          <w:placeholder>
            <w:docPart w:val="{6c593e68-85c9-4f50-8d3d-b8d1bf426658}"/>
          </w:placeholder>
        </w:sdtPr>
        <w:sdtEndPr>
          <w:rPr>
            <w:rFonts w:cs="Times New Roman"/>
            <w:color w:val="000000" w:themeColor="text1"/>
            <w14:textFill>
              <w14:solidFill>
                <w14:schemeClr w14:val="tx1"/>
              </w14:solidFill>
            </w14:textFill>
          </w:rPr>
        </w:sdtEndPr>
        <w:sdtContent>
          <w:tr w14:paraId="5F9D55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8F3B86D">
                <w:pPr>
                  <w:rPr>
                    <w:rFonts w:cs="Times New Roman"/>
                  </w:rPr>
                </w:pPr>
                <w:r>
                  <w:rPr>
                    <w:rFonts w:cs="Times New Roman"/>
                  </w:rPr>
                  <w:t>宜昌际华仙女服饰有限公司</w:t>
                </w:r>
              </w:p>
            </w:tc>
            <w:tc>
              <w:tcPr>
                <w:tcW w:w="766" w:type="pct"/>
                <w:tcBorders>
                  <w:top w:val="single" w:color="auto" w:sz="4" w:space="0"/>
                  <w:left w:val="single" w:color="auto" w:sz="4" w:space="0"/>
                  <w:bottom w:val="single" w:color="auto" w:sz="4" w:space="0"/>
                  <w:right w:val="single" w:color="auto" w:sz="4" w:space="0"/>
                </w:tcBorders>
              </w:tcPr>
              <w:p w14:paraId="25144A53">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F621F12">
                <w:pPr>
                  <w:jc w:val="right"/>
                  <w:rPr>
                    <w:rFonts w:cs="Times New Roman"/>
                  </w:rPr>
                </w:pPr>
                <w:r>
                  <w:rPr>
                    <w:rFonts w:cs="Times New Roman"/>
                  </w:rPr>
                  <w:t>9,105.35</w:t>
                </w:r>
              </w:p>
            </w:tc>
            <w:tc>
              <w:tcPr>
                <w:tcW w:w="911" w:type="pct"/>
                <w:tcBorders>
                  <w:top w:val="single" w:color="auto" w:sz="4" w:space="0"/>
                  <w:left w:val="single" w:color="auto" w:sz="4" w:space="0"/>
                  <w:bottom w:val="single" w:color="auto" w:sz="4" w:space="0"/>
                  <w:right w:val="single" w:color="auto" w:sz="4" w:space="0"/>
                </w:tcBorders>
              </w:tcPr>
              <w:p w14:paraId="02B523C9">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787168856"/>
          <w:placeholder>
            <w:docPart w:val="{6c593e68-85c9-4f50-8d3d-b8d1bf426658}"/>
          </w:placeholder>
        </w:sdtPr>
        <w:sdtEndPr>
          <w:rPr>
            <w:rFonts w:cs="Times New Roman"/>
            <w:color w:val="000000" w:themeColor="text1"/>
            <w14:textFill>
              <w14:solidFill>
                <w14:schemeClr w14:val="tx1"/>
              </w14:solidFill>
            </w14:textFill>
          </w:rPr>
        </w:sdtEndPr>
        <w:sdtContent>
          <w:tr w14:paraId="7A7FF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7ACF84D">
                <w:pPr>
                  <w:rPr>
                    <w:rFonts w:cs="Times New Roman"/>
                  </w:rPr>
                </w:pPr>
                <w:r>
                  <w:rPr>
                    <w:rFonts w:cs="Times New Roman"/>
                  </w:rPr>
                  <w:t>中新联进出口有限公司</w:t>
                </w:r>
              </w:p>
            </w:tc>
            <w:tc>
              <w:tcPr>
                <w:tcW w:w="766" w:type="pct"/>
                <w:tcBorders>
                  <w:top w:val="single" w:color="auto" w:sz="4" w:space="0"/>
                  <w:left w:val="single" w:color="auto" w:sz="4" w:space="0"/>
                  <w:bottom w:val="single" w:color="auto" w:sz="4" w:space="0"/>
                  <w:right w:val="single" w:color="auto" w:sz="4" w:space="0"/>
                </w:tcBorders>
              </w:tcPr>
              <w:p w14:paraId="23C2A409">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252816D4">
                <w:pPr>
                  <w:jc w:val="right"/>
                  <w:rPr>
                    <w:rFonts w:cs="Times New Roman"/>
                  </w:rPr>
                </w:pPr>
                <w:r>
                  <w:rPr>
                    <w:rFonts w:cs="Times New Roman"/>
                  </w:rPr>
                  <w:t>8,495.58</w:t>
                </w:r>
              </w:p>
            </w:tc>
            <w:tc>
              <w:tcPr>
                <w:tcW w:w="911" w:type="pct"/>
                <w:tcBorders>
                  <w:top w:val="single" w:color="auto" w:sz="4" w:space="0"/>
                  <w:left w:val="single" w:color="auto" w:sz="4" w:space="0"/>
                  <w:bottom w:val="single" w:color="auto" w:sz="4" w:space="0"/>
                  <w:right w:val="single" w:color="auto" w:sz="4" w:space="0"/>
                </w:tcBorders>
              </w:tcPr>
              <w:p w14:paraId="5708E11B">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312069907"/>
          <w:placeholder>
            <w:docPart w:val="{6c593e68-85c9-4f50-8d3d-b8d1bf426658}"/>
          </w:placeholder>
        </w:sdtPr>
        <w:sdtEndPr>
          <w:rPr>
            <w:rFonts w:cs="Times New Roman"/>
            <w:color w:val="000000" w:themeColor="text1"/>
            <w14:textFill>
              <w14:solidFill>
                <w14:schemeClr w14:val="tx1"/>
              </w14:solidFill>
            </w14:textFill>
          </w:rPr>
        </w:sdtEndPr>
        <w:sdtContent>
          <w:tr w14:paraId="60F0D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3880B2F5">
                <w:pPr>
                  <w:rPr>
                    <w:rFonts w:cs="Times New Roman"/>
                  </w:rPr>
                </w:pPr>
                <w:r>
                  <w:rPr>
                    <w:rFonts w:cs="Times New Roman"/>
                  </w:rPr>
                  <w:t>武汉汉江资产运营有限公司</w:t>
                </w:r>
              </w:p>
            </w:tc>
            <w:tc>
              <w:tcPr>
                <w:tcW w:w="766" w:type="pct"/>
                <w:tcBorders>
                  <w:top w:val="single" w:color="auto" w:sz="4" w:space="0"/>
                  <w:left w:val="single" w:color="auto" w:sz="4" w:space="0"/>
                  <w:bottom w:val="single" w:color="auto" w:sz="4" w:space="0"/>
                  <w:right w:val="single" w:color="auto" w:sz="4" w:space="0"/>
                </w:tcBorders>
              </w:tcPr>
              <w:p w14:paraId="085778AC">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56F07E1C">
                <w:pPr>
                  <w:jc w:val="right"/>
                  <w:rPr>
                    <w:rFonts w:cs="Times New Roman"/>
                  </w:rPr>
                </w:pPr>
                <w:r>
                  <w:rPr>
                    <w:rFonts w:cs="Times New Roman"/>
                  </w:rPr>
                  <w:t>8,404.42</w:t>
                </w:r>
              </w:p>
            </w:tc>
            <w:tc>
              <w:tcPr>
                <w:tcW w:w="911" w:type="pct"/>
                <w:tcBorders>
                  <w:top w:val="single" w:color="auto" w:sz="4" w:space="0"/>
                  <w:left w:val="single" w:color="auto" w:sz="4" w:space="0"/>
                  <w:bottom w:val="single" w:color="auto" w:sz="4" w:space="0"/>
                  <w:right w:val="single" w:color="auto" w:sz="4" w:space="0"/>
                </w:tcBorders>
              </w:tcPr>
              <w:p w14:paraId="19486D5E">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739123172"/>
          <w:placeholder>
            <w:docPart w:val="{6c593e68-85c9-4f50-8d3d-b8d1bf426658}"/>
          </w:placeholder>
        </w:sdtPr>
        <w:sdtEndPr>
          <w:rPr>
            <w:rFonts w:cs="Times New Roman"/>
            <w:color w:val="000000" w:themeColor="text1"/>
            <w14:textFill>
              <w14:solidFill>
                <w14:schemeClr w14:val="tx1"/>
              </w14:solidFill>
            </w14:textFill>
          </w:rPr>
        </w:sdtEndPr>
        <w:sdtContent>
          <w:tr w14:paraId="3B687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69209F1D">
                <w:pPr>
                  <w:rPr>
                    <w:rFonts w:cs="Times New Roman"/>
                  </w:rPr>
                </w:pPr>
                <w:r>
                  <w:rPr>
                    <w:rFonts w:cs="Times New Roman"/>
                  </w:rPr>
                  <w:t>新兴际华投资有限公司</w:t>
                </w:r>
              </w:p>
            </w:tc>
            <w:tc>
              <w:tcPr>
                <w:tcW w:w="766" w:type="pct"/>
                <w:tcBorders>
                  <w:top w:val="single" w:color="auto" w:sz="4" w:space="0"/>
                  <w:left w:val="single" w:color="auto" w:sz="4" w:space="0"/>
                  <w:bottom w:val="single" w:color="auto" w:sz="4" w:space="0"/>
                  <w:right w:val="single" w:color="auto" w:sz="4" w:space="0"/>
                </w:tcBorders>
              </w:tcPr>
              <w:p w14:paraId="5842C9F4">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B78DBDB">
                <w:pPr>
                  <w:jc w:val="right"/>
                  <w:rPr>
                    <w:rFonts w:cs="Times New Roman"/>
                  </w:rPr>
                </w:pPr>
                <w:r>
                  <w:rPr>
                    <w:rFonts w:cs="Times New Roman"/>
                  </w:rPr>
                  <w:t>7,557.54</w:t>
                </w:r>
              </w:p>
            </w:tc>
            <w:tc>
              <w:tcPr>
                <w:tcW w:w="911" w:type="pct"/>
                <w:tcBorders>
                  <w:top w:val="single" w:color="auto" w:sz="4" w:space="0"/>
                  <w:left w:val="single" w:color="auto" w:sz="4" w:space="0"/>
                  <w:bottom w:val="single" w:color="auto" w:sz="4" w:space="0"/>
                  <w:right w:val="single" w:color="auto" w:sz="4" w:space="0"/>
                </w:tcBorders>
              </w:tcPr>
              <w:p w14:paraId="21299E08">
                <w:pPr>
                  <w:jc w:val="right"/>
                  <w:rPr>
                    <w:rFonts w:cs="Times New Roman"/>
                  </w:rPr>
                </w:pPr>
                <w:r>
                  <w:rPr>
                    <w:rFonts w:cs="Times New Roman"/>
                  </w:rPr>
                  <w:t>255,734.55</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973412746"/>
          <w:placeholder>
            <w:docPart w:val="{6c593e68-85c9-4f50-8d3d-b8d1bf426658}"/>
          </w:placeholder>
        </w:sdtPr>
        <w:sdtEndPr>
          <w:rPr>
            <w:rFonts w:cs="Times New Roman"/>
            <w:color w:val="000000" w:themeColor="text1"/>
            <w14:textFill>
              <w14:solidFill>
                <w14:schemeClr w14:val="tx1"/>
              </w14:solidFill>
            </w14:textFill>
          </w:rPr>
        </w:sdtEndPr>
        <w:sdtContent>
          <w:tr w14:paraId="0AE403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635F5E6D">
                <w:pPr>
                  <w:rPr>
                    <w:rFonts w:cs="Times New Roman"/>
                  </w:rPr>
                </w:pPr>
                <w:r>
                  <w:rPr>
                    <w:rFonts w:cs="Times New Roman"/>
                  </w:rPr>
                  <w:t>广东新兴发展供应链管理有限公司</w:t>
                </w:r>
              </w:p>
            </w:tc>
            <w:tc>
              <w:tcPr>
                <w:tcW w:w="766" w:type="pct"/>
                <w:tcBorders>
                  <w:top w:val="single" w:color="auto" w:sz="4" w:space="0"/>
                  <w:left w:val="single" w:color="auto" w:sz="4" w:space="0"/>
                  <w:bottom w:val="single" w:color="auto" w:sz="4" w:space="0"/>
                  <w:right w:val="single" w:color="auto" w:sz="4" w:space="0"/>
                </w:tcBorders>
              </w:tcPr>
              <w:p w14:paraId="52E30ABE">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263481E">
                <w:pPr>
                  <w:jc w:val="right"/>
                  <w:rPr>
                    <w:rFonts w:cs="Times New Roman"/>
                  </w:rPr>
                </w:pPr>
                <w:r>
                  <w:rPr>
                    <w:rFonts w:cs="Times New Roman"/>
                  </w:rPr>
                  <w:t>5,148.52</w:t>
                </w:r>
              </w:p>
            </w:tc>
            <w:tc>
              <w:tcPr>
                <w:tcW w:w="911" w:type="pct"/>
                <w:tcBorders>
                  <w:top w:val="single" w:color="auto" w:sz="4" w:space="0"/>
                  <w:left w:val="single" w:color="auto" w:sz="4" w:space="0"/>
                  <w:bottom w:val="single" w:color="auto" w:sz="4" w:space="0"/>
                  <w:right w:val="single" w:color="auto" w:sz="4" w:space="0"/>
                </w:tcBorders>
              </w:tcPr>
              <w:p w14:paraId="1ED88849">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552817296"/>
          <w:placeholder>
            <w:docPart w:val="{6c593e68-85c9-4f50-8d3d-b8d1bf426658}"/>
          </w:placeholder>
        </w:sdtPr>
        <w:sdtEndPr>
          <w:rPr>
            <w:rFonts w:cs="Times New Roman"/>
            <w:color w:val="000000" w:themeColor="text1"/>
            <w14:textFill>
              <w14:solidFill>
                <w14:schemeClr w14:val="tx1"/>
              </w14:solidFill>
            </w14:textFill>
          </w:rPr>
        </w:sdtEndPr>
        <w:sdtContent>
          <w:tr w14:paraId="05564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357E33E5">
                <w:pPr>
                  <w:rPr>
                    <w:rFonts w:cs="Times New Roman"/>
                  </w:rPr>
                </w:pPr>
                <w:r>
                  <w:rPr>
                    <w:rFonts w:cs="Times New Roman"/>
                  </w:rPr>
                  <w:t>新兴际华集团财务有限公司</w:t>
                </w:r>
              </w:p>
            </w:tc>
            <w:tc>
              <w:tcPr>
                <w:tcW w:w="766" w:type="pct"/>
                <w:tcBorders>
                  <w:top w:val="single" w:color="auto" w:sz="4" w:space="0"/>
                  <w:left w:val="single" w:color="auto" w:sz="4" w:space="0"/>
                  <w:bottom w:val="single" w:color="auto" w:sz="4" w:space="0"/>
                  <w:right w:val="single" w:color="auto" w:sz="4" w:space="0"/>
                </w:tcBorders>
              </w:tcPr>
              <w:p w14:paraId="65556006">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367D8F15">
                <w:pPr>
                  <w:jc w:val="right"/>
                  <w:rPr>
                    <w:rFonts w:cs="Times New Roman"/>
                  </w:rPr>
                </w:pPr>
                <w:r>
                  <w:rPr>
                    <w:rFonts w:cs="Times New Roman"/>
                  </w:rPr>
                  <w:t>4,233.63</w:t>
                </w:r>
              </w:p>
            </w:tc>
            <w:tc>
              <w:tcPr>
                <w:tcW w:w="911" w:type="pct"/>
                <w:tcBorders>
                  <w:top w:val="single" w:color="auto" w:sz="4" w:space="0"/>
                  <w:left w:val="single" w:color="auto" w:sz="4" w:space="0"/>
                  <w:bottom w:val="single" w:color="auto" w:sz="4" w:space="0"/>
                  <w:right w:val="single" w:color="auto" w:sz="4" w:space="0"/>
                </w:tcBorders>
              </w:tcPr>
              <w:p w14:paraId="3499890B">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506894026"/>
          <w:placeholder>
            <w:docPart w:val="{6c593e68-85c9-4f50-8d3d-b8d1bf426658}"/>
          </w:placeholder>
        </w:sdtPr>
        <w:sdtEndPr>
          <w:rPr>
            <w:rFonts w:cs="Times New Roman"/>
            <w:color w:val="000000" w:themeColor="text1"/>
            <w14:textFill>
              <w14:solidFill>
                <w14:schemeClr w14:val="tx1"/>
              </w14:solidFill>
            </w14:textFill>
          </w:rPr>
        </w:sdtEndPr>
        <w:sdtContent>
          <w:tr w14:paraId="3F0245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68B29817">
                <w:pPr>
                  <w:rPr>
                    <w:rFonts w:cs="Times New Roman"/>
                  </w:rPr>
                </w:pPr>
                <w:r>
                  <w:rPr>
                    <w:rFonts w:cs="Times New Roman"/>
                  </w:rPr>
                  <w:t>新兴铸管（上海）金属资源有限公司</w:t>
                </w:r>
              </w:p>
            </w:tc>
            <w:tc>
              <w:tcPr>
                <w:tcW w:w="766" w:type="pct"/>
                <w:tcBorders>
                  <w:top w:val="single" w:color="auto" w:sz="4" w:space="0"/>
                  <w:left w:val="single" w:color="auto" w:sz="4" w:space="0"/>
                  <w:bottom w:val="single" w:color="auto" w:sz="4" w:space="0"/>
                  <w:right w:val="single" w:color="auto" w:sz="4" w:space="0"/>
                </w:tcBorders>
              </w:tcPr>
              <w:p w14:paraId="53FE283E">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11E0A6CD">
                <w:pPr>
                  <w:jc w:val="right"/>
                  <w:rPr>
                    <w:rFonts w:cs="Times New Roman"/>
                  </w:rPr>
                </w:pPr>
                <w:r>
                  <w:rPr>
                    <w:rFonts w:cs="Times New Roman"/>
                  </w:rPr>
                  <w:t>2,627.01</w:t>
                </w:r>
              </w:p>
            </w:tc>
            <w:tc>
              <w:tcPr>
                <w:tcW w:w="911" w:type="pct"/>
                <w:tcBorders>
                  <w:top w:val="single" w:color="auto" w:sz="4" w:space="0"/>
                  <w:left w:val="single" w:color="auto" w:sz="4" w:space="0"/>
                  <w:bottom w:val="single" w:color="auto" w:sz="4" w:space="0"/>
                  <w:right w:val="single" w:color="auto" w:sz="4" w:space="0"/>
                </w:tcBorders>
              </w:tcPr>
              <w:p w14:paraId="083D6DD7">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731976816"/>
          <w:placeholder>
            <w:docPart w:val="{6c593e68-85c9-4f50-8d3d-b8d1bf426658}"/>
          </w:placeholder>
        </w:sdtPr>
        <w:sdtEndPr>
          <w:rPr>
            <w:rFonts w:cs="Times New Roman"/>
            <w:color w:val="000000" w:themeColor="text1"/>
            <w14:textFill>
              <w14:solidFill>
                <w14:schemeClr w14:val="tx1"/>
              </w14:solidFill>
            </w14:textFill>
          </w:rPr>
        </w:sdtEndPr>
        <w:sdtContent>
          <w:tr w14:paraId="5E87EE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5200961">
                <w:pPr>
                  <w:rPr>
                    <w:rFonts w:cs="Times New Roman"/>
                  </w:rPr>
                </w:pPr>
                <w:r>
                  <w:rPr>
                    <w:rFonts w:cs="Times New Roman"/>
                  </w:rPr>
                  <w:t>上海际华物流有限公司</w:t>
                </w:r>
              </w:p>
            </w:tc>
            <w:tc>
              <w:tcPr>
                <w:tcW w:w="766" w:type="pct"/>
                <w:tcBorders>
                  <w:top w:val="single" w:color="auto" w:sz="4" w:space="0"/>
                  <w:left w:val="single" w:color="auto" w:sz="4" w:space="0"/>
                  <w:bottom w:val="single" w:color="auto" w:sz="4" w:space="0"/>
                  <w:right w:val="single" w:color="auto" w:sz="4" w:space="0"/>
                </w:tcBorders>
              </w:tcPr>
              <w:p w14:paraId="373C85F9">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A4A76A4">
                <w:pPr>
                  <w:jc w:val="right"/>
                  <w:rPr>
                    <w:rFonts w:cs="Times New Roman"/>
                  </w:rPr>
                </w:pPr>
                <w:r>
                  <w:rPr>
                    <w:rFonts w:cs="Times New Roman"/>
                  </w:rPr>
                  <w:t>2,024.79</w:t>
                </w:r>
              </w:p>
            </w:tc>
            <w:tc>
              <w:tcPr>
                <w:tcW w:w="911" w:type="pct"/>
                <w:tcBorders>
                  <w:top w:val="single" w:color="auto" w:sz="4" w:space="0"/>
                  <w:left w:val="single" w:color="auto" w:sz="4" w:space="0"/>
                  <w:bottom w:val="single" w:color="auto" w:sz="4" w:space="0"/>
                  <w:right w:val="single" w:color="auto" w:sz="4" w:space="0"/>
                </w:tcBorders>
              </w:tcPr>
              <w:p w14:paraId="6FC252AA">
                <w:pPr>
                  <w:jc w:val="right"/>
                  <w:rPr>
                    <w:rFonts w:cs="Times New Roman"/>
                  </w:rPr>
                </w:pPr>
                <w:r>
                  <w:rPr>
                    <w:rFonts w:cs="Times New Roman"/>
                  </w:rPr>
                  <w:t>20,369.06</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574935764"/>
          <w:placeholder>
            <w:docPart w:val="{6c593e68-85c9-4f50-8d3d-b8d1bf426658}"/>
          </w:placeholder>
        </w:sdtPr>
        <w:sdtEndPr>
          <w:rPr>
            <w:rFonts w:cs="Times New Roman"/>
            <w:color w:val="000000" w:themeColor="text1"/>
            <w14:textFill>
              <w14:solidFill>
                <w14:schemeClr w14:val="tx1"/>
              </w14:solidFill>
            </w14:textFill>
          </w:rPr>
        </w:sdtEndPr>
        <w:sdtContent>
          <w:tr w14:paraId="686D2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7103BB8">
                <w:pPr>
                  <w:rPr>
                    <w:rFonts w:cs="Times New Roman"/>
                  </w:rPr>
                </w:pPr>
                <w:r>
                  <w:rPr>
                    <w:rFonts w:cs="Times New Roman"/>
                  </w:rPr>
                  <w:t>新兴河北工程技术有限公司</w:t>
                </w:r>
              </w:p>
            </w:tc>
            <w:tc>
              <w:tcPr>
                <w:tcW w:w="766" w:type="pct"/>
                <w:tcBorders>
                  <w:top w:val="single" w:color="auto" w:sz="4" w:space="0"/>
                  <w:left w:val="single" w:color="auto" w:sz="4" w:space="0"/>
                  <w:bottom w:val="single" w:color="auto" w:sz="4" w:space="0"/>
                  <w:right w:val="single" w:color="auto" w:sz="4" w:space="0"/>
                </w:tcBorders>
              </w:tcPr>
              <w:p w14:paraId="1906FFBD">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274639BC">
                <w:pPr>
                  <w:jc w:val="right"/>
                  <w:rPr>
                    <w:rFonts w:cs="Times New Roman"/>
                  </w:rPr>
                </w:pPr>
                <w:r>
                  <w:rPr>
                    <w:rFonts w:cs="Times New Roman"/>
                  </w:rPr>
                  <w:t>984.96</w:t>
                </w:r>
              </w:p>
            </w:tc>
            <w:tc>
              <w:tcPr>
                <w:tcW w:w="911" w:type="pct"/>
                <w:tcBorders>
                  <w:top w:val="single" w:color="auto" w:sz="4" w:space="0"/>
                  <w:left w:val="single" w:color="auto" w:sz="4" w:space="0"/>
                  <w:bottom w:val="single" w:color="auto" w:sz="4" w:space="0"/>
                  <w:right w:val="single" w:color="auto" w:sz="4" w:space="0"/>
                </w:tcBorders>
              </w:tcPr>
              <w:p w14:paraId="5F27FCE1">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610586622"/>
          <w:placeholder>
            <w:docPart w:val="{6c593e68-85c9-4f50-8d3d-b8d1bf426658}"/>
          </w:placeholder>
        </w:sdtPr>
        <w:sdtEndPr>
          <w:rPr>
            <w:rFonts w:cs="Times New Roman"/>
            <w:color w:val="000000" w:themeColor="text1"/>
            <w14:textFill>
              <w14:solidFill>
                <w14:schemeClr w14:val="tx1"/>
              </w14:solidFill>
            </w14:textFill>
          </w:rPr>
        </w:sdtEndPr>
        <w:sdtContent>
          <w:tr w14:paraId="38174D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06D7E434">
                <w:pPr>
                  <w:rPr>
                    <w:rFonts w:cs="Times New Roman"/>
                  </w:rPr>
                </w:pPr>
                <w:r>
                  <w:rPr>
                    <w:rFonts w:cs="Times New Roman"/>
                  </w:rPr>
                  <w:t>新兴际华（上海）工程科技研究院有限公司</w:t>
                </w:r>
              </w:p>
            </w:tc>
            <w:tc>
              <w:tcPr>
                <w:tcW w:w="766" w:type="pct"/>
                <w:tcBorders>
                  <w:top w:val="single" w:color="auto" w:sz="4" w:space="0"/>
                  <w:left w:val="single" w:color="auto" w:sz="4" w:space="0"/>
                  <w:bottom w:val="single" w:color="auto" w:sz="4" w:space="0"/>
                  <w:right w:val="single" w:color="auto" w:sz="4" w:space="0"/>
                </w:tcBorders>
              </w:tcPr>
              <w:p w14:paraId="4BAD939B">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5BDBE151">
                <w:pPr>
                  <w:jc w:val="right"/>
                  <w:rPr>
                    <w:rFonts w:cs="Times New Roman"/>
                  </w:rPr>
                </w:pPr>
                <w:r>
                  <w:rPr>
                    <w:rFonts w:cs="Times New Roman"/>
                  </w:rPr>
                  <w:t>894.69</w:t>
                </w:r>
              </w:p>
            </w:tc>
            <w:tc>
              <w:tcPr>
                <w:tcW w:w="911" w:type="pct"/>
                <w:tcBorders>
                  <w:top w:val="single" w:color="auto" w:sz="4" w:space="0"/>
                  <w:left w:val="single" w:color="auto" w:sz="4" w:space="0"/>
                  <w:bottom w:val="single" w:color="auto" w:sz="4" w:space="0"/>
                  <w:right w:val="single" w:color="auto" w:sz="4" w:space="0"/>
                </w:tcBorders>
              </w:tcPr>
              <w:p w14:paraId="6EADB752">
                <w:pPr>
                  <w:jc w:val="right"/>
                  <w:rPr>
                    <w:rFonts w:cs="Times New Roman"/>
                  </w:rPr>
                </w:pPr>
                <w:r>
                  <w:rPr>
                    <w:rFonts w:cs="Times New Roman"/>
                  </w:rPr>
                  <w:t>3,539.82</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480589906"/>
          <w:placeholder>
            <w:docPart w:val="{6c593e68-85c9-4f50-8d3d-b8d1bf426658}"/>
          </w:placeholder>
        </w:sdtPr>
        <w:sdtEndPr>
          <w:rPr>
            <w:rFonts w:cs="Times New Roman"/>
            <w:color w:val="000000" w:themeColor="text1"/>
            <w14:textFill>
              <w14:solidFill>
                <w14:schemeClr w14:val="tx1"/>
              </w14:solidFill>
            </w14:textFill>
          </w:rPr>
        </w:sdtEndPr>
        <w:sdtContent>
          <w:tr w14:paraId="33AF0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A9E506C">
                <w:pPr>
                  <w:rPr>
                    <w:rFonts w:cs="Times New Roman"/>
                  </w:rPr>
                </w:pPr>
                <w:r>
                  <w:rPr>
                    <w:rFonts w:cs="Times New Roman"/>
                  </w:rPr>
                  <w:t>北京呼家楼宾馆有限公司</w:t>
                </w:r>
              </w:p>
            </w:tc>
            <w:tc>
              <w:tcPr>
                <w:tcW w:w="766" w:type="pct"/>
                <w:tcBorders>
                  <w:top w:val="single" w:color="auto" w:sz="4" w:space="0"/>
                  <w:left w:val="single" w:color="auto" w:sz="4" w:space="0"/>
                  <w:bottom w:val="single" w:color="auto" w:sz="4" w:space="0"/>
                  <w:right w:val="single" w:color="auto" w:sz="4" w:space="0"/>
                </w:tcBorders>
              </w:tcPr>
              <w:p w14:paraId="723F3312">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4CB585D1">
                <w:pPr>
                  <w:jc w:val="right"/>
                  <w:rPr>
                    <w:rFonts w:cs="Times New Roman"/>
                  </w:rPr>
                </w:pPr>
                <w:r>
                  <w:rPr>
                    <w:rFonts w:cs="Times New Roman"/>
                  </w:rPr>
                  <w:t>530.97</w:t>
                </w:r>
              </w:p>
            </w:tc>
            <w:tc>
              <w:tcPr>
                <w:tcW w:w="911" w:type="pct"/>
                <w:tcBorders>
                  <w:top w:val="single" w:color="auto" w:sz="4" w:space="0"/>
                  <w:left w:val="single" w:color="auto" w:sz="4" w:space="0"/>
                  <w:bottom w:val="single" w:color="auto" w:sz="4" w:space="0"/>
                  <w:right w:val="single" w:color="auto" w:sz="4" w:space="0"/>
                </w:tcBorders>
              </w:tcPr>
              <w:p w14:paraId="4F53F31D">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239413809"/>
          <w:placeholder>
            <w:docPart w:val="{6c593e68-85c9-4f50-8d3d-b8d1bf426658}"/>
          </w:placeholder>
        </w:sdtPr>
        <w:sdtEndPr>
          <w:rPr>
            <w:rFonts w:cs="Times New Roman"/>
            <w:color w:val="000000" w:themeColor="text1"/>
            <w14:textFill>
              <w14:solidFill>
                <w14:schemeClr w14:val="tx1"/>
              </w14:solidFill>
            </w14:textFill>
          </w:rPr>
        </w:sdtEndPr>
        <w:sdtContent>
          <w:tr w14:paraId="0D7E02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836078B">
                <w:pPr>
                  <w:rPr>
                    <w:rFonts w:cs="Times New Roman"/>
                  </w:rPr>
                </w:pPr>
                <w:r>
                  <w:rPr>
                    <w:rFonts w:cs="Times New Roman"/>
                  </w:rPr>
                  <w:t>芜湖新兴铸管有限责任公司</w:t>
                </w:r>
              </w:p>
            </w:tc>
            <w:tc>
              <w:tcPr>
                <w:tcW w:w="766" w:type="pct"/>
                <w:tcBorders>
                  <w:top w:val="single" w:color="auto" w:sz="4" w:space="0"/>
                  <w:left w:val="single" w:color="auto" w:sz="4" w:space="0"/>
                  <w:bottom w:val="single" w:color="auto" w:sz="4" w:space="0"/>
                  <w:right w:val="single" w:color="auto" w:sz="4" w:space="0"/>
                </w:tcBorders>
              </w:tcPr>
              <w:p w14:paraId="3D7D36EC">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668CF068">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1980172">
                <w:pPr>
                  <w:jc w:val="right"/>
                  <w:rPr>
                    <w:rFonts w:cs="Times New Roman"/>
                  </w:rPr>
                </w:pPr>
                <w:r>
                  <w:rPr>
                    <w:rFonts w:cs="Times New Roman"/>
                  </w:rPr>
                  <w:t>361,035.40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905605580"/>
          <w:placeholder>
            <w:docPart w:val="{6c593e68-85c9-4f50-8d3d-b8d1bf426658}"/>
          </w:placeholder>
        </w:sdtPr>
        <w:sdtEndPr>
          <w:rPr>
            <w:rFonts w:cs="Times New Roman"/>
            <w:color w:val="000000" w:themeColor="text1"/>
            <w14:textFill>
              <w14:solidFill>
                <w14:schemeClr w14:val="tx1"/>
              </w14:solidFill>
            </w14:textFill>
          </w:rPr>
        </w:sdtEndPr>
        <w:sdtContent>
          <w:tr w14:paraId="570442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71A4AD7">
                <w:pPr>
                  <w:rPr>
                    <w:rFonts w:cs="Times New Roman"/>
                  </w:rPr>
                </w:pPr>
                <w:r>
                  <w:rPr>
                    <w:rFonts w:cs="Times New Roman"/>
                  </w:rPr>
                  <w:t>际华五三零三服装有限公司</w:t>
                </w:r>
              </w:p>
            </w:tc>
            <w:tc>
              <w:tcPr>
                <w:tcW w:w="766" w:type="pct"/>
                <w:tcBorders>
                  <w:top w:val="single" w:color="auto" w:sz="4" w:space="0"/>
                  <w:left w:val="single" w:color="auto" w:sz="4" w:space="0"/>
                  <w:bottom w:val="single" w:color="auto" w:sz="4" w:space="0"/>
                  <w:right w:val="single" w:color="auto" w:sz="4" w:space="0"/>
                </w:tcBorders>
              </w:tcPr>
              <w:p w14:paraId="69E684DD">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2518DBF">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5926C57">
                <w:pPr>
                  <w:jc w:val="right"/>
                  <w:rPr>
                    <w:rFonts w:cs="Times New Roman"/>
                  </w:rPr>
                </w:pPr>
                <w:r>
                  <w:rPr>
                    <w:rFonts w:cs="Times New Roman"/>
                  </w:rPr>
                  <w:t>238,745.12</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288889814"/>
          <w:placeholder>
            <w:docPart w:val="{6c593e68-85c9-4f50-8d3d-b8d1bf426658}"/>
          </w:placeholder>
        </w:sdtPr>
        <w:sdtEndPr>
          <w:rPr>
            <w:rFonts w:cs="Times New Roman"/>
            <w:color w:val="000000" w:themeColor="text1"/>
            <w14:textFill>
              <w14:solidFill>
                <w14:schemeClr w14:val="tx1"/>
              </w14:solidFill>
            </w14:textFill>
          </w:rPr>
        </w:sdtEndPr>
        <w:sdtContent>
          <w:tr w14:paraId="369088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C8CAF0C">
                <w:pPr>
                  <w:rPr>
                    <w:rFonts w:cs="Times New Roman"/>
                  </w:rPr>
                </w:pPr>
                <w:r>
                  <w:rPr>
                    <w:rFonts w:cs="Times New Roman"/>
                  </w:rPr>
                  <w:t>黄石新兴管业有限公司</w:t>
                </w:r>
              </w:p>
            </w:tc>
            <w:tc>
              <w:tcPr>
                <w:tcW w:w="766" w:type="pct"/>
                <w:tcBorders>
                  <w:top w:val="single" w:color="auto" w:sz="4" w:space="0"/>
                  <w:left w:val="single" w:color="auto" w:sz="4" w:space="0"/>
                  <w:bottom w:val="single" w:color="auto" w:sz="4" w:space="0"/>
                  <w:right w:val="single" w:color="auto" w:sz="4" w:space="0"/>
                </w:tcBorders>
              </w:tcPr>
              <w:p w14:paraId="0F044CDD">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3F659789">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3B74EDB3">
                <w:pPr>
                  <w:jc w:val="right"/>
                  <w:rPr>
                    <w:rFonts w:cs="Times New Roman"/>
                  </w:rPr>
                </w:pPr>
                <w:r>
                  <w:rPr>
                    <w:rFonts w:cs="Times New Roman"/>
                  </w:rPr>
                  <w:t>74,622.13</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455686819"/>
          <w:placeholder>
            <w:docPart w:val="{6c593e68-85c9-4f50-8d3d-b8d1bf426658}"/>
          </w:placeholder>
        </w:sdtPr>
        <w:sdtEndPr>
          <w:rPr>
            <w:rFonts w:cs="Times New Roman"/>
            <w:color w:val="000000" w:themeColor="text1"/>
            <w14:textFill>
              <w14:solidFill>
                <w14:schemeClr w14:val="tx1"/>
              </w14:solidFill>
            </w14:textFill>
          </w:rPr>
        </w:sdtEndPr>
        <w:sdtContent>
          <w:tr w14:paraId="53C4F7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01AFFDDF">
                <w:pPr>
                  <w:rPr>
                    <w:rFonts w:cs="Times New Roman"/>
                  </w:rPr>
                </w:pPr>
                <w:r>
                  <w:rPr>
                    <w:rFonts w:cs="Times New Roman"/>
                  </w:rPr>
                  <w:t>新兴铸管阜康能源有限公司</w:t>
                </w:r>
              </w:p>
            </w:tc>
            <w:tc>
              <w:tcPr>
                <w:tcW w:w="766" w:type="pct"/>
                <w:tcBorders>
                  <w:top w:val="single" w:color="auto" w:sz="4" w:space="0"/>
                  <w:left w:val="single" w:color="auto" w:sz="4" w:space="0"/>
                  <w:bottom w:val="single" w:color="auto" w:sz="4" w:space="0"/>
                  <w:right w:val="single" w:color="auto" w:sz="4" w:space="0"/>
                </w:tcBorders>
              </w:tcPr>
              <w:p w14:paraId="1B835E92">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38E62A6E">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35BEFD3">
                <w:pPr>
                  <w:jc w:val="right"/>
                  <w:rPr>
                    <w:rFonts w:cs="Times New Roman"/>
                  </w:rPr>
                </w:pPr>
                <w:r>
                  <w:rPr>
                    <w:rFonts w:cs="Times New Roman"/>
                  </w:rPr>
                  <w:t>51,769.91</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570418280"/>
          <w:placeholder>
            <w:docPart w:val="{6c593e68-85c9-4f50-8d3d-b8d1bf426658}"/>
          </w:placeholder>
        </w:sdtPr>
        <w:sdtEndPr>
          <w:rPr>
            <w:rFonts w:cs="Times New Roman"/>
            <w:color w:val="000000" w:themeColor="text1"/>
            <w14:textFill>
              <w14:solidFill>
                <w14:schemeClr w14:val="tx1"/>
              </w14:solidFill>
            </w14:textFill>
          </w:rPr>
        </w:sdtEndPr>
        <w:sdtContent>
          <w:tr w14:paraId="5534E1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532F986">
                <w:pPr>
                  <w:rPr>
                    <w:rFonts w:cs="Times New Roman"/>
                  </w:rPr>
                </w:pPr>
                <w:r>
                  <w:rPr>
                    <w:rFonts w:cs="Times New Roman"/>
                  </w:rPr>
                  <w:t>河北新兴铸管有限公司</w:t>
                </w:r>
              </w:p>
            </w:tc>
            <w:tc>
              <w:tcPr>
                <w:tcW w:w="766" w:type="pct"/>
                <w:tcBorders>
                  <w:top w:val="single" w:color="auto" w:sz="4" w:space="0"/>
                  <w:left w:val="single" w:color="auto" w:sz="4" w:space="0"/>
                  <w:bottom w:val="single" w:color="auto" w:sz="4" w:space="0"/>
                  <w:right w:val="single" w:color="auto" w:sz="4" w:space="0"/>
                </w:tcBorders>
              </w:tcPr>
              <w:p w14:paraId="5C45945E">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8C2C1A5">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37998BDC">
                <w:pPr>
                  <w:jc w:val="right"/>
                  <w:rPr>
                    <w:rFonts w:cs="Times New Roman"/>
                  </w:rPr>
                </w:pPr>
                <w:r>
                  <w:rPr>
                    <w:rFonts w:cs="Times New Roman"/>
                  </w:rPr>
                  <w:t>44,336.27</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623847770"/>
          <w:placeholder>
            <w:docPart w:val="{6c593e68-85c9-4f50-8d3d-b8d1bf426658}"/>
          </w:placeholder>
        </w:sdtPr>
        <w:sdtEndPr>
          <w:rPr>
            <w:rFonts w:cs="Times New Roman"/>
            <w:color w:val="000000" w:themeColor="text1"/>
            <w14:textFill>
              <w14:solidFill>
                <w14:schemeClr w14:val="tx1"/>
              </w14:solidFill>
            </w14:textFill>
          </w:rPr>
        </w:sdtEndPr>
        <w:sdtContent>
          <w:tr w14:paraId="1E8FC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210100A">
                <w:pPr>
                  <w:rPr>
                    <w:rFonts w:cs="Times New Roman"/>
                  </w:rPr>
                </w:pPr>
                <w:r>
                  <w:rPr>
                    <w:rFonts w:cs="Times New Roman"/>
                  </w:rPr>
                  <w:t>新兴铸管集团邯郸新材料有限公司</w:t>
                </w:r>
              </w:p>
            </w:tc>
            <w:tc>
              <w:tcPr>
                <w:tcW w:w="766" w:type="pct"/>
                <w:tcBorders>
                  <w:top w:val="single" w:color="auto" w:sz="4" w:space="0"/>
                  <w:left w:val="single" w:color="auto" w:sz="4" w:space="0"/>
                  <w:bottom w:val="single" w:color="auto" w:sz="4" w:space="0"/>
                  <w:right w:val="single" w:color="auto" w:sz="4" w:space="0"/>
                </w:tcBorders>
              </w:tcPr>
              <w:p w14:paraId="01979BF2">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65D0CB03">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6A175444">
                <w:pPr>
                  <w:jc w:val="right"/>
                  <w:rPr>
                    <w:rFonts w:cs="Times New Roman"/>
                  </w:rPr>
                </w:pPr>
                <w:r>
                  <w:rPr>
                    <w:rFonts w:cs="Times New Roman"/>
                  </w:rPr>
                  <w:t>42,500.00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85579313"/>
          <w:placeholder>
            <w:docPart w:val="{6c593e68-85c9-4f50-8d3d-b8d1bf426658}"/>
          </w:placeholder>
        </w:sdtPr>
        <w:sdtEndPr>
          <w:rPr>
            <w:rFonts w:cs="Times New Roman"/>
            <w:color w:val="000000" w:themeColor="text1"/>
            <w14:textFill>
              <w14:solidFill>
                <w14:schemeClr w14:val="tx1"/>
              </w14:solidFill>
            </w14:textFill>
          </w:rPr>
        </w:sdtEndPr>
        <w:sdtContent>
          <w:tr w14:paraId="7AD2E1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0D2E8D22">
                <w:pPr>
                  <w:rPr>
                    <w:rFonts w:cs="Times New Roman"/>
                  </w:rPr>
                </w:pPr>
                <w:r>
                  <w:rPr>
                    <w:rFonts w:cs="Times New Roman"/>
                  </w:rPr>
                  <w:t>陕西际华园开发建设有限公司</w:t>
                </w:r>
              </w:p>
            </w:tc>
            <w:tc>
              <w:tcPr>
                <w:tcW w:w="766" w:type="pct"/>
                <w:tcBorders>
                  <w:top w:val="single" w:color="auto" w:sz="4" w:space="0"/>
                  <w:left w:val="single" w:color="auto" w:sz="4" w:space="0"/>
                  <w:bottom w:val="single" w:color="auto" w:sz="4" w:space="0"/>
                  <w:right w:val="single" w:color="auto" w:sz="4" w:space="0"/>
                </w:tcBorders>
              </w:tcPr>
              <w:p w14:paraId="7CB20BD3">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6D0B1D39">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3A924637">
                <w:pPr>
                  <w:jc w:val="right"/>
                  <w:rPr>
                    <w:rFonts w:cs="Times New Roman"/>
                  </w:rPr>
                </w:pPr>
                <w:r>
                  <w:rPr>
                    <w:rFonts w:cs="Times New Roman"/>
                  </w:rPr>
                  <w:t>26,548.69</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900485935"/>
          <w:placeholder>
            <w:docPart w:val="{6c593e68-85c9-4f50-8d3d-b8d1bf426658}"/>
          </w:placeholder>
        </w:sdtPr>
        <w:sdtEndPr>
          <w:rPr>
            <w:rFonts w:cs="Times New Roman"/>
            <w:color w:val="000000" w:themeColor="text1"/>
            <w14:textFill>
              <w14:solidFill>
                <w14:schemeClr w14:val="tx1"/>
              </w14:solidFill>
            </w14:textFill>
          </w:rPr>
        </w:sdtEndPr>
        <w:sdtContent>
          <w:tr w14:paraId="6FF54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58B4754">
                <w:pPr>
                  <w:rPr>
                    <w:rFonts w:cs="Times New Roman"/>
                  </w:rPr>
                </w:pPr>
                <w:r>
                  <w:rPr>
                    <w:rFonts w:cs="Times New Roman"/>
                  </w:rPr>
                  <w:t>新兴发展（北京）国际贸易有限公司</w:t>
                </w:r>
              </w:p>
            </w:tc>
            <w:tc>
              <w:tcPr>
                <w:tcW w:w="766" w:type="pct"/>
                <w:tcBorders>
                  <w:top w:val="single" w:color="auto" w:sz="4" w:space="0"/>
                  <w:left w:val="single" w:color="auto" w:sz="4" w:space="0"/>
                  <w:bottom w:val="single" w:color="auto" w:sz="4" w:space="0"/>
                  <w:right w:val="single" w:color="auto" w:sz="4" w:space="0"/>
                </w:tcBorders>
              </w:tcPr>
              <w:p w14:paraId="39F47CA1">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04865F74">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3446077">
                <w:pPr>
                  <w:jc w:val="right"/>
                  <w:rPr>
                    <w:rFonts w:cs="Times New Roman"/>
                  </w:rPr>
                </w:pPr>
                <w:r>
                  <w:rPr>
                    <w:rFonts w:cs="Times New Roman"/>
                  </w:rPr>
                  <w:t>21,659.29</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330066851"/>
          <w:placeholder>
            <w:docPart w:val="{6c593e68-85c9-4f50-8d3d-b8d1bf426658}"/>
          </w:placeholder>
        </w:sdtPr>
        <w:sdtEndPr>
          <w:rPr>
            <w:rFonts w:cs="Times New Roman"/>
            <w:color w:val="000000" w:themeColor="text1"/>
            <w14:textFill>
              <w14:solidFill>
                <w14:schemeClr w14:val="tx1"/>
              </w14:solidFill>
            </w14:textFill>
          </w:rPr>
        </w:sdtEndPr>
        <w:sdtContent>
          <w:tr w14:paraId="7D7A95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72252EB">
                <w:pPr>
                  <w:rPr>
                    <w:rFonts w:cs="Times New Roman"/>
                  </w:rPr>
                </w:pPr>
                <w:r>
                  <w:rPr>
                    <w:rFonts w:cs="Times New Roman"/>
                  </w:rPr>
                  <w:t>新兴际华检验检测（北京）有限公司</w:t>
                </w:r>
              </w:p>
            </w:tc>
            <w:tc>
              <w:tcPr>
                <w:tcW w:w="766" w:type="pct"/>
                <w:tcBorders>
                  <w:top w:val="single" w:color="auto" w:sz="4" w:space="0"/>
                  <w:left w:val="single" w:color="auto" w:sz="4" w:space="0"/>
                  <w:bottom w:val="single" w:color="auto" w:sz="4" w:space="0"/>
                  <w:right w:val="single" w:color="auto" w:sz="4" w:space="0"/>
                </w:tcBorders>
              </w:tcPr>
              <w:p w14:paraId="03F60210">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3115BD4A">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3C53B5BB">
                <w:pPr>
                  <w:jc w:val="right"/>
                  <w:rPr>
                    <w:rFonts w:cs="Times New Roman"/>
                  </w:rPr>
                </w:pPr>
                <w:r>
                  <w:rPr>
                    <w:rFonts w:cs="Times New Roman"/>
                  </w:rPr>
                  <w:t>16,377.36</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317768508"/>
          <w:placeholder>
            <w:docPart w:val="{6c593e68-85c9-4f50-8d3d-b8d1bf426658}"/>
          </w:placeholder>
        </w:sdtPr>
        <w:sdtEndPr>
          <w:rPr>
            <w:rFonts w:cs="Times New Roman"/>
            <w:color w:val="000000" w:themeColor="text1"/>
            <w14:textFill>
              <w14:solidFill>
                <w14:schemeClr w14:val="tx1"/>
              </w14:solidFill>
            </w14:textFill>
          </w:rPr>
        </w:sdtEndPr>
        <w:sdtContent>
          <w:tr w14:paraId="2FA265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D432C95">
                <w:pPr>
                  <w:rPr>
                    <w:rFonts w:cs="Times New Roman"/>
                  </w:rPr>
                </w:pPr>
                <w:r>
                  <w:rPr>
                    <w:rFonts w:cs="Times New Roman"/>
                  </w:rPr>
                  <w:t>北京三五零一服装厂有限公司</w:t>
                </w:r>
              </w:p>
            </w:tc>
            <w:tc>
              <w:tcPr>
                <w:tcW w:w="766" w:type="pct"/>
                <w:tcBorders>
                  <w:top w:val="single" w:color="auto" w:sz="4" w:space="0"/>
                  <w:left w:val="single" w:color="auto" w:sz="4" w:space="0"/>
                  <w:bottom w:val="single" w:color="auto" w:sz="4" w:space="0"/>
                  <w:right w:val="single" w:color="auto" w:sz="4" w:space="0"/>
                </w:tcBorders>
              </w:tcPr>
              <w:p w14:paraId="277D0A56">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581BA162">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2BEE83C">
                <w:pPr>
                  <w:jc w:val="right"/>
                  <w:rPr>
                    <w:rFonts w:cs="Times New Roman"/>
                  </w:rPr>
                </w:pPr>
                <w:r>
                  <w:rPr>
                    <w:rFonts w:cs="Times New Roman"/>
                  </w:rPr>
                  <w:t>15,223.01</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957373598"/>
          <w:placeholder>
            <w:docPart w:val="{6c593e68-85c9-4f50-8d3d-b8d1bf426658}"/>
          </w:placeholder>
        </w:sdtPr>
        <w:sdtEndPr>
          <w:rPr>
            <w:rFonts w:cs="Times New Roman"/>
            <w:color w:val="000000" w:themeColor="text1"/>
            <w14:textFill>
              <w14:solidFill>
                <w14:schemeClr w14:val="tx1"/>
              </w14:solidFill>
            </w14:textFill>
          </w:rPr>
        </w:sdtEndPr>
        <w:sdtContent>
          <w:tr w14:paraId="5D1F60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276FB54">
                <w:pPr>
                  <w:rPr>
                    <w:rFonts w:cs="Times New Roman"/>
                  </w:rPr>
                </w:pPr>
                <w:r>
                  <w:rPr>
                    <w:rFonts w:cs="Times New Roman"/>
                  </w:rPr>
                  <w:t>新兴际华资产经营管理有限公司</w:t>
                </w:r>
              </w:p>
            </w:tc>
            <w:tc>
              <w:tcPr>
                <w:tcW w:w="766" w:type="pct"/>
                <w:tcBorders>
                  <w:top w:val="single" w:color="auto" w:sz="4" w:space="0"/>
                  <w:left w:val="single" w:color="auto" w:sz="4" w:space="0"/>
                  <w:bottom w:val="single" w:color="auto" w:sz="4" w:space="0"/>
                  <w:right w:val="single" w:color="auto" w:sz="4" w:space="0"/>
                </w:tcBorders>
              </w:tcPr>
              <w:p w14:paraId="78DD7291">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4A7AEA95">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62F8535A">
                <w:pPr>
                  <w:jc w:val="right"/>
                  <w:rPr>
                    <w:rFonts w:cs="Times New Roman"/>
                  </w:rPr>
                </w:pPr>
                <w:r>
                  <w:rPr>
                    <w:rFonts w:cs="Times New Roman"/>
                  </w:rPr>
                  <w:t>10,513.28</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582562126"/>
          <w:placeholder>
            <w:docPart w:val="{6c593e68-85c9-4f50-8d3d-b8d1bf426658}"/>
          </w:placeholder>
        </w:sdtPr>
        <w:sdtEndPr>
          <w:rPr>
            <w:rFonts w:cs="Times New Roman"/>
            <w:color w:val="000000" w:themeColor="text1"/>
            <w14:textFill>
              <w14:solidFill>
                <w14:schemeClr w14:val="tx1"/>
              </w14:solidFill>
            </w14:textFill>
          </w:rPr>
        </w:sdtEndPr>
        <w:sdtContent>
          <w:tr w14:paraId="6374D5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17D2067">
                <w:pPr>
                  <w:rPr>
                    <w:rFonts w:cs="Times New Roman"/>
                  </w:rPr>
                </w:pPr>
                <w:r>
                  <w:rPr>
                    <w:rFonts w:cs="Times New Roman"/>
                  </w:rPr>
                  <w:t>际华军研（北京）特种装备科技有限公司</w:t>
                </w:r>
              </w:p>
            </w:tc>
            <w:tc>
              <w:tcPr>
                <w:tcW w:w="766" w:type="pct"/>
                <w:tcBorders>
                  <w:top w:val="single" w:color="auto" w:sz="4" w:space="0"/>
                  <w:left w:val="single" w:color="auto" w:sz="4" w:space="0"/>
                  <w:bottom w:val="single" w:color="auto" w:sz="4" w:space="0"/>
                  <w:right w:val="single" w:color="auto" w:sz="4" w:space="0"/>
                </w:tcBorders>
              </w:tcPr>
              <w:p w14:paraId="47F4FD44">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2405A32D">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02B9766">
                <w:pPr>
                  <w:jc w:val="right"/>
                  <w:rPr>
                    <w:rFonts w:cs="Times New Roman"/>
                  </w:rPr>
                </w:pPr>
                <w:r>
                  <w:rPr>
                    <w:rFonts w:cs="Times New Roman"/>
                  </w:rPr>
                  <w:t>5,391.15</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618863138"/>
          <w:placeholder>
            <w:docPart w:val="{6c593e68-85c9-4f50-8d3d-b8d1bf426658}"/>
          </w:placeholder>
        </w:sdtPr>
        <w:sdtEndPr>
          <w:rPr>
            <w:rFonts w:cs="Times New Roman"/>
            <w:color w:val="000000" w:themeColor="text1"/>
            <w14:textFill>
              <w14:solidFill>
                <w14:schemeClr w14:val="tx1"/>
              </w14:solidFill>
            </w14:textFill>
          </w:rPr>
        </w:sdtEndPr>
        <w:sdtContent>
          <w:tr w14:paraId="13E4E4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B4273A0">
                <w:pPr>
                  <w:rPr>
                    <w:rFonts w:cs="Times New Roman"/>
                  </w:rPr>
                </w:pPr>
                <w:r>
                  <w:rPr>
                    <w:rFonts w:cs="Times New Roman"/>
                  </w:rPr>
                  <w:t>天津双鹿大厦有限公司</w:t>
                </w:r>
              </w:p>
            </w:tc>
            <w:tc>
              <w:tcPr>
                <w:tcW w:w="766" w:type="pct"/>
                <w:tcBorders>
                  <w:top w:val="single" w:color="auto" w:sz="4" w:space="0"/>
                  <w:left w:val="single" w:color="auto" w:sz="4" w:space="0"/>
                  <w:bottom w:val="single" w:color="auto" w:sz="4" w:space="0"/>
                  <w:right w:val="single" w:color="auto" w:sz="4" w:space="0"/>
                </w:tcBorders>
              </w:tcPr>
              <w:p w14:paraId="1CD624B0">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E01E8DC">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53500F39">
                <w:pPr>
                  <w:jc w:val="right"/>
                  <w:rPr>
                    <w:rFonts w:cs="Times New Roman"/>
                  </w:rPr>
                </w:pPr>
                <w:r>
                  <w:rPr>
                    <w:rFonts w:cs="Times New Roman"/>
                  </w:rPr>
                  <w:t>2,300.88</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440717017"/>
          <w:placeholder>
            <w:docPart w:val="{6c593e68-85c9-4f50-8d3d-b8d1bf426658}"/>
          </w:placeholder>
        </w:sdtPr>
        <w:sdtEndPr>
          <w:rPr>
            <w:rFonts w:cs="Times New Roman"/>
            <w:color w:val="000000" w:themeColor="text1"/>
            <w14:textFill>
              <w14:solidFill>
                <w14:schemeClr w14:val="tx1"/>
              </w14:solidFill>
            </w14:textFill>
          </w:rPr>
        </w:sdtEndPr>
        <w:sdtContent>
          <w:tr w14:paraId="7530B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F7F38D7">
                <w:pPr>
                  <w:rPr>
                    <w:rFonts w:cs="Times New Roman"/>
                  </w:rPr>
                </w:pPr>
                <w:r>
                  <w:rPr>
                    <w:rFonts w:cs="Times New Roman"/>
                  </w:rPr>
                  <w:t>贵港新兴城投有限责任公司</w:t>
                </w:r>
              </w:p>
            </w:tc>
            <w:tc>
              <w:tcPr>
                <w:tcW w:w="766" w:type="pct"/>
                <w:tcBorders>
                  <w:top w:val="single" w:color="auto" w:sz="4" w:space="0"/>
                  <w:left w:val="single" w:color="auto" w:sz="4" w:space="0"/>
                  <w:bottom w:val="single" w:color="auto" w:sz="4" w:space="0"/>
                  <w:right w:val="single" w:color="auto" w:sz="4" w:space="0"/>
                </w:tcBorders>
              </w:tcPr>
              <w:p w14:paraId="6DBEA8F2">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55079F0E">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6C99EEBE">
                <w:pPr>
                  <w:jc w:val="right"/>
                  <w:rPr>
                    <w:rFonts w:cs="Times New Roman"/>
                  </w:rPr>
                </w:pPr>
                <w:r>
                  <w:rPr>
                    <w:rFonts w:cs="Times New Roman"/>
                  </w:rPr>
                  <w:t>1,433.63</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216173968"/>
          <w:placeholder>
            <w:docPart w:val="{6c593e68-85c9-4f50-8d3d-b8d1bf426658}"/>
          </w:placeholder>
        </w:sdtPr>
        <w:sdtEndPr>
          <w:rPr>
            <w:rFonts w:cs="Times New Roman"/>
            <w:color w:val="000000" w:themeColor="text1"/>
            <w14:textFill>
              <w14:solidFill>
                <w14:schemeClr w14:val="tx1"/>
              </w14:solidFill>
            </w14:textFill>
          </w:rPr>
        </w:sdtEndPr>
        <w:sdtContent>
          <w:tr w14:paraId="77377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F6D3D47">
                <w:pPr>
                  <w:rPr>
                    <w:rFonts w:cs="Times New Roman"/>
                  </w:rPr>
                </w:pPr>
                <w:r>
                  <w:rPr>
                    <w:rFonts w:cs="Times New Roman"/>
                  </w:rPr>
                  <w:t>南京三五〇三投资发展有限公司</w:t>
                </w:r>
              </w:p>
            </w:tc>
            <w:tc>
              <w:tcPr>
                <w:tcW w:w="766" w:type="pct"/>
                <w:tcBorders>
                  <w:top w:val="single" w:color="auto" w:sz="4" w:space="0"/>
                  <w:left w:val="single" w:color="auto" w:sz="4" w:space="0"/>
                  <w:bottom w:val="single" w:color="auto" w:sz="4" w:space="0"/>
                  <w:right w:val="single" w:color="auto" w:sz="4" w:space="0"/>
                </w:tcBorders>
              </w:tcPr>
              <w:p w14:paraId="7040FDAE">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4445814">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2245EFAB">
                <w:pPr>
                  <w:jc w:val="right"/>
                  <w:rPr>
                    <w:rFonts w:cs="Times New Roman"/>
                  </w:rPr>
                </w:pPr>
                <w:r>
                  <w:rPr>
                    <w:rFonts w:cs="Times New Roman"/>
                  </w:rPr>
                  <w:t>1,338.06</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937569609"/>
          <w:placeholder>
            <w:docPart w:val="{6c593e68-85c9-4f50-8d3d-b8d1bf426658}"/>
          </w:placeholder>
        </w:sdtPr>
        <w:sdtEndPr>
          <w:rPr>
            <w:rFonts w:cs="Times New Roman"/>
            <w:color w:val="000000" w:themeColor="text1"/>
            <w14:textFill>
              <w14:solidFill>
                <w14:schemeClr w14:val="tx1"/>
              </w14:solidFill>
            </w14:textFill>
          </w:rPr>
        </w:sdtEndPr>
        <w:sdtContent>
          <w:tr w14:paraId="4FDE1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442CCEBA">
                <w:pPr>
                  <w:rPr>
                    <w:rFonts w:cs="Times New Roman"/>
                  </w:rPr>
                </w:pPr>
                <w:r>
                  <w:rPr>
                    <w:rFonts w:cs="Times New Roman"/>
                  </w:rPr>
                  <w:t>新兴际华（岳阳）投资发展有限公司</w:t>
                </w:r>
              </w:p>
            </w:tc>
            <w:tc>
              <w:tcPr>
                <w:tcW w:w="766" w:type="pct"/>
                <w:tcBorders>
                  <w:top w:val="single" w:color="auto" w:sz="4" w:space="0"/>
                  <w:left w:val="single" w:color="auto" w:sz="4" w:space="0"/>
                  <w:bottom w:val="single" w:color="auto" w:sz="4" w:space="0"/>
                  <w:right w:val="single" w:color="auto" w:sz="4" w:space="0"/>
                </w:tcBorders>
              </w:tcPr>
              <w:p w14:paraId="205B3B58">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4BAB9046">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331D6EA7">
                <w:pPr>
                  <w:jc w:val="right"/>
                  <w:rPr>
                    <w:rFonts w:cs="Times New Roman"/>
                  </w:rPr>
                </w:pPr>
                <w:r>
                  <w:rPr>
                    <w:rFonts w:cs="Times New Roman"/>
                  </w:rPr>
                  <w:t>1,203.54</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476128308"/>
          <w:placeholder>
            <w:docPart w:val="{6c593e68-85c9-4f50-8d3d-b8d1bf426658}"/>
          </w:placeholder>
        </w:sdtPr>
        <w:sdtEndPr>
          <w:rPr>
            <w:rFonts w:cs="Times New Roman"/>
            <w:color w:val="000000" w:themeColor="text1"/>
            <w14:textFill>
              <w14:solidFill>
                <w14:schemeClr w14:val="tx1"/>
              </w14:solidFill>
            </w14:textFill>
          </w:rPr>
        </w:sdtEndPr>
        <w:sdtContent>
          <w:tr w14:paraId="3CB4D7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5894019">
                <w:pPr>
                  <w:rPr>
                    <w:rFonts w:cs="Times New Roman"/>
                  </w:rPr>
                </w:pPr>
                <w:r>
                  <w:rPr>
                    <w:rFonts w:cs="Times New Roman"/>
                  </w:rPr>
                  <w:t>四川省川建管道有限公司</w:t>
                </w:r>
              </w:p>
            </w:tc>
            <w:tc>
              <w:tcPr>
                <w:tcW w:w="766" w:type="pct"/>
                <w:tcBorders>
                  <w:top w:val="single" w:color="auto" w:sz="4" w:space="0"/>
                  <w:left w:val="single" w:color="auto" w:sz="4" w:space="0"/>
                  <w:bottom w:val="single" w:color="auto" w:sz="4" w:space="0"/>
                  <w:right w:val="single" w:color="auto" w:sz="4" w:space="0"/>
                </w:tcBorders>
              </w:tcPr>
              <w:p w14:paraId="414848A1">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tcPr>
              <w:p w14:paraId="717703D6">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tcPr>
              <w:p w14:paraId="4F2D0183">
                <w:pPr>
                  <w:jc w:val="right"/>
                  <w:rPr>
                    <w:rFonts w:cs="Times New Roman"/>
                  </w:rPr>
                </w:pPr>
                <w:r>
                  <w:rPr>
                    <w:rFonts w:cs="Times New Roman"/>
                  </w:rPr>
                  <w:t>752.21</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36402923"/>
          <w:placeholder>
            <w:docPart w:val="{6c593e68-85c9-4f50-8d3d-b8d1bf426658}"/>
          </w:placeholder>
        </w:sdtPr>
        <w:sdtEndPr>
          <w:rPr>
            <w:rFonts w:cs="Times New Roman"/>
            <w:color w:val="000000" w:themeColor="text1"/>
            <w14:textFill>
              <w14:solidFill>
                <w14:schemeClr w14:val="tx1"/>
              </w14:solidFill>
            </w14:textFill>
          </w:rPr>
        </w:sdtEndPr>
        <w:sdtContent>
          <w:tr w14:paraId="39C1A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A964323">
                <w:pPr>
                  <w:rPr>
                    <w:rFonts w:cs="Times New Roman"/>
                  </w:rPr>
                </w:pPr>
                <w:r>
                  <w:rPr>
                    <w:rFonts w:cs="Times New Roman"/>
                  </w:rPr>
                  <w:t>新兴际华应急装备技术有限公司</w:t>
                </w:r>
              </w:p>
            </w:tc>
            <w:tc>
              <w:tcPr>
                <w:tcW w:w="766" w:type="pct"/>
                <w:tcBorders>
                  <w:top w:val="single" w:color="auto" w:sz="4" w:space="0"/>
                  <w:left w:val="single" w:color="auto" w:sz="4" w:space="0"/>
                  <w:bottom w:val="single" w:color="auto" w:sz="4" w:space="0"/>
                  <w:right w:val="single" w:color="auto" w:sz="4" w:space="0"/>
                </w:tcBorders>
              </w:tcPr>
              <w:p w14:paraId="157C6A26">
                <w:pPr>
                  <w:jc w:val="center"/>
                  <w:rPr>
                    <w:rFonts w:cs="Times New Roman"/>
                  </w:rPr>
                </w:pPr>
                <w:r>
                  <w:rPr>
                    <w:rFonts w:cs="Times New Roman"/>
                  </w:rPr>
                  <w:t>销售商品</w:t>
                </w:r>
              </w:p>
            </w:tc>
            <w:tc>
              <w:tcPr>
                <w:tcW w:w="809" w:type="pct"/>
                <w:tcBorders>
                  <w:top w:val="single" w:color="auto" w:sz="4" w:space="0"/>
                  <w:left w:val="single" w:color="auto" w:sz="4" w:space="0"/>
                  <w:bottom w:val="single" w:color="auto" w:sz="4" w:space="0"/>
                  <w:right w:val="single" w:color="auto" w:sz="4" w:space="0"/>
                </w:tcBorders>
                <w:vAlign w:val="center"/>
              </w:tcPr>
              <w:p w14:paraId="685EC765">
                <w:pPr>
                  <w:jc w:val="right"/>
                  <w:rPr>
                    <w:rFonts w:cs="Times New Roman"/>
                  </w:rPr>
                </w:pPr>
                <w:r>
                  <w:rPr>
                    <w:rFonts w:cs="Times New Roman"/>
                  </w:rPr>
                  <w:t>1,125.64</w:t>
                </w:r>
              </w:p>
            </w:tc>
            <w:tc>
              <w:tcPr>
                <w:tcW w:w="911" w:type="pct"/>
                <w:tcBorders>
                  <w:top w:val="single" w:color="auto" w:sz="4" w:space="0"/>
                  <w:left w:val="single" w:color="auto" w:sz="4" w:space="0"/>
                  <w:bottom w:val="single" w:color="auto" w:sz="4" w:space="0"/>
                  <w:right w:val="single" w:color="auto" w:sz="4" w:space="0"/>
                </w:tcBorders>
                <w:vAlign w:val="center"/>
              </w:tcPr>
              <w:p w14:paraId="311665E9">
                <w:pPr>
                  <w:jc w:val="right"/>
                  <w:rPr>
                    <w:rFonts w:cs="Times New Roman"/>
                  </w:rPr>
                </w:pPr>
                <w:r>
                  <w:rPr>
                    <w:rFonts w:cs="Times New Roman"/>
                  </w:rPr>
                  <w:t>51,146.00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842652311"/>
          <w:placeholder>
            <w:docPart w:val="{6c593e68-85c9-4f50-8d3d-b8d1bf426658}"/>
          </w:placeholder>
        </w:sdtPr>
        <w:sdtEndPr>
          <w:rPr>
            <w:rFonts w:cs="Times New Roman"/>
            <w:color w:val="000000" w:themeColor="text1"/>
            <w14:textFill>
              <w14:solidFill>
                <w14:schemeClr w14:val="tx1"/>
              </w14:solidFill>
            </w14:textFill>
          </w:rPr>
        </w:sdtEndPr>
        <w:sdtContent>
          <w:tr w14:paraId="423729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D263838">
                <w:pPr>
                  <w:rPr>
                    <w:rFonts w:cs="Times New Roman"/>
                  </w:rPr>
                </w:pPr>
                <w:r>
                  <w:rPr>
                    <w:rFonts w:cs="Times New Roman"/>
                  </w:rPr>
                  <w:t>新兴际华集团财务有限公司</w:t>
                </w:r>
              </w:p>
            </w:tc>
            <w:tc>
              <w:tcPr>
                <w:tcW w:w="766" w:type="pct"/>
                <w:tcBorders>
                  <w:top w:val="single" w:color="auto" w:sz="4" w:space="0"/>
                  <w:left w:val="single" w:color="auto" w:sz="4" w:space="0"/>
                  <w:bottom w:val="single" w:color="auto" w:sz="4" w:space="0"/>
                  <w:right w:val="single" w:color="auto" w:sz="4" w:space="0"/>
                </w:tcBorders>
              </w:tcPr>
              <w:p w14:paraId="0B096FB9">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11908ADC">
                <w:pPr>
                  <w:jc w:val="right"/>
                  <w:rPr>
                    <w:rFonts w:cs="Times New Roman"/>
                  </w:rPr>
                </w:pPr>
                <w:r>
                  <w:rPr>
                    <w:rFonts w:cs="Times New Roman"/>
                  </w:rPr>
                  <w:t>32,117,360.53</w:t>
                </w:r>
              </w:p>
            </w:tc>
            <w:tc>
              <w:tcPr>
                <w:tcW w:w="911" w:type="pct"/>
                <w:tcBorders>
                  <w:top w:val="single" w:color="auto" w:sz="4" w:space="0"/>
                  <w:left w:val="single" w:color="auto" w:sz="4" w:space="0"/>
                  <w:bottom w:val="single" w:color="auto" w:sz="4" w:space="0"/>
                  <w:right w:val="single" w:color="auto" w:sz="4" w:space="0"/>
                </w:tcBorders>
                <w:vAlign w:val="center"/>
              </w:tcPr>
              <w:p w14:paraId="28906802">
                <w:pPr>
                  <w:jc w:val="right"/>
                  <w:rPr>
                    <w:rFonts w:cs="Times New Roman"/>
                  </w:rPr>
                </w:pPr>
                <w:r>
                  <w:rPr>
                    <w:rFonts w:cs="Times New Roman"/>
                  </w:rPr>
                  <w:t>17,599,308.22</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2052995971"/>
          <w:placeholder>
            <w:docPart w:val="{6c593e68-85c9-4f50-8d3d-b8d1bf426658}"/>
          </w:placeholder>
        </w:sdtPr>
        <w:sdtEndPr>
          <w:rPr>
            <w:rFonts w:cs="Times New Roman"/>
            <w:color w:val="000000" w:themeColor="text1"/>
            <w14:textFill>
              <w14:solidFill>
                <w14:schemeClr w14:val="tx1"/>
              </w14:solidFill>
            </w14:textFill>
          </w:rPr>
        </w:sdtEndPr>
        <w:sdtContent>
          <w:tr w14:paraId="354F7F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3C52A4C6">
                <w:pPr>
                  <w:rPr>
                    <w:rFonts w:cs="Times New Roman"/>
                  </w:rPr>
                </w:pPr>
                <w:r>
                  <w:rPr>
                    <w:rFonts w:cs="Times New Roman"/>
                  </w:rPr>
                  <w:t>武汉汉江资产运营有限公司</w:t>
                </w:r>
              </w:p>
            </w:tc>
            <w:tc>
              <w:tcPr>
                <w:tcW w:w="766" w:type="pct"/>
                <w:tcBorders>
                  <w:top w:val="single" w:color="auto" w:sz="4" w:space="0"/>
                  <w:left w:val="single" w:color="auto" w:sz="4" w:space="0"/>
                  <w:bottom w:val="single" w:color="auto" w:sz="4" w:space="0"/>
                  <w:right w:val="single" w:color="auto" w:sz="4" w:space="0"/>
                </w:tcBorders>
              </w:tcPr>
              <w:p w14:paraId="22AB45BA">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51DD8DAE">
                <w:pPr>
                  <w:jc w:val="right"/>
                  <w:rPr>
                    <w:rFonts w:cs="Times New Roman"/>
                  </w:rPr>
                </w:pPr>
                <w:r>
                  <w:rPr>
                    <w:rFonts w:cs="Times New Roman"/>
                  </w:rPr>
                  <w:t>1,509,433.96</w:t>
                </w:r>
              </w:p>
            </w:tc>
            <w:tc>
              <w:tcPr>
                <w:tcW w:w="911" w:type="pct"/>
                <w:tcBorders>
                  <w:top w:val="single" w:color="auto" w:sz="4" w:space="0"/>
                  <w:left w:val="single" w:color="auto" w:sz="4" w:space="0"/>
                  <w:bottom w:val="single" w:color="auto" w:sz="4" w:space="0"/>
                  <w:right w:val="single" w:color="auto" w:sz="4" w:space="0"/>
                </w:tcBorders>
                <w:vAlign w:val="center"/>
              </w:tcPr>
              <w:p w14:paraId="57C01B35">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484965577"/>
          <w:placeholder>
            <w:docPart w:val="{6c593e68-85c9-4f50-8d3d-b8d1bf426658}"/>
          </w:placeholder>
        </w:sdtPr>
        <w:sdtEndPr>
          <w:rPr>
            <w:rFonts w:cs="Times New Roman"/>
            <w:color w:val="000000" w:themeColor="text1"/>
            <w14:textFill>
              <w14:solidFill>
                <w14:schemeClr w14:val="tx1"/>
              </w14:solidFill>
            </w14:textFill>
          </w:rPr>
        </w:sdtEndPr>
        <w:sdtContent>
          <w:tr w14:paraId="671A9B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BE105E2">
                <w:pPr>
                  <w:rPr>
                    <w:rFonts w:cs="Times New Roman"/>
                  </w:rPr>
                </w:pPr>
                <w:r>
                  <w:rPr>
                    <w:rFonts w:cs="Times New Roman"/>
                  </w:rPr>
                  <w:t>新兴际华（北京）智能装备技术研究院有限公司</w:t>
                </w:r>
              </w:p>
            </w:tc>
            <w:tc>
              <w:tcPr>
                <w:tcW w:w="766" w:type="pct"/>
                <w:tcBorders>
                  <w:top w:val="single" w:color="auto" w:sz="4" w:space="0"/>
                  <w:left w:val="single" w:color="auto" w:sz="4" w:space="0"/>
                  <w:bottom w:val="single" w:color="auto" w:sz="4" w:space="0"/>
                  <w:right w:val="single" w:color="auto" w:sz="4" w:space="0"/>
                </w:tcBorders>
              </w:tcPr>
              <w:p w14:paraId="639CA930">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4C9EF1FD">
                <w:pPr>
                  <w:jc w:val="right"/>
                  <w:rPr>
                    <w:rFonts w:cs="Times New Roman"/>
                  </w:rPr>
                </w:pPr>
                <w:r>
                  <w:rPr>
                    <w:rFonts w:cs="Times New Roman"/>
                  </w:rPr>
                  <w:t>199,497.35</w:t>
                </w:r>
              </w:p>
            </w:tc>
            <w:tc>
              <w:tcPr>
                <w:tcW w:w="911" w:type="pct"/>
                <w:tcBorders>
                  <w:top w:val="single" w:color="auto" w:sz="4" w:space="0"/>
                  <w:left w:val="single" w:color="auto" w:sz="4" w:space="0"/>
                  <w:bottom w:val="single" w:color="auto" w:sz="4" w:space="0"/>
                  <w:right w:val="single" w:color="auto" w:sz="4" w:space="0"/>
                </w:tcBorders>
                <w:vAlign w:val="center"/>
              </w:tcPr>
              <w:p w14:paraId="6E181719">
                <w:pPr>
                  <w:jc w:val="right"/>
                  <w:rPr>
                    <w:rFonts w:cs="Times New Roman"/>
                  </w:rPr>
                </w:pPr>
                <w:r>
                  <w:rPr>
                    <w:rFonts w:cs="Times New Roman"/>
                  </w:rPr>
                  <w:t>74,402.60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789934861"/>
          <w:placeholder>
            <w:docPart w:val="{6c593e68-85c9-4f50-8d3d-b8d1bf426658}"/>
          </w:placeholder>
        </w:sdtPr>
        <w:sdtEndPr>
          <w:rPr>
            <w:rFonts w:cs="Times New Roman"/>
            <w:color w:val="000000" w:themeColor="text1"/>
            <w14:textFill>
              <w14:solidFill>
                <w14:schemeClr w14:val="tx1"/>
              </w14:solidFill>
            </w14:textFill>
          </w:rPr>
        </w:sdtEndPr>
        <w:sdtContent>
          <w:tr w14:paraId="733A29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6178323F">
                <w:pPr>
                  <w:rPr>
                    <w:rFonts w:cs="Times New Roman"/>
                  </w:rPr>
                </w:pPr>
                <w:r>
                  <w:rPr>
                    <w:rFonts w:cs="Times New Roman"/>
                  </w:rPr>
                  <w:t>湖北三六一一特种装备有限责任公司</w:t>
                </w:r>
              </w:p>
            </w:tc>
            <w:tc>
              <w:tcPr>
                <w:tcW w:w="766" w:type="pct"/>
                <w:tcBorders>
                  <w:top w:val="single" w:color="auto" w:sz="4" w:space="0"/>
                  <w:left w:val="single" w:color="auto" w:sz="4" w:space="0"/>
                  <w:bottom w:val="single" w:color="auto" w:sz="4" w:space="0"/>
                  <w:right w:val="single" w:color="auto" w:sz="4" w:space="0"/>
                </w:tcBorders>
              </w:tcPr>
              <w:p w14:paraId="071716EC">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06DBA1C0">
                <w:pPr>
                  <w:jc w:val="right"/>
                  <w:rPr>
                    <w:rFonts w:cs="Times New Roman"/>
                  </w:rPr>
                </w:pPr>
                <w:r>
                  <w:rPr>
                    <w:rFonts w:cs="Times New Roman"/>
                  </w:rPr>
                  <w:t>194,716.98</w:t>
                </w:r>
              </w:p>
            </w:tc>
            <w:tc>
              <w:tcPr>
                <w:tcW w:w="911" w:type="pct"/>
                <w:tcBorders>
                  <w:top w:val="single" w:color="auto" w:sz="4" w:space="0"/>
                  <w:left w:val="single" w:color="auto" w:sz="4" w:space="0"/>
                  <w:bottom w:val="single" w:color="auto" w:sz="4" w:space="0"/>
                  <w:right w:val="single" w:color="auto" w:sz="4" w:space="0"/>
                </w:tcBorders>
                <w:vAlign w:val="center"/>
              </w:tcPr>
              <w:p w14:paraId="34F2AC83">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664901143"/>
          <w:placeholder>
            <w:docPart w:val="{6c593e68-85c9-4f50-8d3d-b8d1bf426658}"/>
          </w:placeholder>
        </w:sdtPr>
        <w:sdtEndPr>
          <w:rPr>
            <w:rFonts w:cs="Times New Roman"/>
            <w:color w:val="000000" w:themeColor="text1"/>
            <w14:textFill>
              <w14:solidFill>
                <w14:schemeClr w14:val="tx1"/>
              </w14:solidFill>
            </w14:textFill>
          </w:rPr>
        </w:sdtEndPr>
        <w:sdtContent>
          <w:tr w14:paraId="320BF5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611A8225">
                <w:pPr>
                  <w:rPr>
                    <w:rFonts w:cs="Times New Roman"/>
                  </w:rPr>
                </w:pPr>
                <w:r>
                  <w:rPr>
                    <w:rFonts w:cs="Times New Roman"/>
                  </w:rPr>
                  <w:t>新兴际华科技（天津）有限公司</w:t>
                </w:r>
              </w:p>
            </w:tc>
            <w:tc>
              <w:tcPr>
                <w:tcW w:w="766" w:type="pct"/>
                <w:tcBorders>
                  <w:top w:val="single" w:color="auto" w:sz="4" w:space="0"/>
                  <w:left w:val="single" w:color="auto" w:sz="4" w:space="0"/>
                  <w:bottom w:val="single" w:color="auto" w:sz="4" w:space="0"/>
                  <w:right w:val="single" w:color="auto" w:sz="4" w:space="0"/>
                </w:tcBorders>
              </w:tcPr>
              <w:p w14:paraId="010075FA">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2C8376BF">
                <w:pPr>
                  <w:jc w:val="right"/>
                  <w:rPr>
                    <w:rFonts w:cs="Times New Roman"/>
                  </w:rPr>
                </w:pPr>
                <w:r>
                  <w:rPr>
                    <w:rFonts w:cs="Times New Roman"/>
                  </w:rPr>
                  <w:t>166,851.26</w:t>
                </w:r>
              </w:p>
            </w:tc>
            <w:tc>
              <w:tcPr>
                <w:tcW w:w="911" w:type="pct"/>
                <w:tcBorders>
                  <w:top w:val="single" w:color="auto" w:sz="4" w:space="0"/>
                  <w:left w:val="single" w:color="auto" w:sz="4" w:space="0"/>
                  <w:bottom w:val="single" w:color="auto" w:sz="4" w:space="0"/>
                  <w:right w:val="single" w:color="auto" w:sz="4" w:space="0"/>
                </w:tcBorders>
                <w:vAlign w:val="center"/>
              </w:tcPr>
              <w:p w14:paraId="55B71F56">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316034715"/>
          <w:placeholder>
            <w:docPart w:val="{6c593e68-85c9-4f50-8d3d-b8d1bf426658}"/>
          </w:placeholder>
        </w:sdtPr>
        <w:sdtEndPr>
          <w:rPr>
            <w:rFonts w:cs="Times New Roman"/>
            <w:color w:val="000000" w:themeColor="text1"/>
            <w14:textFill>
              <w14:solidFill>
                <w14:schemeClr w14:val="tx1"/>
              </w14:solidFill>
            </w14:textFill>
          </w:rPr>
        </w:sdtEndPr>
        <w:sdtContent>
          <w:tr w14:paraId="4A1F96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5AE4923A">
                <w:pPr>
                  <w:rPr>
                    <w:rFonts w:cs="Times New Roman"/>
                  </w:rPr>
                </w:pPr>
                <w:r>
                  <w:rPr>
                    <w:rFonts w:cs="Times New Roman"/>
                  </w:rPr>
                  <w:t>新兴际华（上海）工程科技研究院有限公司</w:t>
                </w:r>
              </w:p>
            </w:tc>
            <w:tc>
              <w:tcPr>
                <w:tcW w:w="766" w:type="pct"/>
                <w:tcBorders>
                  <w:top w:val="single" w:color="auto" w:sz="4" w:space="0"/>
                  <w:left w:val="single" w:color="auto" w:sz="4" w:space="0"/>
                  <w:bottom w:val="single" w:color="auto" w:sz="4" w:space="0"/>
                  <w:right w:val="single" w:color="auto" w:sz="4" w:space="0"/>
                </w:tcBorders>
              </w:tcPr>
              <w:p w14:paraId="08D9D568">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393C4381">
                <w:pPr>
                  <w:jc w:val="right"/>
                  <w:rPr>
                    <w:rFonts w:cs="Times New Roman"/>
                  </w:rPr>
                </w:pPr>
                <w:r>
                  <w:rPr>
                    <w:rFonts w:hint="eastAsia" w:cs="Times New Roman"/>
                  </w:rPr>
                  <w:t>107,541.55</w:t>
                </w:r>
              </w:p>
            </w:tc>
            <w:tc>
              <w:tcPr>
                <w:tcW w:w="911" w:type="pct"/>
                <w:tcBorders>
                  <w:top w:val="single" w:color="auto" w:sz="4" w:space="0"/>
                  <w:left w:val="single" w:color="auto" w:sz="4" w:space="0"/>
                  <w:bottom w:val="single" w:color="auto" w:sz="4" w:space="0"/>
                  <w:right w:val="single" w:color="auto" w:sz="4" w:space="0"/>
                </w:tcBorders>
                <w:vAlign w:val="center"/>
              </w:tcPr>
              <w:p w14:paraId="26D09520">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933767751"/>
          <w:placeholder>
            <w:docPart w:val="{6c593e68-85c9-4f50-8d3d-b8d1bf426658}"/>
          </w:placeholder>
        </w:sdtPr>
        <w:sdtEndPr>
          <w:rPr>
            <w:rFonts w:cs="Times New Roman"/>
            <w:color w:val="000000" w:themeColor="text1"/>
            <w14:textFill>
              <w14:solidFill>
                <w14:schemeClr w14:val="tx1"/>
              </w14:solidFill>
            </w14:textFill>
          </w:rPr>
        </w:sdtEndPr>
        <w:sdtContent>
          <w:tr w14:paraId="7A8C17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367A6CBE">
                <w:pPr>
                  <w:rPr>
                    <w:rFonts w:cs="Times New Roman"/>
                  </w:rPr>
                </w:pPr>
                <w:r>
                  <w:rPr>
                    <w:rFonts w:cs="Times New Roman"/>
                  </w:rPr>
                  <w:t>石家庄际华资产管理有限公司</w:t>
                </w:r>
              </w:p>
            </w:tc>
            <w:tc>
              <w:tcPr>
                <w:tcW w:w="766" w:type="pct"/>
                <w:tcBorders>
                  <w:top w:val="single" w:color="auto" w:sz="4" w:space="0"/>
                  <w:left w:val="single" w:color="auto" w:sz="4" w:space="0"/>
                  <w:bottom w:val="single" w:color="auto" w:sz="4" w:space="0"/>
                  <w:right w:val="single" w:color="auto" w:sz="4" w:space="0"/>
                </w:tcBorders>
              </w:tcPr>
              <w:p w14:paraId="2977D956">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7CE26151">
                <w:pPr>
                  <w:jc w:val="right"/>
                  <w:rPr>
                    <w:rFonts w:cs="Times New Roman"/>
                  </w:rPr>
                </w:pPr>
                <w:r>
                  <w:rPr>
                    <w:rFonts w:cs="Times New Roman"/>
                  </w:rPr>
                  <w:t>4,716.98</w:t>
                </w:r>
              </w:p>
            </w:tc>
            <w:tc>
              <w:tcPr>
                <w:tcW w:w="911" w:type="pct"/>
                <w:tcBorders>
                  <w:top w:val="single" w:color="auto" w:sz="4" w:space="0"/>
                  <w:left w:val="single" w:color="auto" w:sz="4" w:space="0"/>
                  <w:bottom w:val="single" w:color="auto" w:sz="4" w:space="0"/>
                  <w:right w:val="single" w:color="auto" w:sz="4" w:space="0"/>
                </w:tcBorders>
                <w:vAlign w:val="center"/>
              </w:tcPr>
              <w:p w14:paraId="20CF8635">
                <w:pPr>
                  <w:jc w:val="right"/>
                  <w:rPr>
                    <w:rFonts w:cs="Times New Roman"/>
                  </w:rPr>
                </w:pPr>
                <w:r>
                  <w:rPr>
                    <w:rFonts w:cs="Times New Roman"/>
                  </w:rPr>
                  <w:t>1,016,849.62</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028715824"/>
          <w:placeholder>
            <w:docPart w:val="{6c593e68-85c9-4f50-8d3d-b8d1bf426658}"/>
          </w:placeholder>
        </w:sdtPr>
        <w:sdtEndPr>
          <w:rPr>
            <w:rFonts w:cs="Times New Roman"/>
            <w:color w:val="000000" w:themeColor="text1"/>
            <w14:textFill>
              <w14:solidFill>
                <w14:schemeClr w14:val="tx1"/>
              </w14:solidFill>
            </w14:textFill>
          </w:rPr>
        </w:sdtEndPr>
        <w:sdtContent>
          <w:tr w14:paraId="0AC19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41F97CD7">
                <w:pPr>
                  <w:rPr>
                    <w:rFonts w:cs="Times New Roman"/>
                  </w:rPr>
                </w:pPr>
                <w:r>
                  <w:rPr>
                    <w:rFonts w:cs="Times New Roman"/>
                  </w:rPr>
                  <w:t>新兴际华（北京）材料技术研究院有限公司</w:t>
                </w:r>
              </w:p>
            </w:tc>
            <w:tc>
              <w:tcPr>
                <w:tcW w:w="766" w:type="pct"/>
                <w:tcBorders>
                  <w:top w:val="single" w:color="auto" w:sz="4" w:space="0"/>
                  <w:left w:val="single" w:color="auto" w:sz="4" w:space="0"/>
                  <w:bottom w:val="single" w:color="auto" w:sz="4" w:space="0"/>
                  <w:right w:val="single" w:color="auto" w:sz="4" w:space="0"/>
                </w:tcBorders>
              </w:tcPr>
              <w:p w14:paraId="643B0B2B">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17F0004F">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vAlign w:val="center"/>
              </w:tcPr>
              <w:p w14:paraId="54A02A69">
                <w:pPr>
                  <w:jc w:val="right"/>
                  <w:rPr>
                    <w:rFonts w:cs="Times New Roman"/>
                  </w:rPr>
                </w:pPr>
                <w:r>
                  <w:rPr>
                    <w:rFonts w:cs="Times New Roman"/>
                  </w:rPr>
                  <w:t>34,105.20</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95737690"/>
          <w:placeholder>
            <w:docPart w:val="{6c593e68-85c9-4f50-8d3d-b8d1bf426658}"/>
          </w:placeholder>
        </w:sdtPr>
        <w:sdtEndPr>
          <w:rPr>
            <w:rFonts w:cs="Times New Roman"/>
            <w:color w:val="000000" w:themeColor="text1"/>
            <w14:textFill>
              <w14:solidFill>
                <w14:schemeClr w14:val="tx1"/>
              </w14:solidFill>
            </w14:textFill>
          </w:rPr>
        </w:sdtEndPr>
        <w:sdtContent>
          <w:tr w14:paraId="7FAB9D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205CAFF8">
                <w:pPr>
                  <w:rPr>
                    <w:rFonts w:cs="Times New Roman"/>
                  </w:rPr>
                </w:pPr>
                <w:r>
                  <w:rPr>
                    <w:rFonts w:cs="Times New Roman"/>
                  </w:rPr>
                  <w:t>南京英斯瑞德高分子材料股份有限公司</w:t>
                </w:r>
              </w:p>
            </w:tc>
            <w:tc>
              <w:tcPr>
                <w:tcW w:w="766" w:type="pct"/>
                <w:tcBorders>
                  <w:top w:val="single" w:color="auto" w:sz="4" w:space="0"/>
                  <w:left w:val="single" w:color="auto" w:sz="4" w:space="0"/>
                  <w:bottom w:val="single" w:color="auto" w:sz="4" w:space="0"/>
                  <w:right w:val="single" w:color="auto" w:sz="4" w:space="0"/>
                </w:tcBorders>
              </w:tcPr>
              <w:p w14:paraId="1D8FC0B3">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51E710CF">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vAlign w:val="center"/>
              </w:tcPr>
              <w:p w14:paraId="3B11B7A2">
                <w:pPr>
                  <w:jc w:val="right"/>
                  <w:rPr>
                    <w:rFonts w:cs="Times New Roman"/>
                  </w:rPr>
                </w:pPr>
                <w:r>
                  <w:rPr>
                    <w:rFonts w:cs="Times New Roman"/>
                  </w:rPr>
                  <w:t>9,433.96</w:t>
                </w: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1187520150"/>
          <w:placeholder>
            <w:docPart w:val="{6c593e68-85c9-4f50-8d3d-b8d1bf426658}"/>
          </w:placeholder>
        </w:sdtPr>
        <w:sdtEndPr>
          <w:rPr>
            <w:rFonts w:cs="Times New Roman"/>
            <w:color w:val="000000" w:themeColor="text1"/>
            <w14:textFill>
              <w14:solidFill>
                <w14:schemeClr w14:val="tx1"/>
              </w14:solidFill>
            </w14:textFill>
          </w:rPr>
        </w:sdtEndPr>
        <w:sdtContent>
          <w:tr w14:paraId="009E7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117D4822">
                <w:pPr>
                  <w:rPr>
                    <w:rFonts w:cs="Times New Roman"/>
                  </w:rPr>
                </w:pPr>
                <w:r>
                  <w:rPr>
                    <w:rFonts w:cs="Times New Roman"/>
                  </w:rPr>
                  <w:t>新兴际华投资有限公司</w:t>
                </w:r>
              </w:p>
            </w:tc>
            <w:tc>
              <w:tcPr>
                <w:tcW w:w="766" w:type="pct"/>
                <w:tcBorders>
                  <w:top w:val="single" w:color="auto" w:sz="4" w:space="0"/>
                  <w:left w:val="single" w:color="auto" w:sz="4" w:space="0"/>
                  <w:bottom w:val="single" w:color="auto" w:sz="4" w:space="0"/>
                  <w:right w:val="single" w:color="auto" w:sz="4" w:space="0"/>
                </w:tcBorders>
              </w:tcPr>
              <w:p w14:paraId="692237E0">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3451D150">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vAlign w:val="center"/>
              </w:tcPr>
              <w:p w14:paraId="17A44126">
                <w:pPr>
                  <w:jc w:val="right"/>
                  <w:rPr>
                    <w:rFonts w:cs="Times New Roman"/>
                  </w:rPr>
                </w:pPr>
              </w:p>
            </w:tc>
          </w:tr>
        </w:sdtContent>
      </w:sdt>
      <w:sdt>
        <w:sdtPr>
          <w:rPr>
            <w:rFonts w:cs="Times New Roman"/>
            <w:color w:val="000000" w:themeColor="text1"/>
            <w14:textFill>
              <w14:solidFill>
                <w14:schemeClr w14:val="tx1"/>
              </w14:solidFill>
            </w14:textFill>
          </w:rPr>
          <w:alias w:val="出售商品提供劳务情况明细"/>
          <w:tag w:val="_GBC_d6e24b6ca62645f180ecf5d4621afdc6"/>
          <w:id w:val="214857530"/>
          <w:placeholder>
            <w:docPart w:val="{6c593e68-85c9-4f50-8d3d-b8d1bf426658}"/>
          </w:placeholder>
        </w:sdtPr>
        <w:sdtEndPr>
          <w:rPr>
            <w:rFonts w:cs="Times New Roman"/>
            <w:color w:val="000000" w:themeColor="text1"/>
            <w14:textFill>
              <w14:solidFill>
                <w14:schemeClr w14:val="tx1"/>
              </w14:solidFill>
            </w14:textFill>
          </w:rPr>
        </w:sdtEndPr>
        <w:sdtContent>
          <w:tr w14:paraId="50C9A1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2512" w:type="pct"/>
                <w:tcBorders>
                  <w:top w:val="single" w:color="auto" w:sz="4" w:space="0"/>
                  <w:left w:val="single" w:color="auto" w:sz="4" w:space="0"/>
                  <w:bottom w:val="single" w:color="auto" w:sz="4" w:space="0"/>
                  <w:right w:val="single" w:color="auto" w:sz="4" w:space="0"/>
                </w:tcBorders>
              </w:tcPr>
              <w:p w14:paraId="70CF60D4">
                <w:pPr>
                  <w:rPr>
                    <w:rFonts w:cs="Times New Roman"/>
                  </w:rPr>
                </w:pPr>
                <w:r>
                  <w:rPr>
                    <w:rFonts w:cs="Times New Roman"/>
                  </w:rPr>
                  <w:t>南京新际资产运营有限公司</w:t>
                </w:r>
              </w:p>
            </w:tc>
            <w:tc>
              <w:tcPr>
                <w:tcW w:w="766" w:type="pct"/>
                <w:tcBorders>
                  <w:top w:val="single" w:color="auto" w:sz="4" w:space="0"/>
                  <w:left w:val="single" w:color="auto" w:sz="4" w:space="0"/>
                  <w:bottom w:val="single" w:color="auto" w:sz="4" w:space="0"/>
                  <w:right w:val="single" w:color="auto" w:sz="4" w:space="0"/>
                </w:tcBorders>
              </w:tcPr>
              <w:p w14:paraId="30208EAF">
                <w:pPr>
                  <w:jc w:val="center"/>
                  <w:rPr>
                    <w:rFonts w:cs="Times New Roman"/>
                  </w:rPr>
                </w:pPr>
                <w:r>
                  <w:rPr>
                    <w:rFonts w:cs="Times New Roman"/>
                  </w:rPr>
                  <w:t>提供劳务</w:t>
                </w:r>
              </w:p>
            </w:tc>
            <w:tc>
              <w:tcPr>
                <w:tcW w:w="809" w:type="pct"/>
                <w:tcBorders>
                  <w:top w:val="single" w:color="auto" w:sz="4" w:space="0"/>
                  <w:left w:val="single" w:color="auto" w:sz="4" w:space="0"/>
                  <w:bottom w:val="single" w:color="auto" w:sz="4" w:space="0"/>
                  <w:right w:val="single" w:color="auto" w:sz="4" w:space="0"/>
                </w:tcBorders>
                <w:vAlign w:val="center"/>
              </w:tcPr>
              <w:p w14:paraId="220A69E5">
                <w:pPr>
                  <w:jc w:val="right"/>
                  <w:rPr>
                    <w:rFonts w:cs="Times New Roman"/>
                  </w:rPr>
                </w:pPr>
              </w:p>
            </w:tc>
            <w:tc>
              <w:tcPr>
                <w:tcW w:w="911" w:type="pct"/>
                <w:tcBorders>
                  <w:top w:val="single" w:color="auto" w:sz="4" w:space="0"/>
                  <w:left w:val="single" w:color="auto" w:sz="4" w:space="0"/>
                  <w:bottom w:val="single" w:color="auto" w:sz="4" w:space="0"/>
                  <w:right w:val="single" w:color="auto" w:sz="4" w:space="0"/>
                </w:tcBorders>
                <w:vAlign w:val="center"/>
              </w:tcPr>
              <w:p w14:paraId="3F910867">
                <w:pPr>
                  <w:jc w:val="right"/>
                  <w:rPr>
                    <w:rFonts w:cs="Times New Roman"/>
                  </w:rPr>
                </w:pPr>
                <w:r>
                  <w:rPr>
                    <w:rFonts w:cs="Times New Roman"/>
                  </w:rPr>
                  <w:t>143,045.67</w:t>
                </w:r>
              </w:p>
            </w:tc>
          </w:tr>
        </w:sdtContent>
      </w:sdt>
    </w:tbl>
    <w:p w14:paraId="562A0E57">
      <w:pPr>
        <w:rPr>
          <w:color w:val="000000" w:themeColor="text1"/>
          <w14:textFill>
            <w14:solidFill>
              <w14:schemeClr w14:val="tx1"/>
            </w14:solidFill>
          </w14:textFill>
        </w:rPr>
      </w:pPr>
    </w:p>
    <w:p w14:paraId="749B6CA8">
      <w:pP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购销商品、提供和接受劳务的关联交易说明</w:t>
      </w:r>
    </w:p>
    <w:sdt>
      <w:sdtPr>
        <w:rPr>
          <w:rFonts w:cs="Cambria"/>
          <w:color w:val="000000" w:themeColor="text1"/>
          <w14:textFill>
            <w14:solidFill>
              <w14:schemeClr w14:val="tx1"/>
            </w14:solidFill>
          </w14:textFill>
        </w:rPr>
        <w:alias w:val="是否适用：购销商品、提供和接受劳务的关联交易说明[双击切换]"/>
        <w:tag w:val="_GBC_9ec9e1b38e7f48d89bb7f6441bed1bd1"/>
        <w:id w:val="1139693654"/>
      </w:sdtPr>
      <w:sdtEndPr>
        <w:rPr>
          <w:rFonts w:cs="Cambria"/>
          <w:color w:val="000000" w:themeColor="text1"/>
          <w14:textFill>
            <w14:solidFill>
              <w14:schemeClr w14:val="tx1"/>
            </w14:solidFill>
          </w14:textFill>
        </w:rPr>
      </w:sdtEndPr>
      <w:sdtContent>
        <w:p w14:paraId="2EFE6C45">
          <w:pPr>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0B850A04">
      <w:pPr>
        <w:rPr>
          <w:rFonts w:cs="Cambria"/>
          <w:color w:val="000000" w:themeColor="text1"/>
          <w14:textFill>
            <w14:solidFill>
              <w14:schemeClr w14:val="tx1"/>
            </w14:solidFill>
          </w14:textFill>
        </w:rPr>
      </w:pPr>
    </w:p>
    <w:p w14:paraId="0908C99B">
      <w:pPr>
        <w:pStyle w:val="58"/>
        <w:numPr>
          <w:ilvl w:val="0"/>
          <w:numId w:val="105"/>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关联受托管理/承包及委托管理/出包情况</w:t>
      </w:r>
    </w:p>
    <w:p w14:paraId="286B5D7E">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本公司受托管理/承包情况表：</w:t>
      </w:r>
    </w:p>
    <w:sdt>
      <w:sdtPr>
        <w:rPr>
          <w:rFonts w:cs="Cambria"/>
          <w:color w:val="000000" w:themeColor="text1"/>
          <w14:textFill>
            <w14:solidFill>
              <w14:schemeClr w14:val="tx1"/>
            </w14:solidFill>
          </w14:textFill>
        </w:rPr>
        <w:alias w:val="是否适用：本公司受托管理或承包情况表[双击切换]"/>
        <w:tag w:val="_GBC_3810b3cad54c4b2f9754e7d6be3e9480"/>
        <w:id w:val="147466748"/>
        <w:placeholder>
          <w:docPart w:val="GBC22222222222222222222222222222"/>
        </w:placeholder>
      </w:sdtPr>
      <w:sdtEndPr>
        <w:rPr>
          <w:rFonts w:cs="Cambria"/>
          <w:color w:val="000000" w:themeColor="text1"/>
          <w14:textFill>
            <w14:solidFill>
              <w14:schemeClr w14:val="tx1"/>
            </w14:solidFill>
          </w14:textFill>
        </w:rPr>
      </w:sdtEndPr>
      <w:sdtContent>
        <w:p w14:paraId="5630F299">
          <w:pPr>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5DB59A21">
      <w:pPr>
        <w:rPr>
          <w:rFonts w:cs="Cambria"/>
          <w:color w:val="000000" w:themeColor="text1"/>
          <w14:textFill>
            <w14:solidFill>
              <w14:schemeClr w14:val="tx1"/>
            </w14:solidFill>
          </w14:textFill>
        </w:rPr>
      </w:pPr>
    </w:p>
    <w:p w14:paraId="1C98C2F0">
      <w:pP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关联托管/承包情况说明</w:t>
      </w:r>
    </w:p>
    <w:sdt>
      <w:sdtPr>
        <w:rPr>
          <w:rFonts w:cs="Cambria"/>
          <w:color w:val="000000" w:themeColor="text1"/>
          <w14:textFill>
            <w14:solidFill>
              <w14:schemeClr w14:val="tx1"/>
            </w14:solidFill>
          </w14:textFill>
        </w:rPr>
        <w:alias w:val="是否适用：关联托管或承包情况说明[双击切换]"/>
        <w:tag w:val="_GBC_42ec6e3170b04610899c528ce7bda003"/>
        <w:id w:val="147465823"/>
        <w:placeholder>
          <w:docPart w:val="GBC22222222222222222222222222222"/>
        </w:placeholder>
      </w:sdtPr>
      <w:sdtEndPr>
        <w:rPr>
          <w:rFonts w:cs="Cambria"/>
          <w:color w:val="000000" w:themeColor="text1"/>
          <w14:textFill>
            <w14:solidFill>
              <w14:schemeClr w14:val="tx1"/>
            </w14:solidFill>
          </w14:textFill>
        </w:rPr>
      </w:sdtEndPr>
      <w:sdtContent>
        <w:p w14:paraId="63C46533">
          <w:pPr>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572E7EE7">
      <w:pPr>
        <w:rPr>
          <w:rFonts w:cs="Cambria"/>
          <w:color w:val="000000" w:themeColor="text1"/>
          <w14:textFill>
            <w14:solidFill>
              <w14:schemeClr w14:val="tx1"/>
            </w14:solidFill>
          </w14:textFill>
        </w:rPr>
      </w:pPr>
    </w:p>
    <w:p w14:paraId="15144052">
      <w:pPr>
        <w:rPr>
          <w:rFonts w:cs="Cambria"/>
          <w:bCs w:val="0"/>
          <w:color w:val="000000" w:themeColor="text1"/>
          <w14:textFill>
            <w14:solidFill>
              <w14:schemeClr w14:val="tx1"/>
            </w14:solidFill>
          </w14:textFill>
        </w:rPr>
      </w:pPr>
      <w:r>
        <w:rPr>
          <w:rFonts w:hint="eastAsia"/>
          <w:color w:val="000000" w:themeColor="text1"/>
          <w14:textFill>
            <w14:solidFill>
              <w14:schemeClr w14:val="tx1"/>
            </w14:solidFill>
          </w14:textFill>
        </w:rPr>
        <w:t>本公司委托管理/出包情况表：</w:t>
      </w:r>
    </w:p>
    <w:sdt>
      <w:sdtPr>
        <w:rPr>
          <w:rFonts w:cs="Cambria"/>
          <w:bCs w:val="0"/>
          <w:color w:val="000000" w:themeColor="text1"/>
          <w14:textFill>
            <w14:solidFill>
              <w14:schemeClr w14:val="tx1"/>
            </w14:solidFill>
          </w14:textFill>
        </w:rPr>
        <w:alias w:val="是否适用：本公司委托管理或出包情况表[双击切换]"/>
        <w:tag w:val="_GBC_37bf111a27194665b76f71bb5418d53c"/>
        <w:id w:val="147459124"/>
        <w:placeholder>
          <w:docPart w:val="GBC22222222222222222222222222222"/>
        </w:placeholder>
      </w:sdtPr>
      <w:sdtEndPr>
        <w:rPr>
          <w:rFonts w:cs="Cambria"/>
          <w:bCs w:val="0"/>
          <w:color w:val="000000" w:themeColor="text1"/>
          <w14:textFill>
            <w14:solidFill>
              <w14:schemeClr w14:val="tx1"/>
            </w14:solidFill>
          </w14:textFill>
        </w:rPr>
      </w:sdtEndPr>
      <w:sdtContent>
        <w:p w14:paraId="09F2DE51">
          <w:pPr>
            <w:rPr>
              <w:rFonts w:cs="Cambria"/>
              <w:bCs w:val="0"/>
              <w:color w:val="000000" w:themeColor="text1"/>
              <w14:textFill>
                <w14:solidFill>
                  <w14:schemeClr w14:val="tx1"/>
                </w14:solidFill>
              </w14:textFill>
            </w:rPr>
          </w:pPr>
          <w:r>
            <w:rPr>
              <w:rFonts w:ascii="宋体" w:hAnsi="宋体" w:cs="Cambria"/>
              <w:bCs w:val="0"/>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bCs w:val="0"/>
              <w:color w:val="000000" w:themeColor="text1"/>
              <w14:textFill>
                <w14:solidFill>
                  <w14:schemeClr w14:val="tx1"/>
                </w14:solidFill>
              </w14:textFill>
            </w:rPr>
            <w:fldChar w:fldCharType="end"/>
          </w:r>
          <w:r>
            <w:rPr>
              <w:rFonts w:ascii="宋体" w:hAnsi="宋体" w:cs="Cambria"/>
              <w:bCs w:val="0"/>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bCs w:val="0"/>
              <w:color w:val="000000" w:themeColor="text1"/>
              <w14:textFill>
                <w14:solidFill>
                  <w14:schemeClr w14:val="tx1"/>
                </w14:solidFill>
              </w14:textFill>
            </w:rPr>
            <w:fldChar w:fldCharType="end"/>
          </w:r>
        </w:p>
      </w:sdtContent>
    </w:sdt>
    <w:p w14:paraId="5FE1D25A">
      <w:pPr>
        <w:jc w:val="right"/>
        <w:rPr>
          <w:rFonts w:cs="Cambria"/>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bCs w:val="0"/>
            <w:color w:val="000000" w:themeColor="text1"/>
            <w14:textFill>
              <w14:solidFill>
                <w14:schemeClr w14:val="tx1"/>
              </w14:solidFill>
            </w14:textFill>
          </w:rPr>
          <w:alias w:val="单位：公司委托管理出包情况表"/>
          <w:tag w:val="_GBC_294c32e4090845cfb901300e8d47c254"/>
          <w:id w:val="1474688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bCs w:val="0"/>
            <w:color w:val="000000" w:themeColor="text1"/>
            <w14:textFill>
              <w14:solidFill>
                <w14:schemeClr w14:val="tx1"/>
              </w14:solidFill>
            </w14:textFill>
          </w:rPr>
        </w:sdtEndPr>
        <w:sdtContent>
          <w:r>
            <w:rPr>
              <w:rFonts w:hint="eastAsia" w:cs="Cambria"/>
              <w:bCs w:val="0"/>
              <w:color w:val="000000" w:themeColor="text1"/>
              <w14:textFill>
                <w14:solidFill>
                  <w14:schemeClr w14:val="tx1"/>
                </w14:solidFill>
              </w14:textFill>
            </w:rPr>
            <w:t>元</w:t>
          </w:r>
        </w:sdtContent>
      </w:sdt>
      <w:r>
        <w:rPr>
          <w:rFonts w:hint="eastAsia" w:cs="Cambria"/>
          <w:color w:val="000000" w:themeColor="text1"/>
          <w14:textFill>
            <w14:solidFill>
              <w14:schemeClr w14:val="tx1"/>
            </w14:solidFill>
          </w14:textFill>
        </w:rPr>
        <w:t xml:space="preserve">  币种：</w:t>
      </w:r>
      <w:sdt>
        <w:sdtPr>
          <w:rPr>
            <w:rFonts w:hint="eastAsia" w:cs="Cambria"/>
            <w:bCs w:val="0"/>
            <w:color w:val="000000" w:themeColor="text1"/>
            <w14:textFill>
              <w14:solidFill>
                <w14:schemeClr w14:val="tx1"/>
              </w14:solidFill>
            </w14:textFill>
          </w:rPr>
          <w:alias w:val="币种：公司委托管理出包情况表"/>
          <w:tag w:val="_GBC_35d9f92c0b6b4bbba28a4a5d319eab84"/>
          <w:id w:val="1474727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bCs w:val="0"/>
            <w:color w:val="000000" w:themeColor="text1"/>
            <w14:textFill>
              <w14:solidFill>
                <w14:schemeClr w14:val="tx1"/>
              </w14:solidFill>
            </w14:textFill>
          </w:rPr>
        </w:sdtEndPr>
        <w:sdtContent>
          <w:r>
            <w:rPr>
              <w:rFonts w:hint="eastAsia" w:cs="Cambria"/>
              <w:bCs w:val="0"/>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295"/>
        <w:gridCol w:w="1286"/>
        <w:gridCol w:w="1234"/>
        <w:gridCol w:w="1074"/>
        <w:gridCol w:w="1211"/>
        <w:gridCol w:w="1362"/>
        <w:gridCol w:w="1431"/>
      </w:tblGrid>
      <w:tr w14:paraId="3EA2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63" w:hRule="atLeast"/>
        </w:trPr>
        <w:sdt>
          <w:sdtPr>
            <w:rPr>
              <w:rFonts w:cs="Times New Roman"/>
            </w:rPr>
            <w:tag w:val="_PLD_e65c4e8224f34db790c7925224eb27af"/>
            <w:id w:val="147471014"/>
          </w:sdtPr>
          <w:sdtEndPr>
            <w:rPr>
              <w:rFonts w:cs="Times New Roman"/>
            </w:rPr>
          </w:sdtEndPr>
          <w:sdtContent>
            <w:tc>
              <w:tcPr>
                <w:tcW w:w="728" w:type="pct"/>
                <w:tcBorders>
                  <w:top w:val="single" w:color="auto" w:sz="4" w:space="0"/>
                  <w:left w:val="single" w:color="auto" w:sz="4" w:space="0"/>
                  <w:right w:val="single" w:color="auto" w:sz="4" w:space="0"/>
                </w:tcBorders>
                <w:vAlign w:val="center"/>
              </w:tcPr>
              <w:p w14:paraId="4E5F0A8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委托方/出包方名称</w:t>
                </w:r>
              </w:p>
            </w:tc>
          </w:sdtContent>
        </w:sdt>
        <w:sdt>
          <w:sdtPr>
            <w:rPr>
              <w:rFonts w:cs="Times New Roman"/>
            </w:rPr>
            <w:tag w:val="_PLD_cbdbd84171cf4f15a566c32d941a4c6d"/>
            <w:id w:val="147462142"/>
          </w:sdtPr>
          <w:sdtEndPr>
            <w:rPr>
              <w:rFonts w:cs="Times New Roman"/>
            </w:rPr>
          </w:sdtEndPr>
          <w:sdtContent>
            <w:tc>
              <w:tcPr>
                <w:tcW w:w="723" w:type="pct"/>
                <w:tcBorders>
                  <w:top w:val="single" w:color="auto" w:sz="4" w:space="0"/>
                  <w:left w:val="single" w:color="auto" w:sz="4" w:space="0"/>
                  <w:right w:val="single" w:color="auto" w:sz="4" w:space="0"/>
                </w:tcBorders>
                <w:vAlign w:val="center"/>
              </w:tcPr>
              <w:p w14:paraId="1764251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受托方/出包方名称</w:t>
                </w:r>
              </w:p>
            </w:tc>
          </w:sdtContent>
        </w:sdt>
        <w:sdt>
          <w:sdtPr>
            <w:rPr>
              <w:rFonts w:cs="Times New Roman"/>
            </w:rPr>
            <w:tag w:val="_PLD_b8a79b7919884b15bb7d139e78348af0"/>
            <w:id w:val="147466133"/>
          </w:sdtPr>
          <w:sdtEndPr>
            <w:rPr>
              <w:rFonts w:cs="Times New Roman"/>
            </w:rPr>
          </w:sdtEndPr>
          <w:sdtContent>
            <w:tc>
              <w:tcPr>
                <w:tcW w:w="694" w:type="pct"/>
                <w:tcBorders>
                  <w:top w:val="single" w:color="auto" w:sz="4" w:space="0"/>
                  <w:left w:val="single" w:color="auto" w:sz="4" w:space="0"/>
                  <w:right w:val="single" w:color="auto" w:sz="4" w:space="0"/>
                </w:tcBorders>
                <w:vAlign w:val="center"/>
              </w:tcPr>
              <w:p w14:paraId="2A1E8EA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委托/出包资产类型</w:t>
                </w:r>
              </w:p>
            </w:tc>
          </w:sdtContent>
        </w:sdt>
        <w:sdt>
          <w:sdtPr>
            <w:rPr>
              <w:rFonts w:cs="Times New Roman"/>
            </w:rPr>
            <w:tag w:val="_PLD_0411f27b92fe4b4da5e12c3bdb52d543"/>
            <w:id w:val="147471872"/>
          </w:sdtPr>
          <w:sdtEndPr>
            <w:rPr>
              <w:rFonts w:cs="Times New Roman"/>
            </w:rPr>
          </w:sdtEndPr>
          <w:sdtContent>
            <w:tc>
              <w:tcPr>
                <w:tcW w:w="604" w:type="pct"/>
                <w:tcBorders>
                  <w:top w:val="single" w:color="auto" w:sz="4" w:space="0"/>
                  <w:left w:val="single" w:color="auto" w:sz="4" w:space="0"/>
                  <w:right w:val="single" w:color="auto" w:sz="4" w:space="0"/>
                </w:tcBorders>
                <w:vAlign w:val="center"/>
              </w:tcPr>
              <w:p w14:paraId="64241F8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委托/出包起始日</w:t>
                </w:r>
              </w:p>
            </w:tc>
          </w:sdtContent>
        </w:sdt>
        <w:sdt>
          <w:sdtPr>
            <w:rPr>
              <w:rFonts w:cs="Times New Roman"/>
            </w:rPr>
            <w:tag w:val="_PLD_4827ac1c3ebd4e3cbd6a323a001c059c"/>
            <w:id w:val="147470076"/>
          </w:sdtPr>
          <w:sdtEndPr>
            <w:rPr>
              <w:rFonts w:cs="Times New Roman"/>
            </w:rPr>
          </w:sdtEndPr>
          <w:sdtContent>
            <w:tc>
              <w:tcPr>
                <w:tcW w:w="681" w:type="pct"/>
                <w:tcBorders>
                  <w:top w:val="single" w:color="auto" w:sz="4" w:space="0"/>
                  <w:left w:val="single" w:color="auto" w:sz="4" w:space="0"/>
                  <w:right w:val="single" w:color="auto" w:sz="4" w:space="0"/>
                </w:tcBorders>
                <w:vAlign w:val="center"/>
              </w:tcPr>
              <w:p w14:paraId="0814D09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委托/出包终止日</w:t>
                </w:r>
              </w:p>
            </w:tc>
          </w:sdtContent>
        </w:sdt>
        <w:sdt>
          <w:sdtPr>
            <w:rPr>
              <w:rFonts w:cs="Times New Roman"/>
            </w:rPr>
            <w:tag w:val="_PLD_56632aaeb1f1487a8a8d63ae455f474a"/>
            <w:id w:val="147469280"/>
          </w:sdtPr>
          <w:sdtEndPr>
            <w:rPr>
              <w:rFonts w:cs="Times New Roman"/>
            </w:rPr>
          </w:sdtEndPr>
          <w:sdtContent>
            <w:tc>
              <w:tcPr>
                <w:tcW w:w="766" w:type="pct"/>
                <w:tcBorders>
                  <w:top w:val="single" w:color="auto" w:sz="4" w:space="0"/>
                  <w:left w:val="single" w:color="auto" w:sz="4" w:space="0"/>
                  <w:right w:val="single" w:color="auto" w:sz="4" w:space="0"/>
                </w:tcBorders>
                <w:vAlign w:val="center"/>
              </w:tcPr>
              <w:p w14:paraId="06AC871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托管费/出包费定价依据</w:t>
                </w:r>
              </w:p>
            </w:tc>
          </w:sdtContent>
        </w:sdt>
        <w:sdt>
          <w:sdtPr>
            <w:rPr>
              <w:rFonts w:cs="Times New Roman"/>
            </w:rPr>
            <w:tag w:val="_PLD_29768752e7cc4718b3ef316ad16af520"/>
            <w:id w:val="147451903"/>
          </w:sdtPr>
          <w:sdtEndPr>
            <w:rPr>
              <w:rFonts w:cs="Times New Roman"/>
            </w:rPr>
          </w:sdtEndPr>
          <w:sdtContent>
            <w:tc>
              <w:tcPr>
                <w:tcW w:w="805" w:type="pct"/>
                <w:tcBorders>
                  <w:top w:val="single" w:color="auto" w:sz="4" w:space="0"/>
                  <w:left w:val="single" w:color="auto" w:sz="4" w:space="0"/>
                  <w:right w:val="single" w:color="auto" w:sz="4" w:space="0"/>
                </w:tcBorders>
                <w:vAlign w:val="center"/>
              </w:tcPr>
              <w:p w14:paraId="43A97C7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本期确认的托管费/出包费</w:t>
                </w:r>
              </w:p>
            </w:tc>
          </w:sdtContent>
        </w:sdt>
      </w:tr>
      <w:tr w14:paraId="5055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95" w:type="dxa"/>
            <w:tcBorders>
              <w:top w:val="single" w:color="auto" w:sz="4" w:space="0"/>
              <w:left w:val="single" w:color="auto" w:sz="4" w:space="0"/>
              <w:bottom w:val="single" w:color="auto" w:sz="4" w:space="0"/>
              <w:right w:val="single" w:color="auto" w:sz="4" w:space="0"/>
            </w:tcBorders>
            <w:vAlign w:val="center"/>
          </w:tcPr>
          <w:p w14:paraId="7D7A40BB">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际华集团股份有限公司</w:t>
            </w:r>
          </w:p>
        </w:tc>
        <w:tc>
          <w:tcPr>
            <w:tcW w:w="1286" w:type="dxa"/>
            <w:tcBorders>
              <w:top w:val="single" w:color="auto" w:sz="4" w:space="0"/>
              <w:left w:val="single" w:color="auto" w:sz="4" w:space="0"/>
              <w:bottom w:val="single" w:color="auto" w:sz="4" w:space="0"/>
              <w:right w:val="single" w:color="auto" w:sz="4" w:space="0"/>
            </w:tcBorders>
            <w:vAlign w:val="center"/>
          </w:tcPr>
          <w:p w14:paraId="0C4D2B06">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新兴际华资产经营管理有限公司</w:t>
            </w:r>
          </w:p>
        </w:tc>
        <w:tc>
          <w:tcPr>
            <w:tcW w:w="1234" w:type="dxa"/>
            <w:tcBorders>
              <w:top w:val="single" w:color="auto" w:sz="4" w:space="0"/>
              <w:left w:val="single" w:color="auto" w:sz="4" w:space="0"/>
              <w:bottom w:val="single" w:color="auto" w:sz="4" w:space="0"/>
              <w:right w:val="single" w:color="auto" w:sz="4" w:space="0"/>
            </w:tcBorders>
            <w:vAlign w:val="center"/>
          </w:tcPr>
          <w:p w14:paraId="1393FD68">
            <w:pPr>
              <w:jc w:val="center"/>
              <w:textAlignment w:val="bottom"/>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股权托管</w:t>
            </w:r>
          </w:p>
        </w:tc>
        <w:tc>
          <w:tcPr>
            <w:tcW w:w="1074" w:type="dxa"/>
            <w:tcBorders>
              <w:top w:val="single" w:color="auto" w:sz="4" w:space="0"/>
              <w:left w:val="single" w:color="auto" w:sz="4" w:space="0"/>
              <w:bottom w:val="single" w:color="auto" w:sz="4" w:space="0"/>
              <w:right w:val="single" w:color="auto" w:sz="4" w:space="0"/>
            </w:tcBorders>
            <w:vAlign w:val="center"/>
          </w:tcPr>
          <w:p w14:paraId="345E40AC">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2022年10月1日</w:t>
            </w:r>
          </w:p>
        </w:tc>
        <w:tc>
          <w:tcPr>
            <w:tcW w:w="1211" w:type="dxa"/>
            <w:tcBorders>
              <w:top w:val="single" w:color="auto" w:sz="4" w:space="0"/>
              <w:left w:val="single" w:color="auto" w:sz="4" w:space="0"/>
              <w:bottom w:val="single" w:color="auto" w:sz="4" w:space="0"/>
              <w:right w:val="single" w:color="auto" w:sz="4" w:space="0"/>
            </w:tcBorders>
            <w:vAlign w:val="center"/>
          </w:tcPr>
          <w:p w14:paraId="2481E930">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2025年12月31日</w:t>
            </w:r>
          </w:p>
        </w:tc>
        <w:tc>
          <w:tcPr>
            <w:tcW w:w="1362" w:type="dxa"/>
            <w:tcBorders>
              <w:top w:val="single" w:color="auto" w:sz="4" w:space="0"/>
              <w:left w:val="single" w:color="auto" w:sz="4" w:space="0"/>
              <w:bottom w:val="single" w:color="auto" w:sz="4" w:space="0"/>
              <w:right w:val="single" w:color="auto" w:sz="4" w:space="0"/>
            </w:tcBorders>
            <w:vAlign w:val="center"/>
          </w:tcPr>
          <w:p w14:paraId="61CCE46F">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《际华园委托经营管理协议》</w:t>
            </w:r>
          </w:p>
        </w:tc>
        <w:tc>
          <w:tcPr>
            <w:tcW w:w="805" w:type="pct"/>
            <w:tcBorders>
              <w:top w:val="single" w:color="auto" w:sz="4" w:space="0"/>
              <w:left w:val="single" w:color="auto" w:sz="4" w:space="0"/>
              <w:bottom w:val="single" w:color="auto" w:sz="4" w:space="0"/>
              <w:right w:val="single" w:color="auto" w:sz="4" w:space="0"/>
            </w:tcBorders>
            <w:vAlign w:val="center"/>
          </w:tcPr>
          <w:p w14:paraId="2204A944">
            <w:pPr>
              <w:jc w:val="center"/>
              <w:rPr>
                <w:rFonts w:cs="Times New Roman" w:eastAsiaTheme="minorEastAsia"/>
              </w:rPr>
            </w:pPr>
            <w:r>
              <w:rPr>
                <w:rFonts w:cs="Times New Roman" w:eastAsiaTheme="minorEastAsia"/>
              </w:rPr>
              <w:t>0</w:t>
            </w:r>
          </w:p>
        </w:tc>
      </w:tr>
      <w:tr w14:paraId="4DB4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95" w:type="dxa"/>
            <w:tcBorders>
              <w:top w:val="single" w:color="auto" w:sz="4" w:space="0"/>
              <w:left w:val="single" w:color="auto" w:sz="4" w:space="0"/>
              <w:bottom w:val="single" w:color="auto" w:sz="4" w:space="0"/>
              <w:right w:val="single" w:color="auto" w:sz="4" w:space="0"/>
            </w:tcBorders>
            <w:vAlign w:val="center"/>
          </w:tcPr>
          <w:p w14:paraId="78300930">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际华三五三六实业有限公司</w:t>
            </w:r>
          </w:p>
        </w:tc>
        <w:tc>
          <w:tcPr>
            <w:tcW w:w="1286" w:type="dxa"/>
            <w:tcBorders>
              <w:top w:val="single" w:color="auto" w:sz="4" w:space="0"/>
              <w:left w:val="single" w:color="auto" w:sz="4" w:space="0"/>
              <w:bottom w:val="single" w:color="auto" w:sz="4" w:space="0"/>
              <w:right w:val="single" w:color="auto" w:sz="4" w:space="0"/>
            </w:tcBorders>
            <w:vAlign w:val="center"/>
          </w:tcPr>
          <w:p w14:paraId="110CB70A">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荷原置地控股有限公司</w:t>
            </w:r>
          </w:p>
        </w:tc>
        <w:tc>
          <w:tcPr>
            <w:tcW w:w="1234" w:type="dxa"/>
            <w:tcBorders>
              <w:top w:val="single" w:color="auto" w:sz="4" w:space="0"/>
              <w:left w:val="single" w:color="auto" w:sz="4" w:space="0"/>
              <w:bottom w:val="single" w:color="auto" w:sz="4" w:space="0"/>
              <w:right w:val="single" w:color="auto" w:sz="4" w:space="0"/>
            </w:tcBorders>
            <w:vAlign w:val="center"/>
          </w:tcPr>
          <w:p w14:paraId="6B4B7C15">
            <w:pPr>
              <w:jc w:val="center"/>
              <w:textAlignment w:val="bottom"/>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其他资产托管</w:t>
            </w:r>
          </w:p>
        </w:tc>
        <w:tc>
          <w:tcPr>
            <w:tcW w:w="1074" w:type="dxa"/>
            <w:tcBorders>
              <w:top w:val="single" w:color="auto" w:sz="4" w:space="0"/>
              <w:left w:val="single" w:color="auto" w:sz="4" w:space="0"/>
              <w:bottom w:val="single" w:color="auto" w:sz="4" w:space="0"/>
              <w:right w:val="single" w:color="auto" w:sz="4" w:space="0"/>
            </w:tcBorders>
            <w:vAlign w:val="center"/>
          </w:tcPr>
          <w:p w14:paraId="173812B6">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2022年9月30日</w:t>
            </w:r>
          </w:p>
        </w:tc>
        <w:tc>
          <w:tcPr>
            <w:tcW w:w="1211" w:type="dxa"/>
            <w:tcBorders>
              <w:top w:val="single" w:color="auto" w:sz="4" w:space="0"/>
              <w:left w:val="single" w:color="auto" w:sz="4" w:space="0"/>
              <w:bottom w:val="single" w:color="auto" w:sz="4" w:space="0"/>
              <w:right w:val="single" w:color="auto" w:sz="4" w:space="0"/>
            </w:tcBorders>
            <w:vAlign w:val="center"/>
          </w:tcPr>
          <w:p w14:paraId="59A034D7">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项目最后一期销售物业交付满1个月为止</w:t>
            </w:r>
          </w:p>
        </w:tc>
        <w:tc>
          <w:tcPr>
            <w:tcW w:w="1362" w:type="dxa"/>
            <w:tcBorders>
              <w:top w:val="single" w:color="auto" w:sz="4" w:space="0"/>
              <w:left w:val="single" w:color="auto" w:sz="4" w:space="0"/>
              <w:bottom w:val="single" w:color="auto" w:sz="4" w:space="0"/>
              <w:right w:val="single" w:color="auto" w:sz="4" w:space="0"/>
            </w:tcBorders>
            <w:vAlign w:val="center"/>
          </w:tcPr>
          <w:p w14:paraId="5D3AB7D6">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《3536公司与新兴建新公司之带资代建协议》</w:t>
            </w:r>
          </w:p>
        </w:tc>
        <w:tc>
          <w:tcPr>
            <w:tcW w:w="805" w:type="pct"/>
            <w:tcBorders>
              <w:top w:val="single" w:color="auto" w:sz="4" w:space="0"/>
              <w:left w:val="single" w:color="auto" w:sz="4" w:space="0"/>
              <w:bottom w:val="single" w:color="auto" w:sz="4" w:space="0"/>
              <w:right w:val="single" w:color="auto" w:sz="4" w:space="0"/>
            </w:tcBorders>
            <w:vAlign w:val="center"/>
          </w:tcPr>
          <w:p w14:paraId="2B204FF2">
            <w:pPr>
              <w:jc w:val="center"/>
              <w:rPr>
                <w:rFonts w:cs="Times New Roman" w:eastAsiaTheme="minorEastAsia"/>
              </w:rPr>
            </w:pPr>
            <w:r>
              <w:rPr>
                <w:rFonts w:cs="Times New Roman" w:eastAsiaTheme="minorEastAsia"/>
              </w:rPr>
              <w:t>0</w:t>
            </w:r>
          </w:p>
        </w:tc>
      </w:tr>
      <w:tr w14:paraId="78E9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295" w:type="dxa"/>
            <w:tcBorders>
              <w:top w:val="single" w:color="auto" w:sz="4" w:space="0"/>
              <w:left w:val="single" w:color="auto" w:sz="4" w:space="0"/>
              <w:bottom w:val="single" w:color="auto" w:sz="4" w:space="0"/>
              <w:right w:val="single" w:color="auto" w:sz="4" w:space="0"/>
            </w:tcBorders>
            <w:vAlign w:val="center"/>
          </w:tcPr>
          <w:p w14:paraId="5F93BADE">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际华集团股份有限公司</w:t>
            </w:r>
          </w:p>
        </w:tc>
        <w:tc>
          <w:tcPr>
            <w:tcW w:w="1286" w:type="dxa"/>
            <w:tcBorders>
              <w:top w:val="single" w:color="auto" w:sz="4" w:space="0"/>
              <w:left w:val="single" w:color="auto" w:sz="4" w:space="0"/>
              <w:bottom w:val="single" w:color="auto" w:sz="4" w:space="0"/>
              <w:right w:val="single" w:color="auto" w:sz="4" w:space="0"/>
            </w:tcBorders>
            <w:vAlign w:val="center"/>
          </w:tcPr>
          <w:p w14:paraId="1A298B45">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新兴重工集团有限公司</w:t>
            </w:r>
          </w:p>
        </w:tc>
        <w:tc>
          <w:tcPr>
            <w:tcW w:w="1234" w:type="dxa"/>
            <w:tcBorders>
              <w:top w:val="single" w:color="auto" w:sz="4" w:space="0"/>
              <w:left w:val="single" w:color="auto" w:sz="4" w:space="0"/>
              <w:bottom w:val="single" w:color="auto" w:sz="4" w:space="0"/>
              <w:right w:val="single" w:color="auto" w:sz="4" w:space="0"/>
            </w:tcBorders>
            <w:vAlign w:val="center"/>
          </w:tcPr>
          <w:p w14:paraId="53F58B45">
            <w:pPr>
              <w:jc w:val="center"/>
              <w:textAlignment w:val="bottom"/>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lang w:bidi="ar"/>
              </w:rPr>
              <w:t>股权托管</w:t>
            </w:r>
          </w:p>
        </w:tc>
        <w:tc>
          <w:tcPr>
            <w:tcW w:w="1074" w:type="dxa"/>
            <w:tcBorders>
              <w:top w:val="single" w:color="auto" w:sz="4" w:space="0"/>
              <w:left w:val="single" w:color="auto" w:sz="4" w:space="0"/>
              <w:bottom w:val="single" w:color="auto" w:sz="4" w:space="0"/>
              <w:right w:val="single" w:color="auto" w:sz="4" w:space="0"/>
            </w:tcBorders>
            <w:vAlign w:val="center"/>
          </w:tcPr>
          <w:p w14:paraId="34970AA7">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2024年12月12日</w:t>
            </w:r>
          </w:p>
        </w:tc>
        <w:tc>
          <w:tcPr>
            <w:tcW w:w="1211" w:type="dxa"/>
            <w:tcBorders>
              <w:top w:val="single" w:color="auto" w:sz="4" w:space="0"/>
              <w:left w:val="single" w:color="auto" w:sz="4" w:space="0"/>
              <w:bottom w:val="single" w:color="auto" w:sz="4" w:space="0"/>
              <w:right w:val="single" w:color="auto" w:sz="4" w:space="0"/>
            </w:tcBorders>
            <w:vAlign w:val="center"/>
          </w:tcPr>
          <w:p w14:paraId="6042D8EC">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2027年12月31日</w:t>
            </w:r>
          </w:p>
        </w:tc>
        <w:tc>
          <w:tcPr>
            <w:tcW w:w="1362" w:type="dxa"/>
            <w:tcBorders>
              <w:top w:val="single" w:color="auto" w:sz="4" w:space="0"/>
              <w:left w:val="single" w:color="auto" w:sz="4" w:space="0"/>
              <w:bottom w:val="single" w:color="auto" w:sz="4" w:space="0"/>
              <w:right w:val="single" w:color="auto" w:sz="4" w:space="0"/>
            </w:tcBorders>
            <w:vAlign w:val="center"/>
          </w:tcPr>
          <w:p w14:paraId="6F6908F5">
            <w:pPr>
              <w:jc w:val="center"/>
              <w:textAlignment w:val="bottom"/>
              <w:rPr>
                <w:rFonts w:asciiTheme="minorEastAsia" w:hAnsiTheme="minorEastAsia" w:eastAsiaTheme="minorEastAsia" w:cstheme="minorEastAsia"/>
              </w:rPr>
            </w:pPr>
            <w:r>
              <w:rPr>
                <w:rFonts w:hint="eastAsia" w:asciiTheme="minorEastAsia" w:hAnsiTheme="minorEastAsia" w:eastAsiaTheme="minorEastAsia" w:cstheme="minorEastAsia"/>
                <w:color w:val="000000"/>
                <w:lang w:bidi="ar"/>
              </w:rPr>
              <w:t>《际华（邢台）投资有限公司委托管理协议》</w:t>
            </w:r>
          </w:p>
        </w:tc>
        <w:tc>
          <w:tcPr>
            <w:tcW w:w="805" w:type="pct"/>
            <w:tcBorders>
              <w:top w:val="single" w:color="auto" w:sz="4" w:space="0"/>
              <w:left w:val="single" w:color="auto" w:sz="4" w:space="0"/>
              <w:bottom w:val="single" w:color="auto" w:sz="4" w:space="0"/>
              <w:right w:val="single" w:color="auto" w:sz="4" w:space="0"/>
            </w:tcBorders>
            <w:vAlign w:val="center"/>
          </w:tcPr>
          <w:p w14:paraId="680E33FA">
            <w:pPr>
              <w:jc w:val="center"/>
              <w:rPr>
                <w:rFonts w:cs="Times New Roman" w:eastAsiaTheme="minorEastAsia"/>
              </w:rPr>
            </w:pPr>
            <w:r>
              <w:rPr>
                <w:rFonts w:cs="Times New Roman" w:eastAsiaTheme="minorEastAsia"/>
              </w:rPr>
              <w:t>0</w:t>
            </w:r>
          </w:p>
        </w:tc>
      </w:tr>
    </w:tbl>
    <w:p w14:paraId="2A520529">
      <w:pPr>
        <w:rPr>
          <w:rFonts w:cs="Cambria"/>
          <w:bCs w:val="0"/>
          <w:color w:val="000000" w:themeColor="text1"/>
          <w14:textFill>
            <w14:solidFill>
              <w14:schemeClr w14:val="tx1"/>
            </w14:solidFill>
          </w14:textFill>
        </w:rPr>
      </w:pPr>
    </w:p>
    <w:p w14:paraId="7DDD6AE3">
      <w:pPr>
        <w:rPr>
          <w:rFonts w:cs="Cambria"/>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关联管理/出包情况说明</w:t>
      </w:r>
    </w:p>
    <w:sdt>
      <w:sdtPr>
        <w:rPr>
          <w:rFonts w:cs="Cambria"/>
          <w:bCs w:val="0"/>
          <w:color w:val="000000" w:themeColor="text1"/>
          <w14:textFill>
            <w14:solidFill>
              <w14:schemeClr w14:val="tx1"/>
            </w14:solidFill>
          </w14:textFill>
        </w:rPr>
        <w:alias w:val="是否适用：关联管理或出包情况说明[双击切换]"/>
        <w:tag w:val="_GBC_0b0339c118c542eb8a6e3a68fab8e375"/>
        <w:id w:val="147465291"/>
        <w:placeholder>
          <w:docPart w:val="GBC22222222222222222222222222222"/>
        </w:placeholder>
      </w:sdtPr>
      <w:sdtEndPr>
        <w:rPr>
          <w:rFonts w:cs="Cambria"/>
          <w:bCs w:val="0"/>
          <w:color w:val="000000" w:themeColor="text1"/>
          <w14:textFill>
            <w14:solidFill>
              <w14:schemeClr w14:val="tx1"/>
            </w14:solidFill>
          </w14:textFill>
        </w:rPr>
      </w:sdtEndPr>
      <w:sdtContent>
        <w:p w14:paraId="66EE72DD">
          <w:pPr>
            <w:rPr>
              <w:rFonts w:cs="Cambria"/>
              <w:bCs w:val="0"/>
              <w:color w:val="000000" w:themeColor="text1"/>
              <w14:textFill>
                <w14:solidFill>
                  <w14:schemeClr w14:val="tx1"/>
                </w14:solidFill>
              </w14:textFill>
            </w:rPr>
          </w:pPr>
          <w:r>
            <w:rPr>
              <w:rFonts w:ascii="宋体" w:hAnsi="宋体" w:cs="Cambria"/>
              <w:bCs w:val="0"/>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bCs w:val="0"/>
              <w:color w:val="000000" w:themeColor="text1"/>
              <w14:textFill>
                <w14:solidFill>
                  <w14:schemeClr w14:val="tx1"/>
                </w14:solidFill>
              </w14:textFill>
            </w:rPr>
            <w:fldChar w:fldCharType="end"/>
          </w:r>
          <w:r>
            <w:rPr>
              <w:rFonts w:ascii="宋体" w:hAnsi="宋体" w:cs="Cambria"/>
              <w:bCs w:val="0"/>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bCs w:val="0"/>
              <w:color w:val="000000" w:themeColor="text1"/>
              <w14:textFill>
                <w14:solidFill>
                  <w14:schemeClr w14:val="tx1"/>
                </w14:solidFill>
              </w14:textFill>
            </w:rPr>
            <w:fldChar w:fldCharType="end"/>
          </w:r>
        </w:p>
      </w:sdtContent>
    </w:sdt>
    <w:sdt>
      <w:sdtPr>
        <w:rPr>
          <w:rFonts w:cs="Cambria"/>
          <w:bCs w:val="0"/>
          <w:color w:val="000000" w:themeColor="text1"/>
          <w14:textFill>
            <w14:solidFill>
              <w14:schemeClr w14:val="tx1"/>
            </w14:solidFill>
          </w14:textFill>
        </w:rPr>
        <w:alias w:val="关联管理或出包情况说明"/>
        <w:tag w:val="_GBC_3090c8d6dded401e8965b68c3246021b"/>
        <w:id w:val="147458621"/>
        <w:placeholder>
          <w:docPart w:val="GBC22222222222222222222222222222"/>
        </w:placeholder>
      </w:sdtPr>
      <w:sdtEndPr>
        <w:rPr>
          <w:rFonts w:cs="Cambria"/>
          <w:bCs w:val="0"/>
          <w:color w:val="000000" w:themeColor="text1"/>
          <w14:textFill>
            <w14:solidFill>
              <w14:schemeClr w14:val="tx1"/>
            </w14:solidFill>
          </w14:textFill>
        </w:rPr>
      </w:sdtEndPr>
      <w:sdtContent>
        <w:p w14:paraId="3D2EE969">
          <w:pPr>
            <w:jc w:val="both"/>
            <w:rPr>
              <w:rFonts w:cs="Cambria"/>
              <w:bCs w:val="0"/>
              <w:color w:val="000000" w:themeColor="text1"/>
              <w14:textFill>
                <w14:solidFill>
                  <w14:schemeClr w14:val="tx1"/>
                </w14:solidFill>
              </w14:textFill>
            </w:rPr>
          </w:pPr>
          <w:r>
            <w:rPr>
              <w:rFonts w:hint="eastAsia" w:cs="Cambria"/>
              <w:bCs w:val="0"/>
              <w:color w:val="000000" w:themeColor="text1"/>
              <w14:textFill>
                <w14:solidFill>
                  <w14:schemeClr w14:val="tx1"/>
                </w14:solidFill>
              </w14:textFill>
            </w:rPr>
            <w:t xml:space="preserve">    公司与新兴际华资产经营管理有限公司于2022年9月30日在北京签署了《际华园委托经营管理协议》。根据协议约定，公司委托新兴际华资产经营管理有限公司对公司下属全资子公司陕西际华园开发建设有限公司、重庆际华目的地中心实业有限公司、长春际华投资建设有限公司进行经营管理，委托管理期限至2025年12月31日。</w:t>
          </w:r>
        </w:p>
        <w:p w14:paraId="4D08C565">
          <w:pPr>
            <w:ind w:firstLine="420" w:firstLineChars="200"/>
            <w:jc w:val="both"/>
            <w:rPr>
              <w:rFonts w:cs="Cambria"/>
              <w:bCs w:val="0"/>
              <w:color w:val="000000" w:themeColor="text1"/>
              <w14:textFill>
                <w14:solidFill>
                  <w14:schemeClr w14:val="tx1"/>
                </w14:solidFill>
              </w14:textFill>
            </w:rPr>
          </w:pPr>
          <w:r>
            <w:rPr>
              <w:rFonts w:hint="eastAsia" w:cs="Cambria"/>
              <w:bCs w:val="0"/>
              <w:color w:val="000000" w:themeColor="text1"/>
              <w14:textFill>
                <w14:solidFill>
                  <w14:schemeClr w14:val="tx1"/>
                </w14:solidFill>
              </w14:textFill>
            </w:rPr>
            <w:t>公司之子公司际华三五三六实业有限公司与新兴建新（深圳）开发控股有限公司于2022年9月30日在北京签署了《3536公司与新兴建新公司之带资代建协议》，委托新兴建新（深圳）开发控股有限公司对3536公司所持有的位于绵阳市绵兴路东段62号地块进行开发建设管理，由新兴建新公司负责项目融资、开发建设管理、销售管理等相关经营管理事宜，并收取融资利息以及代建服务费等相关费用。委托管理期限至项目最后一期销售物业交付满1个月为止。</w:t>
          </w:r>
        </w:p>
        <w:p w14:paraId="1E80155A">
          <w:pPr>
            <w:ind w:firstLine="420" w:firstLineChars="200"/>
            <w:jc w:val="both"/>
            <w:rPr>
              <w:rFonts w:cs="Cambria"/>
              <w:bCs w:val="0"/>
              <w:color w:val="000000" w:themeColor="text1"/>
              <w14:textFill>
                <w14:solidFill>
                  <w14:schemeClr w14:val="tx1"/>
                </w14:solidFill>
              </w14:textFill>
            </w:rPr>
          </w:pPr>
          <w:r>
            <w:rPr>
              <w:rFonts w:hint="eastAsia" w:cs="Cambria"/>
              <w:bCs w:val="0"/>
              <w:color w:val="000000" w:themeColor="text1"/>
              <w14:textFill>
                <w14:solidFill>
                  <w14:schemeClr w14:val="tx1"/>
                </w14:solidFill>
              </w14:textFill>
            </w:rPr>
            <w:t>公司与新兴重工集团有限公司于2024年12月12日在北京签署了《际华（邢台）投资有限公司委托管理协议》。根据协议约定，公司委托新兴重工集团有限公司对公司下属全资子公司际华（邢台）投资有限公司进行经营管理，委托管理期限至2027年12月31日。</w:t>
          </w:r>
        </w:p>
      </w:sdtContent>
    </w:sdt>
    <w:p w14:paraId="7D2D43E6">
      <w:pPr>
        <w:jc w:val="both"/>
        <w:rPr>
          <w:rFonts w:cs="Cambria"/>
          <w:color w:val="000000" w:themeColor="text1"/>
          <w14:textFill>
            <w14:solidFill>
              <w14:schemeClr w14:val="tx1"/>
            </w14:solidFill>
          </w14:textFill>
        </w:rPr>
      </w:pPr>
    </w:p>
    <w:p w14:paraId="6E1AE4E0">
      <w:pPr>
        <w:jc w:val="both"/>
        <w:rPr>
          <w:rFonts w:cs="Cambria"/>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4AA8394B">
      <w:pPr>
        <w:pStyle w:val="58"/>
        <w:numPr>
          <w:ilvl w:val="0"/>
          <w:numId w:val="105"/>
        </w:numPr>
        <w:tabs>
          <w:tab w:val="left" w:pos="616"/>
        </w:tabs>
        <w:rPr>
          <w:rFonts w:ascii="宋体" w:hAnsi="宋体"/>
          <w:color w:val="000000" w:themeColor="text1"/>
          <w14:textFill>
            <w14:solidFill>
              <w14:schemeClr w14:val="tx1"/>
            </w14:solidFill>
          </w14:textFill>
        </w:rPr>
      </w:pPr>
      <w:bookmarkStart w:id="411" w:name="_Hlk105747475"/>
      <w:r>
        <w:rPr>
          <w:rFonts w:hint="eastAsia" w:ascii="宋体" w:hAnsi="宋体"/>
          <w:color w:val="000000" w:themeColor="text1"/>
          <w14:textFill>
            <w14:solidFill>
              <w14:schemeClr w14:val="tx1"/>
            </w14:solidFill>
          </w14:textFill>
        </w:rPr>
        <w:t>关联租赁情况</w:t>
      </w:r>
    </w:p>
    <w:p w14:paraId="07E596E0">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本公司作为出租方：</w:t>
      </w:r>
    </w:p>
    <w:sdt>
      <w:sdtPr>
        <w:rPr>
          <w:color w:val="000000" w:themeColor="text1"/>
          <w14:textFill>
            <w14:solidFill>
              <w14:schemeClr w14:val="tx1"/>
            </w14:solidFill>
          </w14:textFill>
        </w:rPr>
        <w:alias w:val="是否适用：本公司作为出租方的租赁情况表[双击切换]"/>
        <w:tag w:val="_GBC_f12cb8266cbd482b93c6a4bba1b05fb7"/>
        <w:id w:val="902111871"/>
      </w:sdtPr>
      <w:sdtEndPr>
        <w:rPr>
          <w:color w:val="000000" w:themeColor="text1"/>
          <w14:textFill>
            <w14:solidFill>
              <w14:schemeClr w14:val="tx1"/>
            </w14:solidFill>
          </w14:textFill>
        </w:rPr>
      </w:sdtEndPr>
      <w:sdtContent>
        <w:p w14:paraId="6A4980D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4795F19C">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关联租赁情况"/>
          <w:tag w:val="_GBC_b6ac4f0274e84bf2bac59898fb55e11d"/>
          <w:id w:val="-1504351906"/>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关联租赁情况"/>
          <w:tag w:val="_GBC_268dafb121cf40fdbb2bbe55df2badf0"/>
          <w:id w:val="-157927417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4561"/>
        <w:gridCol w:w="2347"/>
        <w:gridCol w:w="2838"/>
        <w:gridCol w:w="4187"/>
      </w:tblGrid>
      <w:tr w14:paraId="0C7E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38" w:hRule="atLeast"/>
        </w:trPr>
        <w:sdt>
          <w:sdtPr>
            <w:rPr>
              <w:rFonts w:cs="Times New Roman"/>
            </w:rPr>
            <w:tag w:val="_PLD_d0bc662d818f4cea8a5953be241f0994"/>
            <w:id w:val="190198378"/>
          </w:sdtPr>
          <w:sdtEndPr>
            <w:rPr>
              <w:rFonts w:cs="Times New Roman"/>
            </w:rPr>
          </w:sdtEndPr>
          <w:sdtContent>
            <w:tc>
              <w:tcPr>
                <w:tcW w:w="1636" w:type="pct"/>
                <w:tcBorders>
                  <w:top w:val="single" w:color="auto" w:sz="4" w:space="0"/>
                  <w:left w:val="single" w:color="auto" w:sz="4" w:space="0"/>
                  <w:right w:val="single" w:color="auto" w:sz="4" w:space="0"/>
                </w:tcBorders>
                <w:vAlign w:val="center"/>
              </w:tcPr>
              <w:p w14:paraId="385B024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承租方名称</w:t>
                </w:r>
              </w:p>
            </w:tc>
          </w:sdtContent>
        </w:sdt>
        <w:sdt>
          <w:sdtPr>
            <w:rPr>
              <w:rFonts w:cs="Times New Roman"/>
            </w:rPr>
            <w:tag w:val="_PLD_b201e1ba80ff4620b34885e088e03080"/>
            <w:id w:val="1726867161"/>
          </w:sdtPr>
          <w:sdtEndPr>
            <w:rPr>
              <w:rFonts w:cs="Times New Roman"/>
            </w:rPr>
          </w:sdtEndPr>
          <w:sdtContent>
            <w:tc>
              <w:tcPr>
                <w:tcW w:w="842" w:type="pct"/>
                <w:tcBorders>
                  <w:top w:val="single" w:color="auto" w:sz="4" w:space="0"/>
                  <w:left w:val="single" w:color="auto" w:sz="4" w:space="0"/>
                  <w:right w:val="single" w:color="auto" w:sz="4" w:space="0"/>
                </w:tcBorders>
                <w:vAlign w:val="center"/>
              </w:tcPr>
              <w:p w14:paraId="0A06C11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租赁资产种类</w:t>
                </w:r>
              </w:p>
            </w:tc>
          </w:sdtContent>
        </w:sdt>
        <w:sdt>
          <w:sdtPr>
            <w:rPr>
              <w:rFonts w:cs="Times New Roman"/>
            </w:rPr>
            <w:tag w:val="_PLD_2247dbd372c64f6bb229457f3849c03a"/>
            <w:id w:val="1878969239"/>
          </w:sdtPr>
          <w:sdtEndPr>
            <w:rPr>
              <w:rFonts w:cs="Times New Roman"/>
            </w:rPr>
          </w:sdtEndPr>
          <w:sdtContent>
            <w:tc>
              <w:tcPr>
                <w:tcW w:w="1018" w:type="pct"/>
                <w:tcBorders>
                  <w:top w:val="single" w:color="auto" w:sz="4" w:space="0"/>
                  <w:left w:val="single" w:color="auto" w:sz="4" w:space="0"/>
                  <w:right w:val="single" w:color="auto" w:sz="4" w:space="0"/>
                </w:tcBorders>
                <w:vAlign w:val="center"/>
              </w:tcPr>
              <w:p w14:paraId="77A6F57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本期确认的租赁收入</w:t>
                </w:r>
              </w:p>
            </w:tc>
          </w:sdtContent>
        </w:sdt>
        <w:sdt>
          <w:sdtPr>
            <w:rPr>
              <w:rFonts w:cs="Times New Roman"/>
            </w:rPr>
            <w:tag w:val="_PLD_94eb47eaf858403e8c39eab08f54efb9"/>
            <w:id w:val="-1141657638"/>
          </w:sdtPr>
          <w:sdtEndPr>
            <w:rPr>
              <w:rFonts w:cs="Times New Roman"/>
            </w:rPr>
          </w:sdtEndPr>
          <w:sdtContent>
            <w:tc>
              <w:tcPr>
                <w:tcW w:w="1502" w:type="pct"/>
                <w:tcBorders>
                  <w:top w:val="single" w:color="auto" w:sz="4" w:space="0"/>
                  <w:left w:val="single" w:color="auto" w:sz="4" w:space="0"/>
                  <w:right w:val="single" w:color="auto" w:sz="4" w:space="0"/>
                </w:tcBorders>
                <w:vAlign w:val="center"/>
              </w:tcPr>
              <w:p w14:paraId="607DD7F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上期确认的租赁收入</w:t>
                </w:r>
              </w:p>
            </w:tc>
          </w:sdtContent>
        </w:sdt>
      </w:tr>
      <w:sdt>
        <w:sdtPr>
          <w:rPr>
            <w:rFonts w:cs="Times New Roman"/>
            <w:color w:val="000000" w:themeColor="text1"/>
            <w14:textFill>
              <w14:solidFill>
                <w14:schemeClr w14:val="tx1"/>
              </w14:solidFill>
            </w14:textFill>
          </w:rPr>
          <w:alias w:val="关联租赁情况"/>
          <w:tag w:val="_GBC_b0112b4dc9284dc5a94109344af1edea"/>
          <w:id w:val="-1710409066"/>
          <w:placeholder>
            <w:docPart w:val="{b3f4be12-da9a-4108-a3cb-af77807cbc1c}"/>
          </w:placeholder>
        </w:sdtPr>
        <w:sdtEndPr>
          <w:rPr>
            <w:rFonts w:cs="Times New Roman"/>
            <w:color w:val="000000" w:themeColor="text1"/>
            <w14:textFill>
              <w14:solidFill>
                <w14:schemeClr w14:val="tx1"/>
              </w14:solidFill>
            </w14:textFill>
          </w:rPr>
        </w:sdtEndPr>
        <w:sdtContent>
          <w:tr w14:paraId="5491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73" w:hRule="atLeast"/>
            </w:trPr>
            <w:tc>
              <w:tcPr>
                <w:tcW w:w="1636" w:type="pct"/>
                <w:tcBorders>
                  <w:top w:val="single" w:color="auto" w:sz="4" w:space="0"/>
                  <w:left w:val="single" w:color="auto" w:sz="4" w:space="0"/>
                  <w:bottom w:val="single" w:color="auto" w:sz="4" w:space="0"/>
                  <w:right w:val="single" w:color="auto" w:sz="4" w:space="0"/>
                </w:tcBorders>
              </w:tcPr>
              <w:p w14:paraId="1C10BFB8">
                <w:pPr>
                  <w:rPr>
                    <w:rFonts w:cs="Times New Roman"/>
                  </w:rPr>
                </w:pPr>
                <w:r>
                  <w:rPr>
                    <w:rFonts w:cs="Times New Roman"/>
                  </w:rPr>
                  <w:t>天津双鹿大厦有限公司</w:t>
                </w:r>
              </w:p>
            </w:tc>
            <w:tc>
              <w:tcPr>
                <w:tcW w:w="842" w:type="pct"/>
                <w:tcBorders>
                  <w:top w:val="single" w:color="auto" w:sz="4" w:space="0"/>
                  <w:left w:val="single" w:color="auto" w:sz="4" w:space="0"/>
                  <w:bottom w:val="single" w:color="auto" w:sz="4" w:space="0"/>
                  <w:right w:val="single" w:color="auto" w:sz="4" w:space="0"/>
                </w:tcBorders>
              </w:tcPr>
              <w:p w14:paraId="3A00CDBE">
                <w:pPr>
                  <w:jc w:val="center"/>
                  <w:rPr>
                    <w:rFonts w:cs="Times New Roman"/>
                  </w:rPr>
                </w:pPr>
                <w:r>
                  <w:rPr>
                    <w:rFonts w:cs="Times New Roman"/>
                  </w:rPr>
                  <w:t>房屋</w:t>
                </w:r>
              </w:p>
            </w:tc>
            <w:tc>
              <w:tcPr>
                <w:tcW w:w="1018" w:type="pct"/>
                <w:tcBorders>
                  <w:top w:val="single" w:color="auto" w:sz="4" w:space="0"/>
                  <w:left w:val="single" w:color="auto" w:sz="4" w:space="0"/>
                  <w:bottom w:val="single" w:color="auto" w:sz="4" w:space="0"/>
                  <w:right w:val="single" w:color="auto" w:sz="4" w:space="0"/>
                </w:tcBorders>
              </w:tcPr>
              <w:p w14:paraId="70C3F45B">
                <w:pPr>
                  <w:jc w:val="right"/>
                  <w:rPr>
                    <w:rFonts w:cs="Times New Roman"/>
                  </w:rPr>
                </w:pPr>
                <w:r>
                  <w:rPr>
                    <w:rFonts w:cs="Times New Roman"/>
                  </w:rPr>
                  <w:t>999,999.99</w:t>
                </w:r>
              </w:p>
            </w:tc>
            <w:tc>
              <w:tcPr>
                <w:tcW w:w="1502" w:type="pct"/>
                <w:tcBorders>
                  <w:top w:val="single" w:color="auto" w:sz="4" w:space="0"/>
                  <w:left w:val="single" w:color="auto" w:sz="4" w:space="0"/>
                  <w:bottom w:val="single" w:color="auto" w:sz="4" w:space="0"/>
                  <w:right w:val="single" w:color="auto" w:sz="4" w:space="0"/>
                </w:tcBorders>
              </w:tcPr>
              <w:p w14:paraId="3EE622F4">
                <w:pPr>
                  <w:jc w:val="right"/>
                  <w:rPr>
                    <w:rFonts w:cs="Times New Roman"/>
                  </w:rPr>
                </w:pPr>
                <w:r>
                  <w:rPr>
                    <w:rFonts w:cs="Times New Roman"/>
                  </w:rPr>
                  <w:t>952,380.94</w:t>
                </w:r>
              </w:p>
            </w:tc>
          </w:tr>
        </w:sdtContent>
      </w:sdt>
      <w:sdt>
        <w:sdtPr>
          <w:rPr>
            <w:rFonts w:cs="Times New Roman"/>
            <w:color w:val="000000" w:themeColor="text1"/>
            <w14:textFill>
              <w14:solidFill>
                <w14:schemeClr w14:val="tx1"/>
              </w14:solidFill>
            </w14:textFill>
          </w:rPr>
          <w:alias w:val="关联租赁情况"/>
          <w:tag w:val="_GBC_b0112b4dc9284dc5a94109344af1edea"/>
          <w:id w:val="-514149417"/>
          <w:placeholder>
            <w:docPart w:val="{b3f4be12-da9a-4108-a3cb-af77807cbc1c}"/>
          </w:placeholder>
        </w:sdtPr>
        <w:sdtEndPr>
          <w:rPr>
            <w:rFonts w:cs="Times New Roman"/>
            <w:color w:val="000000" w:themeColor="text1"/>
            <w14:textFill>
              <w14:solidFill>
                <w14:schemeClr w14:val="tx1"/>
              </w14:solidFill>
            </w14:textFill>
          </w:rPr>
        </w:sdtEndPr>
        <w:sdtContent>
          <w:tr w14:paraId="1363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36" w:type="pct"/>
                <w:tcBorders>
                  <w:top w:val="single" w:color="auto" w:sz="4" w:space="0"/>
                  <w:left w:val="single" w:color="auto" w:sz="4" w:space="0"/>
                  <w:bottom w:val="single" w:color="auto" w:sz="4" w:space="0"/>
                  <w:right w:val="single" w:color="auto" w:sz="4" w:space="0"/>
                </w:tcBorders>
              </w:tcPr>
              <w:p w14:paraId="19DC51D8">
                <w:pPr>
                  <w:rPr>
                    <w:rFonts w:cs="Times New Roman"/>
                  </w:rPr>
                </w:pPr>
                <w:r>
                  <w:rPr>
                    <w:rFonts w:cs="Times New Roman"/>
                  </w:rPr>
                  <w:t>陕西际华园开发建设有限公司</w:t>
                </w:r>
              </w:p>
            </w:tc>
            <w:tc>
              <w:tcPr>
                <w:tcW w:w="842" w:type="pct"/>
                <w:tcBorders>
                  <w:top w:val="single" w:color="auto" w:sz="4" w:space="0"/>
                  <w:left w:val="single" w:color="auto" w:sz="4" w:space="0"/>
                  <w:bottom w:val="single" w:color="auto" w:sz="4" w:space="0"/>
                  <w:right w:val="single" w:color="auto" w:sz="4" w:space="0"/>
                </w:tcBorders>
              </w:tcPr>
              <w:p w14:paraId="75036901">
                <w:pPr>
                  <w:jc w:val="center"/>
                  <w:rPr>
                    <w:rFonts w:cs="Times New Roman"/>
                  </w:rPr>
                </w:pPr>
                <w:r>
                  <w:rPr>
                    <w:rFonts w:cs="Times New Roman"/>
                  </w:rPr>
                  <w:t>房屋</w:t>
                </w:r>
              </w:p>
            </w:tc>
            <w:tc>
              <w:tcPr>
                <w:tcW w:w="1018" w:type="pct"/>
                <w:tcBorders>
                  <w:top w:val="single" w:color="auto" w:sz="4" w:space="0"/>
                  <w:left w:val="single" w:color="auto" w:sz="4" w:space="0"/>
                  <w:bottom w:val="single" w:color="auto" w:sz="4" w:space="0"/>
                  <w:right w:val="single" w:color="auto" w:sz="4" w:space="0"/>
                </w:tcBorders>
              </w:tcPr>
              <w:p w14:paraId="4EB909FB">
                <w:pPr>
                  <w:jc w:val="right"/>
                  <w:rPr>
                    <w:rFonts w:cs="Times New Roman"/>
                  </w:rPr>
                </w:pPr>
                <w:r>
                  <w:rPr>
                    <w:rFonts w:cs="Times New Roman"/>
                  </w:rPr>
                  <w:t>149,333.33</w:t>
                </w:r>
              </w:p>
            </w:tc>
            <w:tc>
              <w:tcPr>
                <w:tcW w:w="1502" w:type="pct"/>
                <w:tcBorders>
                  <w:top w:val="single" w:color="auto" w:sz="4" w:space="0"/>
                  <w:left w:val="single" w:color="auto" w:sz="4" w:space="0"/>
                  <w:bottom w:val="single" w:color="auto" w:sz="4" w:space="0"/>
                  <w:right w:val="single" w:color="auto" w:sz="4" w:space="0"/>
                </w:tcBorders>
              </w:tcPr>
              <w:p w14:paraId="32A4D090">
                <w:pPr>
                  <w:jc w:val="right"/>
                  <w:rPr>
                    <w:rFonts w:cs="Times New Roman"/>
                  </w:rPr>
                </w:pPr>
                <w:r>
                  <w:rPr>
                    <w:rFonts w:cs="Times New Roman"/>
                  </w:rPr>
                  <w:t>418,666.66</w:t>
                </w:r>
              </w:p>
            </w:tc>
          </w:tr>
        </w:sdtContent>
      </w:sdt>
      <w:sdt>
        <w:sdtPr>
          <w:rPr>
            <w:rFonts w:cs="Times New Roman"/>
            <w:color w:val="000000" w:themeColor="text1"/>
            <w14:textFill>
              <w14:solidFill>
                <w14:schemeClr w14:val="tx1"/>
              </w14:solidFill>
            </w14:textFill>
          </w:rPr>
          <w:alias w:val="关联租赁情况"/>
          <w:tag w:val="_GBC_b0112b4dc9284dc5a94109344af1edea"/>
          <w:id w:val="-1731837718"/>
          <w:placeholder>
            <w:docPart w:val="{b3f4be12-da9a-4108-a3cb-af77807cbc1c}"/>
          </w:placeholder>
        </w:sdtPr>
        <w:sdtEndPr>
          <w:rPr>
            <w:rFonts w:cs="Times New Roman"/>
            <w:color w:val="000000" w:themeColor="text1"/>
            <w14:textFill>
              <w14:solidFill>
                <w14:schemeClr w14:val="tx1"/>
              </w14:solidFill>
            </w14:textFill>
          </w:rPr>
        </w:sdtEndPr>
        <w:sdtContent>
          <w:tr w14:paraId="6A7F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36" w:type="pct"/>
                <w:tcBorders>
                  <w:top w:val="single" w:color="auto" w:sz="4" w:space="0"/>
                  <w:left w:val="single" w:color="auto" w:sz="4" w:space="0"/>
                  <w:bottom w:val="single" w:color="auto" w:sz="4" w:space="0"/>
                  <w:right w:val="single" w:color="auto" w:sz="4" w:space="0"/>
                </w:tcBorders>
              </w:tcPr>
              <w:p w14:paraId="79512D03">
                <w:pPr>
                  <w:rPr>
                    <w:rFonts w:cs="Times New Roman"/>
                  </w:rPr>
                </w:pPr>
                <w:r>
                  <w:rPr>
                    <w:rFonts w:cs="Times New Roman"/>
                  </w:rPr>
                  <w:t>新兴际华（上海）工程科技研究院有限公司</w:t>
                </w:r>
              </w:p>
            </w:tc>
            <w:tc>
              <w:tcPr>
                <w:tcW w:w="842" w:type="pct"/>
                <w:tcBorders>
                  <w:top w:val="single" w:color="auto" w:sz="4" w:space="0"/>
                  <w:left w:val="single" w:color="auto" w:sz="4" w:space="0"/>
                  <w:bottom w:val="single" w:color="auto" w:sz="4" w:space="0"/>
                  <w:right w:val="single" w:color="auto" w:sz="4" w:space="0"/>
                </w:tcBorders>
              </w:tcPr>
              <w:p w14:paraId="62A5C0A4">
                <w:pPr>
                  <w:jc w:val="center"/>
                  <w:rPr>
                    <w:rFonts w:cs="Times New Roman"/>
                  </w:rPr>
                </w:pPr>
                <w:r>
                  <w:rPr>
                    <w:rFonts w:cs="Times New Roman"/>
                  </w:rPr>
                  <w:t>房屋</w:t>
                </w:r>
              </w:p>
            </w:tc>
            <w:tc>
              <w:tcPr>
                <w:tcW w:w="1018" w:type="pct"/>
                <w:tcBorders>
                  <w:top w:val="single" w:color="auto" w:sz="4" w:space="0"/>
                  <w:left w:val="single" w:color="auto" w:sz="4" w:space="0"/>
                  <w:bottom w:val="single" w:color="auto" w:sz="4" w:space="0"/>
                  <w:right w:val="single" w:color="auto" w:sz="4" w:space="0"/>
                </w:tcBorders>
              </w:tcPr>
              <w:p w14:paraId="50A35DCA">
                <w:pPr>
                  <w:jc w:val="right"/>
                  <w:rPr>
                    <w:rFonts w:cs="Times New Roman"/>
                  </w:rPr>
                </w:pPr>
              </w:p>
            </w:tc>
            <w:tc>
              <w:tcPr>
                <w:tcW w:w="1502" w:type="pct"/>
                <w:tcBorders>
                  <w:top w:val="single" w:color="auto" w:sz="4" w:space="0"/>
                  <w:left w:val="single" w:color="auto" w:sz="4" w:space="0"/>
                  <w:bottom w:val="single" w:color="auto" w:sz="4" w:space="0"/>
                  <w:right w:val="single" w:color="auto" w:sz="4" w:space="0"/>
                </w:tcBorders>
              </w:tcPr>
              <w:p w14:paraId="76823EB1">
                <w:pPr>
                  <w:jc w:val="right"/>
                  <w:rPr>
                    <w:rFonts w:cs="Times New Roman"/>
                  </w:rPr>
                </w:pPr>
                <w:r>
                  <w:rPr>
                    <w:rFonts w:cs="Times New Roman"/>
                  </w:rPr>
                  <w:t>450,990.18</w:t>
                </w:r>
              </w:p>
            </w:tc>
          </w:tr>
        </w:sdtContent>
      </w:sdt>
      <w:sdt>
        <w:sdtPr>
          <w:rPr>
            <w:rFonts w:cs="Times New Roman"/>
            <w:color w:val="000000" w:themeColor="text1"/>
            <w14:textFill>
              <w14:solidFill>
                <w14:schemeClr w14:val="tx1"/>
              </w14:solidFill>
            </w14:textFill>
          </w:rPr>
          <w:alias w:val="关联租赁情况"/>
          <w:tag w:val="_GBC_b0112b4dc9284dc5a94109344af1edea"/>
          <w:id w:val="-264311263"/>
          <w:placeholder>
            <w:docPart w:val="{b3f4be12-da9a-4108-a3cb-af77807cbc1c}"/>
          </w:placeholder>
        </w:sdtPr>
        <w:sdtEndPr>
          <w:rPr>
            <w:rFonts w:cs="Times New Roman"/>
            <w:color w:val="000000" w:themeColor="text1"/>
            <w14:textFill>
              <w14:solidFill>
                <w14:schemeClr w14:val="tx1"/>
              </w14:solidFill>
            </w14:textFill>
          </w:rPr>
        </w:sdtEndPr>
        <w:sdtContent>
          <w:tr w14:paraId="0E97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36" w:type="pct"/>
                <w:tcBorders>
                  <w:top w:val="single" w:color="auto" w:sz="4" w:space="0"/>
                  <w:left w:val="single" w:color="auto" w:sz="4" w:space="0"/>
                  <w:bottom w:val="single" w:color="auto" w:sz="4" w:space="0"/>
                  <w:right w:val="single" w:color="auto" w:sz="4" w:space="0"/>
                </w:tcBorders>
              </w:tcPr>
              <w:p w14:paraId="26216181">
                <w:pPr>
                  <w:rPr>
                    <w:rFonts w:cs="Times New Roman"/>
                  </w:rPr>
                </w:pPr>
                <w:r>
                  <w:rPr>
                    <w:rFonts w:cs="Times New Roman"/>
                  </w:rPr>
                  <w:t>湖南中晟高分子新材料有限公司</w:t>
                </w:r>
              </w:p>
            </w:tc>
            <w:tc>
              <w:tcPr>
                <w:tcW w:w="842" w:type="pct"/>
                <w:tcBorders>
                  <w:top w:val="single" w:color="auto" w:sz="4" w:space="0"/>
                  <w:left w:val="single" w:color="auto" w:sz="4" w:space="0"/>
                  <w:bottom w:val="single" w:color="auto" w:sz="4" w:space="0"/>
                  <w:right w:val="single" w:color="auto" w:sz="4" w:space="0"/>
                </w:tcBorders>
              </w:tcPr>
              <w:p w14:paraId="4B1537F9">
                <w:pPr>
                  <w:jc w:val="center"/>
                  <w:rPr>
                    <w:rFonts w:cs="Times New Roman"/>
                  </w:rPr>
                </w:pPr>
                <w:r>
                  <w:rPr>
                    <w:rFonts w:cs="Times New Roman"/>
                  </w:rPr>
                  <w:t>房屋</w:t>
                </w:r>
              </w:p>
            </w:tc>
            <w:tc>
              <w:tcPr>
                <w:tcW w:w="1018" w:type="pct"/>
                <w:tcBorders>
                  <w:top w:val="single" w:color="auto" w:sz="4" w:space="0"/>
                  <w:left w:val="single" w:color="auto" w:sz="4" w:space="0"/>
                  <w:bottom w:val="single" w:color="auto" w:sz="4" w:space="0"/>
                  <w:right w:val="single" w:color="auto" w:sz="4" w:space="0"/>
                </w:tcBorders>
              </w:tcPr>
              <w:p w14:paraId="12C5FED0">
                <w:pPr>
                  <w:jc w:val="right"/>
                  <w:rPr>
                    <w:rFonts w:cs="Times New Roman"/>
                  </w:rPr>
                </w:pPr>
                <w:r>
                  <w:rPr>
                    <w:rFonts w:cs="Times New Roman"/>
                  </w:rPr>
                  <w:t>2,110,091.76</w:t>
                </w:r>
              </w:p>
            </w:tc>
            <w:tc>
              <w:tcPr>
                <w:tcW w:w="1502" w:type="pct"/>
                <w:tcBorders>
                  <w:top w:val="single" w:color="auto" w:sz="4" w:space="0"/>
                  <w:left w:val="single" w:color="auto" w:sz="4" w:space="0"/>
                  <w:bottom w:val="single" w:color="auto" w:sz="4" w:space="0"/>
                  <w:right w:val="single" w:color="auto" w:sz="4" w:space="0"/>
                </w:tcBorders>
              </w:tcPr>
              <w:p w14:paraId="2F0169E4">
                <w:pPr>
                  <w:jc w:val="right"/>
                  <w:rPr>
                    <w:rFonts w:cs="Times New Roman"/>
                  </w:rPr>
                </w:pPr>
                <w:r>
                  <w:rPr>
                    <w:rFonts w:cs="Times New Roman"/>
                  </w:rPr>
                  <w:t>2,110,091.76</w:t>
                </w:r>
              </w:p>
            </w:tc>
          </w:tr>
        </w:sdtContent>
      </w:sdt>
      <w:sdt>
        <w:sdtPr>
          <w:rPr>
            <w:rFonts w:cs="Times New Roman"/>
            <w:color w:val="000000" w:themeColor="text1"/>
            <w14:textFill>
              <w14:solidFill>
                <w14:schemeClr w14:val="tx1"/>
              </w14:solidFill>
            </w14:textFill>
          </w:rPr>
          <w:alias w:val="关联租赁情况"/>
          <w:tag w:val="_GBC_b0112b4dc9284dc5a94109344af1edea"/>
          <w:id w:val="-536740289"/>
          <w:placeholder>
            <w:docPart w:val="{b3f4be12-da9a-4108-a3cb-af77807cbc1c}"/>
          </w:placeholder>
        </w:sdtPr>
        <w:sdtEndPr>
          <w:rPr>
            <w:rFonts w:cs="Times New Roman"/>
            <w:color w:val="000000" w:themeColor="text1"/>
            <w14:textFill>
              <w14:solidFill>
                <w14:schemeClr w14:val="tx1"/>
              </w14:solidFill>
            </w14:textFill>
          </w:rPr>
        </w:sdtEndPr>
        <w:sdtContent>
          <w:tr w14:paraId="4734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36" w:type="pct"/>
                <w:tcBorders>
                  <w:top w:val="single" w:color="auto" w:sz="4" w:space="0"/>
                  <w:left w:val="single" w:color="auto" w:sz="4" w:space="0"/>
                  <w:bottom w:val="single" w:color="auto" w:sz="4" w:space="0"/>
                  <w:right w:val="single" w:color="auto" w:sz="4" w:space="0"/>
                </w:tcBorders>
              </w:tcPr>
              <w:p w14:paraId="73B9EE92">
                <w:pPr>
                  <w:rPr>
                    <w:rFonts w:cs="Times New Roman"/>
                  </w:rPr>
                </w:pPr>
                <w:r>
                  <w:rPr>
                    <w:rFonts w:cs="Times New Roman"/>
                  </w:rPr>
                  <w:t>南京英斯瑞德高分子材料股份有限公司</w:t>
                </w:r>
              </w:p>
            </w:tc>
            <w:tc>
              <w:tcPr>
                <w:tcW w:w="842" w:type="pct"/>
                <w:tcBorders>
                  <w:top w:val="single" w:color="auto" w:sz="4" w:space="0"/>
                  <w:left w:val="single" w:color="auto" w:sz="4" w:space="0"/>
                  <w:bottom w:val="single" w:color="auto" w:sz="4" w:space="0"/>
                  <w:right w:val="single" w:color="auto" w:sz="4" w:space="0"/>
                </w:tcBorders>
              </w:tcPr>
              <w:p w14:paraId="51D2A1F1">
                <w:pPr>
                  <w:jc w:val="center"/>
                  <w:rPr>
                    <w:rFonts w:cs="Times New Roman"/>
                  </w:rPr>
                </w:pPr>
                <w:r>
                  <w:rPr>
                    <w:rFonts w:cs="Times New Roman"/>
                  </w:rPr>
                  <w:t>房屋、机器设备</w:t>
                </w:r>
              </w:p>
            </w:tc>
            <w:tc>
              <w:tcPr>
                <w:tcW w:w="1018" w:type="pct"/>
                <w:tcBorders>
                  <w:top w:val="single" w:color="auto" w:sz="4" w:space="0"/>
                  <w:left w:val="single" w:color="auto" w:sz="4" w:space="0"/>
                  <w:bottom w:val="single" w:color="auto" w:sz="4" w:space="0"/>
                  <w:right w:val="single" w:color="auto" w:sz="4" w:space="0"/>
                </w:tcBorders>
              </w:tcPr>
              <w:p w14:paraId="77053417">
                <w:pPr>
                  <w:jc w:val="right"/>
                  <w:rPr>
                    <w:rFonts w:cs="Times New Roman"/>
                  </w:rPr>
                </w:pPr>
                <w:r>
                  <w:rPr>
                    <w:rFonts w:cs="Times New Roman"/>
                  </w:rPr>
                  <w:t>663,520.00</w:t>
                </w:r>
              </w:p>
            </w:tc>
            <w:tc>
              <w:tcPr>
                <w:tcW w:w="1502" w:type="pct"/>
                <w:tcBorders>
                  <w:top w:val="single" w:color="auto" w:sz="4" w:space="0"/>
                  <w:left w:val="single" w:color="auto" w:sz="4" w:space="0"/>
                  <w:bottom w:val="single" w:color="auto" w:sz="4" w:space="0"/>
                  <w:right w:val="single" w:color="auto" w:sz="4" w:space="0"/>
                </w:tcBorders>
              </w:tcPr>
              <w:p w14:paraId="56CC47D1">
                <w:pPr>
                  <w:jc w:val="right"/>
                  <w:rPr>
                    <w:rFonts w:cs="Times New Roman"/>
                  </w:rPr>
                </w:pPr>
                <w:r>
                  <w:rPr>
                    <w:rFonts w:cs="Times New Roman"/>
                  </w:rPr>
                  <w:t>666,788.58</w:t>
                </w:r>
              </w:p>
            </w:tc>
          </w:tr>
        </w:sdtContent>
      </w:sdt>
      <w:sdt>
        <w:sdtPr>
          <w:rPr>
            <w:rFonts w:cs="Times New Roman"/>
            <w:color w:val="000000" w:themeColor="text1"/>
            <w14:textFill>
              <w14:solidFill>
                <w14:schemeClr w14:val="tx1"/>
              </w14:solidFill>
            </w14:textFill>
          </w:rPr>
          <w:alias w:val="关联租赁情况"/>
          <w:tag w:val="_GBC_b0112b4dc9284dc5a94109344af1edea"/>
          <w:id w:val="853455122"/>
          <w:placeholder>
            <w:docPart w:val="{b3f4be12-da9a-4108-a3cb-af77807cbc1c}"/>
          </w:placeholder>
        </w:sdtPr>
        <w:sdtEndPr>
          <w:rPr>
            <w:rFonts w:cs="Times New Roman"/>
            <w:color w:val="000000" w:themeColor="text1"/>
            <w14:textFill>
              <w14:solidFill>
                <w14:schemeClr w14:val="tx1"/>
              </w14:solidFill>
            </w14:textFill>
          </w:rPr>
        </w:sdtEndPr>
        <w:sdtContent>
          <w:tr w14:paraId="1A0D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36" w:type="pct"/>
                <w:tcBorders>
                  <w:top w:val="single" w:color="auto" w:sz="4" w:space="0"/>
                  <w:left w:val="single" w:color="auto" w:sz="4" w:space="0"/>
                  <w:bottom w:val="single" w:color="auto" w:sz="4" w:space="0"/>
                  <w:right w:val="single" w:color="auto" w:sz="4" w:space="0"/>
                </w:tcBorders>
              </w:tcPr>
              <w:p w14:paraId="38CE619E">
                <w:pPr>
                  <w:jc w:val="center"/>
                  <w:rPr>
                    <w:rFonts w:cs="Times New Roman"/>
                  </w:rPr>
                </w:pPr>
                <w:r>
                  <w:rPr>
                    <w:rFonts w:cs="Times New Roman"/>
                  </w:rPr>
                  <w:t>合计</w:t>
                </w:r>
              </w:p>
            </w:tc>
            <w:tc>
              <w:tcPr>
                <w:tcW w:w="842" w:type="pct"/>
                <w:tcBorders>
                  <w:top w:val="single" w:color="auto" w:sz="4" w:space="0"/>
                  <w:left w:val="single" w:color="auto" w:sz="4" w:space="0"/>
                  <w:bottom w:val="single" w:color="auto" w:sz="4" w:space="0"/>
                  <w:right w:val="single" w:color="auto" w:sz="4" w:space="0"/>
                </w:tcBorders>
              </w:tcPr>
              <w:p w14:paraId="470ED378">
                <w:pPr>
                  <w:rPr>
                    <w:rFonts w:cs="Times New Roman"/>
                  </w:rPr>
                </w:pPr>
              </w:p>
            </w:tc>
            <w:tc>
              <w:tcPr>
                <w:tcW w:w="1018" w:type="pct"/>
                <w:tcBorders>
                  <w:top w:val="single" w:color="auto" w:sz="4" w:space="0"/>
                  <w:left w:val="single" w:color="auto" w:sz="4" w:space="0"/>
                  <w:bottom w:val="single" w:color="auto" w:sz="4" w:space="0"/>
                  <w:right w:val="single" w:color="auto" w:sz="4" w:space="0"/>
                </w:tcBorders>
              </w:tcPr>
              <w:p w14:paraId="4C131DEE">
                <w:pPr>
                  <w:jc w:val="right"/>
                  <w:rPr>
                    <w:rFonts w:cs="Times New Roman"/>
                  </w:rPr>
                </w:pPr>
                <w:r>
                  <w:rPr>
                    <w:rFonts w:cs="Times New Roman"/>
                  </w:rPr>
                  <w:t>3,922,945.08</w:t>
                </w:r>
              </w:p>
            </w:tc>
            <w:tc>
              <w:tcPr>
                <w:tcW w:w="1502" w:type="pct"/>
                <w:tcBorders>
                  <w:top w:val="single" w:color="auto" w:sz="4" w:space="0"/>
                  <w:left w:val="single" w:color="auto" w:sz="4" w:space="0"/>
                  <w:bottom w:val="single" w:color="auto" w:sz="4" w:space="0"/>
                  <w:right w:val="single" w:color="auto" w:sz="4" w:space="0"/>
                </w:tcBorders>
              </w:tcPr>
              <w:p w14:paraId="058F3E07">
                <w:pPr>
                  <w:jc w:val="right"/>
                  <w:rPr>
                    <w:rFonts w:cs="Times New Roman"/>
                  </w:rPr>
                </w:pPr>
                <w:r>
                  <w:rPr>
                    <w:rFonts w:cs="Times New Roman"/>
                  </w:rPr>
                  <w:t>4,598,918.12</w:t>
                </w:r>
              </w:p>
            </w:tc>
          </w:tr>
        </w:sdtContent>
      </w:sdt>
    </w:tbl>
    <w:p w14:paraId="06BEDE73">
      <w:pPr>
        <w:rPr>
          <w:color w:val="000000" w:themeColor="text1"/>
          <w14:textFill>
            <w14:solidFill>
              <w14:schemeClr w14:val="tx1"/>
            </w14:solidFill>
          </w14:textFill>
        </w:rPr>
      </w:pPr>
    </w:p>
    <w:p w14:paraId="6BD974E9">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本公司作为承租方：</w:t>
      </w:r>
    </w:p>
    <w:sdt>
      <w:sdtPr>
        <w:rPr>
          <w:color w:val="000000" w:themeColor="text1"/>
          <w14:textFill>
            <w14:solidFill>
              <w14:schemeClr w14:val="tx1"/>
            </w14:solidFill>
          </w14:textFill>
        </w:rPr>
        <w:alias w:val="是否适用：本公司作为承租方的租赁情况表[双击切换]"/>
        <w:tag w:val="_GBC_e3319fb4cbb04bb0ab5516046d7e77a4"/>
        <w:id w:val="1763414504"/>
      </w:sdtPr>
      <w:sdtEndPr>
        <w:rPr>
          <w:color w:val="000000" w:themeColor="text1"/>
          <w14:textFill>
            <w14:solidFill>
              <w14:schemeClr w14:val="tx1"/>
            </w14:solidFill>
          </w14:textFill>
        </w:rPr>
      </w:sdtEndPr>
      <w:sdtContent>
        <w:p w14:paraId="7CCEFF9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A3362F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公司承租情况表"/>
          <w:tag w:val="_GBC_c4f9d2e7743f429a85c30d009abea834"/>
          <w:id w:val="-487333550"/>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公司承租情况表"/>
          <w:tag w:val="_GBC_bad2c4d4779f4dc2bace6d7ca19d4585"/>
          <w:id w:val="200046058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154"/>
        <w:gridCol w:w="1297"/>
        <w:gridCol w:w="1185"/>
        <w:gridCol w:w="1177"/>
        <w:gridCol w:w="1006"/>
        <w:gridCol w:w="807"/>
        <w:gridCol w:w="1319"/>
        <w:gridCol w:w="1255"/>
        <w:gridCol w:w="1339"/>
        <w:gridCol w:w="1177"/>
        <w:gridCol w:w="1003"/>
      </w:tblGrid>
      <w:tr w14:paraId="3747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rFonts w:cs="Times New Roman"/>
            </w:rPr>
            <w:tag w:val="_PLD_373cb020ea834537bd7d32c38e2f2dbb"/>
            <w:id w:val="-304623394"/>
          </w:sdtPr>
          <w:sdtEndPr>
            <w:rPr>
              <w:rFonts w:cs="Times New Roman"/>
            </w:rPr>
          </w:sdtEndPr>
          <w:sdtContent>
            <w:tc>
              <w:tcPr>
                <w:tcW w:w="458" w:type="pct"/>
                <w:vMerge w:val="restart"/>
                <w:vAlign w:val="center"/>
              </w:tcPr>
              <w:p w14:paraId="6CEB12D3">
                <w:pPr>
                  <w:jc w:val="center"/>
                  <w:rPr>
                    <w:rFonts w:cs="Times New Roman"/>
                  </w:rPr>
                </w:pPr>
                <w:r>
                  <w:rPr>
                    <w:rFonts w:cs="Times New Roman"/>
                  </w:rPr>
                  <w:t>出租方名称</w:t>
                </w:r>
              </w:p>
            </w:tc>
          </w:sdtContent>
        </w:sdt>
        <w:sdt>
          <w:sdtPr>
            <w:rPr>
              <w:rFonts w:cs="Times New Roman"/>
            </w:rPr>
            <w:tag w:val="_PLD_5c5cde6f65e14786b3649ac7e04282d7"/>
            <w:id w:val="872193656"/>
          </w:sdtPr>
          <w:sdtEndPr>
            <w:rPr>
              <w:rFonts w:cs="Times New Roman"/>
            </w:rPr>
          </w:sdtEndPr>
          <w:sdtContent>
            <w:tc>
              <w:tcPr>
                <w:tcW w:w="413" w:type="pct"/>
                <w:vMerge w:val="restart"/>
                <w:vAlign w:val="center"/>
              </w:tcPr>
              <w:p w14:paraId="1218D35B">
                <w:pPr>
                  <w:jc w:val="center"/>
                  <w:rPr>
                    <w:rFonts w:cs="Times New Roman"/>
                  </w:rPr>
                </w:pPr>
                <w:r>
                  <w:rPr>
                    <w:rFonts w:cs="Times New Roman"/>
                  </w:rPr>
                  <w:t>租赁资产种类</w:t>
                </w:r>
              </w:p>
            </w:tc>
          </w:sdtContent>
        </w:sdt>
        <w:sdt>
          <w:sdtPr>
            <w:rPr>
              <w:rFonts w:cs="Times New Roman"/>
            </w:rPr>
            <w:tag w:val="_PLD_3f4d501d18db41e7a31aafcb3633af3b"/>
            <w:id w:val="-1249577931"/>
          </w:sdtPr>
          <w:sdtEndPr>
            <w:rPr>
              <w:rFonts w:cs="Times New Roman"/>
            </w:rPr>
          </w:sdtEndPr>
          <w:sdtContent>
            <w:tc>
              <w:tcPr>
                <w:tcW w:w="1958" w:type="pct"/>
                <w:gridSpan w:val="5"/>
                <w:vAlign w:val="center"/>
              </w:tcPr>
              <w:p w14:paraId="58EAC8D9">
                <w:pPr>
                  <w:jc w:val="center"/>
                  <w:rPr>
                    <w:rFonts w:cs="Times New Roman"/>
                    <w:color w:val="000000"/>
                  </w:rPr>
                </w:pPr>
                <w:r>
                  <w:rPr>
                    <w:rFonts w:cs="Times New Roman"/>
                    <w:color w:val="000000"/>
                  </w:rPr>
                  <w:t>本期发生额</w:t>
                </w:r>
              </w:p>
            </w:tc>
          </w:sdtContent>
        </w:sdt>
        <w:sdt>
          <w:sdtPr>
            <w:rPr>
              <w:rFonts w:cs="Times New Roman"/>
            </w:rPr>
            <w:tag w:val="_PLD_2f457073e63c4a8bac5d81d3caefbe3a"/>
            <w:id w:val="137535712"/>
          </w:sdtPr>
          <w:sdtEndPr>
            <w:rPr>
              <w:rFonts w:cs="Times New Roman"/>
            </w:rPr>
          </w:sdtEndPr>
          <w:sdtContent>
            <w:tc>
              <w:tcPr>
                <w:tcW w:w="2172" w:type="pct"/>
                <w:gridSpan w:val="5"/>
                <w:vAlign w:val="center"/>
              </w:tcPr>
              <w:p w14:paraId="05509E32">
                <w:pPr>
                  <w:jc w:val="center"/>
                  <w:rPr>
                    <w:rFonts w:cs="Times New Roman"/>
                    <w:color w:val="000000"/>
                  </w:rPr>
                </w:pPr>
                <w:r>
                  <w:rPr>
                    <w:rFonts w:cs="Times New Roman"/>
                    <w:color w:val="000000"/>
                  </w:rPr>
                  <w:t>上期发生额</w:t>
                </w:r>
              </w:p>
            </w:tc>
          </w:sdtContent>
        </w:sdt>
      </w:tr>
      <w:tr w14:paraId="3231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58" w:type="pct"/>
            <w:vMerge w:val="continue"/>
            <w:tcBorders>
              <w:bottom w:val="single" w:color="auto" w:sz="4" w:space="0"/>
            </w:tcBorders>
            <w:vAlign w:val="center"/>
          </w:tcPr>
          <w:p w14:paraId="03FD8362">
            <w:pPr>
              <w:jc w:val="center"/>
              <w:rPr>
                <w:rFonts w:cs="Times New Roman"/>
                <w:color w:val="000000"/>
              </w:rPr>
            </w:pPr>
          </w:p>
        </w:tc>
        <w:tc>
          <w:tcPr>
            <w:tcW w:w="413" w:type="pct"/>
            <w:vMerge w:val="continue"/>
            <w:tcBorders>
              <w:bottom w:val="single" w:color="auto" w:sz="4" w:space="0"/>
            </w:tcBorders>
            <w:vAlign w:val="center"/>
          </w:tcPr>
          <w:p w14:paraId="11B4E9CD">
            <w:pPr>
              <w:jc w:val="center"/>
              <w:rPr>
                <w:rFonts w:cs="Times New Roman"/>
                <w:color w:val="000000"/>
              </w:rPr>
            </w:pPr>
          </w:p>
        </w:tc>
        <w:sdt>
          <w:sdtPr>
            <w:rPr>
              <w:rFonts w:cs="Times New Roman"/>
            </w:rPr>
            <w:tag w:val="_PLD_2cca083aef1e4708bd43f9dbbfbeafef"/>
            <w:id w:val="323470332"/>
          </w:sdtPr>
          <w:sdtEndPr>
            <w:rPr>
              <w:rFonts w:cs="Times New Roman"/>
            </w:rPr>
          </w:sdtEndPr>
          <w:sdtContent>
            <w:tc>
              <w:tcPr>
                <w:tcW w:w="464" w:type="pct"/>
                <w:tcBorders>
                  <w:top w:val="single" w:color="auto" w:sz="4" w:space="0"/>
                  <w:bottom w:val="single" w:color="auto" w:sz="4" w:space="0"/>
                  <w:right w:val="single" w:color="auto" w:sz="4" w:space="0"/>
                </w:tcBorders>
                <w:vAlign w:val="center"/>
              </w:tcPr>
              <w:p w14:paraId="62535AC2">
                <w:pPr>
                  <w:jc w:val="center"/>
                  <w:rPr>
                    <w:rFonts w:cs="Times New Roman"/>
                  </w:rPr>
                </w:pPr>
                <w:r>
                  <w:rPr>
                    <w:rFonts w:cs="Times New Roman"/>
                  </w:rPr>
                  <w:t>简化处理的短期租赁和低价值资产租赁的租金费用（如适用）</w:t>
                </w:r>
              </w:p>
            </w:tc>
          </w:sdtContent>
        </w:sdt>
        <w:sdt>
          <w:sdtPr>
            <w:rPr>
              <w:rFonts w:cs="Times New Roman"/>
            </w:rPr>
            <w:tag w:val="_PLD_4624d4edd2f64322a60efca48b0061ad"/>
            <w:id w:val="10807430"/>
          </w:sdtPr>
          <w:sdtEndPr>
            <w:rPr>
              <w:rFonts w:cs="Times New Roman"/>
            </w:rPr>
          </w:sdtEndPr>
          <w:sdtContent>
            <w:tc>
              <w:tcPr>
                <w:tcW w:w="424" w:type="pct"/>
                <w:tcBorders>
                  <w:top w:val="single" w:color="auto" w:sz="4" w:space="0"/>
                  <w:left w:val="single" w:color="auto" w:sz="4" w:space="0"/>
                  <w:bottom w:val="single" w:color="auto" w:sz="4" w:space="0"/>
                  <w:right w:val="single" w:color="auto" w:sz="4" w:space="0"/>
                </w:tcBorders>
                <w:vAlign w:val="center"/>
              </w:tcPr>
              <w:p w14:paraId="02F8A86E">
                <w:pPr>
                  <w:jc w:val="center"/>
                  <w:rPr>
                    <w:rFonts w:cs="Times New Roman"/>
                  </w:rPr>
                </w:pPr>
                <w:r>
                  <w:rPr>
                    <w:rFonts w:cs="Times New Roman"/>
                  </w:rPr>
                  <w:t>未纳入租赁负债计量的可变租赁付款额（如适用）</w:t>
                </w:r>
              </w:p>
            </w:tc>
          </w:sdtContent>
        </w:sdt>
        <w:sdt>
          <w:sdtPr>
            <w:rPr>
              <w:rFonts w:cs="Times New Roman"/>
            </w:rPr>
            <w:tag w:val="_PLD_e3452f719b72499489e3cbcb97b93412"/>
            <w:id w:val="-860969715"/>
          </w:sdtPr>
          <w:sdtEndPr>
            <w:rPr>
              <w:rFonts w:cs="Times New Roman"/>
            </w:rPr>
          </w:sdtEndPr>
          <w:sdtContent>
            <w:tc>
              <w:tcPr>
                <w:tcW w:w="421" w:type="pct"/>
                <w:tcBorders>
                  <w:top w:val="single" w:color="auto" w:sz="4" w:space="0"/>
                  <w:left w:val="single" w:color="auto" w:sz="4" w:space="0"/>
                  <w:bottom w:val="single" w:color="auto" w:sz="4" w:space="0"/>
                  <w:right w:val="single" w:color="auto" w:sz="4" w:space="0"/>
                </w:tcBorders>
                <w:vAlign w:val="center"/>
              </w:tcPr>
              <w:p w14:paraId="73166DCB">
                <w:pPr>
                  <w:jc w:val="center"/>
                  <w:rPr>
                    <w:rFonts w:cs="Times New Roman"/>
                  </w:rPr>
                </w:pPr>
                <w:r>
                  <w:rPr>
                    <w:rFonts w:cs="Times New Roman"/>
                  </w:rPr>
                  <w:t>支付的租金</w:t>
                </w:r>
              </w:p>
            </w:tc>
          </w:sdtContent>
        </w:sdt>
        <w:sdt>
          <w:sdtPr>
            <w:rPr>
              <w:rFonts w:cs="Times New Roman"/>
            </w:rPr>
            <w:tag w:val="_PLD_5cbd4f1b976f4ed69d0189b277196f5c"/>
            <w:id w:val="1410112306"/>
          </w:sdtPr>
          <w:sdtEndPr>
            <w:rPr>
              <w:rFonts w:cs="Times New Roman"/>
            </w:rPr>
          </w:sdtEndPr>
          <w:sdtContent>
            <w:tc>
              <w:tcPr>
                <w:tcW w:w="360" w:type="pct"/>
                <w:tcBorders>
                  <w:top w:val="single" w:color="auto" w:sz="4" w:space="0"/>
                  <w:left w:val="single" w:color="auto" w:sz="4" w:space="0"/>
                  <w:bottom w:val="single" w:color="auto" w:sz="4" w:space="0"/>
                  <w:right w:val="single" w:color="auto" w:sz="4" w:space="0"/>
                </w:tcBorders>
                <w:vAlign w:val="center"/>
              </w:tcPr>
              <w:p w14:paraId="34D09408">
                <w:pPr>
                  <w:jc w:val="center"/>
                  <w:rPr>
                    <w:rFonts w:cs="Times New Roman"/>
                  </w:rPr>
                </w:pPr>
                <w:r>
                  <w:rPr>
                    <w:rFonts w:cs="Times New Roman"/>
                  </w:rPr>
                  <w:t>承担的租赁负债利息支出</w:t>
                </w:r>
              </w:p>
            </w:tc>
          </w:sdtContent>
        </w:sdt>
        <w:sdt>
          <w:sdtPr>
            <w:rPr>
              <w:rFonts w:cs="Times New Roman"/>
            </w:rPr>
            <w:tag w:val="_PLD_d499b1b56a11497b8f0f2bb857579485"/>
            <w:id w:val="1073314134"/>
          </w:sdtPr>
          <w:sdtEndPr>
            <w:rPr>
              <w:rFonts w:cs="Times New Roman"/>
            </w:rPr>
          </w:sdtEndPr>
          <w:sdtContent>
            <w:tc>
              <w:tcPr>
                <w:tcW w:w="289" w:type="pct"/>
                <w:tcBorders>
                  <w:top w:val="single" w:color="auto" w:sz="4" w:space="0"/>
                  <w:left w:val="single" w:color="auto" w:sz="4" w:space="0"/>
                  <w:bottom w:val="single" w:color="auto" w:sz="4" w:space="0"/>
                  <w:right w:val="single" w:color="auto" w:sz="4" w:space="0"/>
                </w:tcBorders>
                <w:vAlign w:val="center"/>
              </w:tcPr>
              <w:p w14:paraId="48C5E985">
                <w:pPr>
                  <w:jc w:val="center"/>
                  <w:rPr>
                    <w:rFonts w:cs="Times New Roman"/>
                  </w:rPr>
                </w:pPr>
                <w:r>
                  <w:rPr>
                    <w:rFonts w:cs="Times New Roman"/>
                  </w:rPr>
                  <w:t>增加的使用权资产</w:t>
                </w:r>
              </w:p>
            </w:tc>
          </w:sdtContent>
        </w:sdt>
        <w:sdt>
          <w:sdtPr>
            <w:rPr>
              <w:rFonts w:cs="Times New Roman"/>
            </w:rPr>
            <w:tag w:val="_PLD_c1f9a77e90694673a4096dbd51ac191f"/>
            <w:id w:val="609174771"/>
          </w:sdtPr>
          <w:sdtEndPr>
            <w:rPr>
              <w:rFonts w:cs="Times New Roman"/>
            </w:rPr>
          </w:sdtEndPr>
          <w:sdtContent>
            <w:tc>
              <w:tcPr>
                <w:tcW w:w="463" w:type="pct"/>
                <w:tcBorders>
                  <w:top w:val="single" w:color="auto" w:sz="4" w:space="0"/>
                  <w:left w:val="single" w:color="auto" w:sz="4" w:space="0"/>
                  <w:bottom w:val="single" w:color="auto" w:sz="4" w:space="0"/>
                  <w:right w:val="single" w:color="auto" w:sz="4" w:space="0"/>
                </w:tcBorders>
                <w:vAlign w:val="center"/>
              </w:tcPr>
              <w:p w14:paraId="0D7561ED">
                <w:pPr>
                  <w:jc w:val="center"/>
                  <w:rPr>
                    <w:rFonts w:cs="Times New Roman"/>
                  </w:rPr>
                </w:pPr>
                <w:r>
                  <w:rPr>
                    <w:rFonts w:cs="Times New Roman"/>
                  </w:rPr>
                  <w:t>简化处理的短期租赁和低价值资产租赁的租金费用（如适用）</w:t>
                </w:r>
              </w:p>
            </w:tc>
          </w:sdtContent>
        </w:sdt>
        <w:sdt>
          <w:sdtPr>
            <w:rPr>
              <w:rFonts w:cs="Times New Roman"/>
            </w:rPr>
            <w:tag w:val="_PLD_702bedacc77d48f4a48c06bbc6be7246"/>
            <w:id w:val="1787393114"/>
          </w:sdtPr>
          <w:sdtEndPr>
            <w:rPr>
              <w:rFonts w:cs="Times New Roman"/>
            </w:rPr>
          </w:sdtEndPr>
          <w:sdtContent>
            <w:tc>
              <w:tcPr>
                <w:tcW w:w="449" w:type="pct"/>
                <w:tcBorders>
                  <w:top w:val="single" w:color="auto" w:sz="4" w:space="0"/>
                  <w:left w:val="single" w:color="auto" w:sz="4" w:space="0"/>
                  <w:bottom w:val="single" w:color="auto" w:sz="4" w:space="0"/>
                  <w:right w:val="single" w:color="auto" w:sz="4" w:space="0"/>
                </w:tcBorders>
                <w:vAlign w:val="center"/>
              </w:tcPr>
              <w:p w14:paraId="79289E2E">
                <w:pPr>
                  <w:jc w:val="center"/>
                  <w:rPr>
                    <w:rFonts w:cs="Times New Roman"/>
                  </w:rPr>
                </w:pPr>
                <w:r>
                  <w:rPr>
                    <w:rFonts w:cs="Times New Roman"/>
                  </w:rPr>
                  <w:t>未纳入租赁负债计量的可变租赁付款额（如适用）</w:t>
                </w:r>
              </w:p>
            </w:tc>
          </w:sdtContent>
        </w:sdt>
        <w:sdt>
          <w:sdtPr>
            <w:rPr>
              <w:rFonts w:cs="Times New Roman"/>
            </w:rPr>
            <w:tag w:val="_PLD_c8e149cad8104501947599e30b0601d2"/>
            <w:id w:val="-196318752"/>
          </w:sdtPr>
          <w:sdtEndPr>
            <w:rPr>
              <w:rFonts w:cs="Times New Roman"/>
            </w:rPr>
          </w:sdtEndPr>
          <w:sdtContent>
            <w:tc>
              <w:tcPr>
                <w:tcW w:w="479" w:type="pct"/>
                <w:tcBorders>
                  <w:top w:val="single" w:color="auto" w:sz="4" w:space="0"/>
                  <w:left w:val="single" w:color="auto" w:sz="4" w:space="0"/>
                  <w:bottom w:val="single" w:color="auto" w:sz="4" w:space="0"/>
                  <w:right w:val="single" w:color="auto" w:sz="4" w:space="0"/>
                </w:tcBorders>
                <w:vAlign w:val="center"/>
              </w:tcPr>
              <w:p w14:paraId="6967F6B9">
                <w:pPr>
                  <w:jc w:val="center"/>
                  <w:rPr>
                    <w:rFonts w:cs="Times New Roman"/>
                  </w:rPr>
                </w:pPr>
                <w:r>
                  <w:rPr>
                    <w:rFonts w:cs="Times New Roman"/>
                  </w:rPr>
                  <w:t>支付的租金</w:t>
                </w:r>
              </w:p>
            </w:tc>
          </w:sdtContent>
        </w:sdt>
        <w:sdt>
          <w:sdtPr>
            <w:rPr>
              <w:rFonts w:cs="Times New Roman"/>
            </w:rPr>
            <w:tag w:val="_PLD_942451a6865e45aea3d0224d7814a4ce"/>
            <w:id w:val="169376761"/>
          </w:sdtPr>
          <w:sdtEndPr>
            <w:rPr>
              <w:rFonts w:cs="Times New Roman"/>
            </w:rPr>
          </w:sdtEndPr>
          <w:sdtContent>
            <w:tc>
              <w:tcPr>
                <w:tcW w:w="421" w:type="pct"/>
                <w:tcBorders>
                  <w:top w:val="single" w:color="auto" w:sz="4" w:space="0"/>
                  <w:left w:val="single" w:color="auto" w:sz="4" w:space="0"/>
                  <w:bottom w:val="single" w:color="auto" w:sz="4" w:space="0"/>
                  <w:right w:val="single" w:color="auto" w:sz="4" w:space="0"/>
                </w:tcBorders>
                <w:vAlign w:val="center"/>
              </w:tcPr>
              <w:p w14:paraId="4CC25A20">
                <w:pPr>
                  <w:jc w:val="center"/>
                  <w:rPr>
                    <w:rFonts w:cs="Times New Roman"/>
                  </w:rPr>
                </w:pPr>
                <w:r>
                  <w:rPr>
                    <w:rFonts w:cs="Times New Roman"/>
                  </w:rPr>
                  <w:t>承担的租赁负债利息支出</w:t>
                </w:r>
              </w:p>
            </w:tc>
          </w:sdtContent>
        </w:sdt>
        <w:sdt>
          <w:sdtPr>
            <w:rPr>
              <w:rFonts w:cs="Times New Roman"/>
            </w:rPr>
            <w:tag w:val="_PLD_d568cde7ab1f4fd8a2045af8fb20a3cd"/>
            <w:id w:val="1366718584"/>
          </w:sdtPr>
          <w:sdtEndPr>
            <w:rPr>
              <w:rFonts w:cs="Times New Roman"/>
            </w:rPr>
          </w:sdtEndPr>
          <w:sdtContent>
            <w:tc>
              <w:tcPr>
                <w:tcW w:w="359" w:type="pct"/>
                <w:tcBorders>
                  <w:top w:val="single" w:color="auto" w:sz="4" w:space="0"/>
                  <w:left w:val="single" w:color="auto" w:sz="4" w:space="0"/>
                  <w:bottom w:val="single" w:color="auto" w:sz="4" w:space="0"/>
                  <w:right w:val="single" w:color="auto" w:sz="4" w:space="0"/>
                </w:tcBorders>
                <w:vAlign w:val="center"/>
              </w:tcPr>
              <w:p w14:paraId="6DC4E228">
                <w:pPr>
                  <w:jc w:val="center"/>
                  <w:rPr>
                    <w:rFonts w:cs="Times New Roman"/>
                  </w:rPr>
                </w:pPr>
                <w:r>
                  <w:rPr>
                    <w:rFonts w:cs="Times New Roman"/>
                  </w:rPr>
                  <w:t>增加的使用权资产</w:t>
                </w:r>
              </w:p>
            </w:tc>
          </w:sdtContent>
        </w:sdt>
      </w:tr>
      <w:sdt>
        <w:sdtPr>
          <w:rPr>
            <w:rFonts w:cs="Times New Roman"/>
            <w:color w:val="000000"/>
          </w:rPr>
          <w:alias w:val="公司承租情况明细"/>
          <w:tag w:val="_TUP_ebb1ad055b8649d7ad8719d21bc811c6"/>
          <w:id w:val="-454863555"/>
          <w:placeholder>
            <w:docPart w:val="{b3f4be12-da9a-4108-a3cb-af77807cbc1c}"/>
          </w:placeholder>
        </w:sdtPr>
        <w:sdtEndPr>
          <w:rPr>
            <w:rFonts w:cs="Times New Roman"/>
            <w:color w:val="000000"/>
          </w:rPr>
        </w:sdtEndPr>
        <w:sdtContent>
          <w:tr w14:paraId="4982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42E2C725">
                <w:pPr>
                  <w:rPr>
                    <w:rFonts w:cs="Times New Roman"/>
                  </w:rPr>
                </w:pPr>
                <w:r>
                  <w:rPr>
                    <w:rFonts w:cs="Times New Roman"/>
                  </w:rPr>
                  <w:t>咸阳际华投资发展有限公司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1CC0589E">
                <w:pPr>
                  <w:jc w:val="center"/>
                  <w:rPr>
                    <w:rFonts w:cs="Times New Roman"/>
                  </w:rPr>
                </w:pPr>
                <w:r>
                  <w:rPr>
                    <w:rFonts w:cs="Times New Roman"/>
                  </w:rPr>
                  <w:t>房屋、土地</w:t>
                </w:r>
              </w:p>
            </w:tc>
            <w:tc>
              <w:tcPr>
                <w:tcW w:w="464" w:type="pct"/>
                <w:tcBorders>
                  <w:top w:val="single" w:color="auto" w:sz="4" w:space="0"/>
                  <w:left w:val="single" w:color="auto" w:sz="4" w:space="0"/>
                  <w:bottom w:val="single" w:color="auto" w:sz="4" w:space="0"/>
                  <w:right w:val="single" w:color="auto" w:sz="4" w:space="0"/>
                </w:tcBorders>
                <w:vAlign w:val="center"/>
              </w:tcPr>
              <w:p w14:paraId="22DC7A31">
                <w:pPr>
                  <w:jc w:val="right"/>
                  <w:rPr>
                    <w:rFonts w:cs="Times New Roman"/>
                  </w:rPr>
                </w:pPr>
                <w:r>
                  <w:rPr>
                    <w:rFonts w:cs="Times New Roman"/>
                  </w:rPr>
                  <w:t>261,031.01</w:t>
                </w:r>
              </w:p>
            </w:tc>
            <w:tc>
              <w:tcPr>
                <w:tcW w:w="424" w:type="pct"/>
                <w:tcBorders>
                  <w:top w:val="single" w:color="auto" w:sz="4" w:space="0"/>
                  <w:left w:val="single" w:color="auto" w:sz="4" w:space="0"/>
                  <w:bottom w:val="single" w:color="auto" w:sz="4" w:space="0"/>
                  <w:right w:val="single" w:color="auto" w:sz="4" w:space="0"/>
                </w:tcBorders>
                <w:vAlign w:val="center"/>
              </w:tcPr>
              <w:p w14:paraId="6C44162B">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7EC001C5">
                <w:pPr>
                  <w:jc w:val="right"/>
                  <w:rPr>
                    <w:rFonts w:cs="Times New Roman"/>
                  </w:rPr>
                </w:pPr>
              </w:p>
            </w:tc>
            <w:tc>
              <w:tcPr>
                <w:tcW w:w="360" w:type="pct"/>
                <w:tcBorders>
                  <w:top w:val="single" w:color="auto" w:sz="4" w:space="0"/>
                  <w:left w:val="single" w:color="auto" w:sz="4" w:space="0"/>
                  <w:bottom w:val="single" w:color="auto" w:sz="4" w:space="0"/>
                  <w:right w:val="single" w:color="auto" w:sz="4" w:space="0"/>
                </w:tcBorders>
                <w:vAlign w:val="center"/>
              </w:tcPr>
              <w:p w14:paraId="7ED82F51">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02005CB8">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1CC8268F">
                <w:pPr>
                  <w:jc w:val="right"/>
                  <w:rPr>
                    <w:rFonts w:cs="Times New Roman"/>
                  </w:rPr>
                </w:pPr>
                <w:r>
                  <w:rPr>
                    <w:rFonts w:cs="Times New Roman"/>
                  </w:rPr>
                  <w:t>283,966.80</w:t>
                </w:r>
              </w:p>
            </w:tc>
            <w:tc>
              <w:tcPr>
                <w:tcW w:w="449" w:type="pct"/>
                <w:tcBorders>
                  <w:top w:val="single" w:color="auto" w:sz="4" w:space="0"/>
                  <w:left w:val="single" w:color="auto" w:sz="4" w:space="0"/>
                  <w:bottom w:val="single" w:color="auto" w:sz="4" w:space="0"/>
                  <w:right w:val="single" w:color="auto" w:sz="4" w:space="0"/>
                </w:tcBorders>
                <w:vAlign w:val="center"/>
              </w:tcPr>
              <w:p w14:paraId="63E0849F">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286E6F43">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118D1729">
                <w:pPr>
                  <w:jc w:val="right"/>
                  <w:rPr>
                    <w:rFonts w:cs="Times New Roman"/>
                  </w:rPr>
                </w:pPr>
              </w:p>
            </w:tc>
            <w:tc>
              <w:tcPr>
                <w:tcW w:w="359" w:type="pct"/>
                <w:tcBorders>
                  <w:top w:val="single" w:color="auto" w:sz="4" w:space="0"/>
                  <w:left w:val="single" w:color="auto" w:sz="4" w:space="0"/>
                  <w:bottom w:val="single" w:color="auto" w:sz="4" w:space="0"/>
                  <w:right w:val="single" w:color="auto" w:sz="4" w:space="0"/>
                </w:tcBorders>
                <w:vAlign w:val="center"/>
              </w:tcPr>
              <w:p w14:paraId="78BF1108">
                <w:pPr>
                  <w:jc w:val="right"/>
                  <w:rPr>
                    <w:rFonts w:cs="Times New Roman"/>
                  </w:rPr>
                </w:pPr>
              </w:p>
            </w:tc>
          </w:tr>
        </w:sdtContent>
      </w:sdt>
      <w:sdt>
        <w:sdtPr>
          <w:rPr>
            <w:rFonts w:cs="Times New Roman"/>
            <w:color w:val="000000"/>
          </w:rPr>
          <w:alias w:val="公司承租情况明细"/>
          <w:tag w:val="_TUP_ebb1ad055b8649d7ad8719d21bc811c6"/>
          <w:id w:val="1568763874"/>
          <w:placeholder>
            <w:docPart w:val="{b3f4be12-da9a-4108-a3cb-af77807cbc1c}"/>
          </w:placeholder>
        </w:sdtPr>
        <w:sdtEndPr>
          <w:rPr>
            <w:rFonts w:cs="Times New Roman"/>
            <w:color w:val="000000"/>
          </w:rPr>
        </w:sdtEndPr>
        <w:sdtContent>
          <w:tr w14:paraId="73D0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7F25455F">
                <w:pPr>
                  <w:rPr>
                    <w:rFonts w:cs="Times New Roman"/>
                  </w:rPr>
                </w:pPr>
                <w:r>
                  <w:rPr>
                    <w:rFonts w:cs="Times New Roman"/>
                  </w:rPr>
                  <w:t>武汉汉江资产运营有限公司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09CEF9A6">
                <w:pPr>
                  <w:jc w:val="center"/>
                  <w:rPr>
                    <w:rFonts w:cs="Times New Roman"/>
                  </w:rPr>
                </w:pPr>
                <w:r>
                  <w:rPr>
                    <w:rFonts w:cs="Times New Roman"/>
                  </w:rPr>
                  <w:t>房屋、土地</w:t>
                </w:r>
              </w:p>
            </w:tc>
            <w:tc>
              <w:tcPr>
                <w:tcW w:w="464" w:type="pct"/>
                <w:tcBorders>
                  <w:top w:val="single" w:color="auto" w:sz="4" w:space="0"/>
                  <w:left w:val="single" w:color="auto" w:sz="4" w:space="0"/>
                  <w:bottom w:val="single" w:color="auto" w:sz="4" w:space="0"/>
                  <w:right w:val="single" w:color="auto" w:sz="4" w:space="0"/>
                </w:tcBorders>
                <w:vAlign w:val="center"/>
              </w:tcPr>
              <w:p w14:paraId="3CB6CA30">
                <w:pPr>
                  <w:jc w:val="right"/>
                  <w:rPr>
                    <w:rFonts w:cs="Times New Roman"/>
                  </w:rPr>
                </w:pPr>
              </w:p>
            </w:tc>
            <w:tc>
              <w:tcPr>
                <w:tcW w:w="424" w:type="pct"/>
                <w:tcBorders>
                  <w:top w:val="single" w:color="auto" w:sz="4" w:space="0"/>
                  <w:left w:val="single" w:color="auto" w:sz="4" w:space="0"/>
                  <w:bottom w:val="single" w:color="auto" w:sz="4" w:space="0"/>
                  <w:right w:val="single" w:color="auto" w:sz="4" w:space="0"/>
                </w:tcBorders>
                <w:vAlign w:val="center"/>
              </w:tcPr>
              <w:p w14:paraId="5581837B">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58060BC3">
                <w:pPr>
                  <w:jc w:val="right"/>
                  <w:rPr>
                    <w:rFonts w:cs="Times New Roman"/>
                  </w:rPr>
                </w:pPr>
              </w:p>
            </w:tc>
            <w:tc>
              <w:tcPr>
                <w:tcW w:w="360" w:type="pct"/>
                <w:tcBorders>
                  <w:top w:val="single" w:color="auto" w:sz="4" w:space="0"/>
                  <w:left w:val="single" w:color="auto" w:sz="4" w:space="0"/>
                  <w:bottom w:val="single" w:color="auto" w:sz="4" w:space="0"/>
                  <w:right w:val="single" w:color="auto" w:sz="4" w:space="0"/>
                </w:tcBorders>
                <w:vAlign w:val="center"/>
              </w:tcPr>
              <w:p w14:paraId="4451BB89">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652C3DC5">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504E1925">
                <w:pPr>
                  <w:jc w:val="right"/>
                  <w:rPr>
                    <w:rFonts w:cs="Times New Roman"/>
                  </w:rPr>
                </w:pPr>
                <w:r>
                  <w:rPr>
                    <w:rFonts w:cs="Times New Roman"/>
                  </w:rPr>
                  <w:t>47,619.05</w:t>
                </w:r>
              </w:p>
            </w:tc>
            <w:tc>
              <w:tcPr>
                <w:tcW w:w="449" w:type="pct"/>
                <w:tcBorders>
                  <w:top w:val="single" w:color="auto" w:sz="4" w:space="0"/>
                  <w:left w:val="single" w:color="auto" w:sz="4" w:space="0"/>
                  <w:bottom w:val="single" w:color="auto" w:sz="4" w:space="0"/>
                  <w:right w:val="single" w:color="auto" w:sz="4" w:space="0"/>
                </w:tcBorders>
                <w:vAlign w:val="center"/>
              </w:tcPr>
              <w:p w14:paraId="290420DE">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41FD3A90">
                <w:pPr>
                  <w:jc w:val="right"/>
                  <w:rPr>
                    <w:rFonts w:cs="Times New Roman"/>
                  </w:rPr>
                </w:pPr>
                <w:r>
                  <w:rPr>
                    <w:rFonts w:cs="Times New Roman"/>
                  </w:rPr>
                  <w:t>50,000.00</w:t>
                </w:r>
              </w:p>
            </w:tc>
            <w:tc>
              <w:tcPr>
                <w:tcW w:w="421" w:type="pct"/>
                <w:tcBorders>
                  <w:top w:val="single" w:color="auto" w:sz="4" w:space="0"/>
                  <w:left w:val="single" w:color="auto" w:sz="4" w:space="0"/>
                  <w:bottom w:val="single" w:color="auto" w:sz="4" w:space="0"/>
                  <w:right w:val="single" w:color="auto" w:sz="4" w:space="0"/>
                </w:tcBorders>
                <w:vAlign w:val="center"/>
              </w:tcPr>
              <w:p w14:paraId="36526522">
                <w:pPr>
                  <w:jc w:val="right"/>
                  <w:rPr>
                    <w:rFonts w:cs="Times New Roman"/>
                  </w:rPr>
                </w:pPr>
                <w:r>
                  <w:rPr>
                    <w:rFonts w:cs="Times New Roman"/>
                  </w:rPr>
                  <w:t>160,291.99</w:t>
                </w:r>
              </w:p>
            </w:tc>
            <w:tc>
              <w:tcPr>
                <w:tcW w:w="359" w:type="pct"/>
                <w:tcBorders>
                  <w:top w:val="single" w:color="auto" w:sz="4" w:space="0"/>
                  <w:left w:val="single" w:color="auto" w:sz="4" w:space="0"/>
                  <w:bottom w:val="single" w:color="auto" w:sz="4" w:space="0"/>
                  <w:right w:val="single" w:color="auto" w:sz="4" w:space="0"/>
                </w:tcBorders>
                <w:vAlign w:val="center"/>
              </w:tcPr>
              <w:p w14:paraId="39F69B24">
                <w:pPr>
                  <w:jc w:val="right"/>
                  <w:rPr>
                    <w:rFonts w:cs="Times New Roman"/>
                  </w:rPr>
                </w:pPr>
              </w:p>
            </w:tc>
          </w:tr>
        </w:sdtContent>
      </w:sdt>
      <w:sdt>
        <w:sdtPr>
          <w:rPr>
            <w:rFonts w:cs="Times New Roman"/>
            <w:color w:val="000000"/>
          </w:rPr>
          <w:alias w:val="公司承租情况明细"/>
          <w:tag w:val="_TUP_ebb1ad055b8649d7ad8719d21bc811c6"/>
          <w:id w:val="-1987765989"/>
          <w:placeholder>
            <w:docPart w:val="{b3f4be12-da9a-4108-a3cb-af77807cbc1c}"/>
          </w:placeholder>
        </w:sdtPr>
        <w:sdtEndPr>
          <w:rPr>
            <w:rFonts w:cs="Times New Roman"/>
            <w:color w:val="000000"/>
          </w:rPr>
        </w:sdtEndPr>
        <w:sdtContent>
          <w:tr w14:paraId="0690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47FFA41C">
                <w:pPr>
                  <w:rPr>
                    <w:rFonts w:cs="Times New Roman"/>
                  </w:rPr>
                </w:pPr>
                <w:r>
                  <w:rPr>
                    <w:rFonts w:cs="Times New Roman"/>
                  </w:rPr>
                  <w:t>北京三五零一服装厂有限公司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6D20D13F">
                <w:pPr>
                  <w:jc w:val="center"/>
                  <w:rPr>
                    <w:rFonts w:cs="Times New Roman"/>
                  </w:rPr>
                </w:pPr>
                <w:r>
                  <w:rPr>
                    <w:rFonts w:cs="Times New Roman"/>
                  </w:rPr>
                  <w:t>房屋</w:t>
                </w:r>
              </w:p>
            </w:tc>
            <w:tc>
              <w:tcPr>
                <w:tcW w:w="464" w:type="pct"/>
                <w:tcBorders>
                  <w:top w:val="single" w:color="auto" w:sz="4" w:space="0"/>
                  <w:left w:val="single" w:color="auto" w:sz="4" w:space="0"/>
                  <w:bottom w:val="single" w:color="auto" w:sz="4" w:space="0"/>
                  <w:right w:val="single" w:color="auto" w:sz="4" w:space="0"/>
                </w:tcBorders>
                <w:vAlign w:val="center"/>
              </w:tcPr>
              <w:p w14:paraId="2B0AC8E8">
                <w:pPr>
                  <w:jc w:val="right"/>
                  <w:rPr>
                    <w:rFonts w:cs="Times New Roman"/>
                  </w:rPr>
                </w:pPr>
                <w:r>
                  <w:rPr>
                    <w:rFonts w:cs="Times New Roman"/>
                  </w:rPr>
                  <w:t>258,189.50</w:t>
                </w:r>
              </w:p>
            </w:tc>
            <w:tc>
              <w:tcPr>
                <w:tcW w:w="424" w:type="pct"/>
                <w:tcBorders>
                  <w:top w:val="single" w:color="auto" w:sz="4" w:space="0"/>
                  <w:left w:val="single" w:color="auto" w:sz="4" w:space="0"/>
                  <w:bottom w:val="single" w:color="auto" w:sz="4" w:space="0"/>
                  <w:right w:val="single" w:color="auto" w:sz="4" w:space="0"/>
                </w:tcBorders>
                <w:vAlign w:val="center"/>
              </w:tcPr>
              <w:p w14:paraId="169C89CC">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37A70AF1">
                <w:pPr>
                  <w:jc w:val="right"/>
                  <w:rPr>
                    <w:rFonts w:cs="Times New Roman"/>
                  </w:rPr>
                </w:pPr>
                <w:r>
                  <w:rPr>
                    <w:rFonts w:cs="Times New Roman"/>
                  </w:rPr>
                  <w:t>271,099.00</w:t>
                </w:r>
              </w:p>
            </w:tc>
            <w:tc>
              <w:tcPr>
                <w:tcW w:w="360" w:type="pct"/>
                <w:tcBorders>
                  <w:top w:val="single" w:color="auto" w:sz="4" w:space="0"/>
                  <w:left w:val="single" w:color="auto" w:sz="4" w:space="0"/>
                  <w:bottom w:val="single" w:color="auto" w:sz="4" w:space="0"/>
                  <w:right w:val="single" w:color="auto" w:sz="4" w:space="0"/>
                </w:tcBorders>
                <w:vAlign w:val="center"/>
              </w:tcPr>
              <w:p w14:paraId="756A3EB9">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7FE1700C">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3AD6A48F">
                <w:pPr>
                  <w:jc w:val="right"/>
                  <w:rPr>
                    <w:rFonts w:cs="Times New Roman"/>
                  </w:rPr>
                </w:pPr>
                <w:r>
                  <w:rPr>
                    <w:rFonts w:cs="Times New Roman"/>
                  </w:rPr>
                  <w:t>4,583,464.31</w:t>
                </w:r>
              </w:p>
            </w:tc>
            <w:tc>
              <w:tcPr>
                <w:tcW w:w="449" w:type="pct"/>
                <w:tcBorders>
                  <w:top w:val="single" w:color="auto" w:sz="4" w:space="0"/>
                  <w:left w:val="single" w:color="auto" w:sz="4" w:space="0"/>
                  <w:bottom w:val="single" w:color="auto" w:sz="4" w:space="0"/>
                  <w:right w:val="single" w:color="auto" w:sz="4" w:space="0"/>
                </w:tcBorders>
                <w:vAlign w:val="center"/>
              </w:tcPr>
              <w:p w14:paraId="5237B1A4">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060F531D">
                <w:pPr>
                  <w:jc w:val="right"/>
                  <w:rPr>
                    <w:rFonts w:cs="Times New Roman"/>
                  </w:rPr>
                </w:pPr>
                <w:r>
                  <w:rPr>
                    <w:rFonts w:cs="Times New Roman"/>
                  </w:rPr>
                  <w:t>4,812,637.56</w:t>
                </w:r>
              </w:p>
            </w:tc>
            <w:tc>
              <w:tcPr>
                <w:tcW w:w="421" w:type="pct"/>
                <w:tcBorders>
                  <w:top w:val="single" w:color="auto" w:sz="4" w:space="0"/>
                  <w:left w:val="single" w:color="auto" w:sz="4" w:space="0"/>
                  <w:bottom w:val="single" w:color="auto" w:sz="4" w:space="0"/>
                  <w:right w:val="single" w:color="auto" w:sz="4" w:space="0"/>
                </w:tcBorders>
                <w:vAlign w:val="center"/>
              </w:tcPr>
              <w:p w14:paraId="27F27F32">
                <w:pPr>
                  <w:jc w:val="right"/>
                  <w:rPr>
                    <w:rFonts w:cs="Times New Roman"/>
                  </w:rPr>
                </w:pPr>
              </w:p>
            </w:tc>
            <w:tc>
              <w:tcPr>
                <w:tcW w:w="359" w:type="pct"/>
                <w:tcBorders>
                  <w:top w:val="single" w:color="auto" w:sz="4" w:space="0"/>
                  <w:left w:val="single" w:color="auto" w:sz="4" w:space="0"/>
                  <w:bottom w:val="single" w:color="auto" w:sz="4" w:space="0"/>
                  <w:right w:val="single" w:color="auto" w:sz="4" w:space="0"/>
                </w:tcBorders>
                <w:vAlign w:val="center"/>
              </w:tcPr>
              <w:p w14:paraId="1C803E8E">
                <w:pPr>
                  <w:jc w:val="right"/>
                  <w:rPr>
                    <w:rFonts w:cs="Times New Roman"/>
                  </w:rPr>
                </w:pPr>
              </w:p>
            </w:tc>
          </w:tr>
        </w:sdtContent>
      </w:sdt>
      <w:sdt>
        <w:sdtPr>
          <w:rPr>
            <w:rFonts w:cs="Times New Roman"/>
            <w:color w:val="000000"/>
          </w:rPr>
          <w:alias w:val="公司承租情况明细"/>
          <w:tag w:val="_TUP_ebb1ad055b8649d7ad8719d21bc811c6"/>
          <w:id w:val="1915895001"/>
          <w:placeholder>
            <w:docPart w:val="{b3f4be12-da9a-4108-a3cb-af77807cbc1c}"/>
          </w:placeholder>
        </w:sdtPr>
        <w:sdtEndPr>
          <w:rPr>
            <w:rFonts w:cs="Times New Roman"/>
            <w:color w:val="000000"/>
          </w:rPr>
        </w:sdtEndPr>
        <w:sdtContent>
          <w:tr w14:paraId="53C8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12CE0BB0">
                <w:pPr>
                  <w:rPr>
                    <w:rFonts w:cs="Times New Roman"/>
                  </w:rPr>
                </w:pPr>
                <w:r>
                  <w:rPr>
                    <w:rFonts w:cs="Times New Roman"/>
                  </w:rPr>
                  <w:t>南京际华五三零二科技发展有限公司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500BDEAF">
                <w:pPr>
                  <w:jc w:val="center"/>
                  <w:rPr>
                    <w:rFonts w:cs="Times New Roman"/>
                  </w:rPr>
                </w:pPr>
                <w:r>
                  <w:rPr>
                    <w:rFonts w:cs="Times New Roman"/>
                  </w:rPr>
                  <w:t>房屋</w:t>
                </w:r>
              </w:p>
            </w:tc>
            <w:tc>
              <w:tcPr>
                <w:tcW w:w="464" w:type="pct"/>
                <w:tcBorders>
                  <w:top w:val="single" w:color="auto" w:sz="4" w:space="0"/>
                  <w:left w:val="single" w:color="auto" w:sz="4" w:space="0"/>
                  <w:bottom w:val="single" w:color="auto" w:sz="4" w:space="0"/>
                  <w:right w:val="single" w:color="auto" w:sz="4" w:space="0"/>
                </w:tcBorders>
                <w:vAlign w:val="center"/>
              </w:tcPr>
              <w:p w14:paraId="4C06724E">
                <w:pPr>
                  <w:jc w:val="right"/>
                  <w:rPr>
                    <w:rFonts w:cs="Times New Roman"/>
                  </w:rPr>
                </w:pPr>
              </w:p>
            </w:tc>
            <w:tc>
              <w:tcPr>
                <w:tcW w:w="424" w:type="pct"/>
                <w:tcBorders>
                  <w:top w:val="single" w:color="auto" w:sz="4" w:space="0"/>
                  <w:left w:val="single" w:color="auto" w:sz="4" w:space="0"/>
                  <w:bottom w:val="single" w:color="auto" w:sz="4" w:space="0"/>
                  <w:right w:val="single" w:color="auto" w:sz="4" w:space="0"/>
                </w:tcBorders>
                <w:vAlign w:val="center"/>
              </w:tcPr>
              <w:p w14:paraId="604AC1AE">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4E2227C3">
                <w:pPr>
                  <w:jc w:val="right"/>
                  <w:rPr>
                    <w:rFonts w:cs="Times New Roman"/>
                  </w:rPr>
                </w:pPr>
              </w:p>
            </w:tc>
            <w:tc>
              <w:tcPr>
                <w:tcW w:w="360" w:type="pct"/>
                <w:tcBorders>
                  <w:top w:val="single" w:color="auto" w:sz="4" w:space="0"/>
                  <w:left w:val="single" w:color="auto" w:sz="4" w:space="0"/>
                  <w:bottom w:val="single" w:color="auto" w:sz="4" w:space="0"/>
                  <w:right w:val="single" w:color="auto" w:sz="4" w:space="0"/>
                </w:tcBorders>
                <w:vAlign w:val="center"/>
              </w:tcPr>
              <w:p w14:paraId="11B1C708">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3DC1514E">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7E56D044">
                <w:pPr>
                  <w:jc w:val="right"/>
                  <w:rPr>
                    <w:rFonts w:cs="Times New Roman"/>
                  </w:rPr>
                </w:pPr>
                <w:r>
                  <w:rPr>
                    <w:rFonts w:cs="Times New Roman"/>
                  </w:rPr>
                  <w:t>85,714.26</w:t>
                </w:r>
              </w:p>
            </w:tc>
            <w:tc>
              <w:tcPr>
                <w:tcW w:w="449" w:type="pct"/>
                <w:tcBorders>
                  <w:top w:val="single" w:color="auto" w:sz="4" w:space="0"/>
                  <w:left w:val="single" w:color="auto" w:sz="4" w:space="0"/>
                  <w:bottom w:val="single" w:color="auto" w:sz="4" w:space="0"/>
                  <w:right w:val="single" w:color="auto" w:sz="4" w:space="0"/>
                </w:tcBorders>
                <w:vAlign w:val="center"/>
              </w:tcPr>
              <w:p w14:paraId="4F0BB4BA">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1C25A208">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0A712B19">
                <w:pPr>
                  <w:jc w:val="right"/>
                  <w:rPr>
                    <w:rFonts w:cs="Times New Roman"/>
                  </w:rPr>
                </w:pPr>
              </w:p>
            </w:tc>
            <w:tc>
              <w:tcPr>
                <w:tcW w:w="359" w:type="pct"/>
                <w:tcBorders>
                  <w:top w:val="single" w:color="auto" w:sz="4" w:space="0"/>
                  <w:left w:val="single" w:color="auto" w:sz="4" w:space="0"/>
                  <w:bottom w:val="single" w:color="auto" w:sz="4" w:space="0"/>
                  <w:right w:val="single" w:color="auto" w:sz="4" w:space="0"/>
                </w:tcBorders>
                <w:vAlign w:val="center"/>
              </w:tcPr>
              <w:p w14:paraId="54DC53C7">
                <w:pPr>
                  <w:jc w:val="right"/>
                  <w:rPr>
                    <w:rFonts w:cs="Times New Roman"/>
                  </w:rPr>
                </w:pPr>
              </w:p>
            </w:tc>
          </w:tr>
        </w:sdtContent>
      </w:sdt>
      <w:sdt>
        <w:sdtPr>
          <w:rPr>
            <w:rFonts w:cs="Times New Roman"/>
            <w:color w:val="000000"/>
          </w:rPr>
          <w:alias w:val="公司承租情况明细"/>
          <w:tag w:val="_TUP_ebb1ad055b8649d7ad8719d21bc811c6"/>
          <w:id w:val="-1534029504"/>
          <w:placeholder>
            <w:docPart w:val="{b3f4be12-da9a-4108-a3cb-af77807cbc1c}"/>
          </w:placeholder>
        </w:sdtPr>
        <w:sdtEndPr>
          <w:rPr>
            <w:rFonts w:cs="Times New Roman"/>
            <w:color w:val="000000"/>
          </w:rPr>
        </w:sdtEndPr>
        <w:sdtContent>
          <w:tr w14:paraId="1E1B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455EC1FC">
                <w:pPr>
                  <w:rPr>
                    <w:rFonts w:cs="Times New Roman"/>
                  </w:rPr>
                </w:pPr>
                <w:r>
                  <w:rPr>
                    <w:rFonts w:cs="Times New Roman"/>
                  </w:rPr>
                  <w:t>南京新际资产运营有限公司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5A1C487E">
                <w:pPr>
                  <w:jc w:val="center"/>
                  <w:rPr>
                    <w:rFonts w:cs="Times New Roman"/>
                  </w:rPr>
                </w:pPr>
                <w:r>
                  <w:rPr>
                    <w:rFonts w:cs="Times New Roman"/>
                  </w:rPr>
                  <w:t>房屋</w:t>
                </w:r>
              </w:p>
            </w:tc>
            <w:tc>
              <w:tcPr>
                <w:tcW w:w="464" w:type="pct"/>
                <w:tcBorders>
                  <w:top w:val="single" w:color="auto" w:sz="4" w:space="0"/>
                  <w:left w:val="single" w:color="auto" w:sz="4" w:space="0"/>
                  <w:bottom w:val="single" w:color="auto" w:sz="4" w:space="0"/>
                  <w:right w:val="single" w:color="auto" w:sz="4" w:space="0"/>
                </w:tcBorders>
                <w:vAlign w:val="center"/>
              </w:tcPr>
              <w:p w14:paraId="7C2316C4">
                <w:pPr>
                  <w:jc w:val="right"/>
                  <w:rPr>
                    <w:rFonts w:cs="Times New Roman"/>
                  </w:rPr>
                </w:pPr>
              </w:p>
            </w:tc>
            <w:tc>
              <w:tcPr>
                <w:tcW w:w="424" w:type="pct"/>
                <w:tcBorders>
                  <w:top w:val="single" w:color="auto" w:sz="4" w:space="0"/>
                  <w:left w:val="single" w:color="auto" w:sz="4" w:space="0"/>
                  <w:bottom w:val="single" w:color="auto" w:sz="4" w:space="0"/>
                  <w:right w:val="single" w:color="auto" w:sz="4" w:space="0"/>
                </w:tcBorders>
                <w:vAlign w:val="center"/>
              </w:tcPr>
              <w:p w14:paraId="32436E07">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5DFB76B6">
                <w:pPr>
                  <w:jc w:val="right"/>
                  <w:rPr>
                    <w:rFonts w:cs="Times New Roman"/>
                  </w:rPr>
                </w:pPr>
              </w:p>
            </w:tc>
            <w:tc>
              <w:tcPr>
                <w:tcW w:w="360" w:type="pct"/>
                <w:tcBorders>
                  <w:top w:val="single" w:color="auto" w:sz="4" w:space="0"/>
                  <w:left w:val="single" w:color="auto" w:sz="4" w:space="0"/>
                  <w:bottom w:val="single" w:color="auto" w:sz="4" w:space="0"/>
                  <w:right w:val="single" w:color="auto" w:sz="4" w:space="0"/>
                </w:tcBorders>
                <w:vAlign w:val="center"/>
              </w:tcPr>
              <w:p w14:paraId="300A65DE">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130C2D97">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22241FCB">
                <w:pPr>
                  <w:jc w:val="right"/>
                  <w:rPr>
                    <w:rFonts w:cs="Times New Roman"/>
                  </w:rPr>
                </w:pPr>
              </w:p>
            </w:tc>
            <w:tc>
              <w:tcPr>
                <w:tcW w:w="449" w:type="pct"/>
                <w:tcBorders>
                  <w:top w:val="single" w:color="auto" w:sz="4" w:space="0"/>
                  <w:left w:val="single" w:color="auto" w:sz="4" w:space="0"/>
                  <w:bottom w:val="single" w:color="auto" w:sz="4" w:space="0"/>
                  <w:right w:val="single" w:color="auto" w:sz="4" w:space="0"/>
                </w:tcBorders>
                <w:vAlign w:val="center"/>
              </w:tcPr>
              <w:p w14:paraId="38AA811D">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0C87B19C">
                <w:pPr>
                  <w:jc w:val="right"/>
                  <w:rPr>
                    <w:rFonts w:cs="Times New Roman"/>
                  </w:rPr>
                </w:pPr>
                <w:r>
                  <w:rPr>
                    <w:rFonts w:cs="Times New Roman"/>
                  </w:rPr>
                  <w:t>500,000.00</w:t>
                </w:r>
              </w:p>
            </w:tc>
            <w:tc>
              <w:tcPr>
                <w:tcW w:w="421" w:type="pct"/>
                <w:tcBorders>
                  <w:top w:val="single" w:color="auto" w:sz="4" w:space="0"/>
                  <w:left w:val="single" w:color="auto" w:sz="4" w:space="0"/>
                  <w:bottom w:val="single" w:color="auto" w:sz="4" w:space="0"/>
                  <w:right w:val="single" w:color="auto" w:sz="4" w:space="0"/>
                </w:tcBorders>
                <w:vAlign w:val="center"/>
              </w:tcPr>
              <w:p w14:paraId="49066CDB">
                <w:pPr>
                  <w:jc w:val="right"/>
                  <w:rPr>
                    <w:rFonts w:cs="Times New Roman"/>
                  </w:rPr>
                </w:pPr>
              </w:p>
            </w:tc>
            <w:tc>
              <w:tcPr>
                <w:tcW w:w="359" w:type="pct"/>
                <w:tcBorders>
                  <w:top w:val="single" w:color="auto" w:sz="4" w:space="0"/>
                  <w:left w:val="single" w:color="auto" w:sz="4" w:space="0"/>
                  <w:bottom w:val="single" w:color="auto" w:sz="4" w:space="0"/>
                  <w:right w:val="single" w:color="auto" w:sz="4" w:space="0"/>
                </w:tcBorders>
                <w:vAlign w:val="center"/>
              </w:tcPr>
              <w:p w14:paraId="45ECCFA1">
                <w:pPr>
                  <w:jc w:val="right"/>
                  <w:rPr>
                    <w:rFonts w:cs="Times New Roman"/>
                  </w:rPr>
                </w:pPr>
              </w:p>
            </w:tc>
          </w:tr>
        </w:sdtContent>
      </w:sdt>
      <w:sdt>
        <w:sdtPr>
          <w:rPr>
            <w:rFonts w:cs="Times New Roman"/>
            <w:color w:val="000000"/>
          </w:rPr>
          <w:alias w:val="公司承租情况明细"/>
          <w:tag w:val="_TUP_ebb1ad055b8649d7ad8719d21bc811c6"/>
          <w:id w:val="-1750566465"/>
          <w:placeholder>
            <w:docPart w:val="{b3f4be12-da9a-4108-a3cb-af77807cbc1c}"/>
          </w:placeholder>
        </w:sdtPr>
        <w:sdtEndPr>
          <w:rPr>
            <w:rFonts w:cs="Times New Roman"/>
            <w:color w:val="000000"/>
          </w:rPr>
        </w:sdtEndPr>
        <w:sdtContent>
          <w:tr w14:paraId="72C1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6A80D068">
                <w:pPr>
                  <w:rPr>
                    <w:rFonts w:cs="Times New Roman"/>
                  </w:rPr>
                </w:pPr>
                <w:r>
                  <w:rPr>
                    <w:rFonts w:cs="Times New Roman"/>
                  </w:rPr>
                  <w:t>石家庄际华资产管理有限公司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5CFC9BE9">
                <w:pPr>
                  <w:jc w:val="center"/>
                  <w:rPr>
                    <w:rFonts w:cs="Times New Roman"/>
                  </w:rPr>
                </w:pPr>
                <w:r>
                  <w:rPr>
                    <w:rFonts w:cs="Times New Roman"/>
                  </w:rPr>
                  <w:t>房屋</w:t>
                </w:r>
              </w:p>
            </w:tc>
            <w:tc>
              <w:tcPr>
                <w:tcW w:w="464" w:type="pct"/>
                <w:tcBorders>
                  <w:top w:val="single" w:color="auto" w:sz="4" w:space="0"/>
                  <w:left w:val="single" w:color="auto" w:sz="4" w:space="0"/>
                  <w:bottom w:val="single" w:color="auto" w:sz="4" w:space="0"/>
                  <w:right w:val="single" w:color="auto" w:sz="4" w:space="0"/>
                </w:tcBorders>
                <w:vAlign w:val="center"/>
              </w:tcPr>
              <w:p w14:paraId="4B6E5788">
                <w:pPr>
                  <w:jc w:val="right"/>
                  <w:rPr>
                    <w:rFonts w:cs="Times New Roman"/>
                  </w:rPr>
                </w:pPr>
                <w:r>
                  <w:rPr>
                    <w:rFonts w:cs="Times New Roman"/>
                  </w:rPr>
                  <w:t>270,758.74</w:t>
                </w:r>
              </w:p>
            </w:tc>
            <w:tc>
              <w:tcPr>
                <w:tcW w:w="424" w:type="pct"/>
                <w:tcBorders>
                  <w:top w:val="single" w:color="auto" w:sz="4" w:space="0"/>
                  <w:left w:val="single" w:color="auto" w:sz="4" w:space="0"/>
                  <w:bottom w:val="single" w:color="auto" w:sz="4" w:space="0"/>
                  <w:right w:val="single" w:color="auto" w:sz="4" w:space="0"/>
                </w:tcBorders>
                <w:vAlign w:val="center"/>
              </w:tcPr>
              <w:p w14:paraId="4191470C">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120CE0EA">
                <w:pPr>
                  <w:jc w:val="right"/>
                  <w:rPr>
                    <w:rFonts w:cs="Times New Roman"/>
                  </w:rPr>
                </w:pPr>
                <w:r>
                  <w:rPr>
                    <w:rFonts w:cs="Times New Roman"/>
                  </w:rPr>
                  <w:t>284,296.68</w:t>
                </w:r>
              </w:p>
            </w:tc>
            <w:tc>
              <w:tcPr>
                <w:tcW w:w="360" w:type="pct"/>
                <w:tcBorders>
                  <w:top w:val="single" w:color="auto" w:sz="4" w:space="0"/>
                  <w:left w:val="single" w:color="auto" w:sz="4" w:space="0"/>
                  <w:bottom w:val="single" w:color="auto" w:sz="4" w:space="0"/>
                  <w:right w:val="single" w:color="auto" w:sz="4" w:space="0"/>
                </w:tcBorders>
                <w:vAlign w:val="center"/>
              </w:tcPr>
              <w:p w14:paraId="5512BBDD">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3F33DE7D">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377BCFF1">
                <w:pPr>
                  <w:jc w:val="right"/>
                  <w:rPr>
                    <w:rFonts w:cs="Times New Roman"/>
                  </w:rPr>
                </w:pPr>
              </w:p>
            </w:tc>
            <w:tc>
              <w:tcPr>
                <w:tcW w:w="449" w:type="pct"/>
                <w:tcBorders>
                  <w:top w:val="single" w:color="auto" w:sz="4" w:space="0"/>
                  <w:left w:val="single" w:color="auto" w:sz="4" w:space="0"/>
                  <w:bottom w:val="single" w:color="auto" w:sz="4" w:space="0"/>
                  <w:right w:val="single" w:color="auto" w:sz="4" w:space="0"/>
                </w:tcBorders>
                <w:vAlign w:val="center"/>
              </w:tcPr>
              <w:p w14:paraId="3C0F7055">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5977E4F2">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7B6CD32A">
                <w:pPr>
                  <w:jc w:val="right"/>
                  <w:rPr>
                    <w:rFonts w:cs="Times New Roman"/>
                  </w:rPr>
                </w:pPr>
              </w:p>
            </w:tc>
            <w:tc>
              <w:tcPr>
                <w:tcW w:w="359" w:type="pct"/>
                <w:tcBorders>
                  <w:top w:val="single" w:color="auto" w:sz="4" w:space="0"/>
                  <w:left w:val="single" w:color="auto" w:sz="4" w:space="0"/>
                  <w:bottom w:val="single" w:color="auto" w:sz="4" w:space="0"/>
                  <w:right w:val="single" w:color="auto" w:sz="4" w:space="0"/>
                </w:tcBorders>
                <w:vAlign w:val="center"/>
              </w:tcPr>
              <w:p w14:paraId="1EB77F3B">
                <w:pPr>
                  <w:jc w:val="right"/>
                  <w:rPr>
                    <w:rFonts w:cs="Times New Roman"/>
                  </w:rPr>
                </w:pPr>
              </w:p>
            </w:tc>
          </w:tr>
        </w:sdtContent>
      </w:sdt>
      <w:sdt>
        <w:sdtPr>
          <w:rPr>
            <w:rFonts w:cs="Times New Roman"/>
            <w:color w:val="000000"/>
          </w:rPr>
          <w:alias w:val="公司承租情况明细"/>
          <w:tag w:val="_TUP_ebb1ad055b8649d7ad8719d21bc811c6"/>
          <w:id w:val="-172654160"/>
          <w:placeholder>
            <w:docPart w:val="{b3f4be12-da9a-4108-a3cb-af77807cbc1c}"/>
          </w:placeholder>
        </w:sdtPr>
        <w:sdtEndPr>
          <w:rPr>
            <w:rFonts w:cs="Times New Roman"/>
            <w:color w:val="000000"/>
          </w:rPr>
        </w:sdtEndPr>
        <w:sdtContent>
          <w:tr w14:paraId="302B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27E80CBF">
                <w:pPr>
                  <w:rPr>
                    <w:rFonts w:cs="Times New Roman"/>
                  </w:rPr>
                </w:pPr>
                <w:r>
                  <w:rPr>
                    <w:rFonts w:cs="Times New Roman"/>
                  </w:rPr>
                  <w:t>新兴际华（上海）工程科技研究院有限公司</w:t>
                </w:r>
              </w:p>
            </w:tc>
            <w:tc>
              <w:tcPr>
                <w:tcW w:w="413" w:type="pct"/>
                <w:tcBorders>
                  <w:top w:val="single" w:color="auto" w:sz="4" w:space="0"/>
                  <w:left w:val="single" w:color="auto" w:sz="4" w:space="0"/>
                  <w:bottom w:val="single" w:color="auto" w:sz="4" w:space="0"/>
                  <w:right w:val="single" w:color="auto" w:sz="4" w:space="0"/>
                </w:tcBorders>
                <w:vAlign w:val="center"/>
              </w:tcPr>
              <w:p w14:paraId="7048B6D3">
                <w:pPr>
                  <w:jc w:val="center"/>
                  <w:rPr>
                    <w:rFonts w:cs="Times New Roman"/>
                  </w:rPr>
                </w:pPr>
                <w:r>
                  <w:rPr>
                    <w:rFonts w:cs="Times New Roman"/>
                  </w:rPr>
                  <w:t>房屋</w:t>
                </w:r>
              </w:p>
            </w:tc>
            <w:tc>
              <w:tcPr>
                <w:tcW w:w="464" w:type="pct"/>
                <w:tcBorders>
                  <w:top w:val="single" w:color="auto" w:sz="4" w:space="0"/>
                  <w:left w:val="single" w:color="auto" w:sz="4" w:space="0"/>
                  <w:bottom w:val="single" w:color="auto" w:sz="4" w:space="0"/>
                  <w:right w:val="single" w:color="auto" w:sz="4" w:space="0"/>
                </w:tcBorders>
                <w:vAlign w:val="center"/>
              </w:tcPr>
              <w:p w14:paraId="279619FF">
                <w:pPr>
                  <w:jc w:val="right"/>
                  <w:rPr>
                    <w:rFonts w:cs="Times New Roman"/>
                  </w:rPr>
                </w:pPr>
                <w:r>
                  <w:rPr>
                    <w:rFonts w:cs="Times New Roman"/>
                  </w:rPr>
                  <w:t>29,100.00</w:t>
                </w:r>
              </w:p>
            </w:tc>
            <w:tc>
              <w:tcPr>
                <w:tcW w:w="424" w:type="pct"/>
                <w:tcBorders>
                  <w:top w:val="single" w:color="auto" w:sz="4" w:space="0"/>
                  <w:left w:val="single" w:color="auto" w:sz="4" w:space="0"/>
                  <w:bottom w:val="single" w:color="auto" w:sz="4" w:space="0"/>
                  <w:right w:val="single" w:color="auto" w:sz="4" w:space="0"/>
                </w:tcBorders>
                <w:vAlign w:val="center"/>
              </w:tcPr>
              <w:p w14:paraId="0752E5AA">
                <w:pPr>
                  <w:jc w:val="right"/>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38AD7780">
                <w:pPr>
                  <w:jc w:val="right"/>
                  <w:rPr>
                    <w:rFonts w:cs="Times New Roman"/>
                  </w:rPr>
                </w:pPr>
                <w:r>
                  <w:rPr>
                    <w:rFonts w:cs="Times New Roman"/>
                  </w:rPr>
                  <w:t>31,719.00</w:t>
                </w:r>
              </w:p>
            </w:tc>
            <w:tc>
              <w:tcPr>
                <w:tcW w:w="360" w:type="pct"/>
                <w:tcBorders>
                  <w:top w:val="single" w:color="auto" w:sz="4" w:space="0"/>
                  <w:left w:val="single" w:color="auto" w:sz="4" w:space="0"/>
                  <w:bottom w:val="single" w:color="auto" w:sz="4" w:space="0"/>
                  <w:right w:val="single" w:color="auto" w:sz="4" w:space="0"/>
                </w:tcBorders>
                <w:vAlign w:val="center"/>
              </w:tcPr>
              <w:p w14:paraId="036E04E8">
                <w:pPr>
                  <w:jc w:val="right"/>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2F21508D">
                <w:pPr>
                  <w:jc w:val="right"/>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4F0C39D6">
                <w:pPr>
                  <w:jc w:val="right"/>
                  <w:rPr>
                    <w:rFonts w:cs="Times New Roman"/>
                  </w:rPr>
                </w:pPr>
                <w:r>
                  <w:rPr>
                    <w:rFonts w:cs="Times New Roman"/>
                  </w:rPr>
                  <w:t>29,100.00</w:t>
                </w:r>
              </w:p>
            </w:tc>
            <w:tc>
              <w:tcPr>
                <w:tcW w:w="449" w:type="pct"/>
                <w:tcBorders>
                  <w:top w:val="single" w:color="auto" w:sz="4" w:space="0"/>
                  <w:left w:val="single" w:color="auto" w:sz="4" w:space="0"/>
                  <w:bottom w:val="single" w:color="auto" w:sz="4" w:space="0"/>
                  <w:right w:val="single" w:color="auto" w:sz="4" w:space="0"/>
                </w:tcBorders>
                <w:vAlign w:val="center"/>
              </w:tcPr>
              <w:p w14:paraId="180E3B92">
                <w:pPr>
                  <w:jc w:val="right"/>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75F74FF0">
                <w:pPr>
                  <w:jc w:val="right"/>
                  <w:rPr>
                    <w:rFonts w:cs="Times New Roman"/>
                  </w:rPr>
                </w:pPr>
                <w:r>
                  <w:rPr>
                    <w:rFonts w:cs="Times New Roman"/>
                  </w:rPr>
                  <w:t>31,719.00</w:t>
                </w:r>
              </w:p>
            </w:tc>
            <w:tc>
              <w:tcPr>
                <w:tcW w:w="421" w:type="pct"/>
                <w:tcBorders>
                  <w:top w:val="single" w:color="auto" w:sz="4" w:space="0"/>
                  <w:left w:val="single" w:color="auto" w:sz="4" w:space="0"/>
                  <w:bottom w:val="single" w:color="auto" w:sz="4" w:space="0"/>
                  <w:right w:val="single" w:color="auto" w:sz="4" w:space="0"/>
                </w:tcBorders>
                <w:vAlign w:val="center"/>
              </w:tcPr>
              <w:p w14:paraId="0FA3854A">
                <w:pPr>
                  <w:jc w:val="right"/>
                  <w:rPr>
                    <w:rFonts w:cs="Times New Roman"/>
                  </w:rPr>
                </w:pPr>
              </w:p>
            </w:tc>
            <w:tc>
              <w:tcPr>
                <w:tcW w:w="359" w:type="pct"/>
                <w:tcBorders>
                  <w:top w:val="single" w:color="auto" w:sz="4" w:space="0"/>
                  <w:left w:val="single" w:color="auto" w:sz="4" w:space="0"/>
                  <w:bottom w:val="single" w:color="auto" w:sz="4" w:space="0"/>
                  <w:right w:val="single" w:color="auto" w:sz="4" w:space="0"/>
                </w:tcBorders>
                <w:vAlign w:val="center"/>
              </w:tcPr>
              <w:p w14:paraId="1672243C">
                <w:pPr>
                  <w:jc w:val="right"/>
                  <w:rPr>
                    <w:rFonts w:cs="Times New Roman"/>
                  </w:rPr>
                </w:pPr>
              </w:p>
            </w:tc>
          </w:tr>
        </w:sdtContent>
      </w:sdt>
      <w:sdt>
        <w:sdtPr>
          <w:rPr>
            <w:rFonts w:cs="Times New Roman"/>
            <w:color w:val="000000"/>
          </w:rPr>
          <w:alias w:val="公司承租情况明细"/>
          <w:tag w:val="_TUP_ebb1ad055b8649d7ad8719d21bc811c6"/>
          <w:id w:val="-1472673151"/>
          <w:placeholder>
            <w:docPart w:val="{b3f4be12-da9a-4108-a3cb-af77807cbc1c}"/>
          </w:placeholder>
        </w:sdtPr>
        <w:sdtEndPr>
          <w:rPr>
            <w:rFonts w:cs="Times New Roman"/>
            <w:color w:val="000000"/>
          </w:rPr>
        </w:sdtEndPr>
        <w:sdtContent>
          <w:tr w14:paraId="54C9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Borders>
                  <w:top w:val="single" w:color="auto" w:sz="4" w:space="0"/>
                  <w:left w:val="single" w:color="auto" w:sz="4" w:space="0"/>
                  <w:bottom w:val="single" w:color="auto" w:sz="4" w:space="0"/>
                  <w:right w:val="single" w:color="auto" w:sz="4" w:space="0"/>
                </w:tcBorders>
                <w:vAlign w:val="center"/>
              </w:tcPr>
              <w:p w14:paraId="7E1A2E96">
                <w:pPr>
                  <w:jc w:val="center"/>
                  <w:rPr>
                    <w:rFonts w:cs="Times New Roman"/>
                  </w:rPr>
                </w:pPr>
                <w:r>
                  <w:rPr>
                    <w:rFonts w:cs="Times New Roman"/>
                  </w:rPr>
                  <w:t>合计</w:t>
                </w:r>
              </w:p>
            </w:tc>
            <w:tc>
              <w:tcPr>
                <w:tcW w:w="413" w:type="pct"/>
                <w:tcBorders>
                  <w:top w:val="single" w:color="auto" w:sz="4" w:space="0"/>
                  <w:left w:val="single" w:color="auto" w:sz="4" w:space="0"/>
                  <w:bottom w:val="single" w:color="auto" w:sz="4" w:space="0"/>
                  <w:right w:val="single" w:color="auto" w:sz="4" w:space="0"/>
                </w:tcBorders>
                <w:vAlign w:val="center"/>
              </w:tcPr>
              <w:p w14:paraId="2FC27DE8">
                <w:pPr>
                  <w:jc w:val="center"/>
                  <w:rPr>
                    <w:rFonts w:cs="Times New Roman"/>
                  </w:rPr>
                </w:pPr>
              </w:p>
            </w:tc>
            <w:tc>
              <w:tcPr>
                <w:tcW w:w="464" w:type="pct"/>
                <w:tcBorders>
                  <w:top w:val="single" w:color="auto" w:sz="4" w:space="0"/>
                  <w:left w:val="single" w:color="auto" w:sz="4" w:space="0"/>
                  <w:bottom w:val="single" w:color="auto" w:sz="4" w:space="0"/>
                  <w:right w:val="single" w:color="auto" w:sz="4" w:space="0"/>
                </w:tcBorders>
                <w:vAlign w:val="center"/>
              </w:tcPr>
              <w:p w14:paraId="281F945D">
                <w:pPr>
                  <w:jc w:val="both"/>
                  <w:rPr>
                    <w:rFonts w:cs="Times New Roman"/>
                  </w:rPr>
                </w:pPr>
                <w:r>
                  <w:rPr>
                    <w:rFonts w:cs="Times New Roman"/>
                  </w:rPr>
                  <w:t>819,079.25</w:t>
                </w:r>
              </w:p>
            </w:tc>
            <w:tc>
              <w:tcPr>
                <w:tcW w:w="424" w:type="pct"/>
                <w:tcBorders>
                  <w:top w:val="single" w:color="auto" w:sz="4" w:space="0"/>
                  <w:left w:val="single" w:color="auto" w:sz="4" w:space="0"/>
                  <w:bottom w:val="single" w:color="auto" w:sz="4" w:space="0"/>
                  <w:right w:val="single" w:color="auto" w:sz="4" w:space="0"/>
                </w:tcBorders>
                <w:vAlign w:val="center"/>
              </w:tcPr>
              <w:p w14:paraId="3CA2CE7F">
                <w:pPr>
                  <w:jc w:val="both"/>
                  <w:rPr>
                    <w:rFonts w:cs="Times New Roman"/>
                  </w:rPr>
                </w:pPr>
              </w:p>
            </w:tc>
            <w:tc>
              <w:tcPr>
                <w:tcW w:w="421" w:type="pct"/>
                <w:tcBorders>
                  <w:top w:val="single" w:color="auto" w:sz="4" w:space="0"/>
                  <w:left w:val="single" w:color="auto" w:sz="4" w:space="0"/>
                  <w:bottom w:val="single" w:color="auto" w:sz="4" w:space="0"/>
                  <w:right w:val="single" w:color="auto" w:sz="4" w:space="0"/>
                </w:tcBorders>
                <w:vAlign w:val="center"/>
              </w:tcPr>
              <w:p w14:paraId="5C8402E8">
                <w:pPr>
                  <w:jc w:val="both"/>
                  <w:rPr>
                    <w:rFonts w:cs="Times New Roman"/>
                  </w:rPr>
                </w:pPr>
                <w:r>
                  <w:rPr>
                    <w:rFonts w:cs="Times New Roman"/>
                  </w:rPr>
                  <w:t>587,114.68</w:t>
                </w:r>
              </w:p>
            </w:tc>
            <w:tc>
              <w:tcPr>
                <w:tcW w:w="360" w:type="pct"/>
                <w:tcBorders>
                  <w:top w:val="single" w:color="auto" w:sz="4" w:space="0"/>
                  <w:left w:val="single" w:color="auto" w:sz="4" w:space="0"/>
                  <w:bottom w:val="single" w:color="auto" w:sz="4" w:space="0"/>
                  <w:right w:val="single" w:color="auto" w:sz="4" w:space="0"/>
                </w:tcBorders>
                <w:vAlign w:val="center"/>
              </w:tcPr>
              <w:p w14:paraId="2D1FAE86">
                <w:pPr>
                  <w:jc w:val="both"/>
                  <w:rPr>
                    <w:rFonts w:cs="Times New Roman"/>
                  </w:rPr>
                </w:pPr>
              </w:p>
            </w:tc>
            <w:tc>
              <w:tcPr>
                <w:tcW w:w="289" w:type="pct"/>
                <w:tcBorders>
                  <w:top w:val="single" w:color="auto" w:sz="4" w:space="0"/>
                  <w:left w:val="single" w:color="auto" w:sz="4" w:space="0"/>
                  <w:bottom w:val="single" w:color="auto" w:sz="4" w:space="0"/>
                  <w:right w:val="single" w:color="auto" w:sz="4" w:space="0"/>
                </w:tcBorders>
                <w:vAlign w:val="center"/>
              </w:tcPr>
              <w:p w14:paraId="2D09E231">
                <w:pPr>
                  <w:jc w:val="both"/>
                  <w:rPr>
                    <w:rFonts w:cs="Times New Roman"/>
                  </w:rPr>
                </w:pPr>
              </w:p>
            </w:tc>
            <w:tc>
              <w:tcPr>
                <w:tcW w:w="463" w:type="pct"/>
                <w:tcBorders>
                  <w:top w:val="single" w:color="auto" w:sz="4" w:space="0"/>
                  <w:left w:val="single" w:color="auto" w:sz="4" w:space="0"/>
                  <w:bottom w:val="single" w:color="auto" w:sz="4" w:space="0"/>
                  <w:right w:val="single" w:color="auto" w:sz="4" w:space="0"/>
                </w:tcBorders>
                <w:vAlign w:val="center"/>
              </w:tcPr>
              <w:p w14:paraId="3773C7FF">
                <w:pPr>
                  <w:jc w:val="both"/>
                  <w:rPr>
                    <w:rFonts w:cs="Times New Roman"/>
                  </w:rPr>
                </w:pPr>
                <w:r>
                  <w:rPr>
                    <w:rFonts w:cs="Times New Roman"/>
                  </w:rPr>
                  <w:t>5,029,864.42</w:t>
                </w:r>
              </w:p>
            </w:tc>
            <w:tc>
              <w:tcPr>
                <w:tcW w:w="449" w:type="pct"/>
                <w:tcBorders>
                  <w:top w:val="single" w:color="auto" w:sz="4" w:space="0"/>
                  <w:left w:val="single" w:color="auto" w:sz="4" w:space="0"/>
                  <w:bottom w:val="single" w:color="auto" w:sz="4" w:space="0"/>
                  <w:right w:val="single" w:color="auto" w:sz="4" w:space="0"/>
                </w:tcBorders>
                <w:vAlign w:val="center"/>
              </w:tcPr>
              <w:p w14:paraId="43A0394A">
                <w:pPr>
                  <w:jc w:val="both"/>
                  <w:rPr>
                    <w:rFonts w:cs="Times New Roman"/>
                  </w:rPr>
                </w:pPr>
              </w:p>
            </w:tc>
            <w:tc>
              <w:tcPr>
                <w:tcW w:w="479" w:type="pct"/>
                <w:tcBorders>
                  <w:top w:val="single" w:color="auto" w:sz="4" w:space="0"/>
                  <w:left w:val="single" w:color="auto" w:sz="4" w:space="0"/>
                  <w:bottom w:val="single" w:color="auto" w:sz="4" w:space="0"/>
                  <w:right w:val="single" w:color="auto" w:sz="4" w:space="0"/>
                </w:tcBorders>
                <w:vAlign w:val="center"/>
              </w:tcPr>
              <w:p w14:paraId="0606F112">
                <w:pPr>
                  <w:jc w:val="both"/>
                  <w:rPr>
                    <w:rFonts w:cs="Times New Roman"/>
                  </w:rPr>
                </w:pPr>
                <w:r>
                  <w:rPr>
                    <w:rFonts w:cs="Times New Roman"/>
                  </w:rPr>
                  <w:t>5,394,356.56</w:t>
                </w:r>
              </w:p>
            </w:tc>
            <w:tc>
              <w:tcPr>
                <w:tcW w:w="421" w:type="pct"/>
                <w:tcBorders>
                  <w:top w:val="single" w:color="auto" w:sz="4" w:space="0"/>
                  <w:left w:val="single" w:color="auto" w:sz="4" w:space="0"/>
                  <w:bottom w:val="single" w:color="auto" w:sz="4" w:space="0"/>
                  <w:right w:val="single" w:color="auto" w:sz="4" w:space="0"/>
                </w:tcBorders>
                <w:vAlign w:val="center"/>
              </w:tcPr>
              <w:p w14:paraId="038C7479">
                <w:pPr>
                  <w:jc w:val="both"/>
                  <w:rPr>
                    <w:rFonts w:cs="Times New Roman"/>
                  </w:rPr>
                </w:pPr>
                <w:r>
                  <w:rPr>
                    <w:rFonts w:cs="Times New Roman"/>
                  </w:rPr>
                  <w:t>160,291.99</w:t>
                </w:r>
              </w:p>
            </w:tc>
            <w:tc>
              <w:tcPr>
                <w:tcW w:w="359" w:type="pct"/>
                <w:tcBorders>
                  <w:top w:val="single" w:color="auto" w:sz="4" w:space="0"/>
                  <w:left w:val="single" w:color="auto" w:sz="4" w:space="0"/>
                  <w:bottom w:val="single" w:color="auto" w:sz="4" w:space="0"/>
                  <w:right w:val="single" w:color="auto" w:sz="4" w:space="0"/>
                </w:tcBorders>
                <w:vAlign w:val="center"/>
              </w:tcPr>
              <w:p w14:paraId="45B2EA1D">
                <w:pPr>
                  <w:jc w:val="both"/>
                  <w:rPr>
                    <w:rFonts w:cs="Times New Roman"/>
                  </w:rPr>
                </w:pPr>
              </w:p>
            </w:tc>
          </w:tr>
        </w:sdtContent>
      </w:sdt>
    </w:tbl>
    <w:p w14:paraId="354B1251">
      <w:pPr>
        <w:rPr>
          <w:color w:val="000000" w:themeColor="text1"/>
          <w14:textFill>
            <w14:solidFill>
              <w14:schemeClr w14:val="tx1"/>
            </w14:solidFill>
          </w14:textFill>
        </w:rPr>
      </w:pPr>
    </w:p>
    <w:p w14:paraId="005134B2">
      <w:pPr>
        <w:rPr>
          <w:color w:val="000000" w:themeColor="text1"/>
          <w14:textFill>
            <w14:solidFill>
              <w14:schemeClr w14:val="tx1"/>
            </w14:solidFill>
          </w14:textFill>
        </w:rPr>
      </w:pPr>
      <w:r>
        <w:rPr>
          <w:rFonts w:hint="eastAsia"/>
          <w:color w:val="000000" w:themeColor="text1"/>
          <w14:textFill>
            <w14:solidFill>
              <w14:schemeClr w14:val="tx1"/>
            </w14:solidFill>
          </w14:textFill>
        </w:rPr>
        <w:t>关联租赁情况说明</w:t>
      </w:r>
    </w:p>
    <w:sdt>
      <w:sdtPr>
        <w:rPr>
          <w:color w:val="000000" w:themeColor="text1"/>
          <w14:textFill>
            <w14:solidFill>
              <w14:schemeClr w14:val="tx1"/>
            </w14:solidFill>
          </w14:textFill>
        </w:rPr>
        <w:alias w:val="是否适用：关联租赁情况说明[双击切换]"/>
        <w:tag w:val="_GBC_a8d25c1a27d24bbeb9dd0063be85a310"/>
        <w:id w:val="789626629"/>
      </w:sdtPr>
      <w:sdtEndPr>
        <w:rPr>
          <w:color w:val="000000" w:themeColor="text1"/>
          <w14:textFill>
            <w14:solidFill>
              <w14:schemeClr w14:val="tx1"/>
            </w14:solidFill>
          </w14:textFill>
        </w:rPr>
      </w:sdtEndPr>
      <w:sdtContent>
        <w:p w14:paraId="0F6BFA0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43C6D51B">
      <w:pPr>
        <w:rPr>
          <w:color w:val="000000" w:themeColor="text1"/>
          <w14:textFill>
            <w14:solidFill>
              <w14:schemeClr w14:val="tx1"/>
            </w14:solidFill>
          </w14:textFill>
        </w:rPr>
      </w:pPr>
    </w:p>
    <w:p w14:paraId="1DD53517">
      <w:pPr>
        <w:rPr>
          <w:color w:val="000000" w:themeColor="text1"/>
          <w14:textFill>
            <w14:solidFill>
              <w14:schemeClr w14:val="tx1"/>
            </w14:solidFill>
          </w14:textFill>
        </w:rPr>
      </w:pPr>
    </w:p>
    <w:bookmarkEnd w:id="411"/>
    <w:p w14:paraId="50404D52">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B9F3E32">
      <w:pPr>
        <w:pStyle w:val="58"/>
        <w:numPr>
          <w:ilvl w:val="0"/>
          <w:numId w:val="105"/>
        </w:numPr>
        <w:tabs>
          <w:tab w:val="left" w:pos="616"/>
        </w:tabs>
        <w:rPr>
          <w:rFonts w:ascii="宋体" w:hAnsi="宋体"/>
          <w:color w:val="000000" w:themeColor="text1"/>
          <w14:textFill>
            <w14:solidFill>
              <w14:schemeClr w14:val="tx1"/>
            </w14:solidFill>
          </w14:textFill>
        </w:rPr>
      </w:pPr>
      <w:bookmarkStart w:id="412" w:name="_Hlk105747684"/>
      <w:r>
        <w:rPr>
          <w:rFonts w:hint="eastAsia" w:ascii="宋体" w:hAnsi="宋体"/>
          <w:color w:val="000000" w:themeColor="text1"/>
          <w14:textFill>
            <w14:solidFill>
              <w14:schemeClr w14:val="tx1"/>
            </w14:solidFill>
          </w14:textFill>
        </w:rPr>
        <w:t>关联担保情况</w:t>
      </w:r>
    </w:p>
    <w:p w14:paraId="7ED81193">
      <w:pPr>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本公司作为担保方</w:t>
      </w:r>
    </w:p>
    <w:sdt>
      <w:sdtPr>
        <w:rPr>
          <w:color w:val="000000" w:themeColor="text1"/>
          <w14:textFill>
            <w14:solidFill>
              <w14:schemeClr w14:val="tx1"/>
            </w14:solidFill>
          </w14:textFill>
        </w:rPr>
        <w:alias w:val="是否适用：本公司作为担保方的担保情况表[双击切换]"/>
        <w:tag w:val="_GBC_f0150417f8ec4c5281b86683570391cb"/>
        <w:id w:val="147477884"/>
        <w:placeholder>
          <w:docPart w:val="GBC22222222222222222222222222222"/>
        </w:placeholder>
      </w:sdtPr>
      <w:sdtEndPr>
        <w:rPr>
          <w:color w:val="000000" w:themeColor="text1"/>
          <w14:textFill>
            <w14:solidFill>
              <w14:schemeClr w14:val="tx1"/>
            </w14:solidFill>
          </w14:textFill>
        </w:rPr>
      </w:sdtEndPr>
      <w:sdtContent>
        <w:p w14:paraId="307AF81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59ED032">
      <w:pPr>
        <w:rPr>
          <w:color w:val="000000" w:themeColor="text1"/>
          <w14:textFill>
            <w14:solidFill>
              <w14:schemeClr w14:val="tx1"/>
            </w14:solidFill>
          </w14:textFill>
        </w:rPr>
      </w:pPr>
    </w:p>
    <w:p w14:paraId="4FF3EA5E">
      <w:pP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本公司作为被担保方</w:t>
      </w:r>
    </w:p>
    <w:sdt>
      <w:sdtPr>
        <w:rPr>
          <w:rFonts w:cs="Cambria"/>
          <w:color w:val="000000" w:themeColor="text1"/>
          <w14:textFill>
            <w14:solidFill>
              <w14:schemeClr w14:val="tx1"/>
            </w14:solidFill>
          </w14:textFill>
        </w:rPr>
        <w:alias w:val="是否适用：本公司作为被担保方的担保情况表[双击切换]"/>
        <w:tag w:val="_GBC_3686094d29c941dd91bd168e3ef88833"/>
        <w:id w:val="147459649"/>
        <w:placeholder>
          <w:docPart w:val="GBC22222222222222222222222222222"/>
        </w:placeholder>
      </w:sdtPr>
      <w:sdtEndPr>
        <w:rPr>
          <w:rFonts w:cs="Cambria"/>
          <w:color w:val="000000" w:themeColor="text1"/>
          <w14:textFill>
            <w14:solidFill>
              <w14:schemeClr w14:val="tx1"/>
            </w14:solidFill>
          </w14:textFill>
        </w:rPr>
      </w:sdtEndPr>
      <w:sdtContent>
        <w:p w14:paraId="3B1A2046">
          <w:pPr>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2CAF7C99">
      <w:pPr>
        <w:rPr>
          <w:rFonts w:cs="Cambria"/>
          <w:color w:val="000000" w:themeColor="text1"/>
          <w14:textFill>
            <w14:solidFill>
              <w14:schemeClr w14:val="tx1"/>
            </w14:solidFill>
          </w14:textFill>
        </w:rPr>
      </w:pPr>
    </w:p>
    <w:p w14:paraId="35066EA2">
      <w:pP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关联担保情况说明</w:t>
      </w:r>
    </w:p>
    <w:sdt>
      <w:sdtPr>
        <w:rPr>
          <w:rFonts w:cs="Cambria"/>
          <w:color w:val="000000" w:themeColor="text1"/>
          <w14:textFill>
            <w14:solidFill>
              <w14:schemeClr w14:val="tx1"/>
            </w14:solidFill>
          </w14:textFill>
        </w:rPr>
        <w:alias w:val="是否适用：关联担保情况说明[双击切换]"/>
        <w:tag w:val="_GBC_9a5a4769e8804b779ae17adb041890d7"/>
        <w:id w:val="147451482"/>
        <w:placeholder>
          <w:docPart w:val="GBC22222222222222222222222222222"/>
        </w:placeholder>
      </w:sdtPr>
      <w:sdtEndPr>
        <w:rPr>
          <w:rFonts w:cs="Cambria"/>
          <w:color w:val="000000" w:themeColor="text1"/>
          <w14:textFill>
            <w14:solidFill>
              <w14:schemeClr w14:val="tx1"/>
            </w14:solidFill>
          </w14:textFill>
        </w:rPr>
      </w:sdtEndPr>
      <w:sdtContent>
        <w:p w14:paraId="639F22DE">
          <w:pPr>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14:paraId="1D3CCCF6">
      <w:pPr>
        <w:rPr>
          <w:rFonts w:cs="Cambria"/>
          <w:color w:val="000000" w:themeColor="text1"/>
          <w:sz w:val="20"/>
          <w:szCs w:val="20"/>
          <w14:textFill>
            <w14:solidFill>
              <w14:schemeClr w14:val="tx1"/>
            </w14:solidFill>
          </w14:textFill>
        </w:rPr>
      </w:pPr>
    </w:p>
    <w:bookmarkEnd w:id="412"/>
    <w:p w14:paraId="4442DC3E">
      <w:pPr>
        <w:pStyle w:val="58"/>
        <w:numPr>
          <w:ilvl w:val="0"/>
          <w:numId w:val="105"/>
        </w:numPr>
        <w:tabs>
          <w:tab w:val="left" w:pos="616"/>
        </w:tabs>
        <w:rPr>
          <w:rFonts w:ascii="宋体" w:hAnsi="宋体"/>
          <w:color w:val="000000" w:themeColor="text1"/>
          <w14:textFill>
            <w14:solidFill>
              <w14:schemeClr w14:val="tx1"/>
            </w14:solidFill>
          </w14:textFill>
        </w:rPr>
      </w:pPr>
      <w:bookmarkStart w:id="413" w:name="_Hlk72829984"/>
      <w:r>
        <w:rPr>
          <w:rFonts w:hint="eastAsia" w:ascii="宋体" w:hAnsi="宋体"/>
          <w:color w:val="000000" w:themeColor="text1"/>
          <w14:textFill>
            <w14:solidFill>
              <w14:schemeClr w14:val="tx1"/>
            </w14:solidFill>
          </w14:textFill>
        </w:rPr>
        <w:t>关联方资金拆借</w:t>
      </w:r>
    </w:p>
    <w:sdt>
      <w:sdtPr>
        <w:rPr>
          <w:color w:val="000000" w:themeColor="text1"/>
          <w14:textFill>
            <w14:solidFill>
              <w14:schemeClr w14:val="tx1"/>
            </w14:solidFill>
          </w14:textFill>
        </w:rPr>
        <w:alias w:val="是否适用：关联方资金拆借[双击切换]"/>
        <w:tag w:val="_GBC_4b2d20ddab104a06a9007945a55a3da5"/>
        <w:id w:val="-1880151861"/>
      </w:sdtPr>
      <w:sdtEndPr>
        <w:rPr>
          <w:color w:val="000000" w:themeColor="text1"/>
          <w14:textFill>
            <w14:solidFill>
              <w14:schemeClr w14:val="tx1"/>
            </w14:solidFill>
          </w14:textFill>
        </w:rPr>
      </w:sdtEndPr>
      <w:sdtContent>
        <w:p w14:paraId="16689C5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06332251">
      <w:pPr>
        <w:jc w:val="righ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关联方资金拆借"/>
          <w:tag w:val="_GBC_30878251351c48cd910d8c588a3fae01"/>
          <w:id w:val="830255285"/>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关联方资金拆借"/>
          <w:tag w:val="_GBC_a29488b34f974558ba4cf6bd0f030f00"/>
          <w:id w:val="200848672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2053"/>
        <w:gridCol w:w="1516"/>
        <w:gridCol w:w="1610"/>
      </w:tblGrid>
      <w:tr w14:paraId="5AD8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21bb8fa4d636469babeb2a54015330c9"/>
            <w:id w:val="-282882228"/>
          </w:sdtPr>
          <w:sdtEndPr>
            <w:rPr>
              <w:rFonts w:cs="Times New Roman"/>
            </w:rPr>
          </w:sdtEndPr>
          <w:sdtContent>
            <w:tc>
              <w:tcPr>
                <w:tcW w:w="2137" w:type="pct"/>
                <w:tcBorders>
                  <w:top w:val="single" w:color="auto" w:sz="4" w:space="0"/>
                  <w:left w:val="single" w:color="auto" w:sz="4" w:space="0"/>
                  <w:bottom w:val="single" w:color="auto" w:sz="4" w:space="0"/>
                  <w:right w:val="single" w:color="auto" w:sz="4" w:space="0"/>
                </w:tcBorders>
                <w:vAlign w:val="center"/>
              </w:tcPr>
              <w:p w14:paraId="46F113D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关联方</w:t>
                </w:r>
              </w:p>
            </w:tc>
          </w:sdtContent>
        </w:sdt>
        <w:sdt>
          <w:sdtPr>
            <w:rPr>
              <w:rFonts w:cs="Times New Roman"/>
            </w:rPr>
            <w:tag w:val="_PLD_21ea4181f1384bdbbbf3891f93fa488d"/>
            <w:id w:val="-1176654322"/>
          </w:sdtPr>
          <w:sdtEndPr>
            <w:rPr>
              <w:rFonts w:cs="Times New Roman"/>
            </w:rPr>
          </w:sdtEndPr>
          <w:sdtContent>
            <w:tc>
              <w:tcPr>
                <w:tcW w:w="1135" w:type="pct"/>
                <w:tcBorders>
                  <w:top w:val="single" w:color="auto" w:sz="4" w:space="0"/>
                  <w:left w:val="single" w:color="auto" w:sz="4" w:space="0"/>
                  <w:bottom w:val="single" w:color="auto" w:sz="4" w:space="0"/>
                  <w:right w:val="single" w:color="auto" w:sz="4" w:space="0"/>
                </w:tcBorders>
                <w:vAlign w:val="center"/>
              </w:tcPr>
              <w:p w14:paraId="101FBAA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拆借金额</w:t>
                </w:r>
              </w:p>
            </w:tc>
          </w:sdtContent>
        </w:sdt>
        <w:sdt>
          <w:sdtPr>
            <w:rPr>
              <w:rFonts w:cs="Times New Roman"/>
            </w:rPr>
            <w:tag w:val="_PLD_bd5ce6aed4f143e49953692c5a59760c"/>
            <w:id w:val="-1548135496"/>
          </w:sdtPr>
          <w:sdtEndPr>
            <w:rPr>
              <w:rFonts w:cs="Times New Roman"/>
            </w:rPr>
          </w:sdtEndPr>
          <w:sdtContent>
            <w:tc>
              <w:tcPr>
                <w:tcW w:w="838" w:type="pct"/>
                <w:tcBorders>
                  <w:top w:val="single" w:color="auto" w:sz="4" w:space="0"/>
                  <w:left w:val="single" w:color="auto" w:sz="4" w:space="0"/>
                  <w:bottom w:val="single" w:color="auto" w:sz="4" w:space="0"/>
                  <w:right w:val="single" w:color="auto" w:sz="4" w:space="0"/>
                </w:tcBorders>
                <w:vAlign w:val="center"/>
              </w:tcPr>
              <w:p w14:paraId="739B131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起始日</w:t>
                </w:r>
              </w:p>
            </w:tc>
          </w:sdtContent>
        </w:sdt>
        <w:sdt>
          <w:sdtPr>
            <w:rPr>
              <w:rFonts w:cs="Times New Roman"/>
            </w:rPr>
            <w:tag w:val="_PLD_2b385e7ee14a4b079bb06e055c36feb7"/>
            <w:id w:val="102228312"/>
          </w:sdtPr>
          <w:sdtEndPr>
            <w:rPr>
              <w:rFonts w:cs="Times New Roman"/>
            </w:rPr>
          </w:sdtEndPr>
          <w:sdtContent>
            <w:tc>
              <w:tcPr>
                <w:tcW w:w="888" w:type="pct"/>
                <w:tcBorders>
                  <w:top w:val="single" w:color="auto" w:sz="4" w:space="0"/>
                  <w:left w:val="single" w:color="auto" w:sz="4" w:space="0"/>
                  <w:bottom w:val="single" w:color="auto" w:sz="4" w:space="0"/>
                  <w:right w:val="single" w:color="auto" w:sz="4" w:space="0"/>
                </w:tcBorders>
                <w:vAlign w:val="center"/>
              </w:tcPr>
              <w:p w14:paraId="59CDEEB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到期日</w:t>
                </w:r>
              </w:p>
            </w:tc>
          </w:sdtContent>
        </w:sdt>
      </w:tr>
      <w:tr w14:paraId="0198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e99d0f8d089a4169bf3ff1a58fede048"/>
            <w:id w:val="1275983369"/>
          </w:sdtPr>
          <w:sdtEndPr>
            <w:rPr>
              <w:rFonts w:cs="Times New Roman"/>
            </w:rPr>
          </w:sdtEndPr>
          <w:sdtContent>
            <w:tc>
              <w:tcPr>
                <w:tcW w:w="5000" w:type="pct"/>
                <w:gridSpan w:val="4"/>
                <w:tcBorders>
                  <w:top w:val="single" w:color="auto" w:sz="4" w:space="0"/>
                  <w:left w:val="single" w:color="auto" w:sz="4" w:space="0"/>
                  <w:bottom w:val="single" w:color="auto" w:sz="4" w:space="0"/>
                  <w:right w:val="single" w:color="auto" w:sz="4" w:space="0"/>
                </w:tcBorders>
              </w:tcPr>
              <w:p w14:paraId="497ADAAA">
                <w:pPr>
                  <w:rPr>
                    <w:rFonts w:cs="Times New Roman"/>
                  </w:rPr>
                </w:pPr>
                <w:r>
                  <w:rPr>
                    <w:rFonts w:cs="Times New Roman"/>
                    <w:color w:val="000000" w:themeColor="text1"/>
                    <w14:textFill>
                      <w14:solidFill>
                        <w14:schemeClr w14:val="tx1"/>
                      </w14:solidFill>
                    </w14:textFill>
                  </w:rPr>
                  <w:t>拆入</w:t>
                </w:r>
              </w:p>
            </w:tc>
          </w:sdtContent>
        </w:sdt>
      </w:tr>
      <w:sdt>
        <w:sdtPr>
          <w:rPr>
            <w:rFonts w:cs="Times New Roman"/>
            <w:color w:val="000000" w:themeColor="text1"/>
            <w14:textFill>
              <w14:solidFill>
                <w14:schemeClr w14:val="tx1"/>
              </w14:solidFill>
            </w14:textFill>
          </w:rPr>
          <w:alias w:val="关联方资金拆入明细"/>
          <w:tag w:val="_TUP_dc7a5d29d458478da43f89617e2db5ec"/>
          <w:id w:val="507651079"/>
          <w:placeholder>
            <w:docPart w:val="{df921bb6-cb27-449a-a3c8-f8e19e099680}"/>
          </w:placeholder>
        </w:sdtPr>
        <w:sdtEndPr>
          <w:rPr>
            <w:rFonts w:cs="Times New Roman"/>
            <w:color w:val="000000" w:themeColor="text1"/>
            <w14:textFill>
              <w14:solidFill>
                <w14:schemeClr w14:val="tx1"/>
              </w14:solidFill>
            </w14:textFill>
          </w:rPr>
        </w:sdtEndPr>
        <w:sdtContent>
          <w:tr w14:paraId="36D5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137" w:type="pct"/>
                <w:tcBorders>
                  <w:top w:val="single" w:color="auto" w:sz="4" w:space="0"/>
                  <w:left w:val="single" w:color="auto" w:sz="4" w:space="0"/>
                  <w:bottom w:val="single" w:color="auto" w:sz="4" w:space="0"/>
                  <w:right w:val="single" w:color="auto" w:sz="4" w:space="0"/>
                </w:tcBorders>
                <w:vAlign w:val="center"/>
              </w:tcPr>
              <w:p w14:paraId="2BDFE20A">
                <w:pPr>
                  <w:rPr>
                    <w:rFonts w:cs="Times New Roman"/>
                  </w:rPr>
                </w:pPr>
                <w:r>
                  <w:rPr>
                    <w:rFonts w:cs="Times New Roman"/>
                  </w:rPr>
                  <w:t>新兴际华资产经营管理有限公司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47E334C9">
                <w:pPr>
                  <w:jc w:val="right"/>
                  <w:rPr>
                    <w:rFonts w:cs="Times New Roman"/>
                  </w:rPr>
                </w:pPr>
                <w:r>
                  <w:rPr>
                    <w:rFonts w:cs="Times New Roman"/>
                  </w:rPr>
                  <w:t>500,000.00</w:t>
                </w:r>
              </w:p>
            </w:tc>
            <w:tc>
              <w:tcPr>
                <w:tcW w:w="838" w:type="pct"/>
                <w:tcBorders>
                  <w:top w:val="single" w:color="auto" w:sz="4" w:space="0"/>
                  <w:left w:val="single" w:color="auto" w:sz="4" w:space="0"/>
                  <w:bottom w:val="single" w:color="auto" w:sz="4" w:space="0"/>
                  <w:right w:val="single" w:color="auto" w:sz="4" w:space="0"/>
                </w:tcBorders>
                <w:vAlign w:val="center"/>
              </w:tcPr>
              <w:p w14:paraId="19074D49">
                <w:pPr>
                  <w:jc w:val="center"/>
                  <w:rPr>
                    <w:rFonts w:cs="Times New Roman"/>
                  </w:rPr>
                </w:pPr>
                <w:r>
                  <w:rPr>
                    <w:rFonts w:cs="Times New Roman"/>
                  </w:rPr>
                  <w:t>2024-01-22</w:t>
                </w:r>
              </w:p>
            </w:tc>
            <w:tc>
              <w:tcPr>
                <w:tcW w:w="888" w:type="pct"/>
                <w:tcBorders>
                  <w:top w:val="single" w:color="auto" w:sz="4" w:space="0"/>
                  <w:left w:val="single" w:color="auto" w:sz="4" w:space="0"/>
                  <w:bottom w:val="single" w:color="auto" w:sz="4" w:space="0"/>
                  <w:right w:val="single" w:color="auto" w:sz="4" w:space="0"/>
                </w:tcBorders>
                <w:vAlign w:val="center"/>
              </w:tcPr>
              <w:p w14:paraId="59DDA2C0">
                <w:pPr>
                  <w:jc w:val="center"/>
                  <w:rPr>
                    <w:rFonts w:cs="Times New Roman"/>
                  </w:rPr>
                </w:pPr>
                <w:r>
                  <w:rPr>
                    <w:rFonts w:cs="Times New Roman"/>
                  </w:rPr>
                  <w:t>2025-04-10</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2115249715"/>
          <w:placeholder>
            <w:docPart w:val="{df921bb6-cb27-449a-a3c8-f8e19e099680}"/>
          </w:placeholder>
        </w:sdtPr>
        <w:sdtEndPr>
          <w:rPr>
            <w:rFonts w:cs="Times New Roman"/>
            <w:color w:val="000000" w:themeColor="text1"/>
            <w14:textFill>
              <w14:solidFill>
                <w14:schemeClr w14:val="tx1"/>
              </w14:solidFill>
            </w14:textFill>
          </w:rPr>
        </w:sdtEndPr>
        <w:sdtContent>
          <w:tr w14:paraId="29F6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1C35309">
                <w:pPr>
                  <w:rPr>
                    <w:rFonts w:cs="Times New Roman"/>
                  </w:rPr>
                </w:pPr>
                <w:r>
                  <w:rPr>
                    <w:rFonts w:cs="Times New Roman"/>
                  </w:rPr>
                  <w:t>新兴际华资产经营管理有限公司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70118735">
                <w:pPr>
                  <w:jc w:val="right"/>
                  <w:rPr>
                    <w:rFonts w:cs="Times New Roman"/>
                  </w:rPr>
                </w:pPr>
                <w:r>
                  <w:rPr>
                    <w:rFonts w:cs="Times New Roman"/>
                  </w:rPr>
                  <w:t>1,000,000.00</w:t>
                </w:r>
              </w:p>
            </w:tc>
            <w:tc>
              <w:tcPr>
                <w:tcW w:w="838" w:type="pct"/>
                <w:tcBorders>
                  <w:top w:val="single" w:color="auto" w:sz="4" w:space="0"/>
                  <w:left w:val="single" w:color="auto" w:sz="4" w:space="0"/>
                  <w:bottom w:val="single" w:color="auto" w:sz="4" w:space="0"/>
                  <w:right w:val="single" w:color="auto" w:sz="4" w:space="0"/>
                </w:tcBorders>
                <w:vAlign w:val="center"/>
              </w:tcPr>
              <w:p w14:paraId="55FB5672">
                <w:pPr>
                  <w:jc w:val="center"/>
                  <w:rPr>
                    <w:rFonts w:cs="Times New Roman"/>
                  </w:rPr>
                </w:pPr>
                <w:r>
                  <w:rPr>
                    <w:rFonts w:cs="Times New Roman"/>
                  </w:rPr>
                  <w:t>2024-10-10</w:t>
                </w:r>
              </w:p>
            </w:tc>
            <w:tc>
              <w:tcPr>
                <w:tcW w:w="888" w:type="pct"/>
                <w:tcBorders>
                  <w:top w:val="single" w:color="auto" w:sz="4" w:space="0"/>
                  <w:left w:val="single" w:color="auto" w:sz="4" w:space="0"/>
                  <w:bottom w:val="single" w:color="auto" w:sz="4" w:space="0"/>
                  <w:right w:val="single" w:color="auto" w:sz="4" w:space="0"/>
                </w:tcBorders>
                <w:vAlign w:val="center"/>
              </w:tcPr>
              <w:p w14:paraId="28D6B649">
                <w:pPr>
                  <w:jc w:val="center"/>
                  <w:rPr>
                    <w:rFonts w:cs="Times New Roman"/>
                  </w:rPr>
                </w:pPr>
                <w:r>
                  <w:rPr>
                    <w:rFonts w:cs="Times New Roman"/>
                  </w:rPr>
                  <w:t>2025-04-10</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063023162"/>
          <w:placeholder>
            <w:docPart w:val="{df921bb6-cb27-449a-a3c8-f8e19e099680}"/>
          </w:placeholder>
        </w:sdtPr>
        <w:sdtEndPr>
          <w:rPr>
            <w:rFonts w:cs="Times New Roman"/>
            <w:color w:val="000000" w:themeColor="text1"/>
            <w14:textFill>
              <w14:solidFill>
                <w14:schemeClr w14:val="tx1"/>
              </w14:solidFill>
            </w14:textFill>
          </w:rPr>
        </w:sdtEndPr>
        <w:sdtContent>
          <w:tr w14:paraId="5A15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5990802E">
                <w:pPr>
                  <w:rPr>
                    <w:rFonts w:cs="Times New Roman"/>
                  </w:rPr>
                </w:pPr>
                <w:r>
                  <w:rPr>
                    <w:rFonts w:cs="Times New Roman"/>
                  </w:rPr>
                  <w:t>新兴际华资产经营管理有限公司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372582B4">
                <w:pPr>
                  <w:jc w:val="right"/>
                  <w:rPr>
                    <w:rFonts w:cs="Times New Roman"/>
                  </w:rPr>
                </w:pPr>
                <w:r>
                  <w:rPr>
                    <w:rFonts w:cs="Times New Roman"/>
                  </w:rPr>
                  <w:t>11,000,000.00</w:t>
                </w:r>
              </w:p>
            </w:tc>
            <w:tc>
              <w:tcPr>
                <w:tcW w:w="838" w:type="pct"/>
                <w:tcBorders>
                  <w:top w:val="single" w:color="auto" w:sz="4" w:space="0"/>
                  <w:left w:val="single" w:color="auto" w:sz="4" w:space="0"/>
                  <w:bottom w:val="single" w:color="auto" w:sz="4" w:space="0"/>
                  <w:right w:val="single" w:color="auto" w:sz="4" w:space="0"/>
                </w:tcBorders>
                <w:vAlign w:val="center"/>
              </w:tcPr>
              <w:p w14:paraId="69BBF081">
                <w:pPr>
                  <w:jc w:val="center"/>
                  <w:rPr>
                    <w:rFonts w:cs="Times New Roman"/>
                  </w:rPr>
                </w:pPr>
                <w:r>
                  <w:rPr>
                    <w:rFonts w:cs="Times New Roman"/>
                  </w:rPr>
                  <w:t>2023-07-18</w:t>
                </w:r>
              </w:p>
            </w:tc>
            <w:tc>
              <w:tcPr>
                <w:tcW w:w="888" w:type="pct"/>
                <w:tcBorders>
                  <w:top w:val="single" w:color="auto" w:sz="4" w:space="0"/>
                  <w:left w:val="single" w:color="auto" w:sz="4" w:space="0"/>
                  <w:bottom w:val="single" w:color="auto" w:sz="4" w:space="0"/>
                  <w:right w:val="single" w:color="auto" w:sz="4" w:space="0"/>
                </w:tcBorders>
                <w:vAlign w:val="center"/>
              </w:tcPr>
              <w:p w14:paraId="65CEFD03">
                <w:pPr>
                  <w:jc w:val="center"/>
                  <w:rPr>
                    <w:rFonts w:cs="Times New Roman"/>
                  </w:rPr>
                </w:pPr>
                <w:r>
                  <w:rPr>
                    <w:rFonts w:cs="Times New Roman"/>
                  </w:rPr>
                  <w:t>2025-12-31</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160347311"/>
          <w:placeholder>
            <w:docPart w:val="{df921bb6-cb27-449a-a3c8-f8e19e099680}"/>
          </w:placeholder>
        </w:sdtPr>
        <w:sdtEndPr>
          <w:rPr>
            <w:rFonts w:cs="Times New Roman"/>
            <w:color w:val="000000" w:themeColor="text1"/>
            <w14:textFill>
              <w14:solidFill>
                <w14:schemeClr w14:val="tx1"/>
              </w14:solidFill>
            </w14:textFill>
          </w:rPr>
        </w:sdtEndPr>
        <w:sdtContent>
          <w:tr w14:paraId="63D4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D3132F2">
                <w:pPr>
                  <w:rPr>
                    <w:rFonts w:cs="Times New Roman"/>
                  </w:rPr>
                </w:pPr>
                <w:r>
                  <w:rPr>
                    <w:rFonts w:cs="Times New Roman"/>
                  </w:rPr>
                  <w:t>新兴际华资产经营管理有限公司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459D3C90">
                <w:pPr>
                  <w:jc w:val="right"/>
                  <w:rPr>
                    <w:rFonts w:cs="Times New Roman"/>
                  </w:rPr>
                </w:pPr>
                <w:r>
                  <w:rPr>
                    <w:rFonts w:cs="Times New Roman"/>
                  </w:rPr>
                  <w:t>2,500,000.00</w:t>
                </w:r>
              </w:p>
            </w:tc>
            <w:tc>
              <w:tcPr>
                <w:tcW w:w="838" w:type="pct"/>
                <w:tcBorders>
                  <w:top w:val="single" w:color="auto" w:sz="4" w:space="0"/>
                  <w:left w:val="single" w:color="auto" w:sz="4" w:space="0"/>
                  <w:bottom w:val="single" w:color="auto" w:sz="4" w:space="0"/>
                  <w:right w:val="single" w:color="auto" w:sz="4" w:space="0"/>
                </w:tcBorders>
                <w:vAlign w:val="center"/>
              </w:tcPr>
              <w:p w14:paraId="715A339F">
                <w:pPr>
                  <w:jc w:val="center"/>
                  <w:rPr>
                    <w:rFonts w:cs="Times New Roman"/>
                  </w:rPr>
                </w:pPr>
                <w:r>
                  <w:rPr>
                    <w:rFonts w:cs="Times New Roman"/>
                  </w:rPr>
                  <w:t>2024-01-22</w:t>
                </w:r>
              </w:p>
            </w:tc>
            <w:tc>
              <w:tcPr>
                <w:tcW w:w="888" w:type="pct"/>
                <w:tcBorders>
                  <w:top w:val="single" w:color="auto" w:sz="4" w:space="0"/>
                  <w:left w:val="single" w:color="auto" w:sz="4" w:space="0"/>
                  <w:bottom w:val="single" w:color="auto" w:sz="4" w:space="0"/>
                  <w:right w:val="single" w:color="auto" w:sz="4" w:space="0"/>
                </w:tcBorders>
                <w:vAlign w:val="center"/>
              </w:tcPr>
              <w:p w14:paraId="4CE16FF2">
                <w:pPr>
                  <w:jc w:val="center"/>
                  <w:rPr>
                    <w:rFonts w:cs="Times New Roman"/>
                  </w:rPr>
                </w:pPr>
                <w:r>
                  <w:rPr>
                    <w:rFonts w:cs="Times New Roman"/>
                  </w:rPr>
                  <w:t>2025-12-31</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399559423"/>
          <w:placeholder>
            <w:docPart w:val="{df921bb6-cb27-449a-a3c8-f8e19e099680}"/>
          </w:placeholder>
        </w:sdtPr>
        <w:sdtEndPr>
          <w:rPr>
            <w:rFonts w:cs="Times New Roman"/>
            <w:color w:val="000000" w:themeColor="text1"/>
            <w14:textFill>
              <w14:solidFill>
                <w14:schemeClr w14:val="tx1"/>
              </w14:solidFill>
            </w14:textFill>
          </w:rPr>
        </w:sdtEndPr>
        <w:sdtContent>
          <w:tr w14:paraId="4120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0BFEB2E0">
                <w:pPr>
                  <w:rPr>
                    <w:rFonts w:cs="Times New Roman"/>
                  </w:rPr>
                </w:pPr>
                <w:r>
                  <w:rPr>
                    <w:rFonts w:cs="Times New Roman"/>
                  </w:rPr>
                  <w:t>新兴际华资产经营管理有限公司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360BB1C4">
                <w:pPr>
                  <w:jc w:val="right"/>
                  <w:rPr>
                    <w:rFonts w:cs="Times New Roman"/>
                  </w:rPr>
                </w:pPr>
                <w:r>
                  <w:rPr>
                    <w:rFonts w:cs="Times New Roman"/>
                  </w:rPr>
                  <w:t>6,710,000.00</w:t>
                </w:r>
              </w:p>
            </w:tc>
            <w:tc>
              <w:tcPr>
                <w:tcW w:w="838" w:type="pct"/>
                <w:tcBorders>
                  <w:top w:val="single" w:color="auto" w:sz="4" w:space="0"/>
                  <w:left w:val="single" w:color="auto" w:sz="4" w:space="0"/>
                  <w:bottom w:val="single" w:color="auto" w:sz="4" w:space="0"/>
                  <w:right w:val="single" w:color="auto" w:sz="4" w:space="0"/>
                </w:tcBorders>
                <w:vAlign w:val="center"/>
              </w:tcPr>
              <w:p w14:paraId="79A89CD0">
                <w:pPr>
                  <w:jc w:val="center"/>
                  <w:rPr>
                    <w:rFonts w:cs="Times New Roman"/>
                  </w:rPr>
                </w:pPr>
                <w:r>
                  <w:rPr>
                    <w:rFonts w:cs="Times New Roman"/>
                  </w:rPr>
                  <w:t>2025-01-17</w:t>
                </w:r>
              </w:p>
            </w:tc>
            <w:tc>
              <w:tcPr>
                <w:tcW w:w="888" w:type="pct"/>
                <w:tcBorders>
                  <w:top w:val="single" w:color="auto" w:sz="4" w:space="0"/>
                  <w:left w:val="single" w:color="auto" w:sz="4" w:space="0"/>
                  <w:bottom w:val="single" w:color="auto" w:sz="4" w:space="0"/>
                  <w:right w:val="single" w:color="auto" w:sz="4" w:space="0"/>
                </w:tcBorders>
                <w:vAlign w:val="center"/>
              </w:tcPr>
              <w:p w14:paraId="65EDB19F">
                <w:pPr>
                  <w:jc w:val="center"/>
                  <w:rPr>
                    <w:rFonts w:cs="Times New Roman"/>
                  </w:rPr>
                </w:pPr>
                <w:r>
                  <w:rPr>
                    <w:rFonts w:cs="Times New Roman"/>
                  </w:rPr>
                  <w:t>2026-01-16</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546022996"/>
          <w:placeholder>
            <w:docPart w:val="{df921bb6-cb27-449a-a3c8-f8e19e099680}"/>
          </w:placeholder>
        </w:sdtPr>
        <w:sdtEndPr>
          <w:rPr>
            <w:rFonts w:cs="Times New Roman"/>
            <w:color w:val="000000" w:themeColor="text1"/>
            <w14:textFill>
              <w14:solidFill>
                <w14:schemeClr w14:val="tx1"/>
              </w14:solidFill>
            </w14:textFill>
          </w:rPr>
        </w:sdtEndPr>
        <w:sdtContent>
          <w:tr w14:paraId="4B05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33E46ADC">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015EA1FA">
                <w:pPr>
                  <w:jc w:val="right"/>
                  <w:rPr>
                    <w:rFonts w:cs="Times New Roman"/>
                  </w:rPr>
                </w:pPr>
                <w:r>
                  <w:rPr>
                    <w:rFonts w:cs="Times New Roman"/>
                  </w:rPr>
                  <w:t>2,188,300.00</w:t>
                </w:r>
              </w:p>
            </w:tc>
            <w:tc>
              <w:tcPr>
                <w:tcW w:w="838" w:type="pct"/>
                <w:tcBorders>
                  <w:top w:val="single" w:color="auto" w:sz="4" w:space="0"/>
                  <w:left w:val="single" w:color="auto" w:sz="4" w:space="0"/>
                  <w:bottom w:val="single" w:color="auto" w:sz="4" w:space="0"/>
                  <w:right w:val="single" w:color="auto" w:sz="4" w:space="0"/>
                </w:tcBorders>
                <w:vAlign w:val="center"/>
              </w:tcPr>
              <w:p w14:paraId="79D9755A">
                <w:pPr>
                  <w:jc w:val="center"/>
                  <w:rPr>
                    <w:rFonts w:cs="Times New Roman"/>
                  </w:rPr>
                </w:pPr>
                <w:r>
                  <w:rPr>
                    <w:rFonts w:cs="Times New Roman"/>
                  </w:rPr>
                  <w:t>2019-02-26</w:t>
                </w:r>
              </w:p>
            </w:tc>
            <w:tc>
              <w:tcPr>
                <w:tcW w:w="888" w:type="pct"/>
                <w:tcBorders>
                  <w:top w:val="single" w:color="auto" w:sz="4" w:space="0"/>
                  <w:left w:val="single" w:color="auto" w:sz="4" w:space="0"/>
                  <w:bottom w:val="single" w:color="auto" w:sz="4" w:space="0"/>
                  <w:right w:val="single" w:color="auto" w:sz="4" w:space="0"/>
                </w:tcBorders>
                <w:vAlign w:val="center"/>
              </w:tcPr>
              <w:p w14:paraId="5301971B">
                <w:pPr>
                  <w:jc w:val="center"/>
                  <w:rPr>
                    <w:rFonts w:cs="Times New Roman"/>
                  </w:rPr>
                </w:pPr>
                <w:r>
                  <w:rPr>
                    <w:rFonts w:cs="Times New Roman"/>
                  </w:rPr>
                  <w:t>2026-02-26</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424944407"/>
          <w:placeholder>
            <w:docPart w:val="{df921bb6-cb27-449a-a3c8-f8e19e099680}"/>
          </w:placeholder>
        </w:sdtPr>
        <w:sdtEndPr>
          <w:rPr>
            <w:rFonts w:cs="Times New Roman"/>
            <w:color w:val="000000" w:themeColor="text1"/>
            <w14:textFill>
              <w14:solidFill>
                <w14:schemeClr w14:val="tx1"/>
              </w14:solidFill>
            </w14:textFill>
          </w:rPr>
        </w:sdtEndPr>
        <w:sdtContent>
          <w:tr w14:paraId="0B48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29175F6">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71C11307">
                <w:pPr>
                  <w:jc w:val="right"/>
                  <w:rPr>
                    <w:rFonts w:cs="Times New Roman"/>
                  </w:rPr>
                </w:pPr>
                <w:r>
                  <w:rPr>
                    <w:rFonts w:cs="Times New Roman"/>
                  </w:rPr>
                  <w:t>5,000,000.00</w:t>
                </w:r>
              </w:p>
            </w:tc>
            <w:tc>
              <w:tcPr>
                <w:tcW w:w="838" w:type="pct"/>
                <w:tcBorders>
                  <w:top w:val="single" w:color="auto" w:sz="4" w:space="0"/>
                  <w:left w:val="single" w:color="auto" w:sz="4" w:space="0"/>
                  <w:bottom w:val="single" w:color="auto" w:sz="4" w:space="0"/>
                  <w:right w:val="single" w:color="auto" w:sz="4" w:space="0"/>
                </w:tcBorders>
                <w:vAlign w:val="center"/>
              </w:tcPr>
              <w:p w14:paraId="0D88064F">
                <w:pPr>
                  <w:jc w:val="center"/>
                  <w:rPr>
                    <w:rFonts w:cs="Times New Roman"/>
                  </w:rPr>
                </w:pPr>
                <w:r>
                  <w:rPr>
                    <w:rFonts w:cs="Times New Roman"/>
                  </w:rPr>
                  <w:t>2019-01-19</w:t>
                </w:r>
              </w:p>
            </w:tc>
            <w:tc>
              <w:tcPr>
                <w:tcW w:w="888" w:type="pct"/>
                <w:tcBorders>
                  <w:top w:val="single" w:color="auto" w:sz="4" w:space="0"/>
                  <w:left w:val="single" w:color="auto" w:sz="4" w:space="0"/>
                  <w:bottom w:val="single" w:color="auto" w:sz="4" w:space="0"/>
                  <w:right w:val="single" w:color="auto" w:sz="4" w:space="0"/>
                </w:tcBorders>
                <w:vAlign w:val="center"/>
              </w:tcPr>
              <w:p w14:paraId="5DF5F772">
                <w:pPr>
                  <w:jc w:val="center"/>
                  <w:rPr>
                    <w:rFonts w:cs="Times New Roman"/>
                  </w:rPr>
                </w:pPr>
                <w:r>
                  <w:rPr>
                    <w:rFonts w:cs="Times New Roman"/>
                  </w:rPr>
                  <w:t>2026-01-19</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830295476"/>
          <w:placeholder>
            <w:docPart w:val="{df921bb6-cb27-449a-a3c8-f8e19e099680}"/>
          </w:placeholder>
        </w:sdtPr>
        <w:sdtEndPr>
          <w:rPr>
            <w:rFonts w:cs="Times New Roman"/>
            <w:color w:val="000000" w:themeColor="text1"/>
            <w14:textFill>
              <w14:solidFill>
                <w14:schemeClr w14:val="tx1"/>
              </w14:solidFill>
            </w14:textFill>
          </w:rPr>
        </w:sdtEndPr>
        <w:sdtContent>
          <w:tr w14:paraId="36C7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0DC2942A">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3899DECB">
                <w:pPr>
                  <w:jc w:val="right"/>
                  <w:rPr>
                    <w:rFonts w:cs="Times New Roman"/>
                  </w:rPr>
                </w:pPr>
                <w:r>
                  <w:rPr>
                    <w:rFonts w:cs="Times New Roman"/>
                  </w:rPr>
                  <w:t>10,000,000.00</w:t>
                </w:r>
              </w:p>
            </w:tc>
            <w:tc>
              <w:tcPr>
                <w:tcW w:w="838" w:type="pct"/>
                <w:tcBorders>
                  <w:top w:val="single" w:color="auto" w:sz="4" w:space="0"/>
                  <w:left w:val="single" w:color="auto" w:sz="4" w:space="0"/>
                  <w:bottom w:val="single" w:color="auto" w:sz="4" w:space="0"/>
                  <w:right w:val="single" w:color="auto" w:sz="4" w:space="0"/>
                </w:tcBorders>
                <w:vAlign w:val="center"/>
              </w:tcPr>
              <w:p w14:paraId="5EF93DC8">
                <w:pPr>
                  <w:jc w:val="center"/>
                  <w:rPr>
                    <w:rFonts w:cs="Times New Roman"/>
                  </w:rPr>
                </w:pPr>
                <w:r>
                  <w:rPr>
                    <w:rFonts w:cs="Times New Roman"/>
                  </w:rPr>
                  <w:t>2019-02-07</w:t>
                </w:r>
              </w:p>
            </w:tc>
            <w:tc>
              <w:tcPr>
                <w:tcW w:w="888" w:type="pct"/>
                <w:tcBorders>
                  <w:top w:val="single" w:color="auto" w:sz="4" w:space="0"/>
                  <w:left w:val="single" w:color="auto" w:sz="4" w:space="0"/>
                  <w:bottom w:val="single" w:color="auto" w:sz="4" w:space="0"/>
                  <w:right w:val="single" w:color="auto" w:sz="4" w:space="0"/>
                </w:tcBorders>
                <w:vAlign w:val="center"/>
              </w:tcPr>
              <w:p w14:paraId="74833A62">
                <w:pPr>
                  <w:jc w:val="center"/>
                  <w:rPr>
                    <w:rFonts w:cs="Times New Roman"/>
                  </w:rPr>
                </w:pPr>
                <w:r>
                  <w:rPr>
                    <w:rFonts w:cs="Times New Roman"/>
                  </w:rPr>
                  <w:t>2026-02-07</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815211665"/>
          <w:placeholder>
            <w:docPart w:val="{df921bb6-cb27-449a-a3c8-f8e19e099680}"/>
          </w:placeholder>
        </w:sdtPr>
        <w:sdtEndPr>
          <w:rPr>
            <w:rFonts w:cs="Times New Roman"/>
            <w:color w:val="000000" w:themeColor="text1"/>
            <w14:textFill>
              <w14:solidFill>
                <w14:schemeClr w14:val="tx1"/>
              </w14:solidFill>
            </w14:textFill>
          </w:rPr>
        </w:sdtEndPr>
        <w:sdtContent>
          <w:tr w14:paraId="7E01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638CD8B3">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42EDCC07">
                <w:pPr>
                  <w:jc w:val="right"/>
                  <w:rPr>
                    <w:rFonts w:cs="Times New Roman"/>
                  </w:rPr>
                </w:pPr>
                <w:r>
                  <w:rPr>
                    <w:rFonts w:cs="Times New Roman"/>
                  </w:rPr>
                  <w:t>5,000,000.00</w:t>
                </w:r>
              </w:p>
            </w:tc>
            <w:tc>
              <w:tcPr>
                <w:tcW w:w="838" w:type="pct"/>
                <w:tcBorders>
                  <w:top w:val="single" w:color="auto" w:sz="4" w:space="0"/>
                  <w:left w:val="single" w:color="auto" w:sz="4" w:space="0"/>
                  <w:bottom w:val="single" w:color="auto" w:sz="4" w:space="0"/>
                  <w:right w:val="single" w:color="auto" w:sz="4" w:space="0"/>
                </w:tcBorders>
                <w:vAlign w:val="center"/>
              </w:tcPr>
              <w:p w14:paraId="4757A64D">
                <w:pPr>
                  <w:jc w:val="center"/>
                  <w:rPr>
                    <w:rFonts w:cs="Times New Roman"/>
                  </w:rPr>
                </w:pPr>
                <w:r>
                  <w:rPr>
                    <w:rFonts w:cs="Times New Roman"/>
                  </w:rPr>
                  <w:t>2019-02-14</w:t>
                </w:r>
              </w:p>
            </w:tc>
            <w:tc>
              <w:tcPr>
                <w:tcW w:w="888" w:type="pct"/>
                <w:tcBorders>
                  <w:top w:val="single" w:color="auto" w:sz="4" w:space="0"/>
                  <w:left w:val="single" w:color="auto" w:sz="4" w:space="0"/>
                  <w:bottom w:val="single" w:color="auto" w:sz="4" w:space="0"/>
                  <w:right w:val="single" w:color="auto" w:sz="4" w:space="0"/>
                </w:tcBorders>
                <w:vAlign w:val="center"/>
              </w:tcPr>
              <w:p w14:paraId="69AEB7C9">
                <w:pPr>
                  <w:jc w:val="center"/>
                  <w:rPr>
                    <w:rFonts w:cs="Times New Roman"/>
                  </w:rPr>
                </w:pPr>
                <w:r>
                  <w:rPr>
                    <w:rFonts w:cs="Times New Roman"/>
                  </w:rPr>
                  <w:t>2026-02-14</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388650160"/>
          <w:placeholder>
            <w:docPart w:val="{df921bb6-cb27-449a-a3c8-f8e19e099680}"/>
          </w:placeholder>
        </w:sdtPr>
        <w:sdtEndPr>
          <w:rPr>
            <w:rFonts w:cs="Times New Roman"/>
            <w:color w:val="000000" w:themeColor="text1"/>
            <w14:textFill>
              <w14:solidFill>
                <w14:schemeClr w14:val="tx1"/>
              </w14:solidFill>
            </w14:textFill>
          </w:rPr>
        </w:sdtEndPr>
        <w:sdtContent>
          <w:tr w14:paraId="6627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5D8C1F76">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22878E72">
                <w:pPr>
                  <w:jc w:val="right"/>
                  <w:rPr>
                    <w:rFonts w:cs="Times New Roman"/>
                  </w:rPr>
                </w:pPr>
                <w:r>
                  <w:rPr>
                    <w:rFonts w:cs="Times New Roman"/>
                  </w:rPr>
                  <w:t>5,000,000.00</w:t>
                </w:r>
              </w:p>
            </w:tc>
            <w:tc>
              <w:tcPr>
                <w:tcW w:w="838" w:type="pct"/>
                <w:tcBorders>
                  <w:top w:val="single" w:color="auto" w:sz="4" w:space="0"/>
                  <w:left w:val="single" w:color="auto" w:sz="4" w:space="0"/>
                  <w:bottom w:val="single" w:color="auto" w:sz="4" w:space="0"/>
                  <w:right w:val="single" w:color="auto" w:sz="4" w:space="0"/>
                </w:tcBorders>
                <w:vAlign w:val="center"/>
              </w:tcPr>
              <w:p w14:paraId="01BB9D58">
                <w:pPr>
                  <w:jc w:val="center"/>
                  <w:rPr>
                    <w:rFonts w:cs="Times New Roman"/>
                  </w:rPr>
                </w:pPr>
                <w:r>
                  <w:rPr>
                    <w:rFonts w:cs="Times New Roman"/>
                  </w:rPr>
                  <w:t>2019-04-15</w:t>
                </w:r>
              </w:p>
            </w:tc>
            <w:tc>
              <w:tcPr>
                <w:tcW w:w="888" w:type="pct"/>
                <w:tcBorders>
                  <w:top w:val="single" w:color="auto" w:sz="4" w:space="0"/>
                  <w:left w:val="single" w:color="auto" w:sz="4" w:space="0"/>
                  <w:bottom w:val="single" w:color="auto" w:sz="4" w:space="0"/>
                  <w:right w:val="single" w:color="auto" w:sz="4" w:space="0"/>
                </w:tcBorders>
                <w:vAlign w:val="center"/>
              </w:tcPr>
              <w:p w14:paraId="5FCFE29E">
                <w:pPr>
                  <w:jc w:val="center"/>
                  <w:rPr>
                    <w:rFonts w:cs="Times New Roman"/>
                  </w:rPr>
                </w:pPr>
                <w:r>
                  <w:rPr>
                    <w:rFonts w:cs="Times New Roman"/>
                  </w:rPr>
                  <w:t>2026-04-15</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802813161"/>
          <w:placeholder>
            <w:docPart w:val="{df921bb6-cb27-449a-a3c8-f8e19e099680}"/>
          </w:placeholder>
        </w:sdtPr>
        <w:sdtEndPr>
          <w:rPr>
            <w:rFonts w:cs="Times New Roman"/>
            <w:color w:val="000000" w:themeColor="text1"/>
            <w14:textFill>
              <w14:solidFill>
                <w14:schemeClr w14:val="tx1"/>
              </w14:solidFill>
            </w14:textFill>
          </w:rPr>
        </w:sdtEndPr>
        <w:sdtContent>
          <w:tr w14:paraId="0356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33970C1B">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57D5C1EB">
                <w:pPr>
                  <w:jc w:val="right"/>
                  <w:rPr>
                    <w:rFonts w:cs="Times New Roman"/>
                  </w:rPr>
                </w:pPr>
                <w:r>
                  <w:rPr>
                    <w:rFonts w:cs="Times New Roman"/>
                  </w:rPr>
                  <w:t>5,000,000.00</w:t>
                </w:r>
              </w:p>
            </w:tc>
            <w:tc>
              <w:tcPr>
                <w:tcW w:w="838" w:type="pct"/>
                <w:tcBorders>
                  <w:top w:val="single" w:color="auto" w:sz="4" w:space="0"/>
                  <w:left w:val="single" w:color="auto" w:sz="4" w:space="0"/>
                  <w:bottom w:val="single" w:color="auto" w:sz="4" w:space="0"/>
                  <w:right w:val="single" w:color="auto" w:sz="4" w:space="0"/>
                </w:tcBorders>
                <w:vAlign w:val="center"/>
              </w:tcPr>
              <w:p w14:paraId="2CD447AB">
                <w:pPr>
                  <w:jc w:val="center"/>
                  <w:rPr>
                    <w:rFonts w:cs="Times New Roman"/>
                  </w:rPr>
                </w:pPr>
                <w:r>
                  <w:rPr>
                    <w:rFonts w:cs="Times New Roman"/>
                  </w:rPr>
                  <w:t>2019-04-30</w:t>
                </w:r>
              </w:p>
            </w:tc>
            <w:tc>
              <w:tcPr>
                <w:tcW w:w="888" w:type="pct"/>
                <w:tcBorders>
                  <w:top w:val="single" w:color="auto" w:sz="4" w:space="0"/>
                  <w:left w:val="single" w:color="auto" w:sz="4" w:space="0"/>
                  <w:bottom w:val="single" w:color="auto" w:sz="4" w:space="0"/>
                  <w:right w:val="single" w:color="auto" w:sz="4" w:space="0"/>
                </w:tcBorders>
                <w:vAlign w:val="center"/>
              </w:tcPr>
              <w:p w14:paraId="08CFE24E">
                <w:pPr>
                  <w:jc w:val="center"/>
                  <w:rPr>
                    <w:rFonts w:cs="Times New Roman"/>
                  </w:rPr>
                </w:pPr>
                <w:r>
                  <w:rPr>
                    <w:rFonts w:cs="Times New Roman"/>
                  </w:rPr>
                  <w:t>2026-04-30</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78237370"/>
          <w:placeholder>
            <w:docPart w:val="{df921bb6-cb27-449a-a3c8-f8e19e099680}"/>
          </w:placeholder>
        </w:sdtPr>
        <w:sdtEndPr>
          <w:rPr>
            <w:rFonts w:cs="Times New Roman"/>
            <w:color w:val="000000" w:themeColor="text1"/>
            <w14:textFill>
              <w14:solidFill>
                <w14:schemeClr w14:val="tx1"/>
              </w14:solidFill>
            </w14:textFill>
          </w:rPr>
        </w:sdtEndPr>
        <w:sdtContent>
          <w:tr w14:paraId="6A74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01B8273A">
                <w:pPr>
                  <w:rPr>
                    <w:rFonts w:cs="Times New Roman"/>
                  </w:rPr>
                </w:pPr>
                <w:r>
                  <w:rPr>
                    <w:rFonts w:cs="Times New Roman"/>
                  </w:rPr>
                  <w:t>新兴际华投资有限公司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1CE2293E">
                <w:pPr>
                  <w:jc w:val="right"/>
                  <w:rPr>
                    <w:rFonts w:cs="Times New Roman"/>
                  </w:rPr>
                </w:pPr>
                <w:r>
                  <w:rPr>
                    <w:rFonts w:cs="Times New Roman"/>
                  </w:rPr>
                  <w:t>3,969,300.00</w:t>
                </w:r>
              </w:p>
            </w:tc>
            <w:tc>
              <w:tcPr>
                <w:tcW w:w="838" w:type="pct"/>
                <w:tcBorders>
                  <w:top w:val="single" w:color="auto" w:sz="4" w:space="0"/>
                  <w:left w:val="single" w:color="auto" w:sz="4" w:space="0"/>
                  <w:bottom w:val="single" w:color="auto" w:sz="4" w:space="0"/>
                  <w:right w:val="single" w:color="auto" w:sz="4" w:space="0"/>
                </w:tcBorders>
                <w:vAlign w:val="center"/>
              </w:tcPr>
              <w:p w14:paraId="13481BCB">
                <w:pPr>
                  <w:jc w:val="center"/>
                  <w:rPr>
                    <w:rFonts w:cs="Times New Roman"/>
                  </w:rPr>
                </w:pPr>
                <w:r>
                  <w:rPr>
                    <w:rFonts w:cs="Times New Roman"/>
                  </w:rPr>
                  <w:t>2018-10-26</w:t>
                </w:r>
              </w:p>
            </w:tc>
            <w:tc>
              <w:tcPr>
                <w:tcW w:w="888" w:type="pct"/>
                <w:tcBorders>
                  <w:top w:val="single" w:color="auto" w:sz="4" w:space="0"/>
                  <w:left w:val="single" w:color="auto" w:sz="4" w:space="0"/>
                  <w:bottom w:val="single" w:color="auto" w:sz="4" w:space="0"/>
                  <w:right w:val="single" w:color="auto" w:sz="4" w:space="0"/>
                </w:tcBorders>
                <w:vAlign w:val="center"/>
              </w:tcPr>
              <w:p w14:paraId="287D6AEC">
                <w:pPr>
                  <w:jc w:val="center"/>
                  <w:rPr>
                    <w:rFonts w:cs="Times New Roman"/>
                  </w:rPr>
                </w:pPr>
                <w:r>
                  <w:rPr>
                    <w:rFonts w:cs="Times New Roman"/>
                  </w:rPr>
                  <w:t>2025-10-26</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015382995"/>
          <w:placeholder>
            <w:docPart w:val="{df921bb6-cb27-449a-a3c8-f8e19e099680}"/>
          </w:placeholder>
        </w:sdtPr>
        <w:sdtEndPr>
          <w:rPr>
            <w:rFonts w:cs="Times New Roman"/>
            <w:color w:val="000000" w:themeColor="text1"/>
            <w14:textFill>
              <w14:solidFill>
                <w14:schemeClr w14:val="tx1"/>
              </w14:solidFill>
            </w14:textFill>
          </w:rPr>
        </w:sdtEndPr>
        <w:sdtContent>
          <w:tr w14:paraId="5F05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4F8A206">
                <w:pPr>
                  <w:rPr>
                    <w:rFonts w:cs="Times New Roman"/>
                  </w:rPr>
                </w:pPr>
                <w:r>
                  <w:rPr>
                    <w:rFonts w:cs="Times New Roman"/>
                  </w:rPr>
                  <w:t>咸阳际华投资发展有限公司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21933BE8">
                <w:pPr>
                  <w:jc w:val="right"/>
                  <w:rPr>
                    <w:rFonts w:cs="Times New Roman"/>
                  </w:rPr>
                </w:pPr>
                <w:r>
                  <w:rPr>
                    <w:rFonts w:cs="Times New Roman"/>
                  </w:rPr>
                  <w:t>3,500,045.34</w:t>
                </w:r>
              </w:p>
            </w:tc>
            <w:tc>
              <w:tcPr>
                <w:tcW w:w="838" w:type="pct"/>
                <w:tcBorders>
                  <w:top w:val="single" w:color="auto" w:sz="4" w:space="0"/>
                  <w:left w:val="single" w:color="auto" w:sz="4" w:space="0"/>
                  <w:bottom w:val="single" w:color="auto" w:sz="4" w:space="0"/>
                  <w:right w:val="single" w:color="auto" w:sz="4" w:space="0"/>
                </w:tcBorders>
                <w:vAlign w:val="center"/>
              </w:tcPr>
              <w:p w14:paraId="409C0774">
                <w:pPr>
                  <w:jc w:val="center"/>
                  <w:rPr>
                    <w:rFonts w:cs="Times New Roman"/>
                  </w:rPr>
                </w:pPr>
                <w:r>
                  <w:rPr>
                    <w:rFonts w:cs="Times New Roman"/>
                  </w:rPr>
                  <w:t>2015-04-01</w:t>
                </w:r>
              </w:p>
            </w:tc>
            <w:tc>
              <w:tcPr>
                <w:tcW w:w="888" w:type="pct"/>
                <w:tcBorders>
                  <w:top w:val="single" w:color="auto" w:sz="4" w:space="0"/>
                  <w:left w:val="single" w:color="auto" w:sz="4" w:space="0"/>
                  <w:bottom w:val="single" w:color="auto" w:sz="4" w:space="0"/>
                  <w:right w:val="single" w:color="auto" w:sz="4" w:space="0"/>
                </w:tcBorders>
                <w:vAlign w:val="center"/>
              </w:tcPr>
              <w:p w14:paraId="683D11B9">
                <w:pPr>
                  <w:jc w:val="center"/>
                  <w:rPr>
                    <w:rFonts w:cs="Times New Roman"/>
                  </w:rPr>
                </w:pPr>
                <w:r>
                  <w:rPr>
                    <w:rFonts w:cs="Times New Roman"/>
                  </w:rPr>
                  <w:t>无明确日期</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620417904"/>
          <w:placeholder>
            <w:docPart w:val="{df921bb6-cb27-449a-a3c8-f8e19e099680}"/>
          </w:placeholder>
        </w:sdtPr>
        <w:sdtEndPr>
          <w:rPr>
            <w:rFonts w:cs="Times New Roman"/>
            <w:color w:val="000000" w:themeColor="text1"/>
            <w14:textFill>
              <w14:solidFill>
                <w14:schemeClr w14:val="tx1"/>
              </w14:solidFill>
            </w14:textFill>
          </w:rPr>
        </w:sdtEndPr>
        <w:sdtContent>
          <w:tr w14:paraId="184E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D97E138">
                <w:pPr>
                  <w:rPr>
                    <w:rFonts w:cs="Times New Roman"/>
                  </w:rPr>
                </w:pPr>
                <w:r>
                  <w:rPr>
                    <w:rFonts w:cs="Times New Roman"/>
                  </w:rPr>
                  <w:t>新兴际华集团有限公司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2EC60412">
                <w:pPr>
                  <w:jc w:val="right"/>
                  <w:rPr>
                    <w:rFonts w:cs="Times New Roman"/>
                  </w:rPr>
                </w:pPr>
                <w:r>
                  <w:rPr>
                    <w:rFonts w:cs="Times New Roman"/>
                  </w:rPr>
                  <w:t>35,000,000.00</w:t>
                </w:r>
              </w:p>
            </w:tc>
            <w:tc>
              <w:tcPr>
                <w:tcW w:w="838" w:type="pct"/>
                <w:tcBorders>
                  <w:top w:val="single" w:color="auto" w:sz="4" w:space="0"/>
                  <w:left w:val="single" w:color="auto" w:sz="4" w:space="0"/>
                  <w:bottom w:val="single" w:color="auto" w:sz="4" w:space="0"/>
                  <w:right w:val="single" w:color="auto" w:sz="4" w:space="0"/>
                </w:tcBorders>
                <w:vAlign w:val="center"/>
              </w:tcPr>
              <w:p w14:paraId="1351EA69">
                <w:pPr>
                  <w:jc w:val="center"/>
                  <w:rPr>
                    <w:rFonts w:cs="Times New Roman"/>
                  </w:rPr>
                </w:pPr>
                <w:r>
                  <w:rPr>
                    <w:rFonts w:cs="Times New Roman"/>
                  </w:rPr>
                  <w:t>2024-06-28</w:t>
                </w:r>
              </w:p>
            </w:tc>
            <w:tc>
              <w:tcPr>
                <w:tcW w:w="888" w:type="pct"/>
                <w:tcBorders>
                  <w:top w:val="single" w:color="auto" w:sz="4" w:space="0"/>
                  <w:left w:val="single" w:color="auto" w:sz="4" w:space="0"/>
                  <w:bottom w:val="single" w:color="auto" w:sz="4" w:space="0"/>
                  <w:right w:val="single" w:color="auto" w:sz="4" w:space="0"/>
                </w:tcBorders>
                <w:vAlign w:val="center"/>
              </w:tcPr>
              <w:p w14:paraId="46D4823B">
                <w:pPr>
                  <w:jc w:val="center"/>
                  <w:rPr>
                    <w:rFonts w:cs="Times New Roman"/>
                  </w:rPr>
                </w:pPr>
                <w:r>
                  <w:rPr>
                    <w:rFonts w:cs="Times New Roman"/>
                  </w:rPr>
                  <w:t>2025-06-28</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638028575"/>
          <w:placeholder>
            <w:docPart w:val="{df921bb6-cb27-449a-a3c8-f8e19e099680}"/>
          </w:placeholder>
        </w:sdtPr>
        <w:sdtEndPr>
          <w:rPr>
            <w:rFonts w:cs="Times New Roman"/>
            <w:color w:val="000000" w:themeColor="text1"/>
            <w14:textFill>
              <w14:solidFill>
                <w14:schemeClr w14:val="tx1"/>
              </w14:solidFill>
            </w14:textFill>
          </w:rPr>
        </w:sdtEndPr>
        <w:sdtContent>
          <w:tr w14:paraId="6F0A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0608468F">
                <w:pPr>
                  <w:rPr>
                    <w:rFonts w:cs="Times New Roman"/>
                  </w:rPr>
                </w:pPr>
                <w:r>
                  <w:rPr>
                    <w:rFonts w:cs="Times New Roman"/>
                  </w:rPr>
                  <w:t>新兴际华集团有限公司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0AE6BEF7">
                <w:pPr>
                  <w:jc w:val="right"/>
                  <w:rPr>
                    <w:rFonts w:cs="Times New Roman"/>
                  </w:rPr>
                </w:pPr>
                <w:r>
                  <w:rPr>
                    <w:rFonts w:cs="Times New Roman"/>
                  </w:rPr>
                  <w:t>35,000,000.00</w:t>
                </w:r>
              </w:p>
            </w:tc>
            <w:tc>
              <w:tcPr>
                <w:tcW w:w="838" w:type="pct"/>
                <w:tcBorders>
                  <w:top w:val="single" w:color="auto" w:sz="4" w:space="0"/>
                  <w:left w:val="single" w:color="auto" w:sz="4" w:space="0"/>
                  <w:bottom w:val="single" w:color="auto" w:sz="4" w:space="0"/>
                  <w:right w:val="single" w:color="auto" w:sz="4" w:space="0"/>
                </w:tcBorders>
                <w:vAlign w:val="center"/>
              </w:tcPr>
              <w:p w14:paraId="223A5283">
                <w:pPr>
                  <w:jc w:val="center"/>
                  <w:rPr>
                    <w:rFonts w:cs="Times New Roman"/>
                  </w:rPr>
                </w:pPr>
                <w:r>
                  <w:rPr>
                    <w:rFonts w:cs="Times New Roman"/>
                  </w:rPr>
                  <w:t>2025-06-30</w:t>
                </w:r>
              </w:p>
            </w:tc>
            <w:tc>
              <w:tcPr>
                <w:tcW w:w="888" w:type="pct"/>
                <w:tcBorders>
                  <w:top w:val="single" w:color="auto" w:sz="4" w:space="0"/>
                  <w:left w:val="single" w:color="auto" w:sz="4" w:space="0"/>
                  <w:bottom w:val="single" w:color="auto" w:sz="4" w:space="0"/>
                  <w:right w:val="single" w:color="auto" w:sz="4" w:space="0"/>
                </w:tcBorders>
                <w:vAlign w:val="center"/>
              </w:tcPr>
              <w:p w14:paraId="31A20981">
                <w:pPr>
                  <w:jc w:val="center"/>
                  <w:rPr>
                    <w:rFonts w:cs="Times New Roman"/>
                  </w:rPr>
                </w:pPr>
                <w:r>
                  <w:rPr>
                    <w:rFonts w:cs="Times New Roman"/>
                  </w:rPr>
                  <w:t>2026-06-30</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791711201"/>
          <w:placeholder>
            <w:docPart w:val="{df921bb6-cb27-449a-a3c8-f8e19e099680}"/>
          </w:placeholder>
        </w:sdtPr>
        <w:sdtEndPr>
          <w:rPr>
            <w:rFonts w:cs="Times New Roman"/>
            <w:color w:val="000000" w:themeColor="text1"/>
            <w14:textFill>
              <w14:solidFill>
                <w14:schemeClr w14:val="tx1"/>
              </w14:solidFill>
            </w14:textFill>
          </w:rPr>
        </w:sdtEndPr>
        <w:sdtContent>
          <w:tr w14:paraId="12EE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355DE8D4">
                <w:pPr>
                  <w:rPr>
                    <w:rFonts w:cs="Times New Roman"/>
                  </w:rPr>
                </w:pPr>
                <w:r>
                  <w:rPr>
                    <w:rFonts w:cs="Times New Roman"/>
                  </w:rPr>
                  <w:t>新兴际华集团有限公司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1D39865B">
                <w:pPr>
                  <w:jc w:val="right"/>
                  <w:rPr>
                    <w:rFonts w:cs="Times New Roman"/>
                  </w:rPr>
                </w:pPr>
                <w:r>
                  <w:rPr>
                    <w:rFonts w:cs="Times New Roman"/>
                  </w:rPr>
                  <w:t>180,000,000.00</w:t>
                </w:r>
              </w:p>
            </w:tc>
            <w:tc>
              <w:tcPr>
                <w:tcW w:w="838" w:type="pct"/>
                <w:tcBorders>
                  <w:top w:val="single" w:color="auto" w:sz="4" w:space="0"/>
                  <w:left w:val="single" w:color="auto" w:sz="4" w:space="0"/>
                  <w:bottom w:val="single" w:color="auto" w:sz="4" w:space="0"/>
                  <w:right w:val="single" w:color="auto" w:sz="4" w:space="0"/>
                </w:tcBorders>
                <w:vAlign w:val="center"/>
              </w:tcPr>
              <w:p w14:paraId="649DD6F1">
                <w:pPr>
                  <w:jc w:val="center"/>
                  <w:rPr>
                    <w:rFonts w:cs="Times New Roman"/>
                  </w:rPr>
                </w:pPr>
                <w:r>
                  <w:rPr>
                    <w:rFonts w:cs="Times New Roman"/>
                  </w:rPr>
                  <w:t>2024-08-15</w:t>
                </w:r>
              </w:p>
            </w:tc>
            <w:tc>
              <w:tcPr>
                <w:tcW w:w="888" w:type="pct"/>
                <w:tcBorders>
                  <w:top w:val="single" w:color="auto" w:sz="4" w:space="0"/>
                  <w:left w:val="single" w:color="auto" w:sz="4" w:space="0"/>
                  <w:bottom w:val="single" w:color="auto" w:sz="4" w:space="0"/>
                  <w:right w:val="single" w:color="auto" w:sz="4" w:space="0"/>
                </w:tcBorders>
                <w:vAlign w:val="center"/>
              </w:tcPr>
              <w:p w14:paraId="18F14E15">
                <w:pPr>
                  <w:jc w:val="center"/>
                  <w:rPr>
                    <w:rFonts w:cs="Times New Roman"/>
                  </w:rPr>
                </w:pPr>
                <w:r>
                  <w:rPr>
                    <w:rFonts w:cs="Times New Roman"/>
                  </w:rPr>
                  <w:t>2025-08-15</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586501964"/>
          <w:placeholder>
            <w:docPart w:val="{df921bb6-cb27-449a-a3c8-f8e19e099680}"/>
          </w:placeholder>
        </w:sdtPr>
        <w:sdtEndPr>
          <w:rPr>
            <w:rFonts w:cs="Times New Roman"/>
            <w:color w:val="000000" w:themeColor="text1"/>
            <w14:textFill>
              <w14:solidFill>
                <w14:schemeClr w14:val="tx1"/>
              </w14:solidFill>
            </w14:textFill>
          </w:rPr>
        </w:sdtEndPr>
        <w:sdtContent>
          <w:tr w14:paraId="6CD7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44FC687">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73526FD7">
                <w:pPr>
                  <w:jc w:val="right"/>
                  <w:rPr>
                    <w:rFonts w:cs="Times New Roman"/>
                  </w:rPr>
                </w:pPr>
                <w:r>
                  <w:rPr>
                    <w:rFonts w:cs="Times New Roman"/>
                  </w:rPr>
                  <w:t>200,000,000.00</w:t>
                </w:r>
              </w:p>
            </w:tc>
            <w:tc>
              <w:tcPr>
                <w:tcW w:w="838" w:type="pct"/>
                <w:tcBorders>
                  <w:top w:val="single" w:color="auto" w:sz="4" w:space="0"/>
                  <w:left w:val="single" w:color="auto" w:sz="4" w:space="0"/>
                  <w:bottom w:val="single" w:color="auto" w:sz="4" w:space="0"/>
                  <w:right w:val="single" w:color="auto" w:sz="4" w:space="0"/>
                </w:tcBorders>
                <w:vAlign w:val="center"/>
              </w:tcPr>
              <w:p w14:paraId="53252CCB">
                <w:pPr>
                  <w:jc w:val="center"/>
                  <w:rPr>
                    <w:rFonts w:cs="Times New Roman"/>
                  </w:rPr>
                </w:pPr>
                <w:r>
                  <w:rPr>
                    <w:rFonts w:cs="Times New Roman"/>
                  </w:rPr>
                  <w:t>2023-04-27</w:t>
                </w:r>
              </w:p>
            </w:tc>
            <w:tc>
              <w:tcPr>
                <w:tcW w:w="888" w:type="pct"/>
                <w:tcBorders>
                  <w:top w:val="single" w:color="auto" w:sz="4" w:space="0"/>
                  <w:left w:val="single" w:color="auto" w:sz="4" w:space="0"/>
                  <w:bottom w:val="single" w:color="auto" w:sz="4" w:space="0"/>
                  <w:right w:val="single" w:color="auto" w:sz="4" w:space="0"/>
                </w:tcBorders>
                <w:vAlign w:val="center"/>
              </w:tcPr>
              <w:p w14:paraId="3682F1E5">
                <w:pPr>
                  <w:jc w:val="center"/>
                  <w:rPr>
                    <w:rFonts w:cs="Times New Roman"/>
                  </w:rPr>
                </w:pPr>
                <w:r>
                  <w:rPr>
                    <w:rFonts w:cs="Times New Roman"/>
                  </w:rPr>
                  <w:t>2026-04-27</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679657160"/>
          <w:placeholder>
            <w:docPart w:val="{df921bb6-cb27-449a-a3c8-f8e19e099680}"/>
          </w:placeholder>
        </w:sdtPr>
        <w:sdtEndPr>
          <w:rPr>
            <w:rFonts w:cs="Times New Roman"/>
            <w:color w:val="000000" w:themeColor="text1"/>
            <w14:textFill>
              <w14:solidFill>
                <w14:schemeClr w14:val="tx1"/>
              </w14:solidFill>
            </w14:textFill>
          </w:rPr>
        </w:sdtEndPr>
        <w:sdtContent>
          <w:tr w14:paraId="1C4C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477E8F05">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13EF4103">
                <w:pPr>
                  <w:jc w:val="right"/>
                  <w:rPr>
                    <w:rFonts w:cs="Times New Roman"/>
                  </w:rPr>
                </w:pPr>
                <w:r>
                  <w:rPr>
                    <w:rFonts w:cs="Times New Roman"/>
                  </w:rPr>
                  <w:t>1,000,000.00</w:t>
                </w:r>
              </w:p>
            </w:tc>
            <w:tc>
              <w:tcPr>
                <w:tcW w:w="838" w:type="pct"/>
                <w:tcBorders>
                  <w:top w:val="single" w:color="auto" w:sz="4" w:space="0"/>
                  <w:left w:val="single" w:color="auto" w:sz="4" w:space="0"/>
                  <w:bottom w:val="single" w:color="auto" w:sz="4" w:space="0"/>
                  <w:right w:val="single" w:color="auto" w:sz="4" w:space="0"/>
                </w:tcBorders>
                <w:vAlign w:val="center"/>
              </w:tcPr>
              <w:p w14:paraId="6CC46934">
                <w:pPr>
                  <w:jc w:val="center"/>
                  <w:rPr>
                    <w:rFonts w:cs="Times New Roman"/>
                  </w:rPr>
                </w:pPr>
                <w:r>
                  <w:rPr>
                    <w:rFonts w:cs="Times New Roman"/>
                  </w:rPr>
                  <w:t>2024-06-26</w:t>
                </w:r>
              </w:p>
            </w:tc>
            <w:tc>
              <w:tcPr>
                <w:tcW w:w="888" w:type="pct"/>
                <w:tcBorders>
                  <w:top w:val="single" w:color="auto" w:sz="4" w:space="0"/>
                  <w:left w:val="single" w:color="auto" w:sz="4" w:space="0"/>
                  <w:bottom w:val="single" w:color="auto" w:sz="4" w:space="0"/>
                  <w:right w:val="single" w:color="auto" w:sz="4" w:space="0"/>
                </w:tcBorders>
                <w:vAlign w:val="center"/>
              </w:tcPr>
              <w:p w14:paraId="057ABC33">
                <w:pPr>
                  <w:jc w:val="center"/>
                  <w:rPr>
                    <w:rFonts w:cs="Times New Roman"/>
                  </w:rPr>
                </w:pPr>
                <w:r>
                  <w:rPr>
                    <w:rFonts w:cs="Times New Roman"/>
                  </w:rPr>
                  <w:t>2025-06-25</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373807854"/>
          <w:placeholder>
            <w:docPart w:val="{df921bb6-cb27-449a-a3c8-f8e19e099680}"/>
          </w:placeholder>
        </w:sdtPr>
        <w:sdtEndPr>
          <w:rPr>
            <w:rFonts w:cs="Times New Roman"/>
            <w:color w:val="000000" w:themeColor="text1"/>
            <w14:textFill>
              <w14:solidFill>
                <w14:schemeClr w14:val="tx1"/>
              </w14:solidFill>
            </w14:textFill>
          </w:rPr>
        </w:sdtEndPr>
        <w:sdtContent>
          <w:tr w14:paraId="678E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73D825D3">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6027E493">
                <w:pPr>
                  <w:jc w:val="right"/>
                  <w:rPr>
                    <w:rFonts w:cs="Times New Roman"/>
                  </w:rPr>
                </w:pPr>
                <w:r>
                  <w:rPr>
                    <w:rFonts w:cs="Times New Roman"/>
                  </w:rPr>
                  <w:t>298,000,000.00</w:t>
                </w:r>
              </w:p>
            </w:tc>
            <w:tc>
              <w:tcPr>
                <w:tcW w:w="838" w:type="pct"/>
                <w:tcBorders>
                  <w:top w:val="single" w:color="auto" w:sz="4" w:space="0"/>
                  <w:left w:val="single" w:color="auto" w:sz="4" w:space="0"/>
                  <w:bottom w:val="single" w:color="auto" w:sz="4" w:space="0"/>
                  <w:right w:val="single" w:color="auto" w:sz="4" w:space="0"/>
                </w:tcBorders>
                <w:vAlign w:val="center"/>
              </w:tcPr>
              <w:p w14:paraId="38B4A001">
                <w:pPr>
                  <w:jc w:val="center"/>
                  <w:rPr>
                    <w:rFonts w:cs="Times New Roman"/>
                  </w:rPr>
                </w:pPr>
                <w:r>
                  <w:rPr>
                    <w:rFonts w:cs="Times New Roman"/>
                  </w:rPr>
                  <w:t>2024-06-26</w:t>
                </w:r>
              </w:p>
            </w:tc>
            <w:tc>
              <w:tcPr>
                <w:tcW w:w="888" w:type="pct"/>
                <w:tcBorders>
                  <w:top w:val="single" w:color="auto" w:sz="4" w:space="0"/>
                  <w:left w:val="single" w:color="auto" w:sz="4" w:space="0"/>
                  <w:bottom w:val="single" w:color="auto" w:sz="4" w:space="0"/>
                  <w:right w:val="single" w:color="auto" w:sz="4" w:space="0"/>
                </w:tcBorders>
                <w:vAlign w:val="center"/>
              </w:tcPr>
              <w:p w14:paraId="73EE132F">
                <w:pPr>
                  <w:jc w:val="center"/>
                  <w:rPr>
                    <w:rFonts w:cs="Times New Roman"/>
                  </w:rPr>
                </w:pPr>
                <w:r>
                  <w:rPr>
                    <w:rFonts w:cs="Times New Roman"/>
                  </w:rPr>
                  <w:t>2027-06-25</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643036311"/>
          <w:placeholder>
            <w:docPart w:val="{df921bb6-cb27-449a-a3c8-f8e19e099680}"/>
          </w:placeholder>
        </w:sdtPr>
        <w:sdtEndPr>
          <w:rPr>
            <w:rFonts w:cs="Times New Roman"/>
            <w:color w:val="000000" w:themeColor="text1"/>
            <w14:textFill>
              <w14:solidFill>
                <w14:schemeClr w14:val="tx1"/>
              </w14:solidFill>
            </w14:textFill>
          </w:rPr>
        </w:sdtEndPr>
        <w:sdtContent>
          <w:tr w14:paraId="59B1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2057BD68">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014CB30E">
                <w:pPr>
                  <w:jc w:val="right"/>
                  <w:rPr>
                    <w:rFonts w:cs="Times New Roman"/>
                  </w:rPr>
                </w:pPr>
                <w:r>
                  <w:rPr>
                    <w:rFonts w:cs="Times New Roman"/>
                  </w:rPr>
                  <w:t>20,000,000.00</w:t>
                </w:r>
              </w:p>
            </w:tc>
            <w:tc>
              <w:tcPr>
                <w:tcW w:w="838" w:type="pct"/>
                <w:tcBorders>
                  <w:top w:val="single" w:color="auto" w:sz="4" w:space="0"/>
                  <w:left w:val="single" w:color="auto" w:sz="4" w:space="0"/>
                  <w:bottom w:val="single" w:color="auto" w:sz="4" w:space="0"/>
                  <w:right w:val="single" w:color="auto" w:sz="4" w:space="0"/>
                </w:tcBorders>
                <w:vAlign w:val="center"/>
              </w:tcPr>
              <w:p w14:paraId="2D81FDAF">
                <w:pPr>
                  <w:jc w:val="center"/>
                  <w:rPr>
                    <w:rFonts w:cs="Times New Roman"/>
                  </w:rPr>
                </w:pPr>
                <w:r>
                  <w:rPr>
                    <w:rFonts w:cs="Times New Roman"/>
                  </w:rPr>
                  <w:t>2024-09-18</w:t>
                </w:r>
              </w:p>
            </w:tc>
            <w:tc>
              <w:tcPr>
                <w:tcW w:w="888" w:type="pct"/>
                <w:tcBorders>
                  <w:top w:val="single" w:color="auto" w:sz="4" w:space="0"/>
                  <w:left w:val="single" w:color="auto" w:sz="4" w:space="0"/>
                  <w:bottom w:val="single" w:color="auto" w:sz="4" w:space="0"/>
                  <w:right w:val="single" w:color="auto" w:sz="4" w:space="0"/>
                </w:tcBorders>
                <w:vAlign w:val="center"/>
              </w:tcPr>
              <w:p w14:paraId="125BAF0B">
                <w:pPr>
                  <w:jc w:val="center"/>
                  <w:rPr>
                    <w:rFonts w:cs="Times New Roman"/>
                  </w:rPr>
                </w:pPr>
                <w:r>
                  <w:rPr>
                    <w:rFonts w:cs="Times New Roman"/>
                  </w:rPr>
                  <w:t>2025-01-03</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315943356"/>
          <w:placeholder>
            <w:docPart w:val="{df921bb6-cb27-449a-a3c8-f8e19e099680}"/>
          </w:placeholder>
        </w:sdtPr>
        <w:sdtEndPr>
          <w:rPr>
            <w:rFonts w:cs="Times New Roman"/>
            <w:color w:val="000000" w:themeColor="text1"/>
            <w14:textFill>
              <w14:solidFill>
                <w14:schemeClr w14:val="tx1"/>
              </w14:solidFill>
            </w14:textFill>
          </w:rPr>
        </w:sdtEndPr>
        <w:sdtContent>
          <w:tr w14:paraId="49B8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2FE9E83C">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377C254A">
                <w:pPr>
                  <w:jc w:val="right"/>
                  <w:rPr>
                    <w:rFonts w:cs="Times New Roman"/>
                  </w:rPr>
                </w:pPr>
                <w:r>
                  <w:rPr>
                    <w:rFonts w:cs="Times New Roman"/>
                  </w:rPr>
                  <w:t>20,000,000.00</w:t>
                </w:r>
              </w:p>
            </w:tc>
            <w:tc>
              <w:tcPr>
                <w:tcW w:w="838" w:type="pct"/>
                <w:tcBorders>
                  <w:top w:val="single" w:color="auto" w:sz="4" w:space="0"/>
                  <w:left w:val="single" w:color="auto" w:sz="4" w:space="0"/>
                  <w:bottom w:val="single" w:color="auto" w:sz="4" w:space="0"/>
                  <w:right w:val="single" w:color="auto" w:sz="4" w:space="0"/>
                </w:tcBorders>
                <w:vAlign w:val="center"/>
              </w:tcPr>
              <w:p w14:paraId="2E2332B5">
                <w:pPr>
                  <w:jc w:val="center"/>
                  <w:rPr>
                    <w:rFonts w:cs="Times New Roman"/>
                  </w:rPr>
                </w:pPr>
                <w:r>
                  <w:rPr>
                    <w:rFonts w:cs="Times New Roman"/>
                  </w:rPr>
                  <w:t>2024-10-17</w:t>
                </w:r>
              </w:p>
            </w:tc>
            <w:tc>
              <w:tcPr>
                <w:tcW w:w="888" w:type="pct"/>
                <w:tcBorders>
                  <w:top w:val="single" w:color="auto" w:sz="4" w:space="0"/>
                  <w:left w:val="single" w:color="auto" w:sz="4" w:space="0"/>
                  <w:bottom w:val="single" w:color="auto" w:sz="4" w:space="0"/>
                  <w:right w:val="single" w:color="auto" w:sz="4" w:space="0"/>
                </w:tcBorders>
                <w:vAlign w:val="center"/>
              </w:tcPr>
              <w:p w14:paraId="0BEDD2E1">
                <w:pPr>
                  <w:jc w:val="center"/>
                  <w:rPr>
                    <w:rFonts w:cs="Times New Roman"/>
                  </w:rPr>
                </w:pPr>
                <w:r>
                  <w:rPr>
                    <w:rFonts w:cs="Times New Roman"/>
                  </w:rPr>
                  <w:t>2025-01-17</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677087792"/>
          <w:placeholder>
            <w:docPart w:val="{df921bb6-cb27-449a-a3c8-f8e19e099680}"/>
          </w:placeholder>
        </w:sdtPr>
        <w:sdtEndPr>
          <w:rPr>
            <w:rFonts w:cs="Times New Roman"/>
            <w:color w:val="000000" w:themeColor="text1"/>
            <w14:textFill>
              <w14:solidFill>
                <w14:schemeClr w14:val="tx1"/>
              </w14:solidFill>
            </w14:textFill>
          </w:rPr>
        </w:sdtEndPr>
        <w:sdtContent>
          <w:tr w14:paraId="51AD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0102EB49">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1ADDE930">
                <w:pPr>
                  <w:jc w:val="right"/>
                  <w:rPr>
                    <w:rFonts w:cs="Times New Roman"/>
                  </w:rPr>
                </w:pPr>
                <w:r>
                  <w:rPr>
                    <w:rFonts w:cs="Times New Roman"/>
                  </w:rPr>
                  <w:t>20,000,000.00</w:t>
                </w:r>
              </w:p>
            </w:tc>
            <w:tc>
              <w:tcPr>
                <w:tcW w:w="838" w:type="pct"/>
                <w:tcBorders>
                  <w:top w:val="single" w:color="auto" w:sz="4" w:space="0"/>
                  <w:left w:val="single" w:color="auto" w:sz="4" w:space="0"/>
                  <w:bottom w:val="single" w:color="auto" w:sz="4" w:space="0"/>
                  <w:right w:val="single" w:color="auto" w:sz="4" w:space="0"/>
                </w:tcBorders>
                <w:vAlign w:val="center"/>
              </w:tcPr>
              <w:p w14:paraId="6953BAD8">
                <w:pPr>
                  <w:jc w:val="center"/>
                  <w:rPr>
                    <w:rFonts w:cs="Times New Roman"/>
                  </w:rPr>
                </w:pPr>
                <w:r>
                  <w:rPr>
                    <w:rFonts w:cs="Times New Roman"/>
                  </w:rPr>
                  <w:t>2024-11-26</w:t>
                </w:r>
              </w:p>
            </w:tc>
            <w:tc>
              <w:tcPr>
                <w:tcW w:w="888" w:type="pct"/>
                <w:tcBorders>
                  <w:top w:val="single" w:color="auto" w:sz="4" w:space="0"/>
                  <w:left w:val="single" w:color="auto" w:sz="4" w:space="0"/>
                  <w:bottom w:val="single" w:color="auto" w:sz="4" w:space="0"/>
                  <w:right w:val="single" w:color="auto" w:sz="4" w:space="0"/>
                </w:tcBorders>
                <w:vAlign w:val="center"/>
              </w:tcPr>
              <w:p w14:paraId="75729A8B">
                <w:pPr>
                  <w:jc w:val="center"/>
                  <w:rPr>
                    <w:rFonts w:cs="Times New Roman"/>
                  </w:rPr>
                </w:pPr>
                <w:r>
                  <w:rPr>
                    <w:rFonts w:cs="Times New Roman"/>
                  </w:rPr>
                  <w:t>2025-05-26</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416704209"/>
          <w:placeholder>
            <w:docPart w:val="{df921bb6-cb27-449a-a3c8-f8e19e099680}"/>
          </w:placeholder>
        </w:sdtPr>
        <w:sdtEndPr>
          <w:rPr>
            <w:rFonts w:cs="Times New Roman"/>
            <w:color w:val="000000" w:themeColor="text1"/>
            <w14:textFill>
              <w14:solidFill>
                <w14:schemeClr w14:val="tx1"/>
              </w14:solidFill>
            </w14:textFill>
          </w:rPr>
        </w:sdtEndPr>
        <w:sdtContent>
          <w:tr w14:paraId="7CBD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41022F26">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44CD2301">
                <w:pPr>
                  <w:jc w:val="right"/>
                  <w:rPr>
                    <w:rFonts w:cs="Times New Roman"/>
                  </w:rPr>
                </w:pPr>
                <w:r>
                  <w:rPr>
                    <w:rFonts w:cs="Times New Roman"/>
                  </w:rPr>
                  <w:t>23,000,000.00</w:t>
                </w:r>
              </w:p>
            </w:tc>
            <w:tc>
              <w:tcPr>
                <w:tcW w:w="838" w:type="pct"/>
                <w:tcBorders>
                  <w:top w:val="single" w:color="auto" w:sz="4" w:space="0"/>
                  <w:left w:val="single" w:color="auto" w:sz="4" w:space="0"/>
                  <w:bottom w:val="single" w:color="auto" w:sz="4" w:space="0"/>
                  <w:right w:val="single" w:color="auto" w:sz="4" w:space="0"/>
                </w:tcBorders>
                <w:vAlign w:val="center"/>
              </w:tcPr>
              <w:p w14:paraId="1D9FB1BC">
                <w:pPr>
                  <w:jc w:val="center"/>
                  <w:rPr>
                    <w:rFonts w:cs="Times New Roman"/>
                  </w:rPr>
                </w:pPr>
                <w:r>
                  <w:rPr>
                    <w:rFonts w:cs="Times New Roman"/>
                  </w:rPr>
                  <w:t>2024-12-11</w:t>
                </w:r>
              </w:p>
            </w:tc>
            <w:tc>
              <w:tcPr>
                <w:tcW w:w="888" w:type="pct"/>
                <w:tcBorders>
                  <w:top w:val="single" w:color="auto" w:sz="4" w:space="0"/>
                  <w:left w:val="single" w:color="auto" w:sz="4" w:space="0"/>
                  <w:bottom w:val="single" w:color="auto" w:sz="4" w:space="0"/>
                  <w:right w:val="single" w:color="auto" w:sz="4" w:space="0"/>
                </w:tcBorders>
                <w:vAlign w:val="center"/>
              </w:tcPr>
              <w:p w14:paraId="6BC1A63C">
                <w:pPr>
                  <w:jc w:val="center"/>
                  <w:rPr>
                    <w:rFonts w:cs="Times New Roman"/>
                  </w:rPr>
                </w:pPr>
                <w:r>
                  <w:rPr>
                    <w:rFonts w:cs="Times New Roman"/>
                  </w:rPr>
                  <w:t>2025-06-11</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1710946351"/>
          <w:placeholder>
            <w:docPart w:val="{df921bb6-cb27-449a-a3c8-f8e19e099680}"/>
          </w:placeholder>
        </w:sdtPr>
        <w:sdtEndPr>
          <w:rPr>
            <w:rFonts w:cs="Times New Roman"/>
            <w:color w:val="000000" w:themeColor="text1"/>
            <w14:textFill>
              <w14:solidFill>
                <w14:schemeClr w14:val="tx1"/>
              </w14:solidFill>
            </w14:textFill>
          </w:rPr>
        </w:sdtEndPr>
        <w:sdtContent>
          <w:tr w14:paraId="31E4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4259F8E5">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26E6DC6F">
                <w:pPr>
                  <w:jc w:val="right"/>
                  <w:rPr>
                    <w:rFonts w:cs="Times New Roman"/>
                  </w:rPr>
                </w:pPr>
                <w:r>
                  <w:rPr>
                    <w:rFonts w:cs="Times New Roman"/>
                  </w:rPr>
                  <w:t>7,000,000.00</w:t>
                </w:r>
              </w:p>
            </w:tc>
            <w:tc>
              <w:tcPr>
                <w:tcW w:w="838" w:type="pct"/>
                <w:tcBorders>
                  <w:top w:val="single" w:color="auto" w:sz="4" w:space="0"/>
                  <w:left w:val="single" w:color="auto" w:sz="4" w:space="0"/>
                  <w:bottom w:val="single" w:color="auto" w:sz="4" w:space="0"/>
                  <w:right w:val="single" w:color="auto" w:sz="4" w:space="0"/>
                </w:tcBorders>
                <w:vAlign w:val="center"/>
              </w:tcPr>
              <w:p w14:paraId="09C83D6A">
                <w:pPr>
                  <w:jc w:val="center"/>
                  <w:rPr>
                    <w:rFonts w:cs="Times New Roman"/>
                  </w:rPr>
                </w:pPr>
                <w:r>
                  <w:rPr>
                    <w:rFonts w:cs="Times New Roman"/>
                  </w:rPr>
                  <w:t>2024-12-25</w:t>
                </w:r>
              </w:p>
            </w:tc>
            <w:tc>
              <w:tcPr>
                <w:tcW w:w="888" w:type="pct"/>
                <w:tcBorders>
                  <w:top w:val="single" w:color="auto" w:sz="4" w:space="0"/>
                  <w:left w:val="single" w:color="auto" w:sz="4" w:space="0"/>
                  <w:bottom w:val="single" w:color="auto" w:sz="4" w:space="0"/>
                  <w:right w:val="single" w:color="auto" w:sz="4" w:space="0"/>
                </w:tcBorders>
                <w:vAlign w:val="center"/>
              </w:tcPr>
              <w:p w14:paraId="5C648621">
                <w:pPr>
                  <w:jc w:val="center"/>
                  <w:rPr>
                    <w:rFonts w:cs="Times New Roman"/>
                  </w:rPr>
                </w:pPr>
                <w:r>
                  <w:rPr>
                    <w:rFonts w:cs="Times New Roman"/>
                  </w:rPr>
                  <w:t>2025-07-25</w:t>
                </w:r>
              </w:p>
            </w:tc>
          </w:tr>
        </w:sdtContent>
      </w:sdt>
      <w:sdt>
        <w:sdtPr>
          <w:rPr>
            <w:rFonts w:cs="Times New Roman"/>
            <w:color w:val="000000" w:themeColor="text1"/>
            <w14:textFill>
              <w14:solidFill>
                <w14:schemeClr w14:val="tx1"/>
              </w14:solidFill>
            </w14:textFill>
          </w:rPr>
          <w:alias w:val="关联方资金拆入明细"/>
          <w:tag w:val="_TUP_dc7a5d29d458478da43f89617e2db5ec"/>
          <w:id w:val="864880131"/>
          <w:placeholder>
            <w:docPart w:val="{df921bb6-cb27-449a-a3c8-f8e19e099680}"/>
          </w:placeholder>
        </w:sdtPr>
        <w:sdtEndPr>
          <w:rPr>
            <w:rFonts w:cs="Times New Roman"/>
            <w:color w:val="000000" w:themeColor="text1"/>
            <w14:textFill>
              <w14:solidFill>
                <w14:schemeClr w14:val="tx1"/>
              </w14:solidFill>
            </w14:textFill>
          </w:rPr>
        </w:sdtEndPr>
        <w:sdtContent>
          <w:tr w14:paraId="53BE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7" w:type="pct"/>
                <w:tcBorders>
                  <w:top w:val="single" w:color="auto" w:sz="4" w:space="0"/>
                  <w:left w:val="single" w:color="auto" w:sz="4" w:space="0"/>
                  <w:bottom w:val="single" w:color="auto" w:sz="4" w:space="0"/>
                  <w:right w:val="single" w:color="auto" w:sz="4" w:space="0"/>
                </w:tcBorders>
                <w:vAlign w:val="center"/>
              </w:tcPr>
              <w:p w14:paraId="569EAB58">
                <w:pPr>
                  <w:rPr>
                    <w:rFonts w:cs="Times New Roman"/>
                  </w:rPr>
                </w:pPr>
                <w:r>
                  <w:rPr>
                    <w:rFonts w:cs="Times New Roman"/>
                  </w:rPr>
                  <w:t>新兴际华集团财务有限公司</w:t>
                </w:r>
              </w:p>
            </w:tc>
            <w:tc>
              <w:tcPr>
                <w:tcW w:w="1135" w:type="pct"/>
                <w:tcBorders>
                  <w:top w:val="single" w:color="auto" w:sz="4" w:space="0"/>
                  <w:left w:val="single" w:color="auto" w:sz="4" w:space="0"/>
                  <w:bottom w:val="single" w:color="auto" w:sz="4" w:space="0"/>
                  <w:right w:val="single" w:color="auto" w:sz="4" w:space="0"/>
                </w:tcBorders>
                <w:vAlign w:val="center"/>
              </w:tcPr>
              <w:p w14:paraId="64F9AA5C">
                <w:pPr>
                  <w:jc w:val="right"/>
                  <w:rPr>
                    <w:rFonts w:cs="Times New Roman"/>
                  </w:rPr>
                </w:pPr>
                <w:r>
                  <w:rPr>
                    <w:rFonts w:cs="Times New Roman"/>
                  </w:rPr>
                  <w:t>40,000,000.00</w:t>
                </w:r>
              </w:p>
            </w:tc>
            <w:tc>
              <w:tcPr>
                <w:tcW w:w="838" w:type="pct"/>
                <w:tcBorders>
                  <w:top w:val="single" w:color="auto" w:sz="4" w:space="0"/>
                  <w:left w:val="single" w:color="auto" w:sz="4" w:space="0"/>
                  <w:bottom w:val="single" w:color="auto" w:sz="4" w:space="0"/>
                  <w:right w:val="single" w:color="auto" w:sz="4" w:space="0"/>
                </w:tcBorders>
                <w:vAlign w:val="center"/>
              </w:tcPr>
              <w:p w14:paraId="1EE3F3AF">
                <w:pPr>
                  <w:jc w:val="center"/>
                  <w:rPr>
                    <w:rFonts w:cs="Times New Roman"/>
                  </w:rPr>
                </w:pPr>
                <w:r>
                  <w:rPr>
                    <w:rFonts w:cs="Times New Roman"/>
                  </w:rPr>
                  <w:t>2024-03-04</w:t>
                </w:r>
              </w:p>
            </w:tc>
            <w:tc>
              <w:tcPr>
                <w:tcW w:w="888" w:type="pct"/>
                <w:tcBorders>
                  <w:top w:val="single" w:color="auto" w:sz="4" w:space="0"/>
                  <w:left w:val="single" w:color="auto" w:sz="4" w:space="0"/>
                  <w:bottom w:val="single" w:color="auto" w:sz="4" w:space="0"/>
                  <w:right w:val="single" w:color="auto" w:sz="4" w:space="0"/>
                </w:tcBorders>
                <w:vAlign w:val="center"/>
              </w:tcPr>
              <w:p w14:paraId="74D32D22">
                <w:pPr>
                  <w:jc w:val="center"/>
                  <w:rPr>
                    <w:rFonts w:cs="Times New Roman"/>
                  </w:rPr>
                </w:pPr>
                <w:r>
                  <w:rPr>
                    <w:rFonts w:cs="Times New Roman"/>
                  </w:rPr>
                  <w:t>2025-03-04</w:t>
                </w:r>
              </w:p>
            </w:tc>
          </w:tr>
        </w:sdtContent>
      </w:sdt>
    </w:tbl>
    <w:p w14:paraId="4DC2E740">
      <w:pPr>
        <w:rPr>
          <w:rFonts w:cstheme="minorBidi"/>
          <w:color w:val="000000" w:themeColor="text1"/>
          <w14:textFill>
            <w14:solidFill>
              <w14:schemeClr w14:val="tx1"/>
            </w14:solidFill>
          </w14:textFill>
        </w:rPr>
      </w:pPr>
    </w:p>
    <w:bookmarkEnd w:id="413"/>
    <w:p w14:paraId="37D15C65">
      <w:pPr>
        <w:pStyle w:val="58"/>
        <w:numPr>
          <w:ilvl w:val="0"/>
          <w:numId w:val="105"/>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关联方资产转让、债务重组情况</w:t>
      </w:r>
    </w:p>
    <w:sdt>
      <w:sdtPr>
        <w:rPr>
          <w:color w:val="000000" w:themeColor="text1"/>
          <w14:textFill>
            <w14:solidFill>
              <w14:schemeClr w14:val="tx1"/>
            </w14:solidFill>
          </w14:textFill>
        </w:rPr>
        <w:alias w:val="是否适用：关联方资产转让、债务重组情况[双击切换]"/>
        <w:tag w:val="_GBC_c590c66abdbe454e89c4c55269fb6adf"/>
        <w:id w:val="147463110"/>
        <w:placeholder>
          <w:docPart w:val="GBC22222222222222222222222222222"/>
        </w:placeholder>
      </w:sdtPr>
      <w:sdtEndPr>
        <w:rPr>
          <w:color w:val="000000" w:themeColor="text1"/>
          <w14:textFill>
            <w14:solidFill>
              <w14:schemeClr w14:val="tx1"/>
            </w14:solidFill>
          </w14:textFill>
        </w:rPr>
      </w:sdtEndPr>
      <w:sdtContent>
        <w:p w14:paraId="7D5FABC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68E82A">
      <w:pPr>
        <w:rPr>
          <w:color w:val="000000" w:themeColor="text1"/>
          <w14:textFill>
            <w14:solidFill>
              <w14:schemeClr w14:val="tx1"/>
            </w14:solidFill>
          </w14:textFill>
        </w:rPr>
      </w:pPr>
    </w:p>
    <w:p w14:paraId="06F3AAF0">
      <w:pPr>
        <w:rPr>
          <w:color w:val="000000" w:themeColor="text1"/>
          <w14:textFill>
            <w14:solidFill>
              <w14:schemeClr w14:val="tx1"/>
            </w14:solidFill>
          </w14:textFill>
        </w:rPr>
      </w:pPr>
    </w:p>
    <w:p w14:paraId="0D60DA8C">
      <w:pPr>
        <w:pStyle w:val="58"/>
        <w:numPr>
          <w:ilvl w:val="0"/>
          <w:numId w:val="105"/>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关键管理人员报酬</w:t>
      </w:r>
    </w:p>
    <w:sdt>
      <w:sdtPr>
        <w:rPr>
          <w:color w:val="000000" w:themeColor="text1"/>
          <w14:textFill>
            <w14:solidFill>
              <w14:schemeClr w14:val="tx1"/>
            </w14:solidFill>
          </w14:textFill>
        </w:rPr>
        <w:alias w:val="是否适用：关键管理人员报酬[双击切换]"/>
        <w:tag w:val="_GBC_48379e9c7f5743bb916ac1cb044f4057"/>
        <w:id w:val="147453137"/>
        <w:placeholder>
          <w:docPart w:val="GBC22222222222222222222222222222"/>
        </w:placeholder>
      </w:sdtPr>
      <w:sdtEndPr>
        <w:rPr>
          <w:color w:val="000000" w:themeColor="text1"/>
          <w14:textFill>
            <w14:solidFill>
              <w14:schemeClr w14:val="tx1"/>
            </w14:solidFill>
          </w14:textFill>
        </w:rPr>
      </w:sdtEndPr>
      <w:sdtContent>
        <w:p w14:paraId="6F5FDB7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570EC2B">
      <w:pPr>
        <w:jc w:val="right"/>
        <w:rPr>
          <w:rFonts w:cs="Cambria"/>
          <w:color w:val="000000" w:themeColor="text1"/>
          <w14:textFill>
            <w14:solidFill>
              <w14:schemeClr w14:val="tx1"/>
            </w14:solidFill>
          </w14:textFill>
        </w:rPr>
      </w:pPr>
    </w:p>
    <w:p w14:paraId="6B5B11FC">
      <w:pPr>
        <w:jc w:val="righ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财务附注：关键管理人员报酬"/>
          <w:tag w:val="_GBC_ce83ed5df8424f9a845da83f15361f10"/>
          <w:id w:val="1474829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万元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财务附注：关键管理人员报酬"/>
          <w:tag w:val="_GBC_f493c9ef199846639115d5bc3032a26e"/>
          <w:id w:val="1474677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4"/>
        <w:gridCol w:w="3274"/>
        <w:gridCol w:w="2501"/>
      </w:tblGrid>
      <w:tr w14:paraId="5BC4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67f843efe3664c9fbe7a215b63622ea0"/>
            <w:id w:val="147473116"/>
          </w:sdtPr>
          <w:sdtEndPr>
            <w:rPr>
              <w:rFonts w:cs="Times New Roman"/>
            </w:rPr>
          </w:sdtEndPr>
          <w:sdtContent>
            <w:tc>
              <w:tcPr>
                <w:tcW w:w="1809" w:type="pct"/>
                <w:tcBorders>
                  <w:top w:val="single" w:color="auto" w:sz="4" w:space="0"/>
                  <w:left w:val="single" w:color="auto" w:sz="4" w:space="0"/>
                  <w:bottom w:val="single" w:color="auto" w:sz="4" w:space="0"/>
                  <w:right w:val="single" w:color="auto" w:sz="4" w:space="0"/>
                </w:tcBorders>
                <w:vAlign w:val="center"/>
              </w:tcPr>
              <w:p w14:paraId="23A2CF2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30a169af324e457e93d304c688a55945"/>
            <w:id w:val="147453472"/>
          </w:sdtPr>
          <w:sdtEndPr>
            <w:rPr>
              <w:rFonts w:cs="Times New Roman"/>
            </w:rPr>
          </w:sdtEndPr>
          <w:sdtContent>
            <w:tc>
              <w:tcPr>
                <w:tcW w:w="1809" w:type="pct"/>
                <w:tcBorders>
                  <w:top w:val="single" w:color="auto" w:sz="4" w:space="0"/>
                  <w:left w:val="single" w:color="auto" w:sz="4" w:space="0"/>
                  <w:bottom w:val="single" w:color="auto" w:sz="4" w:space="0"/>
                  <w:right w:val="single" w:color="auto" w:sz="4" w:space="0"/>
                </w:tcBorders>
                <w:vAlign w:val="center"/>
              </w:tcPr>
              <w:p w14:paraId="7840017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bf5a91780f544d6eade38e70db331a30"/>
            <w:id w:val="147469946"/>
          </w:sdtPr>
          <w:sdtEndPr>
            <w:rPr>
              <w:rFonts w:cs="Times New Roman"/>
            </w:rPr>
          </w:sdtEndPr>
          <w:sdtContent>
            <w:tc>
              <w:tcPr>
                <w:tcW w:w="1382" w:type="pct"/>
                <w:tcBorders>
                  <w:top w:val="single" w:color="auto" w:sz="4" w:space="0"/>
                  <w:left w:val="single" w:color="auto" w:sz="4" w:space="0"/>
                  <w:bottom w:val="single" w:color="auto" w:sz="4" w:space="0"/>
                  <w:right w:val="single" w:color="auto" w:sz="4" w:space="0"/>
                </w:tcBorders>
                <w:vAlign w:val="center"/>
              </w:tcPr>
              <w:p w14:paraId="0086236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489F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pct"/>
            <w:tcBorders>
              <w:top w:val="single" w:color="auto" w:sz="4" w:space="0"/>
              <w:left w:val="single" w:color="auto" w:sz="4" w:space="0"/>
              <w:bottom w:val="single" w:color="auto" w:sz="4" w:space="0"/>
              <w:right w:val="single" w:color="auto" w:sz="4" w:space="0"/>
            </w:tcBorders>
            <w:vAlign w:val="center"/>
          </w:tcPr>
          <w:p w14:paraId="7C2F9BE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关键管理人员报酬</w:t>
            </w:r>
          </w:p>
        </w:tc>
        <w:tc>
          <w:tcPr>
            <w:tcW w:w="1809" w:type="pct"/>
            <w:tcBorders>
              <w:top w:val="single" w:color="auto" w:sz="4" w:space="0"/>
              <w:left w:val="single" w:color="auto" w:sz="4" w:space="0"/>
              <w:bottom w:val="single" w:color="auto" w:sz="4" w:space="0"/>
              <w:right w:val="single" w:color="auto" w:sz="4" w:space="0"/>
            </w:tcBorders>
            <w:vAlign w:val="center"/>
          </w:tcPr>
          <w:p w14:paraId="28DC08D0">
            <w:pPr>
              <w:jc w:val="right"/>
              <w:rPr>
                <w:rFonts w:cs="Times New Roman"/>
              </w:rPr>
            </w:pPr>
            <w:r>
              <w:rPr>
                <w:rFonts w:cs="Times New Roman"/>
              </w:rPr>
              <w:t>177.63</w:t>
            </w:r>
          </w:p>
        </w:tc>
        <w:tc>
          <w:tcPr>
            <w:tcW w:w="1382" w:type="pct"/>
            <w:tcBorders>
              <w:top w:val="single" w:color="auto" w:sz="4" w:space="0"/>
              <w:left w:val="single" w:color="auto" w:sz="4" w:space="0"/>
              <w:bottom w:val="single" w:color="auto" w:sz="4" w:space="0"/>
              <w:right w:val="single" w:color="auto" w:sz="4" w:space="0"/>
            </w:tcBorders>
            <w:vAlign w:val="center"/>
          </w:tcPr>
          <w:p w14:paraId="1935385F">
            <w:pPr>
              <w:jc w:val="right"/>
              <w:rPr>
                <w:rFonts w:cs="Times New Roman"/>
              </w:rPr>
            </w:pPr>
            <w:r>
              <w:rPr>
                <w:rFonts w:cs="Times New Roman"/>
              </w:rPr>
              <w:t>177.71</w:t>
            </w:r>
          </w:p>
        </w:tc>
      </w:tr>
    </w:tbl>
    <w:p w14:paraId="49B82C93">
      <w:pPr>
        <w:rPr>
          <w:color w:val="000000" w:themeColor="text1"/>
          <w14:textFill>
            <w14:solidFill>
              <w14:schemeClr w14:val="tx1"/>
            </w14:solidFill>
          </w14:textFill>
        </w:rPr>
      </w:pPr>
    </w:p>
    <w:p w14:paraId="3B129F89">
      <w:pPr>
        <w:pStyle w:val="58"/>
        <w:numPr>
          <w:ilvl w:val="0"/>
          <w:numId w:val="105"/>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其他关联交易</w:t>
      </w:r>
    </w:p>
    <w:sdt>
      <w:sdtPr>
        <w:rPr>
          <w:color w:val="000000" w:themeColor="text1"/>
          <w14:textFill>
            <w14:solidFill>
              <w14:schemeClr w14:val="tx1"/>
            </w14:solidFill>
          </w14:textFill>
        </w:rPr>
        <w:alias w:val="是否适用：其他关联交易[双击切换]"/>
        <w:tag w:val="_GBC_9768a300838a499089a7b814ff3d817d"/>
        <w:id w:val="147451023"/>
        <w:placeholder>
          <w:docPart w:val="GBC22222222222222222222222222222"/>
        </w:placeholder>
      </w:sdtPr>
      <w:sdtEndPr>
        <w:rPr>
          <w:color w:val="000000" w:themeColor="text1"/>
          <w14:textFill>
            <w14:solidFill>
              <w14:schemeClr w14:val="tx1"/>
            </w14:solidFill>
          </w14:textFill>
        </w:rPr>
      </w:sdtEndPr>
      <w:sdtContent>
        <w:p w14:paraId="67BDF2F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01B4965">
      <w:pPr>
        <w:rPr>
          <w:color w:val="000000" w:themeColor="text1"/>
          <w14:textFill>
            <w14:solidFill>
              <w14:schemeClr w14:val="tx1"/>
            </w14:solidFill>
          </w14:textFill>
        </w:rPr>
      </w:pPr>
    </w:p>
    <w:p w14:paraId="05E59C88">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应收、应付关联方等未结算项目情况</w:t>
      </w:r>
    </w:p>
    <w:p w14:paraId="0B01D178">
      <w:pPr>
        <w:pStyle w:val="58"/>
        <w:numPr>
          <w:ilvl w:val="0"/>
          <w:numId w:val="106"/>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应收项目</w:t>
      </w:r>
    </w:p>
    <w:sdt>
      <w:sdtPr>
        <w:rPr>
          <w:color w:val="000000" w:themeColor="text1"/>
          <w14:textFill>
            <w14:solidFill>
              <w14:schemeClr w14:val="tx1"/>
            </w14:solidFill>
          </w14:textFill>
        </w:rPr>
        <w:alias w:val="是否适用：应收项目[双击切换]"/>
        <w:tag w:val="_GBC_e5475e28b21641f6895ac4770b2631b5"/>
        <w:id w:val="-167800006"/>
      </w:sdtPr>
      <w:sdtEndPr>
        <w:rPr>
          <w:color w:val="000000" w:themeColor="text1"/>
          <w14:textFill>
            <w14:solidFill>
              <w14:schemeClr w14:val="tx1"/>
            </w14:solidFill>
          </w14:textFill>
        </w:rPr>
      </w:sdtEndPr>
      <w:sdtContent>
        <w:p w14:paraId="0134D85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4B9BB34D">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上市公司应收关联方款项"/>
          <w:tag w:val="_GBC_04d0c208b4494e01aba7984c41905093"/>
          <w:id w:val="1852070764"/>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上市公司应收关联方款项"/>
          <w:tag w:val="_GBC_b106fdd467084a62837eebe1d06bbbee"/>
          <w:id w:val="-174972587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424"/>
        <w:gridCol w:w="2150"/>
        <w:gridCol w:w="1384"/>
        <w:gridCol w:w="1288"/>
        <w:gridCol w:w="1439"/>
        <w:gridCol w:w="1208"/>
      </w:tblGrid>
      <w:tr w14:paraId="1666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rPr>
              <w:rFonts w:cs="Times New Roman"/>
            </w:rPr>
            <w:tag w:val="_PLD_75750bc8ac464afa98573c85adea097c"/>
            <w:id w:val="-1474134440"/>
          </w:sdtPr>
          <w:sdtEndPr>
            <w:rPr>
              <w:rFonts w:cs="Times New Roman"/>
            </w:rPr>
          </w:sdtEndPr>
          <w:sdtContent>
            <w:tc>
              <w:tcPr>
                <w:tcW w:w="800" w:type="pct"/>
                <w:vMerge w:val="restart"/>
                <w:tcBorders>
                  <w:top w:val="single" w:color="auto" w:sz="4" w:space="0"/>
                  <w:left w:val="single" w:color="auto" w:sz="4" w:space="0"/>
                  <w:right w:val="single" w:color="auto" w:sz="4" w:space="0"/>
                </w:tcBorders>
                <w:vAlign w:val="center"/>
              </w:tcPr>
              <w:p w14:paraId="01FB4DA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项目名称</w:t>
                </w:r>
              </w:p>
            </w:tc>
          </w:sdtContent>
        </w:sdt>
        <w:sdt>
          <w:sdtPr>
            <w:rPr>
              <w:rFonts w:cs="Times New Roman"/>
            </w:rPr>
            <w:tag w:val="_PLD_5006be842c534839b3dabcf833329dd5"/>
            <w:id w:val="1429697088"/>
          </w:sdtPr>
          <w:sdtEndPr>
            <w:rPr>
              <w:rFonts w:cs="Times New Roman"/>
            </w:rPr>
          </w:sdtEndPr>
          <w:sdtContent>
            <w:tc>
              <w:tcPr>
                <w:tcW w:w="1208" w:type="pct"/>
                <w:vMerge w:val="restart"/>
                <w:tcBorders>
                  <w:top w:val="single" w:color="auto" w:sz="4" w:space="0"/>
                  <w:left w:val="single" w:color="auto" w:sz="4" w:space="0"/>
                  <w:right w:val="single" w:color="auto" w:sz="4" w:space="0"/>
                </w:tcBorders>
                <w:vAlign w:val="center"/>
              </w:tcPr>
              <w:p w14:paraId="1A9E118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关联方</w:t>
                </w:r>
              </w:p>
            </w:tc>
          </w:sdtContent>
        </w:sdt>
        <w:sdt>
          <w:sdtPr>
            <w:rPr>
              <w:rFonts w:cs="Times New Roman"/>
            </w:rPr>
            <w:tag w:val="_PLD_f8f3c28b2f064090a27f319875eb1b52"/>
            <w:id w:val="1253476434"/>
          </w:sdtPr>
          <w:sdtEndPr>
            <w:rPr>
              <w:rFonts w:cs="Times New Roman"/>
            </w:rPr>
          </w:sdtEndPr>
          <w:sdtContent>
            <w:tc>
              <w:tcPr>
                <w:tcW w:w="1502" w:type="pct"/>
                <w:gridSpan w:val="2"/>
                <w:tcBorders>
                  <w:top w:val="single" w:color="auto" w:sz="4" w:space="0"/>
                  <w:left w:val="single" w:color="auto" w:sz="4" w:space="0"/>
                  <w:bottom w:val="single" w:color="auto" w:sz="4" w:space="0"/>
                  <w:right w:val="single" w:color="auto" w:sz="4" w:space="0"/>
                </w:tcBorders>
                <w:vAlign w:val="center"/>
              </w:tcPr>
              <w:p w14:paraId="2E3088E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fdab8cbff0b74f19a916d61075f629a0"/>
            <w:id w:val="431324257"/>
          </w:sdtPr>
          <w:sdtEndPr>
            <w:rPr>
              <w:rFonts w:cs="Times New Roman"/>
            </w:rPr>
          </w:sdtEndPr>
          <w:sdtContent>
            <w:tc>
              <w:tcPr>
                <w:tcW w:w="1488" w:type="pct"/>
                <w:gridSpan w:val="2"/>
                <w:tcBorders>
                  <w:top w:val="single" w:color="auto" w:sz="4" w:space="0"/>
                  <w:left w:val="single" w:color="auto" w:sz="4" w:space="0"/>
                  <w:bottom w:val="single" w:color="auto" w:sz="4" w:space="0"/>
                  <w:right w:val="single" w:color="auto" w:sz="4" w:space="0"/>
                </w:tcBorders>
                <w:vAlign w:val="center"/>
              </w:tcPr>
              <w:p w14:paraId="6530F2F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40DC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tc>
          <w:tcPr>
            <w:tcW w:w="800" w:type="pct"/>
            <w:vMerge w:val="continue"/>
            <w:tcBorders>
              <w:left w:val="single" w:color="auto" w:sz="4" w:space="0"/>
              <w:bottom w:val="single" w:color="auto" w:sz="4" w:space="0"/>
              <w:right w:val="single" w:color="auto" w:sz="4" w:space="0"/>
            </w:tcBorders>
            <w:vAlign w:val="center"/>
          </w:tcPr>
          <w:p w14:paraId="1D6017C1">
            <w:pPr>
              <w:jc w:val="center"/>
              <w:rPr>
                <w:rFonts w:cs="Times New Roman"/>
                <w:color w:val="000000" w:themeColor="text1"/>
                <w14:textFill>
                  <w14:solidFill>
                    <w14:schemeClr w14:val="tx1"/>
                  </w14:solidFill>
                </w14:textFill>
              </w:rPr>
            </w:pPr>
          </w:p>
        </w:tc>
        <w:tc>
          <w:tcPr>
            <w:tcW w:w="1208" w:type="pct"/>
            <w:vMerge w:val="continue"/>
            <w:tcBorders>
              <w:left w:val="single" w:color="auto" w:sz="4" w:space="0"/>
              <w:bottom w:val="single" w:color="auto" w:sz="4" w:space="0"/>
              <w:right w:val="single" w:color="auto" w:sz="4" w:space="0"/>
            </w:tcBorders>
            <w:vAlign w:val="center"/>
          </w:tcPr>
          <w:p w14:paraId="0EC3FB1A">
            <w:pPr>
              <w:rPr>
                <w:rFonts w:cs="Times New Roman"/>
                <w:color w:val="000000" w:themeColor="text1"/>
                <w14:textFill>
                  <w14:solidFill>
                    <w14:schemeClr w14:val="tx1"/>
                  </w14:solidFill>
                </w14:textFill>
              </w:rPr>
            </w:pPr>
          </w:p>
        </w:tc>
        <w:sdt>
          <w:sdtPr>
            <w:rPr>
              <w:rFonts w:cs="Times New Roman"/>
            </w:rPr>
            <w:tag w:val="_PLD_5c085d18049644c9860a00b248b7c0ba"/>
            <w:id w:val="-34729510"/>
          </w:sdtPr>
          <w:sdtEndPr>
            <w:rPr>
              <w:rFonts w:cs="Times New Roman"/>
            </w:rPr>
          </w:sdtEndPr>
          <w:sdtContent>
            <w:tc>
              <w:tcPr>
                <w:tcW w:w="778" w:type="pct"/>
                <w:tcBorders>
                  <w:top w:val="single" w:color="auto" w:sz="4" w:space="0"/>
                  <w:left w:val="single" w:color="auto" w:sz="4" w:space="0"/>
                  <w:bottom w:val="single" w:color="auto" w:sz="4" w:space="0"/>
                  <w:right w:val="single" w:color="auto" w:sz="4" w:space="0"/>
                </w:tcBorders>
                <w:vAlign w:val="center"/>
              </w:tcPr>
              <w:p w14:paraId="7E97AF6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8262489c05a6417a883e2c877ded6170"/>
            <w:id w:val="631210222"/>
          </w:sdtPr>
          <w:sdtEndPr>
            <w:rPr>
              <w:rFonts w:cs="Times New Roman"/>
            </w:rPr>
          </w:sdtEndPr>
          <w:sdtContent>
            <w:tc>
              <w:tcPr>
                <w:tcW w:w="724" w:type="pct"/>
                <w:tcBorders>
                  <w:top w:val="single" w:color="auto" w:sz="4" w:space="0"/>
                  <w:left w:val="single" w:color="auto" w:sz="4" w:space="0"/>
                  <w:bottom w:val="single" w:color="auto" w:sz="4" w:space="0"/>
                  <w:right w:val="single" w:color="auto" w:sz="4" w:space="0"/>
                </w:tcBorders>
                <w:vAlign w:val="center"/>
              </w:tcPr>
              <w:p w14:paraId="59D4DBD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46c6d827df3f47a3bc83a6dd8718f17e"/>
            <w:id w:val="-2009045984"/>
          </w:sdtPr>
          <w:sdtEndPr>
            <w:rPr>
              <w:rFonts w:cs="Times New Roman"/>
            </w:rPr>
          </w:sdtEndPr>
          <w:sdtContent>
            <w:tc>
              <w:tcPr>
                <w:tcW w:w="809" w:type="pct"/>
                <w:tcBorders>
                  <w:top w:val="single" w:color="auto" w:sz="4" w:space="0"/>
                  <w:left w:val="single" w:color="auto" w:sz="4" w:space="0"/>
                  <w:bottom w:val="single" w:color="auto" w:sz="4" w:space="0"/>
                  <w:right w:val="single" w:color="auto" w:sz="4" w:space="0"/>
                </w:tcBorders>
                <w:vAlign w:val="center"/>
              </w:tcPr>
              <w:p w14:paraId="6AA71B6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fca2aa8baf8a48a7a4cdc730d7420d47"/>
            <w:id w:val="1765798778"/>
          </w:sdtPr>
          <w:sdtEndPr>
            <w:rPr>
              <w:rFonts w:cs="Times New Roman"/>
            </w:rPr>
          </w:sdtEndPr>
          <w:sdtContent>
            <w:tc>
              <w:tcPr>
                <w:tcW w:w="678" w:type="pct"/>
                <w:tcBorders>
                  <w:top w:val="single" w:color="auto" w:sz="4" w:space="0"/>
                  <w:left w:val="single" w:color="auto" w:sz="4" w:space="0"/>
                  <w:bottom w:val="single" w:color="auto" w:sz="4" w:space="0"/>
                  <w:right w:val="single" w:color="auto" w:sz="4" w:space="0"/>
                </w:tcBorders>
                <w:vAlign w:val="center"/>
              </w:tcPr>
              <w:p w14:paraId="0BBB8DD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tr>
      <w:sdt>
        <w:sdtPr>
          <w:rPr>
            <w:rFonts w:cs="Times New Roman"/>
            <w:color w:val="000000" w:themeColor="text1"/>
            <w14:textFill>
              <w14:solidFill>
                <w14:schemeClr w14:val="tx1"/>
              </w14:solidFill>
            </w14:textFill>
          </w:rPr>
          <w:alias w:val="上市公司应收关联方款项明细"/>
          <w:tag w:val="_GBC_203fd12dc6be4a978fe2a9d9f5ad1070"/>
          <w:id w:val="79414470"/>
          <w:placeholder>
            <w:docPart w:val="{2103f560-d9c2-456c-b39e-efce37321a20}"/>
          </w:placeholder>
        </w:sdtPr>
        <w:sdtEndPr>
          <w:rPr>
            <w:rFonts w:cs="Times New Roman"/>
            <w:color w:val="000000" w:themeColor="text1"/>
            <w14:textFill>
              <w14:solidFill>
                <w14:schemeClr w14:val="tx1"/>
              </w14:solidFill>
            </w14:textFill>
          </w:rPr>
        </w:sdtEndPr>
        <w:sdtContent>
          <w:tr w14:paraId="4625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48C4E22">
                <w:pPr>
                  <w:autoSpaceDE w:val="0"/>
                  <w:autoSpaceDN w:val="0"/>
                  <w:adjustRightInd w:val="0"/>
                  <w:rPr>
                    <w:rFonts w:cs="Times New Roman"/>
                  </w:rPr>
                </w:pPr>
                <w:r>
                  <w:rPr>
                    <w:rFonts w:cs="Times New Roman"/>
                  </w:rPr>
                  <w:t>银行存款</w:t>
                </w:r>
              </w:p>
            </w:tc>
            <w:tc>
              <w:tcPr>
                <w:tcW w:w="1208" w:type="pct"/>
                <w:tcBorders>
                  <w:top w:val="single" w:color="auto" w:sz="4" w:space="0"/>
                  <w:left w:val="single" w:color="auto" w:sz="4" w:space="0"/>
                  <w:bottom w:val="single" w:color="auto" w:sz="4" w:space="0"/>
                  <w:right w:val="single" w:color="auto" w:sz="4" w:space="0"/>
                </w:tcBorders>
                <w:vAlign w:val="center"/>
              </w:tcPr>
              <w:p w14:paraId="73ABF3E6">
                <w:pPr>
                  <w:autoSpaceDE w:val="0"/>
                  <w:autoSpaceDN w:val="0"/>
                  <w:adjustRightInd w:val="0"/>
                  <w:rPr>
                    <w:rFonts w:cs="Times New Roman"/>
                  </w:rPr>
                </w:pPr>
              </w:p>
            </w:tc>
            <w:tc>
              <w:tcPr>
                <w:tcW w:w="778" w:type="pct"/>
                <w:tcBorders>
                  <w:top w:val="single" w:color="auto" w:sz="4" w:space="0"/>
                  <w:left w:val="single" w:color="auto" w:sz="4" w:space="0"/>
                  <w:bottom w:val="single" w:color="auto" w:sz="4" w:space="0"/>
                  <w:right w:val="single" w:color="auto" w:sz="4" w:space="0"/>
                </w:tcBorders>
                <w:vAlign w:val="center"/>
              </w:tcPr>
              <w:p w14:paraId="19E97E06">
                <w:pPr>
                  <w:autoSpaceDE w:val="0"/>
                  <w:autoSpaceDN w:val="0"/>
                  <w:adjustRightInd w:val="0"/>
                  <w:jc w:val="center"/>
                  <w:rPr>
                    <w:rFonts w:cs="Times New Roman"/>
                  </w:rPr>
                </w:pPr>
              </w:p>
            </w:tc>
            <w:tc>
              <w:tcPr>
                <w:tcW w:w="724" w:type="pct"/>
                <w:tcBorders>
                  <w:top w:val="single" w:color="auto" w:sz="4" w:space="0"/>
                  <w:left w:val="single" w:color="auto" w:sz="4" w:space="0"/>
                  <w:bottom w:val="single" w:color="auto" w:sz="4" w:space="0"/>
                  <w:right w:val="single" w:color="auto" w:sz="4" w:space="0"/>
                </w:tcBorders>
                <w:vAlign w:val="center"/>
              </w:tcPr>
              <w:p w14:paraId="5D455278">
                <w:pPr>
                  <w:autoSpaceDE w:val="0"/>
                  <w:autoSpaceDN w:val="0"/>
                  <w:adjustRightInd w:val="0"/>
                  <w:jc w:val="center"/>
                  <w:rPr>
                    <w:rFonts w:cs="Times New Roman"/>
                  </w:rPr>
                </w:pPr>
              </w:p>
            </w:tc>
            <w:tc>
              <w:tcPr>
                <w:tcW w:w="809" w:type="pct"/>
                <w:tcBorders>
                  <w:top w:val="single" w:color="auto" w:sz="4" w:space="0"/>
                  <w:left w:val="single" w:color="auto" w:sz="4" w:space="0"/>
                  <w:bottom w:val="single" w:color="auto" w:sz="4" w:space="0"/>
                  <w:right w:val="single" w:color="auto" w:sz="4" w:space="0"/>
                </w:tcBorders>
                <w:vAlign w:val="center"/>
              </w:tcPr>
              <w:p w14:paraId="18073A71">
                <w:pPr>
                  <w:autoSpaceDE w:val="0"/>
                  <w:autoSpaceDN w:val="0"/>
                  <w:adjustRightInd w:val="0"/>
                  <w:jc w:val="center"/>
                  <w:rPr>
                    <w:rFonts w:cs="Times New Roman"/>
                  </w:rPr>
                </w:pPr>
              </w:p>
            </w:tc>
            <w:tc>
              <w:tcPr>
                <w:tcW w:w="678" w:type="pct"/>
                <w:tcBorders>
                  <w:top w:val="single" w:color="auto" w:sz="4" w:space="0"/>
                  <w:left w:val="single" w:color="auto" w:sz="4" w:space="0"/>
                  <w:bottom w:val="single" w:color="auto" w:sz="4" w:space="0"/>
                  <w:right w:val="single" w:color="auto" w:sz="4" w:space="0"/>
                </w:tcBorders>
                <w:vAlign w:val="center"/>
              </w:tcPr>
              <w:p w14:paraId="4DF201AD">
                <w:pPr>
                  <w:autoSpaceDE w:val="0"/>
                  <w:autoSpaceDN w:val="0"/>
                  <w:adjustRightInd w:val="0"/>
                  <w:jc w:val="center"/>
                  <w:rPr>
                    <w:rFonts w:cs="Times New Roman"/>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39100281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AED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5DAB0ED">
                <w:pPr>
                  <w:autoSpaceDE w:val="0"/>
                  <w:autoSpaceDN w:val="0"/>
                  <w:adjustRightInd w:val="0"/>
                  <w:rPr>
                    <w:rFonts w:cs="Times New Roman"/>
                    <w:sz w:val="20"/>
                    <w:szCs w:val="20"/>
                  </w:rPr>
                </w:pPr>
                <w:r>
                  <w:rPr>
                    <w:rFonts w:cs="Times New Roman"/>
                    <w:sz w:val="20"/>
                    <w:szCs w:val="20"/>
                  </w:rPr>
                  <w:t>银行存款</w:t>
                </w:r>
              </w:p>
            </w:tc>
            <w:tc>
              <w:tcPr>
                <w:tcW w:w="1208" w:type="pct"/>
                <w:tcBorders>
                  <w:top w:val="single" w:color="auto" w:sz="4" w:space="0"/>
                  <w:left w:val="single" w:color="auto" w:sz="4" w:space="0"/>
                  <w:bottom w:val="single" w:color="auto" w:sz="4" w:space="0"/>
                  <w:right w:val="single" w:color="auto" w:sz="4" w:space="0"/>
                </w:tcBorders>
                <w:vAlign w:val="center"/>
              </w:tcPr>
              <w:p w14:paraId="4AC227B0">
                <w:pPr>
                  <w:autoSpaceDE w:val="0"/>
                  <w:autoSpaceDN w:val="0"/>
                  <w:adjustRightInd w:val="0"/>
                  <w:rPr>
                    <w:rFonts w:cs="Times New Roman"/>
                    <w:sz w:val="20"/>
                    <w:szCs w:val="20"/>
                  </w:rPr>
                </w:pPr>
                <w:r>
                  <w:rPr>
                    <w:rFonts w:cs="Times New Roman"/>
                    <w:sz w:val="20"/>
                    <w:szCs w:val="20"/>
                  </w:rPr>
                  <w:t>新兴际华集团财务有限公司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4CFD0A8">
                <w:pPr>
                  <w:autoSpaceDE w:val="0"/>
                  <w:autoSpaceDN w:val="0"/>
                  <w:adjustRightInd w:val="0"/>
                  <w:jc w:val="right"/>
                  <w:rPr>
                    <w:rFonts w:cs="Times New Roman"/>
                    <w:sz w:val="18"/>
                    <w:szCs w:val="18"/>
                  </w:rPr>
                </w:pPr>
                <w:r>
                  <w:rPr>
                    <w:rFonts w:cs="Times New Roman"/>
                    <w:sz w:val="18"/>
                    <w:szCs w:val="18"/>
                  </w:rPr>
                  <w:t>4,370,960,573.16</w:t>
                </w:r>
              </w:p>
            </w:tc>
            <w:tc>
              <w:tcPr>
                <w:tcW w:w="724" w:type="pct"/>
                <w:tcBorders>
                  <w:top w:val="single" w:color="auto" w:sz="4" w:space="0"/>
                  <w:left w:val="single" w:color="auto" w:sz="4" w:space="0"/>
                  <w:bottom w:val="single" w:color="auto" w:sz="4" w:space="0"/>
                  <w:right w:val="single" w:color="auto" w:sz="4" w:space="0"/>
                </w:tcBorders>
                <w:vAlign w:val="center"/>
              </w:tcPr>
              <w:p w14:paraId="3DB80D00">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7093FBD4">
                <w:pPr>
                  <w:autoSpaceDE w:val="0"/>
                  <w:autoSpaceDN w:val="0"/>
                  <w:adjustRightInd w:val="0"/>
                  <w:jc w:val="right"/>
                  <w:rPr>
                    <w:rFonts w:cs="Times New Roman"/>
                    <w:sz w:val="18"/>
                    <w:szCs w:val="18"/>
                  </w:rPr>
                </w:pPr>
                <w:r>
                  <w:rPr>
                    <w:rFonts w:cs="Times New Roman"/>
                    <w:sz w:val="18"/>
                    <w:szCs w:val="18"/>
                  </w:rPr>
                  <w:t>3,351,736,657.29</w:t>
                </w:r>
              </w:p>
            </w:tc>
            <w:tc>
              <w:tcPr>
                <w:tcW w:w="678" w:type="pct"/>
                <w:tcBorders>
                  <w:top w:val="single" w:color="auto" w:sz="4" w:space="0"/>
                  <w:left w:val="single" w:color="auto" w:sz="4" w:space="0"/>
                  <w:bottom w:val="single" w:color="auto" w:sz="4" w:space="0"/>
                  <w:right w:val="single" w:color="auto" w:sz="4" w:space="0"/>
                </w:tcBorders>
                <w:vAlign w:val="center"/>
              </w:tcPr>
              <w:p w14:paraId="6D72ECEB">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7037417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5E8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DEC2BC8">
                <w:pPr>
                  <w:autoSpaceDE w:val="0"/>
                  <w:autoSpaceDN w:val="0"/>
                  <w:adjustRightInd w:val="0"/>
                  <w:rPr>
                    <w:rFonts w:cs="Times New Roman"/>
                    <w:sz w:val="20"/>
                    <w:szCs w:val="20"/>
                  </w:rPr>
                </w:pPr>
                <w:r>
                  <w:rPr>
                    <w:rFonts w:cs="Times New Roman"/>
                    <w:sz w:val="20"/>
                    <w:szCs w:val="20"/>
                  </w:rPr>
                  <w:t>应收票据</w:t>
                </w:r>
              </w:p>
            </w:tc>
            <w:tc>
              <w:tcPr>
                <w:tcW w:w="1208" w:type="pct"/>
                <w:tcBorders>
                  <w:top w:val="single" w:color="auto" w:sz="4" w:space="0"/>
                  <w:left w:val="single" w:color="auto" w:sz="4" w:space="0"/>
                  <w:bottom w:val="single" w:color="auto" w:sz="4" w:space="0"/>
                  <w:right w:val="single" w:color="auto" w:sz="4" w:space="0"/>
                </w:tcBorders>
                <w:vAlign w:val="center"/>
              </w:tcPr>
              <w:p w14:paraId="6357887D">
                <w:pPr>
                  <w:autoSpaceDE w:val="0"/>
                  <w:autoSpaceDN w:val="0"/>
                  <w:adjustRightInd w:val="0"/>
                  <w:rPr>
                    <w:rFonts w:cs="Times New Roman"/>
                    <w:sz w:val="20"/>
                    <w:szCs w:val="20"/>
                  </w:rPr>
                </w:pPr>
              </w:p>
            </w:tc>
            <w:tc>
              <w:tcPr>
                <w:tcW w:w="778" w:type="pct"/>
                <w:tcBorders>
                  <w:top w:val="single" w:color="auto" w:sz="4" w:space="0"/>
                  <w:left w:val="single" w:color="auto" w:sz="4" w:space="0"/>
                  <w:bottom w:val="single" w:color="auto" w:sz="4" w:space="0"/>
                  <w:right w:val="single" w:color="auto" w:sz="4" w:space="0"/>
                </w:tcBorders>
                <w:vAlign w:val="center"/>
              </w:tcPr>
              <w:p w14:paraId="7D31E8E6">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22A0D178">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0CADE76D">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515BCB6B">
                <w:pPr>
                  <w:autoSpaceDE w:val="0"/>
                  <w:autoSpaceDN w:val="0"/>
                  <w:adjustRightInd w:val="0"/>
                  <w:jc w:val="right"/>
                  <w:rPr>
                    <w:rFonts w:cs="Times New Roman"/>
                    <w:sz w:val="18"/>
                    <w:szCs w:val="18"/>
                  </w:rPr>
                </w:pPr>
              </w:p>
            </w:tc>
          </w:tr>
        </w:sdtContent>
      </w:sdt>
      <w:sdt>
        <w:sdtPr>
          <w:alias w:val="上市公司应收关联方款项明细"/>
          <w:tag w:val="_GBC_203fd12dc6be4a978fe2a9d9f5ad1070"/>
          <w:id w:val="185949697"/>
          <w:placeholder>
            <w:docPart w:val="{2103f560-d9c2-456c-b39e-efce37321a20}"/>
          </w:placeholder>
        </w:sdtPr>
        <w:sdtContent>
          <w:sdt>
            <w:sdtPr>
              <w:alias w:val="上市公司应收关联方款项明细"/>
              <w:tag w:val="_GBC_203fd12dc6be4a978fe2a9d9f5ad1070"/>
              <w:id w:val="160398913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AD1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59D2EF3">
                    <w:pPr>
                      <w:autoSpaceDE w:val="0"/>
                      <w:autoSpaceDN w:val="0"/>
                      <w:adjustRightInd w:val="0"/>
                      <w:rPr>
                        <w:rFonts w:cs="Times New Roman"/>
                        <w:sz w:val="20"/>
                        <w:szCs w:val="20"/>
                      </w:rPr>
                    </w:pPr>
                    <w:r>
                      <w:rPr>
                        <w:rFonts w:cs="Times New Roman"/>
                        <w:sz w:val="20"/>
                        <w:szCs w:val="20"/>
                      </w:rPr>
                      <w:t>应收票据</w:t>
                    </w:r>
                  </w:p>
                </w:tc>
                <w:tc>
                  <w:tcPr>
                    <w:tcW w:w="1208" w:type="pct"/>
                    <w:tcBorders>
                      <w:top w:val="single" w:color="auto" w:sz="4" w:space="0"/>
                      <w:left w:val="single" w:color="auto" w:sz="4" w:space="0"/>
                      <w:bottom w:val="single" w:color="auto" w:sz="4" w:space="0"/>
                      <w:right w:val="single" w:color="auto" w:sz="4" w:space="0"/>
                    </w:tcBorders>
                    <w:vAlign w:val="center"/>
                  </w:tcPr>
                  <w:p w14:paraId="6764A165">
                    <w:pPr>
                      <w:autoSpaceDE w:val="0"/>
                      <w:autoSpaceDN w:val="0"/>
                      <w:adjustRightInd w:val="0"/>
                      <w:rPr>
                        <w:rFonts w:cs="Times New Roman"/>
                        <w:sz w:val="20"/>
                        <w:szCs w:val="20"/>
                      </w:rPr>
                    </w:pPr>
                    <w:r>
                      <w:rPr>
                        <w:rFonts w:cs="Times New Roman"/>
                        <w:sz w:val="20"/>
                        <w:szCs w:val="20"/>
                      </w:rPr>
                      <w:t>新兴铸管股份有限公司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4728B515">
                    <w:pPr>
                      <w:autoSpaceDE w:val="0"/>
                      <w:autoSpaceDN w:val="0"/>
                      <w:adjustRightInd w:val="0"/>
                      <w:jc w:val="right"/>
                      <w:rPr>
                        <w:rFonts w:cs="Times New Roman"/>
                        <w:sz w:val="18"/>
                        <w:szCs w:val="18"/>
                      </w:rPr>
                    </w:pPr>
                    <w:r>
                      <w:rPr>
                        <w:rFonts w:cs="Times New Roman"/>
                        <w:sz w:val="18"/>
                        <w:szCs w:val="18"/>
                      </w:rPr>
                      <w:t>1,604,896.70</w:t>
                    </w:r>
                  </w:p>
                </w:tc>
                <w:tc>
                  <w:tcPr>
                    <w:tcW w:w="724" w:type="pct"/>
                    <w:tcBorders>
                      <w:top w:val="single" w:color="auto" w:sz="4" w:space="0"/>
                      <w:left w:val="single" w:color="auto" w:sz="4" w:space="0"/>
                      <w:bottom w:val="single" w:color="auto" w:sz="4" w:space="0"/>
                      <w:right w:val="single" w:color="auto" w:sz="4" w:space="0"/>
                    </w:tcBorders>
                    <w:vAlign w:val="center"/>
                  </w:tcPr>
                  <w:p w14:paraId="775E02DB">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579D8339">
                    <w:pPr>
                      <w:autoSpaceDE w:val="0"/>
                      <w:autoSpaceDN w:val="0"/>
                      <w:adjustRightInd w:val="0"/>
                      <w:jc w:val="right"/>
                      <w:rPr>
                        <w:rFonts w:cs="Times New Roman"/>
                        <w:sz w:val="18"/>
                        <w:szCs w:val="18"/>
                      </w:rPr>
                    </w:pPr>
                    <w:r>
                      <w:rPr>
                        <w:rFonts w:cs="Times New Roman"/>
                        <w:sz w:val="18"/>
                        <w:szCs w:val="18"/>
                      </w:rPr>
                      <w:t>6,511.88</w:t>
                    </w:r>
                  </w:p>
                </w:tc>
                <w:tc>
                  <w:tcPr>
                    <w:tcW w:w="678" w:type="pct"/>
                    <w:tcBorders>
                      <w:top w:val="single" w:color="auto" w:sz="4" w:space="0"/>
                      <w:left w:val="single" w:color="auto" w:sz="4" w:space="0"/>
                      <w:bottom w:val="single" w:color="auto" w:sz="4" w:space="0"/>
                      <w:right w:val="single" w:color="auto" w:sz="4" w:space="0"/>
                    </w:tcBorders>
                    <w:vAlign w:val="center"/>
                  </w:tcPr>
                  <w:p w14:paraId="506B1AB4">
                    <w:pPr>
                      <w:autoSpaceDE w:val="0"/>
                      <w:autoSpaceDN w:val="0"/>
                      <w:adjustRightInd w:val="0"/>
                      <w:jc w:val="right"/>
                      <w:rPr>
                        <w:rFonts w:cs="Times New Roman"/>
                        <w:sz w:val="18"/>
                        <w:szCs w:val="18"/>
                      </w:rPr>
                    </w:pPr>
                  </w:p>
                </w:tc>
              </w:tr>
            </w:sdtContent>
          </w:sdt>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56401059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486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1C5ED92">
                <w:pPr>
                  <w:autoSpaceDE w:val="0"/>
                  <w:autoSpaceDN w:val="0"/>
                  <w:adjustRightInd w:val="0"/>
                  <w:rPr>
                    <w:rFonts w:cs="Times New Roman"/>
                    <w:sz w:val="20"/>
                    <w:szCs w:val="20"/>
                  </w:rPr>
                </w:pPr>
                <w:r>
                  <w:rPr>
                    <w:rFonts w:cs="Times New Roman"/>
                    <w:sz w:val="20"/>
                    <w:szCs w:val="20"/>
                  </w:rPr>
                  <w:t>应收票据</w:t>
                </w:r>
              </w:p>
            </w:tc>
            <w:tc>
              <w:tcPr>
                <w:tcW w:w="1208" w:type="pct"/>
                <w:tcBorders>
                  <w:top w:val="single" w:color="auto" w:sz="4" w:space="0"/>
                  <w:left w:val="single" w:color="auto" w:sz="4" w:space="0"/>
                  <w:bottom w:val="single" w:color="auto" w:sz="4" w:space="0"/>
                  <w:right w:val="single" w:color="auto" w:sz="4" w:space="0"/>
                </w:tcBorders>
                <w:vAlign w:val="center"/>
              </w:tcPr>
              <w:p w14:paraId="046B9EA4">
                <w:pPr>
                  <w:autoSpaceDE w:val="0"/>
                  <w:autoSpaceDN w:val="0"/>
                  <w:adjustRightInd w:val="0"/>
                  <w:rPr>
                    <w:rFonts w:cs="Times New Roman"/>
                    <w:sz w:val="20"/>
                    <w:szCs w:val="20"/>
                  </w:rPr>
                </w:pPr>
                <w:r>
                  <w:rPr>
                    <w:rFonts w:cs="Times New Roman"/>
                    <w:sz w:val="20"/>
                    <w:szCs w:val="20"/>
                  </w:rPr>
                  <w:t>湖北新兴全力机械有限公司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455B3B65">
                <w:pPr>
                  <w:autoSpaceDE w:val="0"/>
                  <w:autoSpaceDN w:val="0"/>
                  <w:adjustRightInd w:val="0"/>
                  <w:jc w:val="right"/>
                  <w:rPr>
                    <w:rFonts w:cs="Times New Roman"/>
                    <w:sz w:val="18"/>
                    <w:szCs w:val="18"/>
                  </w:rPr>
                </w:pPr>
                <w:r>
                  <w:rPr>
                    <w:rFonts w:cs="Times New Roman"/>
                    <w:sz w:val="18"/>
                    <w:szCs w:val="18"/>
                  </w:rPr>
                  <w:t>86,060.00</w:t>
                </w:r>
              </w:p>
            </w:tc>
            <w:tc>
              <w:tcPr>
                <w:tcW w:w="724" w:type="pct"/>
                <w:tcBorders>
                  <w:top w:val="single" w:color="auto" w:sz="4" w:space="0"/>
                  <w:left w:val="single" w:color="auto" w:sz="4" w:space="0"/>
                  <w:bottom w:val="single" w:color="auto" w:sz="4" w:space="0"/>
                  <w:right w:val="single" w:color="auto" w:sz="4" w:space="0"/>
                </w:tcBorders>
                <w:vAlign w:val="center"/>
              </w:tcPr>
              <w:p w14:paraId="0BC0947E">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73AA26FD">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6B76E898">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98898974"/>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3EB9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AD93A84">
                <w:pPr>
                  <w:autoSpaceDE w:val="0"/>
                  <w:autoSpaceDN w:val="0"/>
                  <w:adjustRightInd w:val="0"/>
                  <w:rPr>
                    <w:rFonts w:cs="Times New Roman"/>
                    <w:sz w:val="20"/>
                    <w:szCs w:val="20"/>
                  </w:rPr>
                </w:pPr>
                <w:r>
                  <w:rPr>
                    <w:rFonts w:cs="Times New Roman"/>
                    <w:sz w:val="20"/>
                    <w:szCs w:val="20"/>
                  </w:rPr>
                  <w:t>应收票据</w:t>
                </w:r>
              </w:p>
            </w:tc>
            <w:tc>
              <w:tcPr>
                <w:tcW w:w="1208" w:type="pct"/>
                <w:tcBorders>
                  <w:top w:val="single" w:color="auto" w:sz="4" w:space="0"/>
                  <w:left w:val="single" w:color="auto" w:sz="4" w:space="0"/>
                  <w:bottom w:val="single" w:color="auto" w:sz="4" w:space="0"/>
                  <w:right w:val="single" w:color="auto" w:sz="4" w:space="0"/>
                </w:tcBorders>
                <w:vAlign w:val="center"/>
              </w:tcPr>
              <w:p w14:paraId="10844C06">
                <w:pPr>
                  <w:autoSpaceDE w:val="0"/>
                  <w:autoSpaceDN w:val="0"/>
                  <w:adjustRightInd w:val="0"/>
                  <w:rPr>
                    <w:rFonts w:cs="Times New Roman"/>
                    <w:sz w:val="20"/>
                    <w:szCs w:val="20"/>
                  </w:rPr>
                </w:pPr>
                <w:r>
                  <w:rPr>
                    <w:rFonts w:cs="Times New Roman"/>
                    <w:sz w:val="20"/>
                    <w:szCs w:val="20"/>
                  </w:rPr>
                  <w:t>广东新兴铸管有限公司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97CF3E3">
                <w:pPr>
                  <w:autoSpaceDE w:val="0"/>
                  <w:autoSpaceDN w:val="0"/>
                  <w:adjustRightInd w:val="0"/>
                  <w:jc w:val="right"/>
                  <w:rPr>
                    <w:rFonts w:cs="Times New Roman"/>
                    <w:sz w:val="18"/>
                    <w:szCs w:val="18"/>
                  </w:rPr>
                </w:pPr>
                <w:r>
                  <w:rPr>
                    <w:rFonts w:cs="Times New Roman"/>
                    <w:sz w:val="18"/>
                    <w:szCs w:val="18"/>
                  </w:rPr>
                  <w:t>24,640.00</w:t>
                </w:r>
              </w:p>
            </w:tc>
            <w:tc>
              <w:tcPr>
                <w:tcW w:w="724" w:type="pct"/>
                <w:tcBorders>
                  <w:top w:val="single" w:color="auto" w:sz="4" w:space="0"/>
                  <w:left w:val="single" w:color="auto" w:sz="4" w:space="0"/>
                  <w:bottom w:val="single" w:color="auto" w:sz="4" w:space="0"/>
                  <w:right w:val="single" w:color="auto" w:sz="4" w:space="0"/>
                </w:tcBorders>
                <w:vAlign w:val="center"/>
              </w:tcPr>
              <w:p w14:paraId="2D27F07F">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039B4472">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79216FFD">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969052554"/>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8FD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A05B334">
                <w:pPr>
                  <w:autoSpaceDE w:val="0"/>
                  <w:autoSpaceDN w:val="0"/>
                  <w:adjustRightInd w:val="0"/>
                  <w:rPr>
                    <w:rFonts w:cs="Times New Roman"/>
                    <w:sz w:val="20"/>
                    <w:szCs w:val="20"/>
                  </w:rPr>
                </w:pPr>
                <w:r>
                  <w:rPr>
                    <w:rFonts w:cs="Times New Roman"/>
                    <w:sz w:val="20"/>
                    <w:szCs w:val="20"/>
                  </w:rPr>
                  <w:t>应收款项融资</w:t>
                </w:r>
              </w:p>
            </w:tc>
            <w:tc>
              <w:tcPr>
                <w:tcW w:w="1208" w:type="pct"/>
                <w:tcBorders>
                  <w:top w:val="single" w:color="auto" w:sz="4" w:space="0"/>
                  <w:left w:val="single" w:color="auto" w:sz="4" w:space="0"/>
                  <w:bottom w:val="single" w:color="auto" w:sz="4" w:space="0"/>
                  <w:right w:val="single" w:color="auto" w:sz="4" w:space="0"/>
                </w:tcBorders>
                <w:vAlign w:val="center"/>
              </w:tcPr>
              <w:p w14:paraId="6D055E6F">
                <w:pPr>
                  <w:autoSpaceDE w:val="0"/>
                  <w:autoSpaceDN w:val="0"/>
                  <w:adjustRightInd w:val="0"/>
                  <w:rPr>
                    <w:rFonts w:cs="Times New Roman"/>
                    <w:sz w:val="20"/>
                    <w:szCs w:val="20"/>
                  </w:rPr>
                </w:pPr>
              </w:p>
            </w:tc>
            <w:tc>
              <w:tcPr>
                <w:tcW w:w="778" w:type="pct"/>
                <w:tcBorders>
                  <w:top w:val="single" w:color="auto" w:sz="4" w:space="0"/>
                  <w:left w:val="single" w:color="auto" w:sz="4" w:space="0"/>
                  <w:bottom w:val="single" w:color="auto" w:sz="4" w:space="0"/>
                  <w:right w:val="single" w:color="auto" w:sz="4" w:space="0"/>
                </w:tcBorders>
                <w:vAlign w:val="center"/>
              </w:tcPr>
              <w:p w14:paraId="7CF4D06D">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1BFD9A7F">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13C2CE33">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0CFB3E82">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1221665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63F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4965708">
                <w:pPr>
                  <w:autoSpaceDE w:val="0"/>
                  <w:autoSpaceDN w:val="0"/>
                  <w:adjustRightInd w:val="0"/>
                  <w:rPr>
                    <w:rFonts w:cs="Times New Roman"/>
                    <w:sz w:val="20"/>
                    <w:szCs w:val="20"/>
                  </w:rPr>
                </w:pPr>
                <w:r>
                  <w:rPr>
                    <w:rFonts w:cs="Times New Roman"/>
                    <w:sz w:val="20"/>
                    <w:szCs w:val="20"/>
                  </w:rPr>
                  <w:t>应收款项融资</w:t>
                </w:r>
              </w:p>
            </w:tc>
            <w:tc>
              <w:tcPr>
                <w:tcW w:w="1208" w:type="pct"/>
                <w:tcBorders>
                  <w:top w:val="single" w:color="auto" w:sz="4" w:space="0"/>
                  <w:left w:val="single" w:color="auto" w:sz="4" w:space="0"/>
                  <w:bottom w:val="single" w:color="auto" w:sz="4" w:space="0"/>
                  <w:right w:val="single" w:color="auto" w:sz="4" w:space="0"/>
                </w:tcBorders>
                <w:vAlign w:val="center"/>
              </w:tcPr>
              <w:p w14:paraId="3D19A2B3">
                <w:pPr>
                  <w:autoSpaceDE w:val="0"/>
                  <w:autoSpaceDN w:val="0"/>
                  <w:adjustRightInd w:val="0"/>
                  <w:rPr>
                    <w:rFonts w:cs="Times New Roman"/>
                    <w:sz w:val="20"/>
                    <w:szCs w:val="20"/>
                  </w:rPr>
                </w:pPr>
                <w:r>
                  <w:rPr>
                    <w:rFonts w:cs="Times New Roman"/>
                    <w:sz w:val="20"/>
                    <w:szCs w:val="20"/>
                  </w:rPr>
                  <w:t>黄石新兴管业有限公司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9F574C5">
                <w:pPr>
                  <w:autoSpaceDE w:val="0"/>
                  <w:autoSpaceDN w:val="0"/>
                  <w:adjustRightInd w:val="0"/>
                  <w:jc w:val="right"/>
                  <w:rPr>
                    <w:rFonts w:cs="Times New Roman"/>
                    <w:sz w:val="18"/>
                    <w:szCs w:val="18"/>
                  </w:rPr>
                </w:pPr>
                <w:r>
                  <w:rPr>
                    <w:rFonts w:cs="Times New Roman"/>
                    <w:sz w:val="18"/>
                    <w:szCs w:val="18"/>
                  </w:rPr>
                  <w:t>9,000.00</w:t>
                </w:r>
              </w:p>
            </w:tc>
            <w:tc>
              <w:tcPr>
                <w:tcW w:w="724" w:type="pct"/>
                <w:tcBorders>
                  <w:top w:val="single" w:color="auto" w:sz="4" w:space="0"/>
                  <w:left w:val="single" w:color="auto" w:sz="4" w:space="0"/>
                  <w:bottom w:val="single" w:color="auto" w:sz="4" w:space="0"/>
                  <w:right w:val="single" w:color="auto" w:sz="4" w:space="0"/>
                </w:tcBorders>
                <w:vAlign w:val="center"/>
              </w:tcPr>
              <w:p w14:paraId="4FACE12E">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18431DB9">
                <w:pPr>
                  <w:autoSpaceDE w:val="0"/>
                  <w:autoSpaceDN w:val="0"/>
                  <w:adjustRightInd w:val="0"/>
                  <w:jc w:val="right"/>
                  <w:rPr>
                    <w:rFonts w:cs="Times New Roman"/>
                    <w:sz w:val="18"/>
                    <w:szCs w:val="18"/>
                  </w:rPr>
                </w:pPr>
                <w:r>
                  <w:rPr>
                    <w:rFonts w:cs="Times New Roman"/>
                    <w:sz w:val="18"/>
                    <w:szCs w:val="18"/>
                  </w:rPr>
                  <w:t>50,000.00</w:t>
                </w:r>
              </w:p>
            </w:tc>
            <w:tc>
              <w:tcPr>
                <w:tcW w:w="678" w:type="pct"/>
                <w:tcBorders>
                  <w:top w:val="single" w:color="auto" w:sz="4" w:space="0"/>
                  <w:left w:val="single" w:color="auto" w:sz="4" w:space="0"/>
                  <w:bottom w:val="single" w:color="auto" w:sz="4" w:space="0"/>
                  <w:right w:val="single" w:color="auto" w:sz="4" w:space="0"/>
                </w:tcBorders>
                <w:vAlign w:val="center"/>
              </w:tcPr>
              <w:p w14:paraId="5CCEF064">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38930937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D0A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7903FAB4">
                <w:pPr>
                  <w:autoSpaceDE w:val="0"/>
                  <w:autoSpaceDN w:val="0"/>
                  <w:adjustRightInd w:val="0"/>
                  <w:rPr>
                    <w:rFonts w:cs="Times New Roman"/>
                    <w:sz w:val="20"/>
                    <w:szCs w:val="20"/>
                  </w:rPr>
                </w:pPr>
                <w:r>
                  <w:rPr>
                    <w:rFonts w:cs="Times New Roman"/>
                    <w:sz w:val="20"/>
                    <w:szCs w:val="20"/>
                  </w:rPr>
                  <w:t>应收款项融资</w:t>
                </w:r>
              </w:p>
            </w:tc>
            <w:tc>
              <w:tcPr>
                <w:tcW w:w="1208" w:type="pct"/>
                <w:tcBorders>
                  <w:top w:val="single" w:color="auto" w:sz="4" w:space="0"/>
                  <w:left w:val="single" w:color="auto" w:sz="4" w:space="0"/>
                  <w:bottom w:val="single" w:color="auto" w:sz="4" w:space="0"/>
                  <w:right w:val="single" w:color="auto" w:sz="4" w:space="0"/>
                </w:tcBorders>
                <w:vAlign w:val="center"/>
              </w:tcPr>
              <w:p w14:paraId="2601EEB7">
                <w:pPr>
                  <w:autoSpaceDE w:val="0"/>
                  <w:autoSpaceDN w:val="0"/>
                  <w:adjustRightInd w:val="0"/>
                  <w:rPr>
                    <w:rFonts w:cs="Times New Roman"/>
                    <w:sz w:val="20"/>
                    <w:szCs w:val="20"/>
                  </w:rPr>
                </w:pPr>
                <w:r>
                  <w:rPr>
                    <w:rFonts w:cs="Times New Roman"/>
                    <w:sz w:val="20"/>
                    <w:szCs w:val="20"/>
                  </w:rPr>
                  <w:t>新兴铸管股份有限公司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623CC7A4">
                <w:pPr>
                  <w:autoSpaceDE w:val="0"/>
                  <w:autoSpaceDN w:val="0"/>
                  <w:adjustRightInd w:val="0"/>
                  <w:jc w:val="right"/>
                  <w:rPr>
                    <w:rFonts w:cs="Times New Roman"/>
                    <w:sz w:val="18"/>
                    <w:szCs w:val="18"/>
                  </w:rPr>
                </w:pPr>
                <w:r>
                  <w:rPr>
                    <w:rFonts w:cs="Times New Roman"/>
                    <w:sz w:val="18"/>
                    <w:szCs w:val="18"/>
                  </w:rPr>
                  <w:t>5,670.56</w:t>
                </w:r>
              </w:p>
            </w:tc>
            <w:tc>
              <w:tcPr>
                <w:tcW w:w="724" w:type="pct"/>
                <w:tcBorders>
                  <w:top w:val="single" w:color="auto" w:sz="4" w:space="0"/>
                  <w:left w:val="single" w:color="auto" w:sz="4" w:space="0"/>
                  <w:bottom w:val="single" w:color="auto" w:sz="4" w:space="0"/>
                  <w:right w:val="single" w:color="auto" w:sz="4" w:space="0"/>
                </w:tcBorders>
                <w:vAlign w:val="center"/>
              </w:tcPr>
              <w:p w14:paraId="5F76BC90">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7E327802">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6D051C5F">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209103600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BF9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E3F0EC1">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1E716B7C">
                <w:pPr>
                  <w:autoSpaceDE w:val="0"/>
                  <w:autoSpaceDN w:val="0"/>
                  <w:adjustRightInd w:val="0"/>
                  <w:rPr>
                    <w:rFonts w:cs="Times New Roman"/>
                    <w:sz w:val="20"/>
                    <w:szCs w:val="20"/>
                  </w:rPr>
                </w:pPr>
              </w:p>
            </w:tc>
            <w:tc>
              <w:tcPr>
                <w:tcW w:w="778" w:type="pct"/>
                <w:tcBorders>
                  <w:top w:val="single" w:color="auto" w:sz="4" w:space="0"/>
                  <w:left w:val="single" w:color="auto" w:sz="4" w:space="0"/>
                  <w:bottom w:val="single" w:color="auto" w:sz="4" w:space="0"/>
                  <w:right w:val="single" w:color="auto" w:sz="4" w:space="0"/>
                </w:tcBorders>
                <w:vAlign w:val="center"/>
              </w:tcPr>
              <w:p w14:paraId="70362F9E">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563E9B43">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405063E1">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6CE9C004">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65872596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C45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7CD91BC">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01D04A0">
                <w:pPr>
                  <w:autoSpaceDE w:val="0"/>
                  <w:autoSpaceDN w:val="0"/>
                  <w:adjustRightInd w:val="0"/>
                  <w:rPr>
                    <w:rFonts w:cs="Times New Roman"/>
                    <w:sz w:val="20"/>
                    <w:szCs w:val="20"/>
                  </w:rPr>
                </w:pPr>
                <w:r>
                  <w:rPr>
                    <w:rFonts w:cs="Times New Roman"/>
                    <w:sz w:val="20"/>
                    <w:szCs w:val="20"/>
                  </w:rPr>
                  <w:t>新兴铸管股份有限公司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95456C5">
                <w:pPr>
                  <w:autoSpaceDE w:val="0"/>
                  <w:autoSpaceDN w:val="0"/>
                  <w:adjustRightInd w:val="0"/>
                  <w:jc w:val="right"/>
                  <w:rPr>
                    <w:rFonts w:cs="Times New Roman"/>
                    <w:sz w:val="18"/>
                    <w:szCs w:val="18"/>
                  </w:rPr>
                </w:pPr>
                <w:r>
                  <w:rPr>
                    <w:rFonts w:cs="Times New Roman"/>
                    <w:sz w:val="18"/>
                    <w:szCs w:val="18"/>
                  </w:rPr>
                  <w:t>36,454,062.27</w:t>
                </w:r>
              </w:p>
            </w:tc>
            <w:tc>
              <w:tcPr>
                <w:tcW w:w="724" w:type="pct"/>
                <w:tcBorders>
                  <w:top w:val="single" w:color="auto" w:sz="4" w:space="0"/>
                  <w:left w:val="single" w:color="auto" w:sz="4" w:space="0"/>
                  <w:bottom w:val="single" w:color="auto" w:sz="4" w:space="0"/>
                  <w:right w:val="single" w:color="auto" w:sz="4" w:space="0"/>
                </w:tcBorders>
                <w:vAlign w:val="center"/>
              </w:tcPr>
              <w:p w14:paraId="4DC8DB2A">
                <w:pPr>
                  <w:autoSpaceDE w:val="0"/>
                  <w:autoSpaceDN w:val="0"/>
                  <w:adjustRightInd w:val="0"/>
                  <w:jc w:val="right"/>
                  <w:rPr>
                    <w:rFonts w:cs="Times New Roman"/>
                    <w:sz w:val="18"/>
                    <w:szCs w:val="18"/>
                  </w:rPr>
                </w:pPr>
                <w:r>
                  <w:rPr>
                    <w:rFonts w:cs="Times New Roman"/>
                    <w:sz w:val="18"/>
                    <w:szCs w:val="18"/>
                  </w:rPr>
                  <w:t>1,505,315.22</w:t>
                </w:r>
              </w:p>
            </w:tc>
            <w:tc>
              <w:tcPr>
                <w:tcW w:w="809" w:type="pct"/>
                <w:tcBorders>
                  <w:top w:val="single" w:color="auto" w:sz="4" w:space="0"/>
                  <w:left w:val="single" w:color="auto" w:sz="4" w:space="0"/>
                  <w:bottom w:val="single" w:color="auto" w:sz="4" w:space="0"/>
                  <w:right w:val="single" w:color="auto" w:sz="4" w:space="0"/>
                </w:tcBorders>
                <w:vAlign w:val="center"/>
              </w:tcPr>
              <w:p w14:paraId="128672F1">
                <w:pPr>
                  <w:autoSpaceDE w:val="0"/>
                  <w:autoSpaceDN w:val="0"/>
                  <w:adjustRightInd w:val="0"/>
                  <w:jc w:val="right"/>
                  <w:rPr>
                    <w:rFonts w:cs="Times New Roman"/>
                    <w:sz w:val="18"/>
                    <w:szCs w:val="18"/>
                  </w:rPr>
                </w:pPr>
                <w:r>
                  <w:rPr>
                    <w:rFonts w:cs="Times New Roman"/>
                    <w:sz w:val="18"/>
                    <w:szCs w:val="18"/>
                  </w:rPr>
                  <w:t>30,116,091.02</w:t>
                </w:r>
              </w:p>
            </w:tc>
            <w:tc>
              <w:tcPr>
                <w:tcW w:w="678" w:type="pct"/>
                <w:tcBorders>
                  <w:top w:val="single" w:color="auto" w:sz="4" w:space="0"/>
                  <w:left w:val="single" w:color="auto" w:sz="4" w:space="0"/>
                  <w:bottom w:val="single" w:color="auto" w:sz="4" w:space="0"/>
                  <w:right w:val="single" w:color="auto" w:sz="4" w:space="0"/>
                </w:tcBorders>
                <w:vAlign w:val="center"/>
              </w:tcPr>
              <w:p w14:paraId="678BE172">
                <w:pPr>
                  <w:autoSpaceDE w:val="0"/>
                  <w:autoSpaceDN w:val="0"/>
                  <w:adjustRightInd w:val="0"/>
                  <w:jc w:val="right"/>
                  <w:rPr>
                    <w:rFonts w:cs="Times New Roman"/>
                    <w:sz w:val="18"/>
                    <w:szCs w:val="18"/>
                  </w:rPr>
                </w:pPr>
                <w:r>
                  <w:rPr>
                    <w:rFonts w:cs="Times New Roman"/>
                    <w:sz w:val="18"/>
                    <w:szCs w:val="18"/>
                  </w:rPr>
                  <w:t>1,224,305.17</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745955858"/>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3BB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FFD8FDB">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76262B7C">
                <w:pPr>
                  <w:autoSpaceDE w:val="0"/>
                  <w:autoSpaceDN w:val="0"/>
                  <w:adjustRightInd w:val="0"/>
                  <w:rPr>
                    <w:rFonts w:cs="Times New Roman"/>
                    <w:sz w:val="20"/>
                    <w:szCs w:val="20"/>
                  </w:rPr>
                </w:pPr>
                <w:r>
                  <w:rPr>
                    <w:rFonts w:cs="Times New Roman"/>
                    <w:sz w:val="20"/>
                    <w:szCs w:val="20"/>
                  </w:rPr>
                  <w:t>辽宁际华三五二三特种装备有限公司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12582B1">
                <w:pPr>
                  <w:autoSpaceDE w:val="0"/>
                  <w:autoSpaceDN w:val="0"/>
                  <w:adjustRightInd w:val="0"/>
                  <w:jc w:val="right"/>
                  <w:rPr>
                    <w:rFonts w:cs="Times New Roman"/>
                    <w:sz w:val="18"/>
                    <w:szCs w:val="18"/>
                  </w:rPr>
                </w:pPr>
                <w:r>
                  <w:rPr>
                    <w:rFonts w:cs="Times New Roman"/>
                    <w:sz w:val="18"/>
                    <w:szCs w:val="18"/>
                  </w:rPr>
                  <w:t>12,701,429.99</w:t>
                </w:r>
              </w:p>
            </w:tc>
            <w:tc>
              <w:tcPr>
                <w:tcW w:w="724" w:type="pct"/>
                <w:tcBorders>
                  <w:top w:val="single" w:color="auto" w:sz="4" w:space="0"/>
                  <w:left w:val="single" w:color="auto" w:sz="4" w:space="0"/>
                  <w:bottom w:val="single" w:color="auto" w:sz="4" w:space="0"/>
                  <w:right w:val="single" w:color="auto" w:sz="4" w:space="0"/>
                </w:tcBorders>
                <w:vAlign w:val="center"/>
              </w:tcPr>
              <w:p w14:paraId="160AE5FA">
                <w:pPr>
                  <w:autoSpaceDE w:val="0"/>
                  <w:autoSpaceDN w:val="0"/>
                  <w:adjustRightInd w:val="0"/>
                  <w:jc w:val="right"/>
                  <w:rPr>
                    <w:rFonts w:cs="Times New Roman"/>
                    <w:sz w:val="18"/>
                    <w:szCs w:val="18"/>
                  </w:rPr>
                </w:pPr>
                <w:r>
                  <w:rPr>
                    <w:rFonts w:cs="Times New Roman"/>
                    <w:sz w:val="18"/>
                    <w:szCs w:val="18"/>
                  </w:rPr>
                  <w:t>4,074,395.15</w:t>
                </w:r>
              </w:p>
            </w:tc>
            <w:tc>
              <w:tcPr>
                <w:tcW w:w="809" w:type="pct"/>
                <w:tcBorders>
                  <w:top w:val="single" w:color="auto" w:sz="4" w:space="0"/>
                  <w:left w:val="single" w:color="auto" w:sz="4" w:space="0"/>
                  <w:bottom w:val="single" w:color="auto" w:sz="4" w:space="0"/>
                  <w:right w:val="single" w:color="auto" w:sz="4" w:space="0"/>
                </w:tcBorders>
                <w:vAlign w:val="center"/>
              </w:tcPr>
              <w:p w14:paraId="4A9F4AF1">
                <w:pPr>
                  <w:autoSpaceDE w:val="0"/>
                  <w:autoSpaceDN w:val="0"/>
                  <w:adjustRightInd w:val="0"/>
                  <w:jc w:val="right"/>
                  <w:rPr>
                    <w:rFonts w:cs="Times New Roman"/>
                    <w:sz w:val="18"/>
                    <w:szCs w:val="18"/>
                  </w:rPr>
                </w:pPr>
                <w:r>
                  <w:rPr>
                    <w:rFonts w:cs="Times New Roman"/>
                    <w:sz w:val="18"/>
                    <w:szCs w:val="18"/>
                  </w:rPr>
                  <w:t>12,701,429.99</w:t>
                </w:r>
              </w:p>
            </w:tc>
            <w:tc>
              <w:tcPr>
                <w:tcW w:w="678" w:type="pct"/>
                <w:tcBorders>
                  <w:top w:val="single" w:color="auto" w:sz="4" w:space="0"/>
                  <w:left w:val="single" w:color="auto" w:sz="4" w:space="0"/>
                  <w:bottom w:val="single" w:color="auto" w:sz="4" w:space="0"/>
                  <w:right w:val="single" w:color="auto" w:sz="4" w:space="0"/>
                </w:tcBorders>
                <w:vAlign w:val="center"/>
              </w:tcPr>
              <w:p w14:paraId="38E4F080">
                <w:pPr>
                  <w:autoSpaceDE w:val="0"/>
                  <w:autoSpaceDN w:val="0"/>
                  <w:adjustRightInd w:val="0"/>
                  <w:jc w:val="right"/>
                  <w:rPr>
                    <w:rFonts w:cs="Times New Roman"/>
                    <w:sz w:val="18"/>
                    <w:szCs w:val="18"/>
                  </w:rPr>
                </w:pPr>
                <w:r>
                  <w:rPr>
                    <w:rFonts w:cs="Times New Roman"/>
                    <w:sz w:val="18"/>
                    <w:szCs w:val="18"/>
                  </w:rPr>
                  <w:t>4,074,395.15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09185369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F8C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864125D">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35D2D69A">
                <w:pPr>
                  <w:autoSpaceDE w:val="0"/>
                  <w:autoSpaceDN w:val="0"/>
                  <w:adjustRightInd w:val="0"/>
                  <w:rPr>
                    <w:rFonts w:cs="Times New Roman"/>
                    <w:sz w:val="20"/>
                    <w:szCs w:val="20"/>
                  </w:rPr>
                </w:pPr>
                <w:r>
                  <w:rPr>
                    <w:rFonts w:cs="Times New Roman"/>
                    <w:sz w:val="20"/>
                    <w:szCs w:val="20"/>
                  </w:rPr>
                  <w:t>新兴际华应急产业有限公司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61D8F7E">
                <w:pPr>
                  <w:autoSpaceDE w:val="0"/>
                  <w:autoSpaceDN w:val="0"/>
                  <w:adjustRightInd w:val="0"/>
                  <w:jc w:val="right"/>
                  <w:rPr>
                    <w:rFonts w:cs="Times New Roman"/>
                    <w:sz w:val="18"/>
                    <w:szCs w:val="18"/>
                  </w:rPr>
                </w:pPr>
                <w:r>
                  <w:rPr>
                    <w:rFonts w:cs="Times New Roman"/>
                    <w:sz w:val="18"/>
                    <w:szCs w:val="18"/>
                  </w:rPr>
                  <w:t>11,252,807.45</w:t>
                </w:r>
              </w:p>
            </w:tc>
            <w:tc>
              <w:tcPr>
                <w:tcW w:w="724" w:type="pct"/>
                <w:tcBorders>
                  <w:top w:val="single" w:color="auto" w:sz="4" w:space="0"/>
                  <w:left w:val="single" w:color="auto" w:sz="4" w:space="0"/>
                  <w:bottom w:val="single" w:color="auto" w:sz="4" w:space="0"/>
                  <w:right w:val="single" w:color="auto" w:sz="4" w:space="0"/>
                </w:tcBorders>
                <w:vAlign w:val="center"/>
              </w:tcPr>
              <w:p w14:paraId="1613F7A5">
                <w:pPr>
                  <w:autoSpaceDE w:val="0"/>
                  <w:autoSpaceDN w:val="0"/>
                  <w:adjustRightInd w:val="0"/>
                  <w:jc w:val="right"/>
                  <w:rPr>
                    <w:rFonts w:cs="Times New Roman"/>
                    <w:sz w:val="18"/>
                    <w:szCs w:val="18"/>
                  </w:rPr>
                </w:pPr>
                <w:r>
                  <w:rPr>
                    <w:rFonts w:cs="Times New Roman"/>
                    <w:sz w:val="18"/>
                    <w:szCs w:val="18"/>
                  </w:rPr>
                  <w:t>1,794,605.71</w:t>
                </w:r>
              </w:p>
            </w:tc>
            <w:tc>
              <w:tcPr>
                <w:tcW w:w="809" w:type="pct"/>
                <w:tcBorders>
                  <w:top w:val="single" w:color="auto" w:sz="4" w:space="0"/>
                  <w:left w:val="single" w:color="auto" w:sz="4" w:space="0"/>
                  <w:bottom w:val="single" w:color="auto" w:sz="4" w:space="0"/>
                  <w:right w:val="single" w:color="auto" w:sz="4" w:space="0"/>
                </w:tcBorders>
                <w:vAlign w:val="center"/>
              </w:tcPr>
              <w:p w14:paraId="1C937BBB">
                <w:pPr>
                  <w:autoSpaceDE w:val="0"/>
                  <w:autoSpaceDN w:val="0"/>
                  <w:adjustRightInd w:val="0"/>
                  <w:jc w:val="right"/>
                  <w:rPr>
                    <w:rFonts w:cs="Times New Roman"/>
                    <w:sz w:val="18"/>
                    <w:szCs w:val="18"/>
                  </w:rPr>
                </w:pPr>
                <w:r>
                  <w:rPr>
                    <w:rFonts w:cs="Times New Roman"/>
                    <w:sz w:val="18"/>
                    <w:szCs w:val="18"/>
                  </w:rPr>
                  <w:t>9,289,778.56</w:t>
                </w:r>
              </w:p>
            </w:tc>
            <w:tc>
              <w:tcPr>
                <w:tcW w:w="678" w:type="pct"/>
                <w:tcBorders>
                  <w:top w:val="single" w:color="auto" w:sz="4" w:space="0"/>
                  <w:left w:val="single" w:color="auto" w:sz="4" w:space="0"/>
                  <w:bottom w:val="single" w:color="auto" w:sz="4" w:space="0"/>
                  <w:right w:val="single" w:color="auto" w:sz="4" w:space="0"/>
                </w:tcBorders>
                <w:vAlign w:val="center"/>
              </w:tcPr>
              <w:p w14:paraId="76E67091">
                <w:pPr>
                  <w:autoSpaceDE w:val="0"/>
                  <w:autoSpaceDN w:val="0"/>
                  <w:adjustRightInd w:val="0"/>
                  <w:jc w:val="right"/>
                  <w:rPr>
                    <w:rFonts w:cs="Times New Roman"/>
                    <w:sz w:val="18"/>
                    <w:szCs w:val="18"/>
                  </w:rPr>
                </w:pPr>
                <w:r>
                  <w:rPr>
                    <w:rFonts w:cs="Times New Roman"/>
                    <w:sz w:val="18"/>
                    <w:szCs w:val="18"/>
                  </w:rPr>
                  <w:t>1,712,161.30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32943852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DD8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79BFB8C">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3B017945">
                <w:pPr>
                  <w:autoSpaceDE w:val="0"/>
                  <w:autoSpaceDN w:val="0"/>
                  <w:adjustRightInd w:val="0"/>
                  <w:rPr>
                    <w:rFonts w:cs="Times New Roman"/>
                    <w:sz w:val="20"/>
                    <w:szCs w:val="20"/>
                  </w:rPr>
                </w:pPr>
                <w:r>
                  <w:rPr>
                    <w:rFonts w:cs="Times New Roman"/>
                    <w:sz w:val="20"/>
                    <w:szCs w:val="20"/>
                  </w:rPr>
                  <w:t>新兴际华应急装备技术有限公司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7DA05145">
                <w:pPr>
                  <w:autoSpaceDE w:val="0"/>
                  <w:autoSpaceDN w:val="0"/>
                  <w:adjustRightInd w:val="0"/>
                  <w:jc w:val="right"/>
                  <w:rPr>
                    <w:rFonts w:cs="Times New Roman"/>
                    <w:sz w:val="18"/>
                    <w:szCs w:val="18"/>
                  </w:rPr>
                </w:pPr>
                <w:r>
                  <w:rPr>
                    <w:rFonts w:cs="Times New Roman"/>
                    <w:sz w:val="18"/>
                    <w:szCs w:val="18"/>
                  </w:rPr>
                  <w:t>4,013,890.20</w:t>
                </w:r>
              </w:p>
            </w:tc>
            <w:tc>
              <w:tcPr>
                <w:tcW w:w="724" w:type="pct"/>
                <w:tcBorders>
                  <w:top w:val="single" w:color="auto" w:sz="4" w:space="0"/>
                  <w:left w:val="single" w:color="auto" w:sz="4" w:space="0"/>
                  <w:bottom w:val="single" w:color="auto" w:sz="4" w:space="0"/>
                  <w:right w:val="single" w:color="auto" w:sz="4" w:space="0"/>
                </w:tcBorders>
                <w:vAlign w:val="center"/>
              </w:tcPr>
              <w:p w14:paraId="02816904">
                <w:pPr>
                  <w:autoSpaceDE w:val="0"/>
                  <w:autoSpaceDN w:val="0"/>
                  <w:adjustRightInd w:val="0"/>
                  <w:jc w:val="right"/>
                  <w:rPr>
                    <w:rFonts w:cs="Times New Roman"/>
                    <w:sz w:val="18"/>
                    <w:szCs w:val="18"/>
                  </w:rPr>
                </w:pPr>
                <w:r>
                  <w:rPr>
                    <w:rFonts w:cs="Times New Roman"/>
                    <w:sz w:val="18"/>
                    <w:szCs w:val="18"/>
                  </w:rPr>
                  <w:t>162,634.68</w:t>
                </w:r>
              </w:p>
            </w:tc>
            <w:tc>
              <w:tcPr>
                <w:tcW w:w="809" w:type="pct"/>
                <w:tcBorders>
                  <w:top w:val="single" w:color="auto" w:sz="4" w:space="0"/>
                  <w:left w:val="single" w:color="auto" w:sz="4" w:space="0"/>
                  <w:bottom w:val="single" w:color="auto" w:sz="4" w:space="0"/>
                  <w:right w:val="single" w:color="auto" w:sz="4" w:space="0"/>
                </w:tcBorders>
                <w:vAlign w:val="center"/>
              </w:tcPr>
              <w:p w14:paraId="1246B780">
                <w:pPr>
                  <w:autoSpaceDE w:val="0"/>
                  <w:autoSpaceDN w:val="0"/>
                  <w:adjustRightInd w:val="0"/>
                  <w:jc w:val="right"/>
                  <w:rPr>
                    <w:rFonts w:cs="Times New Roman"/>
                    <w:sz w:val="18"/>
                    <w:szCs w:val="18"/>
                  </w:rPr>
                </w:pPr>
                <w:r>
                  <w:rPr>
                    <w:rFonts w:cs="Times New Roman"/>
                    <w:sz w:val="18"/>
                    <w:szCs w:val="18"/>
                  </w:rPr>
                  <w:t>3,426,191.20</w:t>
                </w:r>
              </w:p>
            </w:tc>
            <w:tc>
              <w:tcPr>
                <w:tcW w:w="678" w:type="pct"/>
                <w:tcBorders>
                  <w:top w:val="single" w:color="auto" w:sz="4" w:space="0"/>
                  <w:left w:val="single" w:color="auto" w:sz="4" w:space="0"/>
                  <w:bottom w:val="single" w:color="auto" w:sz="4" w:space="0"/>
                  <w:right w:val="single" w:color="auto" w:sz="4" w:space="0"/>
                </w:tcBorders>
                <w:vAlign w:val="center"/>
              </w:tcPr>
              <w:p w14:paraId="77FA17B6">
                <w:pPr>
                  <w:autoSpaceDE w:val="0"/>
                  <w:autoSpaceDN w:val="0"/>
                  <w:adjustRightInd w:val="0"/>
                  <w:jc w:val="right"/>
                  <w:rPr>
                    <w:rFonts w:cs="Times New Roman"/>
                    <w:sz w:val="18"/>
                    <w:szCs w:val="18"/>
                  </w:rPr>
                </w:pPr>
                <w:r>
                  <w:rPr>
                    <w:rFonts w:cs="Times New Roman"/>
                    <w:sz w:val="18"/>
                    <w:szCs w:val="18"/>
                  </w:rPr>
                  <w:t>142,735.38</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208367485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F89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1609CB5">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97DED9F">
                <w:pPr>
                  <w:autoSpaceDE w:val="0"/>
                  <w:autoSpaceDN w:val="0"/>
                  <w:adjustRightInd w:val="0"/>
                  <w:rPr>
                    <w:rFonts w:cs="Times New Roman"/>
                    <w:sz w:val="20"/>
                    <w:szCs w:val="20"/>
                  </w:rPr>
                </w:pPr>
                <w:r>
                  <w:rPr>
                    <w:rFonts w:cs="Times New Roman"/>
                    <w:sz w:val="20"/>
                    <w:szCs w:val="20"/>
                  </w:rPr>
                  <w:t>新兴铸管（埃及）股份有限公司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DA778DF">
                <w:pPr>
                  <w:autoSpaceDE w:val="0"/>
                  <w:autoSpaceDN w:val="0"/>
                  <w:adjustRightInd w:val="0"/>
                  <w:jc w:val="right"/>
                  <w:rPr>
                    <w:rFonts w:cs="Times New Roman"/>
                    <w:sz w:val="18"/>
                    <w:szCs w:val="18"/>
                  </w:rPr>
                </w:pPr>
                <w:r>
                  <w:rPr>
                    <w:rFonts w:cs="Times New Roman"/>
                    <w:sz w:val="18"/>
                    <w:szCs w:val="18"/>
                  </w:rPr>
                  <w:t>3,594,596.00</w:t>
                </w:r>
              </w:p>
            </w:tc>
            <w:tc>
              <w:tcPr>
                <w:tcW w:w="724" w:type="pct"/>
                <w:tcBorders>
                  <w:top w:val="single" w:color="auto" w:sz="4" w:space="0"/>
                  <w:left w:val="single" w:color="auto" w:sz="4" w:space="0"/>
                  <w:bottom w:val="single" w:color="auto" w:sz="4" w:space="0"/>
                  <w:right w:val="single" w:color="auto" w:sz="4" w:space="0"/>
                </w:tcBorders>
                <w:vAlign w:val="center"/>
              </w:tcPr>
              <w:p w14:paraId="2DA53C49">
                <w:pPr>
                  <w:autoSpaceDE w:val="0"/>
                  <w:autoSpaceDN w:val="0"/>
                  <w:adjustRightInd w:val="0"/>
                  <w:jc w:val="right"/>
                  <w:rPr>
                    <w:rFonts w:cs="Times New Roman"/>
                    <w:sz w:val="18"/>
                    <w:szCs w:val="18"/>
                  </w:rPr>
                </w:pPr>
                <w:r>
                  <w:rPr>
                    <w:rFonts w:cs="Times New Roman"/>
                    <w:sz w:val="18"/>
                    <w:szCs w:val="18"/>
                  </w:rPr>
                  <w:t>145,645.73</w:t>
                </w:r>
              </w:p>
            </w:tc>
            <w:tc>
              <w:tcPr>
                <w:tcW w:w="809" w:type="pct"/>
                <w:tcBorders>
                  <w:top w:val="single" w:color="auto" w:sz="4" w:space="0"/>
                  <w:left w:val="single" w:color="auto" w:sz="4" w:space="0"/>
                  <w:bottom w:val="single" w:color="auto" w:sz="4" w:space="0"/>
                  <w:right w:val="single" w:color="auto" w:sz="4" w:space="0"/>
                </w:tcBorders>
                <w:vAlign w:val="center"/>
              </w:tcPr>
              <w:p w14:paraId="09F6D5F2">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31C0F165">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99024001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757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3E3115A">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BDBF284">
                <w:pPr>
                  <w:autoSpaceDE w:val="0"/>
                  <w:autoSpaceDN w:val="0"/>
                  <w:adjustRightInd w:val="0"/>
                  <w:rPr>
                    <w:rFonts w:cs="Times New Roman"/>
                    <w:sz w:val="20"/>
                    <w:szCs w:val="20"/>
                  </w:rPr>
                </w:pPr>
                <w:r>
                  <w:rPr>
                    <w:rFonts w:cs="Times New Roman"/>
                    <w:sz w:val="20"/>
                    <w:szCs w:val="20"/>
                  </w:rPr>
                  <w:t>聚联智汇水务科技有限公司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D714012">
                <w:pPr>
                  <w:autoSpaceDE w:val="0"/>
                  <w:autoSpaceDN w:val="0"/>
                  <w:adjustRightInd w:val="0"/>
                  <w:jc w:val="right"/>
                  <w:rPr>
                    <w:rFonts w:cs="Times New Roman"/>
                    <w:sz w:val="18"/>
                    <w:szCs w:val="18"/>
                  </w:rPr>
                </w:pPr>
                <w:r>
                  <w:rPr>
                    <w:rFonts w:cs="Times New Roman"/>
                    <w:sz w:val="18"/>
                    <w:szCs w:val="18"/>
                  </w:rPr>
                  <w:t>2,931,412.91</w:t>
                </w:r>
              </w:p>
            </w:tc>
            <w:tc>
              <w:tcPr>
                <w:tcW w:w="724" w:type="pct"/>
                <w:tcBorders>
                  <w:top w:val="single" w:color="auto" w:sz="4" w:space="0"/>
                  <w:left w:val="single" w:color="auto" w:sz="4" w:space="0"/>
                  <w:bottom w:val="single" w:color="auto" w:sz="4" w:space="0"/>
                  <w:right w:val="single" w:color="auto" w:sz="4" w:space="0"/>
                </w:tcBorders>
                <w:vAlign w:val="center"/>
              </w:tcPr>
              <w:p w14:paraId="6F541993">
                <w:pPr>
                  <w:autoSpaceDE w:val="0"/>
                  <w:autoSpaceDN w:val="0"/>
                  <w:adjustRightInd w:val="0"/>
                  <w:jc w:val="right"/>
                  <w:rPr>
                    <w:rFonts w:cs="Times New Roman"/>
                    <w:sz w:val="18"/>
                    <w:szCs w:val="18"/>
                  </w:rPr>
                </w:pPr>
                <w:r>
                  <w:rPr>
                    <w:rFonts w:cs="Times New Roman"/>
                    <w:sz w:val="18"/>
                    <w:szCs w:val="18"/>
                  </w:rPr>
                  <w:t>118,774.90</w:t>
                </w:r>
              </w:p>
            </w:tc>
            <w:tc>
              <w:tcPr>
                <w:tcW w:w="809" w:type="pct"/>
                <w:tcBorders>
                  <w:top w:val="single" w:color="auto" w:sz="4" w:space="0"/>
                  <w:left w:val="single" w:color="auto" w:sz="4" w:space="0"/>
                  <w:bottom w:val="single" w:color="auto" w:sz="4" w:space="0"/>
                  <w:right w:val="single" w:color="auto" w:sz="4" w:space="0"/>
                </w:tcBorders>
                <w:vAlign w:val="center"/>
              </w:tcPr>
              <w:p w14:paraId="76415478">
                <w:pPr>
                  <w:autoSpaceDE w:val="0"/>
                  <w:autoSpaceDN w:val="0"/>
                  <w:adjustRightInd w:val="0"/>
                  <w:jc w:val="right"/>
                  <w:rPr>
                    <w:rFonts w:cs="Times New Roman"/>
                    <w:sz w:val="18"/>
                    <w:szCs w:val="18"/>
                  </w:rPr>
                </w:pPr>
                <w:r>
                  <w:rPr>
                    <w:rFonts w:cs="Times New Roman"/>
                    <w:sz w:val="18"/>
                    <w:szCs w:val="18"/>
                  </w:rPr>
                  <w:t>5,018,296.35</w:t>
                </w:r>
              </w:p>
            </w:tc>
            <w:tc>
              <w:tcPr>
                <w:tcW w:w="678" w:type="pct"/>
                <w:tcBorders>
                  <w:top w:val="single" w:color="auto" w:sz="4" w:space="0"/>
                  <w:left w:val="single" w:color="auto" w:sz="4" w:space="0"/>
                  <w:bottom w:val="single" w:color="auto" w:sz="4" w:space="0"/>
                  <w:right w:val="single" w:color="auto" w:sz="4" w:space="0"/>
                </w:tcBorders>
                <w:vAlign w:val="center"/>
              </w:tcPr>
              <w:p w14:paraId="6F2DB8D4">
                <w:pPr>
                  <w:autoSpaceDE w:val="0"/>
                  <w:autoSpaceDN w:val="0"/>
                  <w:adjustRightInd w:val="0"/>
                  <w:jc w:val="right"/>
                  <w:rPr>
                    <w:rFonts w:cs="Times New Roman"/>
                    <w:sz w:val="18"/>
                    <w:szCs w:val="18"/>
                  </w:rPr>
                </w:pPr>
                <w:r>
                  <w:rPr>
                    <w:rFonts w:cs="Times New Roman"/>
                    <w:sz w:val="18"/>
                    <w:szCs w:val="18"/>
                  </w:rPr>
                  <w:t>203,331.18</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53211690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8C5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0E668F6">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03FA63C5">
                <w:pPr>
                  <w:autoSpaceDE w:val="0"/>
                  <w:autoSpaceDN w:val="0"/>
                  <w:adjustRightInd w:val="0"/>
                  <w:rPr>
                    <w:rFonts w:cs="Times New Roman"/>
                    <w:sz w:val="20"/>
                    <w:szCs w:val="20"/>
                  </w:rPr>
                </w:pPr>
                <w:r>
                  <w:rPr>
                    <w:rFonts w:cs="Times New Roman"/>
                    <w:sz w:val="20"/>
                    <w:szCs w:val="20"/>
                  </w:rPr>
                  <w:t>秦皇岛际华三五四四鞋业有限公司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49EE44BD">
                <w:pPr>
                  <w:autoSpaceDE w:val="0"/>
                  <w:autoSpaceDN w:val="0"/>
                  <w:adjustRightInd w:val="0"/>
                  <w:jc w:val="right"/>
                  <w:rPr>
                    <w:rFonts w:cs="Times New Roman"/>
                    <w:sz w:val="18"/>
                    <w:szCs w:val="18"/>
                  </w:rPr>
                </w:pPr>
                <w:r>
                  <w:rPr>
                    <w:rFonts w:cs="Times New Roman"/>
                    <w:sz w:val="18"/>
                    <w:szCs w:val="18"/>
                  </w:rPr>
                  <w:t>1,985,745.05</w:t>
                </w:r>
              </w:p>
            </w:tc>
            <w:tc>
              <w:tcPr>
                <w:tcW w:w="724" w:type="pct"/>
                <w:tcBorders>
                  <w:top w:val="single" w:color="auto" w:sz="4" w:space="0"/>
                  <w:left w:val="single" w:color="auto" w:sz="4" w:space="0"/>
                  <w:bottom w:val="single" w:color="auto" w:sz="4" w:space="0"/>
                  <w:right w:val="single" w:color="auto" w:sz="4" w:space="0"/>
                </w:tcBorders>
                <w:vAlign w:val="center"/>
              </w:tcPr>
              <w:p w14:paraId="01939B92">
                <w:pPr>
                  <w:autoSpaceDE w:val="0"/>
                  <w:autoSpaceDN w:val="0"/>
                  <w:adjustRightInd w:val="0"/>
                  <w:jc w:val="right"/>
                  <w:rPr>
                    <w:rFonts w:cs="Times New Roman"/>
                    <w:sz w:val="18"/>
                    <w:szCs w:val="18"/>
                  </w:rPr>
                </w:pPr>
                <w:r>
                  <w:rPr>
                    <w:rFonts w:cs="Times New Roman"/>
                    <w:sz w:val="18"/>
                    <w:szCs w:val="18"/>
                  </w:rPr>
                  <w:t>756,692.75</w:t>
                </w:r>
              </w:p>
            </w:tc>
            <w:tc>
              <w:tcPr>
                <w:tcW w:w="809" w:type="pct"/>
                <w:tcBorders>
                  <w:top w:val="single" w:color="auto" w:sz="4" w:space="0"/>
                  <w:left w:val="single" w:color="auto" w:sz="4" w:space="0"/>
                  <w:bottom w:val="single" w:color="auto" w:sz="4" w:space="0"/>
                  <w:right w:val="single" w:color="auto" w:sz="4" w:space="0"/>
                </w:tcBorders>
                <w:vAlign w:val="center"/>
              </w:tcPr>
              <w:p w14:paraId="3756B7CA">
                <w:pPr>
                  <w:autoSpaceDE w:val="0"/>
                  <w:autoSpaceDN w:val="0"/>
                  <w:adjustRightInd w:val="0"/>
                  <w:jc w:val="right"/>
                  <w:rPr>
                    <w:rFonts w:cs="Times New Roman"/>
                    <w:sz w:val="18"/>
                    <w:szCs w:val="18"/>
                  </w:rPr>
                </w:pPr>
                <w:r>
                  <w:rPr>
                    <w:rFonts w:cs="Times New Roman"/>
                    <w:sz w:val="18"/>
                    <w:szCs w:val="18"/>
                  </w:rPr>
                  <w:t>1,985,745.05</w:t>
                </w:r>
              </w:p>
            </w:tc>
            <w:tc>
              <w:tcPr>
                <w:tcW w:w="678" w:type="pct"/>
                <w:tcBorders>
                  <w:top w:val="single" w:color="auto" w:sz="4" w:space="0"/>
                  <w:left w:val="single" w:color="auto" w:sz="4" w:space="0"/>
                  <w:bottom w:val="single" w:color="auto" w:sz="4" w:space="0"/>
                  <w:right w:val="single" w:color="auto" w:sz="4" w:space="0"/>
                </w:tcBorders>
                <w:vAlign w:val="center"/>
              </w:tcPr>
              <w:p w14:paraId="43259359">
                <w:pPr>
                  <w:autoSpaceDE w:val="0"/>
                  <w:autoSpaceDN w:val="0"/>
                  <w:adjustRightInd w:val="0"/>
                  <w:jc w:val="right"/>
                  <w:rPr>
                    <w:rFonts w:cs="Times New Roman"/>
                    <w:sz w:val="18"/>
                    <w:szCs w:val="18"/>
                  </w:rPr>
                </w:pPr>
                <w:r>
                  <w:rPr>
                    <w:rFonts w:cs="Times New Roman"/>
                    <w:sz w:val="18"/>
                    <w:szCs w:val="18"/>
                  </w:rPr>
                  <w:t>756,692.75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33207219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15E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2DC4F4B">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30D3627F">
                <w:pPr>
                  <w:autoSpaceDE w:val="0"/>
                  <w:autoSpaceDN w:val="0"/>
                  <w:adjustRightInd w:val="0"/>
                  <w:rPr>
                    <w:rFonts w:cs="Times New Roman"/>
                    <w:sz w:val="20"/>
                    <w:szCs w:val="20"/>
                  </w:rPr>
                </w:pPr>
                <w:r>
                  <w:rPr>
                    <w:rFonts w:cs="Times New Roman"/>
                    <w:sz w:val="20"/>
                    <w:szCs w:val="20"/>
                  </w:rPr>
                  <w:t>新兴际华（北京）应急救援科技有限公司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66C29764">
                <w:pPr>
                  <w:autoSpaceDE w:val="0"/>
                  <w:autoSpaceDN w:val="0"/>
                  <w:adjustRightInd w:val="0"/>
                  <w:jc w:val="right"/>
                  <w:rPr>
                    <w:rFonts w:cs="Times New Roman"/>
                    <w:sz w:val="18"/>
                    <w:szCs w:val="18"/>
                  </w:rPr>
                </w:pPr>
                <w:r>
                  <w:rPr>
                    <w:rFonts w:cs="Times New Roman"/>
                    <w:sz w:val="18"/>
                    <w:szCs w:val="18"/>
                  </w:rPr>
                  <w:t>1,659,360.00</w:t>
                </w:r>
              </w:p>
            </w:tc>
            <w:tc>
              <w:tcPr>
                <w:tcW w:w="724" w:type="pct"/>
                <w:tcBorders>
                  <w:top w:val="single" w:color="auto" w:sz="4" w:space="0"/>
                  <w:left w:val="single" w:color="auto" w:sz="4" w:space="0"/>
                  <w:bottom w:val="single" w:color="auto" w:sz="4" w:space="0"/>
                  <w:right w:val="single" w:color="auto" w:sz="4" w:space="0"/>
                </w:tcBorders>
                <w:vAlign w:val="center"/>
              </w:tcPr>
              <w:p w14:paraId="5DD20624">
                <w:pPr>
                  <w:autoSpaceDE w:val="0"/>
                  <w:autoSpaceDN w:val="0"/>
                  <w:adjustRightInd w:val="0"/>
                  <w:jc w:val="right"/>
                  <w:rPr>
                    <w:rFonts w:cs="Times New Roman"/>
                    <w:sz w:val="18"/>
                    <w:szCs w:val="18"/>
                  </w:rPr>
                </w:pPr>
                <w:r>
                  <w:rPr>
                    <w:rFonts w:cs="Times New Roman"/>
                    <w:sz w:val="18"/>
                    <w:szCs w:val="18"/>
                  </w:rPr>
                  <w:t>303,650.94</w:t>
                </w:r>
              </w:p>
            </w:tc>
            <w:tc>
              <w:tcPr>
                <w:tcW w:w="809" w:type="pct"/>
                <w:tcBorders>
                  <w:top w:val="single" w:color="auto" w:sz="4" w:space="0"/>
                  <w:left w:val="single" w:color="auto" w:sz="4" w:space="0"/>
                  <w:bottom w:val="single" w:color="auto" w:sz="4" w:space="0"/>
                  <w:right w:val="single" w:color="auto" w:sz="4" w:space="0"/>
                </w:tcBorders>
                <w:vAlign w:val="center"/>
              </w:tcPr>
              <w:p w14:paraId="575CF9E7">
                <w:pPr>
                  <w:autoSpaceDE w:val="0"/>
                  <w:autoSpaceDN w:val="0"/>
                  <w:adjustRightInd w:val="0"/>
                  <w:jc w:val="right"/>
                  <w:rPr>
                    <w:rFonts w:cs="Times New Roman"/>
                    <w:sz w:val="18"/>
                    <w:szCs w:val="18"/>
                  </w:rPr>
                </w:pPr>
                <w:r>
                  <w:rPr>
                    <w:rFonts w:cs="Times New Roman"/>
                    <w:sz w:val="18"/>
                    <w:szCs w:val="18"/>
                  </w:rPr>
                  <w:t>1,659,360.00</w:t>
                </w:r>
              </w:p>
            </w:tc>
            <w:tc>
              <w:tcPr>
                <w:tcW w:w="678" w:type="pct"/>
                <w:tcBorders>
                  <w:top w:val="single" w:color="auto" w:sz="4" w:space="0"/>
                  <w:left w:val="single" w:color="auto" w:sz="4" w:space="0"/>
                  <w:bottom w:val="single" w:color="auto" w:sz="4" w:space="0"/>
                  <w:right w:val="single" w:color="auto" w:sz="4" w:space="0"/>
                </w:tcBorders>
                <w:vAlign w:val="center"/>
              </w:tcPr>
              <w:p w14:paraId="6D551821">
                <w:pPr>
                  <w:autoSpaceDE w:val="0"/>
                  <w:autoSpaceDN w:val="0"/>
                  <w:adjustRightInd w:val="0"/>
                  <w:jc w:val="right"/>
                  <w:rPr>
                    <w:rFonts w:cs="Times New Roman"/>
                    <w:sz w:val="18"/>
                    <w:szCs w:val="18"/>
                  </w:rPr>
                </w:pPr>
                <w:r>
                  <w:rPr>
                    <w:rFonts w:cs="Times New Roman"/>
                    <w:sz w:val="18"/>
                    <w:szCs w:val="18"/>
                  </w:rPr>
                  <w:t>67,233.90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209985941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4D3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ADFA302">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5653192E">
                <w:pPr>
                  <w:autoSpaceDE w:val="0"/>
                  <w:autoSpaceDN w:val="0"/>
                  <w:adjustRightInd w:val="0"/>
                  <w:rPr>
                    <w:rFonts w:cs="Times New Roman"/>
                    <w:sz w:val="20"/>
                    <w:szCs w:val="20"/>
                  </w:rPr>
                </w:pPr>
                <w:r>
                  <w:rPr>
                    <w:rFonts w:cs="Times New Roman"/>
                    <w:sz w:val="20"/>
                    <w:szCs w:val="20"/>
                  </w:rPr>
                  <w:t>济南泰山鞋厂</w:t>
                </w:r>
              </w:p>
            </w:tc>
            <w:tc>
              <w:tcPr>
                <w:tcW w:w="778" w:type="pct"/>
                <w:tcBorders>
                  <w:top w:val="single" w:color="auto" w:sz="4" w:space="0"/>
                  <w:left w:val="single" w:color="auto" w:sz="4" w:space="0"/>
                  <w:bottom w:val="single" w:color="auto" w:sz="4" w:space="0"/>
                  <w:right w:val="single" w:color="auto" w:sz="4" w:space="0"/>
                </w:tcBorders>
                <w:vAlign w:val="center"/>
              </w:tcPr>
              <w:p w14:paraId="57D066E6">
                <w:pPr>
                  <w:autoSpaceDE w:val="0"/>
                  <w:autoSpaceDN w:val="0"/>
                  <w:adjustRightInd w:val="0"/>
                  <w:jc w:val="right"/>
                  <w:rPr>
                    <w:rFonts w:cs="Times New Roman"/>
                    <w:sz w:val="18"/>
                    <w:szCs w:val="18"/>
                  </w:rPr>
                </w:pPr>
                <w:r>
                  <w:rPr>
                    <w:rFonts w:cs="Times New Roman"/>
                    <w:sz w:val="18"/>
                    <w:szCs w:val="18"/>
                  </w:rPr>
                  <w:t>1,620,892.33</w:t>
                </w:r>
              </w:p>
            </w:tc>
            <w:tc>
              <w:tcPr>
                <w:tcW w:w="724" w:type="pct"/>
                <w:tcBorders>
                  <w:top w:val="single" w:color="auto" w:sz="4" w:space="0"/>
                  <w:left w:val="single" w:color="auto" w:sz="4" w:space="0"/>
                  <w:bottom w:val="single" w:color="auto" w:sz="4" w:space="0"/>
                  <w:right w:val="single" w:color="auto" w:sz="4" w:space="0"/>
                </w:tcBorders>
                <w:vAlign w:val="center"/>
              </w:tcPr>
              <w:p w14:paraId="3762BC90">
                <w:pPr>
                  <w:autoSpaceDE w:val="0"/>
                  <w:autoSpaceDN w:val="0"/>
                  <w:adjustRightInd w:val="0"/>
                  <w:jc w:val="right"/>
                  <w:rPr>
                    <w:rFonts w:cs="Times New Roman"/>
                    <w:sz w:val="18"/>
                    <w:szCs w:val="18"/>
                  </w:rPr>
                </w:pPr>
                <w:r>
                  <w:rPr>
                    <w:rFonts w:cs="Times New Roman"/>
                    <w:sz w:val="18"/>
                    <w:szCs w:val="18"/>
                  </w:rPr>
                  <w:t>1,620,892.33</w:t>
                </w:r>
              </w:p>
            </w:tc>
            <w:tc>
              <w:tcPr>
                <w:tcW w:w="809" w:type="pct"/>
                <w:tcBorders>
                  <w:top w:val="single" w:color="auto" w:sz="4" w:space="0"/>
                  <w:left w:val="single" w:color="auto" w:sz="4" w:space="0"/>
                  <w:bottom w:val="single" w:color="auto" w:sz="4" w:space="0"/>
                  <w:right w:val="single" w:color="auto" w:sz="4" w:space="0"/>
                </w:tcBorders>
                <w:vAlign w:val="center"/>
              </w:tcPr>
              <w:p w14:paraId="49794420">
                <w:pPr>
                  <w:autoSpaceDE w:val="0"/>
                  <w:autoSpaceDN w:val="0"/>
                  <w:adjustRightInd w:val="0"/>
                  <w:jc w:val="right"/>
                  <w:rPr>
                    <w:rFonts w:cs="Times New Roman"/>
                    <w:sz w:val="18"/>
                    <w:szCs w:val="18"/>
                  </w:rPr>
                </w:pPr>
                <w:r>
                  <w:rPr>
                    <w:rFonts w:cs="Times New Roman"/>
                    <w:sz w:val="18"/>
                    <w:szCs w:val="18"/>
                  </w:rPr>
                  <w:t>1,620,892.33</w:t>
                </w:r>
              </w:p>
            </w:tc>
            <w:tc>
              <w:tcPr>
                <w:tcW w:w="678" w:type="pct"/>
                <w:tcBorders>
                  <w:top w:val="single" w:color="auto" w:sz="4" w:space="0"/>
                  <w:left w:val="single" w:color="auto" w:sz="4" w:space="0"/>
                  <w:bottom w:val="single" w:color="auto" w:sz="4" w:space="0"/>
                  <w:right w:val="single" w:color="auto" w:sz="4" w:space="0"/>
                </w:tcBorders>
                <w:vAlign w:val="center"/>
              </w:tcPr>
              <w:p w14:paraId="59CE1091">
                <w:pPr>
                  <w:autoSpaceDE w:val="0"/>
                  <w:autoSpaceDN w:val="0"/>
                  <w:adjustRightInd w:val="0"/>
                  <w:jc w:val="right"/>
                  <w:rPr>
                    <w:rFonts w:cs="Times New Roman"/>
                    <w:sz w:val="18"/>
                    <w:szCs w:val="18"/>
                  </w:rPr>
                </w:pPr>
                <w:r>
                  <w:rPr>
                    <w:rFonts w:cs="Times New Roman"/>
                    <w:sz w:val="18"/>
                    <w:szCs w:val="18"/>
                  </w:rPr>
                  <w:t>1,620,892.33</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6845474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271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DDD9808">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553C168">
                <w:pPr>
                  <w:autoSpaceDE w:val="0"/>
                  <w:autoSpaceDN w:val="0"/>
                  <w:adjustRightInd w:val="0"/>
                  <w:rPr>
                    <w:rFonts w:cs="Times New Roman"/>
                    <w:sz w:val="20"/>
                    <w:szCs w:val="20"/>
                  </w:rPr>
                </w:pPr>
                <w:r>
                  <w:rPr>
                    <w:rFonts w:cs="Times New Roman"/>
                    <w:sz w:val="20"/>
                    <w:szCs w:val="20"/>
                  </w:rPr>
                  <w:t>际华洁能（天津）环保科技发展有限公司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71D1D57D">
                <w:pPr>
                  <w:autoSpaceDE w:val="0"/>
                  <w:autoSpaceDN w:val="0"/>
                  <w:adjustRightInd w:val="0"/>
                  <w:jc w:val="right"/>
                  <w:rPr>
                    <w:rFonts w:cs="Times New Roman"/>
                    <w:sz w:val="18"/>
                    <w:szCs w:val="18"/>
                  </w:rPr>
                </w:pPr>
                <w:r>
                  <w:rPr>
                    <w:rFonts w:cs="Times New Roman"/>
                    <w:sz w:val="18"/>
                    <w:szCs w:val="18"/>
                  </w:rPr>
                  <w:t>1,097,374.75</w:t>
                </w:r>
              </w:p>
            </w:tc>
            <w:tc>
              <w:tcPr>
                <w:tcW w:w="724" w:type="pct"/>
                <w:tcBorders>
                  <w:top w:val="single" w:color="auto" w:sz="4" w:space="0"/>
                  <w:left w:val="single" w:color="auto" w:sz="4" w:space="0"/>
                  <w:bottom w:val="single" w:color="auto" w:sz="4" w:space="0"/>
                  <w:right w:val="single" w:color="auto" w:sz="4" w:space="0"/>
                </w:tcBorders>
                <w:vAlign w:val="center"/>
              </w:tcPr>
              <w:p w14:paraId="1E5CE2E8">
                <w:pPr>
                  <w:autoSpaceDE w:val="0"/>
                  <w:autoSpaceDN w:val="0"/>
                  <w:adjustRightInd w:val="0"/>
                  <w:jc w:val="right"/>
                  <w:rPr>
                    <w:rFonts w:cs="Times New Roman"/>
                    <w:sz w:val="18"/>
                    <w:szCs w:val="18"/>
                  </w:rPr>
                </w:pPr>
                <w:r>
                  <w:rPr>
                    <w:rFonts w:cs="Times New Roman"/>
                    <w:sz w:val="18"/>
                    <w:szCs w:val="18"/>
                  </w:rPr>
                  <w:t>1,097,374.75</w:t>
                </w:r>
              </w:p>
            </w:tc>
            <w:tc>
              <w:tcPr>
                <w:tcW w:w="809" w:type="pct"/>
                <w:tcBorders>
                  <w:top w:val="single" w:color="auto" w:sz="4" w:space="0"/>
                  <w:left w:val="single" w:color="auto" w:sz="4" w:space="0"/>
                  <w:bottom w:val="single" w:color="auto" w:sz="4" w:space="0"/>
                  <w:right w:val="single" w:color="auto" w:sz="4" w:space="0"/>
                </w:tcBorders>
                <w:vAlign w:val="center"/>
              </w:tcPr>
              <w:p w14:paraId="644832BC">
                <w:pPr>
                  <w:autoSpaceDE w:val="0"/>
                  <w:autoSpaceDN w:val="0"/>
                  <w:adjustRightInd w:val="0"/>
                  <w:jc w:val="right"/>
                  <w:rPr>
                    <w:rFonts w:cs="Times New Roman"/>
                    <w:sz w:val="18"/>
                    <w:szCs w:val="18"/>
                  </w:rPr>
                </w:pPr>
                <w:r>
                  <w:rPr>
                    <w:rFonts w:cs="Times New Roman"/>
                    <w:sz w:val="18"/>
                    <w:szCs w:val="18"/>
                  </w:rPr>
                  <w:t>1,097,374.75</w:t>
                </w:r>
              </w:p>
            </w:tc>
            <w:tc>
              <w:tcPr>
                <w:tcW w:w="678" w:type="pct"/>
                <w:tcBorders>
                  <w:top w:val="single" w:color="auto" w:sz="4" w:space="0"/>
                  <w:left w:val="single" w:color="auto" w:sz="4" w:space="0"/>
                  <w:bottom w:val="single" w:color="auto" w:sz="4" w:space="0"/>
                  <w:right w:val="single" w:color="auto" w:sz="4" w:space="0"/>
                </w:tcBorders>
                <w:vAlign w:val="center"/>
              </w:tcPr>
              <w:p w14:paraId="5E3BD80C">
                <w:pPr>
                  <w:autoSpaceDE w:val="0"/>
                  <w:autoSpaceDN w:val="0"/>
                  <w:adjustRightInd w:val="0"/>
                  <w:jc w:val="right"/>
                  <w:rPr>
                    <w:rFonts w:cs="Times New Roman"/>
                    <w:sz w:val="18"/>
                    <w:szCs w:val="18"/>
                  </w:rPr>
                </w:pPr>
                <w:r>
                  <w:rPr>
                    <w:rFonts w:cs="Times New Roman"/>
                    <w:sz w:val="18"/>
                    <w:szCs w:val="18"/>
                  </w:rPr>
                  <w:t>1,097,374.75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65349732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3AC0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DE1ADF5">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30FF31AF">
                <w:pPr>
                  <w:autoSpaceDE w:val="0"/>
                  <w:autoSpaceDN w:val="0"/>
                  <w:adjustRightInd w:val="0"/>
                  <w:rPr>
                    <w:rFonts w:cs="Times New Roman"/>
                    <w:sz w:val="20"/>
                    <w:szCs w:val="20"/>
                  </w:rPr>
                </w:pPr>
                <w:r>
                  <w:rPr>
                    <w:rFonts w:cs="Times New Roman"/>
                    <w:sz w:val="20"/>
                    <w:szCs w:val="20"/>
                  </w:rPr>
                  <w:t>际华五三零三服装有限公司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76EB508">
                <w:pPr>
                  <w:autoSpaceDE w:val="0"/>
                  <w:autoSpaceDN w:val="0"/>
                  <w:adjustRightInd w:val="0"/>
                  <w:jc w:val="right"/>
                  <w:rPr>
                    <w:rFonts w:cs="Times New Roman"/>
                    <w:sz w:val="18"/>
                    <w:szCs w:val="18"/>
                  </w:rPr>
                </w:pPr>
                <w:r>
                  <w:rPr>
                    <w:rFonts w:cs="Times New Roman"/>
                    <w:sz w:val="18"/>
                    <w:szCs w:val="18"/>
                  </w:rPr>
                  <w:t>930,959.46</w:t>
                </w:r>
              </w:p>
            </w:tc>
            <w:tc>
              <w:tcPr>
                <w:tcW w:w="724" w:type="pct"/>
                <w:tcBorders>
                  <w:top w:val="single" w:color="auto" w:sz="4" w:space="0"/>
                  <w:left w:val="single" w:color="auto" w:sz="4" w:space="0"/>
                  <w:bottom w:val="single" w:color="auto" w:sz="4" w:space="0"/>
                  <w:right w:val="single" w:color="auto" w:sz="4" w:space="0"/>
                </w:tcBorders>
                <w:vAlign w:val="center"/>
              </w:tcPr>
              <w:p w14:paraId="2BBFCA8B">
                <w:pPr>
                  <w:autoSpaceDE w:val="0"/>
                  <w:autoSpaceDN w:val="0"/>
                  <w:adjustRightInd w:val="0"/>
                  <w:jc w:val="right"/>
                  <w:rPr>
                    <w:rFonts w:cs="Times New Roman"/>
                    <w:sz w:val="18"/>
                    <w:szCs w:val="18"/>
                  </w:rPr>
                </w:pPr>
                <w:r>
                  <w:rPr>
                    <w:rFonts w:cs="Times New Roman"/>
                    <w:sz w:val="18"/>
                    <w:szCs w:val="18"/>
                  </w:rPr>
                  <w:t>733,470.83</w:t>
                </w:r>
              </w:p>
            </w:tc>
            <w:tc>
              <w:tcPr>
                <w:tcW w:w="809" w:type="pct"/>
                <w:tcBorders>
                  <w:top w:val="single" w:color="auto" w:sz="4" w:space="0"/>
                  <w:left w:val="single" w:color="auto" w:sz="4" w:space="0"/>
                  <w:bottom w:val="single" w:color="auto" w:sz="4" w:space="0"/>
                  <w:right w:val="single" w:color="auto" w:sz="4" w:space="0"/>
                </w:tcBorders>
                <w:vAlign w:val="center"/>
              </w:tcPr>
              <w:p w14:paraId="356DB323">
                <w:pPr>
                  <w:autoSpaceDE w:val="0"/>
                  <w:autoSpaceDN w:val="0"/>
                  <w:adjustRightInd w:val="0"/>
                  <w:jc w:val="right"/>
                  <w:rPr>
                    <w:rFonts w:cs="Times New Roman"/>
                    <w:sz w:val="18"/>
                    <w:szCs w:val="18"/>
                  </w:rPr>
                </w:pPr>
                <w:r>
                  <w:rPr>
                    <w:rFonts w:cs="Times New Roman"/>
                    <w:sz w:val="18"/>
                    <w:szCs w:val="18"/>
                  </w:rPr>
                  <w:t>930,959.46</w:t>
                </w:r>
              </w:p>
            </w:tc>
            <w:tc>
              <w:tcPr>
                <w:tcW w:w="678" w:type="pct"/>
                <w:tcBorders>
                  <w:top w:val="single" w:color="auto" w:sz="4" w:space="0"/>
                  <w:left w:val="single" w:color="auto" w:sz="4" w:space="0"/>
                  <w:bottom w:val="single" w:color="auto" w:sz="4" w:space="0"/>
                  <w:right w:val="single" w:color="auto" w:sz="4" w:space="0"/>
                </w:tcBorders>
                <w:vAlign w:val="center"/>
              </w:tcPr>
              <w:p w14:paraId="35739A1B">
                <w:pPr>
                  <w:autoSpaceDE w:val="0"/>
                  <w:autoSpaceDN w:val="0"/>
                  <w:adjustRightInd w:val="0"/>
                  <w:jc w:val="right"/>
                  <w:rPr>
                    <w:rFonts w:cs="Times New Roman"/>
                    <w:sz w:val="18"/>
                    <w:szCs w:val="18"/>
                  </w:rPr>
                </w:pPr>
                <w:r>
                  <w:rPr>
                    <w:rFonts w:cs="Times New Roman"/>
                    <w:sz w:val="18"/>
                    <w:szCs w:val="18"/>
                  </w:rPr>
                  <w:t>733,470.83</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1896232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6D9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9F38A8B">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05E37DF">
                <w:pPr>
                  <w:autoSpaceDE w:val="0"/>
                  <w:autoSpaceDN w:val="0"/>
                  <w:adjustRightInd w:val="0"/>
                  <w:rPr>
                    <w:rFonts w:cs="Times New Roman"/>
                    <w:sz w:val="20"/>
                    <w:szCs w:val="20"/>
                  </w:rPr>
                </w:pPr>
                <w:r>
                  <w:rPr>
                    <w:rFonts w:cs="Times New Roman"/>
                    <w:sz w:val="20"/>
                    <w:szCs w:val="20"/>
                  </w:rPr>
                  <w:t>河北新兴能源科技股份有限公司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1BC5931">
                <w:pPr>
                  <w:autoSpaceDE w:val="0"/>
                  <w:autoSpaceDN w:val="0"/>
                  <w:adjustRightInd w:val="0"/>
                  <w:jc w:val="right"/>
                  <w:rPr>
                    <w:rFonts w:cs="Times New Roman"/>
                    <w:sz w:val="18"/>
                    <w:szCs w:val="18"/>
                  </w:rPr>
                </w:pPr>
                <w:r>
                  <w:rPr>
                    <w:rFonts w:cs="Times New Roman"/>
                    <w:sz w:val="18"/>
                    <w:szCs w:val="18"/>
                  </w:rPr>
                  <w:t>295,824.00</w:t>
                </w:r>
              </w:p>
            </w:tc>
            <w:tc>
              <w:tcPr>
                <w:tcW w:w="724" w:type="pct"/>
                <w:tcBorders>
                  <w:top w:val="single" w:color="auto" w:sz="4" w:space="0"/>
                  <w:left w:val="single" w:color="auto" w:sz="4" w:space="0"/>
                  <w:bottom w:val="single" w:color="auto" w:sz="4" w:space="0"/>
                  <w:right w:val="single" w:color="auto" w:sz="4" w:space="0"/>
                </w:tcBorders>
                <w:vAlign w:val="center"/>
              </w:tcPr>
              <w:p w14:paraId="77EACCC3">
                <w:pPr>
                  <w:autoSpaceDE w:val="0"/>
                  <w:autoSpaceDN w:val="0"/>
                  <w:adjustRightInd w:val="0"/>
                  <w:jc w:val="right"/>
                  <w:rPr>
                    <w:rFonts w:cs="Times New Roman"/>
                    <w:sz w:val="18"/>
                    <w:szCs w:val="18"/>
                  </w:rPr>
                </w:pPr>
                <w:r>
                  <w:rPr>
                    <w:rFonts w:cs="Times New Roman"/>
                    <w:sz w:val="18"/>
                    <w:szCs w:val="18"/>
                  </w:rPr>
                  <w:t>80,096.53</w:t>
                </w:r>
              </w:p>
            </w:tc>
            <w:tc>
              <w:tcPr>
                <w:tcW w:w="809" w:type="pct"/>
                <w:tcBorders>
                  <w:top w:val="single" w:color="auto" w:sz="4" w:space="0"/>
                  <w:left w:val="single" w:color="auto" w:sz="4" w:space="0"/>
                  <w:bottom w:val="single" w:color="auto" w:sz="4" w:space="0"/>
                  <w:right w:val="single" w:color="auto" w:sz="4" w:space="0"/>
                </w:tcBorders>
                <w:vAlign w:val="center"/>
              </w:tcPr>
              <w:p w14:paraId="3010CA38">
                <w:pPr>
                  <w:autoSpaceDE w:val="0"/>
                  <w:autoSpaceDN w:val="0"/>
                  <w:adjustRightInd w:val="0"/>
                  <w:jc w:val="right"/>
                  <w:rPr>
                    <w:rFonts w:cs="Times New Roman"/>
                    <w:sz w:val="18"/>
                    <w:szCs w:val="18"/>
                  </w:rPr>
                </w:pPr>
                <w:r>
                  <w:rPr>
                    <w:rFonts w:cs="Times New Roman"/>
                    <w:sz w:val="18"/>
                    <w:szCs w:val="18"/>
                  </w:rPr>
                  <w:t>295,824.00</w:t>
                </w:r>
              </w:p>
            </w:tc>
            <w:tc>
              <w:tcPr>
                <w:tcW w:w="678" w:type="pct"/>
                <w:tcBorders>
                  <w:top w:val="single" w:color="auto" w:sz="4" w:space="0"/>
                  <w:left w:val="single" w:color="auto" w:sz="4" w:space="0"/>
                  <w:bottom w:val="single" w:color="auto" w:sz="4" w:space="0"/>
                  <w:right w:val="single" w:color="auto" w:sz="4" w:space="0"/>
                </w:tcBorders>
                <w:vAlign w:val="center"/>
              </w:tcPr>
              <w:p w14:paraId="011E3446">
                <w:pPr>
                  <w:autoSpaceDE w:val="0"/>
                  <w:autoSpaceDN w:val="0"/>
                  <w:adjustRightInd w:val="0"/>
                  <w:jc w:val="right"/>
                  <w:rPr>
                    <w:rFonts w:cs="Times New Roman"/>
                    <w:sz w:val="18"/>
                    <w:szCs w:val="18"/>
                  </w:rPr>
                </w:pPr>
                <w:r>
                  <w:rPr>
                    <w:rFonts w:cs="Times New Roman"/>
                    <w:sz w:val="18"/>
                    <w:szCs w:val="18"/>
                  </w:rPr>
                  <w:t>80,096.53</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27308322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B56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8C95F15">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6828E273">
                <w:pPr>
                  <w:autoSpaceDE w:val="0"/>
                  <w:autoSpaceDN w:val="0"/>
                  <w:adjustRightInd w:val="0"/>
                  <w:rPr>
                    <w:rFonts w:cs="Times New Roman"/>
                    <w:sz w:val="20"/>
                    <w:szCs w:val="20"/>
                  </w:rPr>
                </w:pPr>
                <w:r>
                  <w:rPr>
                    <w:rFonts w:cs="Times New Roman"/>
                    <w:sz w:val="20"/>
                    <w:szCs w:val="20"/>
                  </w:rPr>
                  <w:t>河北新兴铸管有限公司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3D7E0F1">
                <w:pPr>
                  <w:autoSpaceDE w:val="0"/>
                  <w:autoSpaceDN w:val="0"/>
                  <w:adjustRightInd w:val="0"/>
                  <w:jc w:val="right"/>
                  <w:rPr>
                    <w:rFonts w:cs="Times New Roman"/>
                    <w:sz w:val="18"/>
                    <w:szCs w:val="18"/>
                  </w:rPr>
                </w:pPr>
                <w:r>
                  <w:rPr>
                    <w:rFonts w:cs="Times New Roman"/>
                    <w:sz w:val="18"/>
                    <w:szCs w:val="18"/>
                  </w:rPr>
                  <w:t>194,900.30</w:t>
                </w:r>
              </w:p>
            </w:tc>
            <w:tc>
              <w:tcPr>
                <w:tcW w:w="724" w:type="pct"/>
                <w:tcBorders>
                  <w:top w:val="single" w:color="auto" w:sz="4" w:space="0"/>
                  <w:left w:val="single" w:color="auto" w:sz="4" w:space="0"/>
                  <w:bottom w:val="single" w:color="auto" w:sz="4" w:space="0"/>
                  <w:right w:val="single" w:color="auto" w:sz="4" w:space="0"/>
                </w:tcBorders>
                <w:vAlign w:val="center"/>
              </w:tcPr>
              <w:p w14:paraId="76548FB4">
                <w:pPr>
                  <w:autoSpaceDE w:val="0"/>
                  <w:autoSpaceDN w:val="0"/>
                  <w:adjustRightInd w:val="0"/>
                  <w:jc w:val="right"/>
                  <w:rPr>
                    <w:rFonts w:cs="Times New Roman"/>
                    <w:sz w:val="18"/>
                    <w:szCs w:val="18"/>
                  </w:rPr>
                </w:pPr>
                <w:r>
                  <w:rPr>
                    <w:rFonts w:cs="Times New Roman"/>
                    <w:sz w:val="18"/>
                    <w:szCs w:val="18"/>
                  </w:rPr>
                  <w:t>125,960.32</w:t>
                </w:r>
              </w:p>
            </w:tc>
            <w:tc>
              <w:tcPr>
                <w:tcW w:w="809" w:type="pct"/>
                <w:tcBorders>
                  <w:top w:val="single" w:color="auto" w:sz="4" w:space="0"/>
                  <w:left w:val="single" w:color="auto" w:sz="4" w:space="0"/>
                  <w:bottom w:val="single" w:color="auto" w:sz="4" w:space="0"/>
                  <w:right w:val="single" w:color="auto" w:sz="4" w:space="0"/>
                </w:tcBorders>
                <w:vAlign w:val="center"/>
              </w:tcPr>
              <w:p w14:paraId="09C21848">
                <w:pPr>
                  <w:autoSpaceDE w:val="0"/>
                  <w:autoSpaceDN w:val="0"/>
                  <w:adjustRightInd w:val="0"/>
                  <w:jc w:val="right"/>
                  <w:rPr>
                    <w:rFonts w:cs="Times New Roman"/>
                    <w:sz w:val="18"/>
                    <w:szCs w:val="18"/>
                  </w:rPr>
                </w:pPr>
                <w:r>
                  <w:rPr>
                    <w:rFonts w:cs="Times New Roman"/>
                    <w:sz w:val="18"/>
                    <w:szCs w:val="18"/>
                  </w:rPr>
                  <w:t>194,900.30</w:t>
                </w:r>
              </w:p>
            </w:tc>
            <w:tc>
              <w:tcPr>
                <w:tcW w:w="678" w:type="pct"/>
                <w:tcBorders>
                  <w:top w:val="single" w:color="auto" w:sz="4" w:space="0"/>
                  <w:left w:val="single" w:color="auto" w:sz="4" w:space="0"/>
                  <w:bottom w:val="single" w:color="auto" w:sz="4" w:space="0"/>
                  <w:right w:val="single" w:color="auto" w:sz="4" w:space="0"/>
                </w:tcBorders>
                <w:vAlign w:val="center"/>
              </w:tcPr>
              <w:p w14:paraId="5AE47426">
                <w:pPr>
                  <w:autoSpaceDE w:val="0"/>
                  <w:autoSpaceDN w:val="0"/>
                  <w:adjustRightInd w:val="0"/>
                  <w:jc w:val="right"/>
                  <w:rPr>
                    <w:rFonts w:cs="Times New Roman"/>
                    <w:sz w:val="18"/>
                    <w:szCs w:val="18"/>
                  </w:rPr>
                </w:pPr>
                <w:r>
                  <w:rPr>
                    <w:rFonts w:cs="Times New Roman"/>
                    <w:sz w:val="18"/>
                    <w:szCs w:val="18"/>
                  </w:rPr>
                  <w:t>125,960.32</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23474311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ADC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7DB26A0E">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1B4510AF">
                <w:pPr>
                  <w:autoSpaceDE w:val="0"/>
                  <w:autoSpaceDN w:val="0"/>
                  <w:adjustRightInd w:val="0"/>
                  <w:rPr>
                    <w:rFonts w:cs="Times New Roman"/>
                    <w:sz w:val="20"/>
                    <w:szCs w:val="20"/>
                  </w:rPr>
                </w:pPr>
                <w:r>
                  <w:rPr>
                    <w:rFonts w:cs="Times New Roman"/>
                    <w:sz w:val="20"/>
                    <w:szCs w:val="20"/>
                  </w:rPr>
                  <w:t>桃江新兴管件有限责任公司</w:t>
                </w:r>
              </w:p>
            </w:tc>
            <w:tc>
              <w:tcPr>
                <w:tcW w:w="778" w:type="pct"/>
                <w:tcBorders>
                  <w:top w:val="single" w:color="auto" w:sz="4" w:space="0"/>
                  <w:left w:val="single" w:color="auto" w:sz="4" w:space="0"/>
                  <w:bottom w:val="single" w:color="auto" w:sz="4" w:space="0"/>
                  <w:right w:val="single" w:color="auto" w:sz="4" w:space="0"/>
                </w:tcBorders>
                <w:vAlign w:val="center"/>
              </w:tcPr>
              <w:p w14:paraId="4BFA81CD">
                <w:pPr>
                  <w:autoSpaceDE w:val="0"/>
                  <w:autoSpaceDN w:val="0"/>
                  <w:adjustRightInd w:val="0"/>
                  <w:jc w:val="right"/>
                  <w:rPr>
                    <w:rFonts w:cs="Times New Roman"/>
                    <w:sz w:val="18"/>
                    <w:szCs w:val="18"/>
                  </w:rPr>
                </w:pPr>
                <w:r>
                  <w:rPr>
                    <w:rFonts w:cs="Times New Roman"/>
                    <w:sz w:val="18"/>
                    <w:szCs w:val="18"/>
                  </w:rPr>
                  <w:t>170,858.44</w:t>
                </w:r>
              </w:p>
            </w:tc>
            <w:tc>
              <w:tcPr>
                <w:tcW w:w="724" w:type="pct"/>
                <w:tcBorders>
                  <w:top w:val="single" w:color="auto" w:sz="4" w:space="0"/>
                  <w:left w:val="single" w:color="auto" w:sz="4" w:space="0"/>
                  <w:bottom w:val="single" w:color="auto" w:sz="4" w:space="0"/>
                  <w:right w:val="single" w:color="auto" w:sz="4" w:space="0"/>
                </w:tcBorders>
                <w:vAlign w:val="center"/>
              </w:tcPr>
              <w:p w14:paraId="60F43A41">
                <w:pPr>
                  <w:autoSpaceDE w:val="0"/>
                  <w:autoSpaceDN w:val="0"/>
                  <w:adjustRightInd w:val="0"/>
                  <w:jc w:val="right"/>
                  <w:rPr>
                    <w:rFonts w:cs="Times New Roman"/>
                    <w:sz w:val="18"/>
                    <w:szCs w:val="18"/>
                  </w:rPr>
                </w:pPr>
                <w:r>
                  <w:rPr>
                    <w:rFonts w:cs="Times New Roman"/>
                    <w:sz w:val="18"/>
                    <w:szCs w:val="18"/>
                  </w:rPr>
                  <w:t>6,922.84</w:t>
                </w:r>
              </w:p>
            </w:tc>
            <w:tc>
              <w:tcPr>
                <w:tcW w:w="809" w:type="pct"/>
                <w:tcBorders>
                  <w:top w:val="single" w:color="auto" w:sz="4" w:space="0"/>
                  <w:left w:val="single" w:color="auto" w:sz="4" w:space="0"/>
                  <w:bottom w:val="single" w:color="auto" w:sz="4" w:space="0"/>
                  <w:right w:val="single" w:color="auto" w:sz="4" w:space="0"/>
                </w:tcBorders>
                <w:vAlign w:val="center"/>
              </w:tcPr>
              <w:p w14:paraId="5564B434">
                <w:pPr>
                  <w:autoSpaceDE w:val="0"/>
                  <w:autoSpaceDN w:val="0"/>
                  <w:adjustRightInd w:val="0"/>
                  <w:jc w:val="right"/>
                  <w:rPr>
                    <w:rFonts w:cs="Times New Roman"/>
                    <w:sz w:val="18"/>
                    <w:szCs w:val="18"/>
                  </w:rPr>
                </w:pPr>
                <w:r>
                  <w:rPr>
                    <w:rFonts w:cs="Times New Roman"/>
                    <w:sz w:val="18"/>
                    <w:szCs w:val="18"/>
                  </w:rPr>
                  <w:t>150,748.40</w:t>
                </w:r>
              </w:p>
            </w:tc>
            <w:tc>
              <w:tcPr>
                <w:tcW w:w="678" w:type="pct"/>
                <w:tcBorders>
                  <w:top w:val="single" w:color="auto" w:sz="4" w:space="0"/>
                  <w:left w:val="single" w:color="auto" w:sz="4" w:space="0"/>
                  <w:bottom w:val="single" w:color="auto" w:sz="4" w:space="0"/>
                  <w:right w:val="single" w:color="auto" w:sz="4" w:space="0"/>
                </w:tcBorders>
                <w:vAlign w:val="center"/>
              </w:tcPr>
              <w:p w14:paraId="5ED2F5E7">
                <w:pPr>
                  <w:autoSpaceDE w:val="0"/>
                  <w:autoSpaceDN w:val="0"/>
                  <w:adjustRightInd w:val="0"/>
                  <w:jc w:val="right"/>
                  <w:rPr>
                    <w:rFonts w:cs="Times New Roman"/>
                    <w:sz w:val="18"/>
                    <w:szCs w:val="18"/>
                  </w:rPr>
                </w:pPr>
                <w:r>
                  <w:rPr>
                    <w:rFonts w:cs="Times New Roman"/>
                    <w:sz w:val="18"/>
                    <w:szCs w:val="18"/>
                  </w:rPr>
                  <w:t>10,769.17</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985363408"/>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C52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A977F32">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C396A69">
                <w:pPr>
                  <w:autoSpaceDE w:val="0"/>
                  <w:autoSpaceDN w:val="0"/>
                  <w:adjustRightInd w:val="0"/>
                  <w:rPr>
                    <w:rFonts w:cs="Times New Roman"/>
                    <w:sz w:val="20"/>
                    <w:szCs w:val="20"/>
                  </w:rPr>
                </w:pPr>
                <w:r>
                  <w:rPr>
                    <w:rFonts w:cs="Times New Roman"/>
                    <w:sz w:val="20"/>
                    <w:szCs w:val="20"/>
                  </w:rPr>
                  <w:t>河北玄德智能科技发展股份有限公司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2F88CE4">
                <w:pPr>
                  <w:autoSpaceDE w:val="0"/>
                  <w:autoSpaceDN w:val="0"/>
                  <w:adjustRightInd w:val="0"/>
                  <w:jc w:val="right"/>
                  <w:rPr>
                    <w:rFonts w:cs="Times New Roman"/>
                    <w:sz w:val="18"/>
                    <w:szCs w:val="18"/>
                  </w:rPr>
                </w:pPr>
                <w:r>
                  <w:rPr>
                    <w:rFonts w:cs="Times New Roman"/>
                    <w:sz w:val="18"/>
                    <w:szCs w:val="18"/>
                  </w:rPr>
                  <w:t>128,535.20</w:t>
                </w:r>
              </w:p>
            </w:tc>
            <w:tc>
              <w:tcPr>
                <w:tcW w:w="724" w:type="pct"/>
                <w:tcBorders>
                  <w:top w:val="single" w:color="auto" w:sz="4" w:space="0"/>
                  <w:left w:val="single" w:color="auto" w:sz="4" w:space="0"/>
                  <w:bottom w:val="single" w:color="auto" w:sz="4" w:space="0"/>
                  <w:right w:val="single" w:color="auto" w:sz="4" w:space="0"/>
                </w:tcBorders>
                <w:vAlign w:val="center"/>
              </w:tcPr>
              <w:p w14:paraId="1BBDBD8C">
                <w:pPr>
                  <w:autoSpaceDE w:val="0"/>
                  <w:autoSpaceDN w:val="0"/>
                  <w:adjustRightInd w:val="0"/>
                  <w:jc w:val="right"/>
                  <w:rPr>
                    <w:rFonts w:cs="Times New Roman"/>
                    <w:sz w:val="18"/>
                    <w:szCs w:val="18"/>
                  </w:rPr>
                </w:pPr>
                <w:r>
                  <w:rPr>
                    <w:rFonts w:cs="Times New Roman"/>
                    <w:sz w:val="18"/>
                    <w:szCs w:val="18"/>
                  </w:rPr>
                  <w:t>41,231.83</w:t>
                </w:r>
              </w:p>
            </w:tc>
            <w:tc>
              <w:tcPr>
                <w:tcW w:w="809" w:type="pct"/>
                <w:tcBorders>
                  <w:top w:val="single" w:color="auto" w:sz="4" w:space="0"/>
                  <w:left w:val="single" w:color="auto" w:sz="4" w:space="0"/>
                  <w:bottom w:val="single" w:color="auto" w:sz="4" w:space="0"/>
                  <w:right w:val="single" w:color="auto" w:sz="4" w:space="0"/>
                </w:tcBorders>
                <w:vAlign w:val="center"/>
              </w:tcPr>
              <w:p w14:paraId="11615906">
                <w:pPr>
                  <w:autoSpaceDE w:val="0"/>
                  <w:autoSpaceDN w:val="0"/>
                  <w:adjustRightInd w:val="0"/>
                  <w:jc w:val="right"/>
                  <w:rPr>
                    <w:rFonts w:cs="Times New Roman"/>
                    <w:sz w:val="18"/>
                    <w:szCs w:val="18"/>
                  </w:rPr>
                </w:pPr>
                <w:r>
                  <w:rPr>
                    <w:rFonts w:cs="Times New Roman"/>
                    <w:sz w:val="18"/>
                    <w:szCs w:val="18"/>
                  </w:rPr>
                  <w:t>148,535.20</w:t>
                </w:r>
              </w:p>
            </w:tc>
            <w:tc>
              <w:tcPr>
                <w:tcW w:w="678" w:type="pct"/>
                <w:tcBorders>
                  <w:top w:val="single" w:color="auto" w:sz="4" w:space="0"/>
                  <w:left w:val="single" w:color="auto" w:sz="4" w:space="0"/>
                  <w:bottom w:val="single" w:color="auto" w:sz="4" w:space="0"/>
                  <w:right w:val="single" w:color="auto" w:sz="4" w:space="0"/>
                </w:tcBorders>
                <w:vAlign w:val="center"/>
              </w:tcPr>
              <w:p w14:paraId="68EAD55F">
                <w:pPr>
                  <w:autoSpaceDE w:val="0"/>
                  <w:autoSpaceDN w:val="0"/>
                  <w:adjustRightInd w:val="0"/>
                  <w:jc w:val="right"/>
                  <w:rPr>
                    <w:rFonts w:cs="Times New Roman"/>
                    <w:sz w:val="18"/>
                    <w:szCs w:val="18"/>
                  </w:rPr>
                </w:pPr>
                <w:r>
                  <w:rPr>
                    <w:rFonts w:cs="Times New Roman"/>
                    <w:sz w:val="18"/>
                    <w:szCs w:val="18"/>
                  </w:rPr>
                  <w:t>47,647.48</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11911272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F73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CABDEB2">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63E0DE5B">
                <w:pPr>
                  <w:autoSpaceDE w:val="0"/>
                  <w:autoSpaceDN w:val="0"/>
                  <w:adjustRightInd w:val="0"/>
                  <w:rPr>
                    <w:rFonts w:cs="Times New Roman"/>
                    <w:sz w:val="20"/>
                    <w:szCs w:val="20"/>
                  </w:rPr>
                </w:pPr>
                <w:r>
                  <w:rPr>
                    <w:rFonts w:cs="Times New Roman"/>
                    <w:sz w:val="20"/>
                    <w:szCs w:val="20"/>
                  </w:rPr>
                  <w:t>新兴际华（北京）材料技术研究院有限公司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12486DD">
                <w:pPr>
                  <w:autoSpaceDE w:val="0"/>
                  <w:autoSpaceDN w:val="0"/>
                  <w:adjustRightInd w:val="0"/>
                  <w:jc w:val="right"/>
                  <w:rPr>
                    <w:rFonts w:cs="Times New Roman"/>
                    <w:sz w:val="18"/>
                    <w:szCs w:val="18"/>
                  </w:rPr>
                </w:pPr>
                <w:r>
                  <w:rPr>
                    <w:rFonts w:cs="Times New Roman"/>
                    <w:sz w:val="18"/>
                    <w:szCs w:val="18"/>
                  </w:rPr>
                  <w:t>123,380.00</w:t>
                </w:r>
              </w:p>
            </w:tc>
            <w:tc>
              <w:tcPr>
                <w:tcW w:w="724" w:type="pct"/>
                <w:tcBorders>
                  <w:top w:val="single" w:color="auto" w:sz="4" w:space="0"/>
                  <w:left w:val="single" w:color="auto" w:sz="4" w:space="0"/>
                  <w:bottom w:val="single" w:color="auto" w:sz="4" w:space="0"/>
                  <w:right w:val="single" w:color="auto" w:sz="4" w:space="0"/>
                </w:tcBorders>
                <w:vAlign w:val="center"/>
              </w:tcPr>
              <w:p w14:paraId="3A7DB710">
                <w:pPr>
                  <w:autoSpaceDE w:val="0"/>
                  <w:autoSpaceDN w:val="0"/>
                  <w:adjustRightInd w:val="0"/>
                  <w:jc w:val="right"/>
                  <w:rPr>
                    <w:rFonts w:cs="Times New Roman"/>
                    <w:sz w:val="18"/>
                    <w:szCs w:val="18"/>
                  </w:rPr>
                </w:pPr>
                <w:r>
                  <w:rPr>
                    <w:rFonts w:cs="Times New Roman"/>
                    <w:sz w:val="18"/>
                    <w:szCs w:val="18"/>
                  </w:rPr>
                  <w:t>4,999.11</w:t>
                </w:r>
              </w:p>
            </w:tc>
            <w:tc>
              <w:tcPr>
                <w:tcW w:w="809" w:type="pct"/>
                <w:tcBorders>
                  <w:top w:val="single" w:color="auto" w:sz="4" w:space="0"/>
                  <w:left w:val="single" w:color="auto" w:sz="4" w:space="0"/>
                  <w:bottom w:val="single" w:color="auto" w:sz="4" w:space="0"/>
                  <w:right w:val="single" w:color="auto" w:sz="4" w:space="0"/>
                </w:tcBorders>
                <w:vAlign w:val="center"/>
              </w:tcPr>
              <w:p w14:paraId="199CEBAC">
                <w:pPr>
                  <w:autoSpaceDE w:val="0"/>
                  <w:autoSpaceDN w:val="0"/>
                  <w:adjustRightInd w:val="0"/>
                  <w:jc w:val="right"/>
                  <w:rPr>
                    <w:rFonts w:cs="Times New Roman"/>
                    <w:sz w:val="18"/>
                    <w:szCs w:val="18"/>
                  </w:rPr>
                </w:pPr>
                <w:r>
                  <w:rPr>
                    <w:rFonts w:cs="Times New Roman"/>
                    <w:sz w:val="18"/>
                    <w:szCs w:val="18"/>
                  </w:rPr>
                  <w:t>17,880.00</w:t>
                </w:r>
              </w:p>
            </w:tc>
            <w:tc>
              <w:tcPr>
                <w:tcW w:w="678" w:type="pct"/>
                <w:tcBorders>
                  <w:top w:val="single" w:color="auto" w:sz="4" w:space="0"/>
                  <w:left w:val="single" w:color="auto" w:sz="4" w:space="0"/>
                  <w:bottom w:val="single" w:color="auto" w:sz="4" w:space="0"/>
                  <w:right w:val="single" w:color="auto" w:sz="4" w:space="0"/>
                </w:tcBorders>
                <w:vAlign w:val="center"/>
              </w:tcPr>
              <w:p w14:paraId="72C95300">
                <w:pPr>
                  <w:autoSpaceDE w:val="0"/>
                  <w:autoSpaceDN w:val="0"/>
                  <w:adjustRightInd w:val="0"/>
                  <w:jc w:val="right"/>
                  <w:rPr>
                    <w:rFonts w:cs="Times New Roman"/>
                    <w:sz w:val="18"/>
                    <w:szCs w:val="18"/>
                  </w:rPr>
                </w:pPr>
                <w:r>
                  <w:rPr>
                    <w:rFonts w:cs="Times New Roman"/>
                    <w:sz w:val="18"/>
                    <w:szCs w:val="18"/>
                  </w:rPr>
                  <w:t>724.46</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41139265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20A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BFD1DD5">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50533259">
                <w:pPr>
                  <w:autoSpaceDE w:val="0"/>
                  <w:autoSpaceDN w:val="0"/>
                  <w:adjustRightInd w:val="0"/>
                  <w:rPr>
                    <w:rFonts w:cs="Times New Roman"/>
                    <w:sz w:val="20"/>
                    <w:szCs w:val="20"/>
                  </w:rPr>
                </w:pPr>
                <w:r>
                  <w:rPr>
                    <w:rFonts w:cs="Times New Roman"/>
                    <w:sz w:val="20"/>
                    <w:szCs w:val="20"/>
                  </w:rPr>
                  <w:t>中新联进出口有限公司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DD4FA40">
                <w:pPr>
                  <w:autoSpaceDE w:val="0"/>
                  <w:autoSpaceDN w:val="0"/>
                  <w:adjustRightInd w:val="0"/>
                  <w:jc w:val="right"/>
                  <w:rPr>
                    <w:rFonts w:cs="Times New Roman"/>
                    <w:sz w:val="18"/>
                    <w:szCs w:val="18"/>
                  </w:rPr>
                </w:pPr>
                <w:r>
                  <w:rPr>
                    <w:rFonts w:cs="Times New Roman"/>
                    <w:sz w:val="18"/>
                    <w:szCs w:val="18"/>
                  </w:rPr>
                  <w:t>91,845.00</w:t>
                </w:r>
              </w:p>
            </w:tc>
            <w:tc>
              <w:tcPr>
                <w:tcW w:w="724" w:type="pct"/>
                <w:tcBorders>
                  <w:top w:val="single" w:color="auto" w:sz="4" w:space="0"/>
                  <w:left w:val="single" w:color="auto" w:sz="4" w:space="0"/>
                  <w:bottom w:val="single" w:color="auto" w:sz="4" w:space="0"/>
                  <w:right w:val="single" w:color="auto" w:sz="4" w:space="0"/>
                </w:tcBorders>
                <w:vAlign w:val="center"/>
              </w:tcPr>
              <w:p w14:paraId="7D9C4C9E">
                <w:pPr>
                  <w:autoSpaceDE w:val="0"/>
                  <w:autoSpaceDN w:val="0"/>
                  <w:adjustRightInd w:val="0"/>
                  <w:jc w:val="right"/>
                  <w:rPr>
                    <w:rFonts w:cs="Times New Roman"/>
                    <w:sz w:val="18"/>
                    <w:szCs w:val="18"/>
                  </w:rPr>
                </w:pPr>
                <w:r>
                  <w:rPr>
                    <w:rFonts w:cs="Times New Roman"/>
                    <w:sz w:val="18"/>
                    <w:szCs w:val="18"/>
                  </w:rPr>
                  <w:t>91,845.00</w:t>
                </w:r>
              </w:p>
            </w:tc>
            <w:tc>
              <w:tcPr>
                <w:tcW w:w="809" w:type="pct"/>
                <w:tcBorders>
                  <w:top w:val="single" w:color="auto" w:sz="4" w:space="0"/>
                  <w:left w:val="single" w:color="auto" w:sz="4" w:space="0"/>
                  <w:bottom w:val="single" w:color="auto" w:sz="4" w:space="0"/>
                  <w:right w:val="single" w:color="auto" w:sz="4" w:space="0"/>
                </w:tcBorders>
                <w:vAlign w:val="center"/>
              </w:tcPr>
              <w:p w14:paraId="1D701AE0">
                <w:pPr>
                  <w:autoSpaceDE w:val="0"/>
                  <w:autoSpaceDN w:val="0"/>
                  <w:adjustRightInd w:val="0"/>
                  <w:jc w:val="right"/>
                  <w:rPr>
                    <w:rFonts w:cs="Times New Roman"/>
                    <w:sz w:val="18"/>
                    <w:szCs w:val="18"/>
                  </w:rPr>
                </w:pPr>
                <w:r>
                  <w:rPr>
                    <w:rFonts w:cs="Times New Roman"/>
                    <w:sz w:val="18"/>
                    <w:szCs w:val="18"/>
                  </w:rPr>
                  <w:t>91,845.00</w:t>
                </w:r>
              </w:p>
            </w:tc>
            <w:tc>
              <w:tcPr>
                <w:tcW w:w="678" w:type="pct"/>
                <w:tcBorders>
                  <w:top w:val="single" w:color="auto" w:sz="4" w:space="0"/>
                  <w:left w:val="single" w:color="auto" w:sz="4" w:space="0"/>
                  <w:bottom w:val="single" w:color="auto" w:sz="4" w:space="0"/>
                  <w:right w:val="single" w:color="auto" w:sz="4" w:space="0"/>
                </w:tcBorders>
                <w:vAlign w:val="center"/>
              </w:tcPr>
              <w:p w14:paraId="444C1245">
                <w:pPr>
                  <w:autoSpaceDE w:val="0"/>
                  <w:autoSpaceDN w:val="0"/>
                  <w:adjustRightInd w:val="0"/>
                  <w:jc w:val="right"/>
                  <w:rPr>
                    <w:rFonts w:cs="Times New Roman"/>
                    <w:sz w:val="18"/>
                    <w:szCs w:val="18"/>
                  </w:rPr>
                </w:pPr>
                <w:r>
                  <w:rPr>
                    <w:rFonts w:cs="Times New Roman"/>
                    <w:sz w:val="18"/>
                    <w:szCs w:val="18"/>
                  </w:rPr>
                  <w:t>91,845.00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713607256"/>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525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5157344">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6D8ECF99">
                <w:pPr>
                  <w:autoSpaceDE w:val="0"/>
                  <w:autoSpaceDN w:val="0"/>
                  <w:adjustRightInd w:val="0"/>
                  <w:rPr>
                    <w:rFonts w:cs="Times New Roman"/>
                    <w:sz w:val="20"/>
                    <w:szCs w:val="20"/>
                  </w:rPr>
                </w:pPr>
                <w:r>
                  <w:rPr>
                    <w:rFonts w:cs="Times New Roman"/>
                    <w:sz w:val="20"/>
                    <w:szCs w:val="20"/>
                  </w:rPr>
                  <w:t>大连新东昌置地有限公司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F83BCA0">
                <w:pPr>
                  <w:autoSpaceDE w:val="0"/>
                  <w:autoSpaceDN w:val="0"/>
                  <w:adjustRightInd w:val="0"/>
                  <w:jc w:val="right"/>
                  <w:rPr>
                    <w:rFonts w:cs="Times New Roman"/>
                    <w:sz w:val="18"/>
                    <w:szCs w:val="18"/>
                  </w:rPr>
                </w:pPr>
                <w:r>
                  <w:rPr>
                    <w:rFonts w:cs="Times New Roman"/>
                    <w:sz w:val="18"/>
                    <w:szCs w:val="18"/>
                  </w:rPr>
                  <w:t>84,510.00</w:t>
                </w:r>
              </w:p>
            </w:tc>
            <w:tc>
              <w:tcPr>
                <w:tcW w:w="724" w:type="pct"/>
                <w:tcBorders>
                  <w:top w:val="single" w:color="auto" w:sz="4" w:space="0"/>
                  <w:left w:val="single" w:color="auto" w:sz="4" w:space="0"/>
                  <w:bottom w:val="single" w:color="auto" w:sz="4" w:space="0"/>
                  <w:right w:val="single" w:color="auto" w:sz="4" w:space="0"/>
                </w:tcBorders>
                <w:vAlign w:val="center"/>
              </w:tcPr>
              <w:p w14:paraId="63A5B78B">
                <w:pPr>
                  <w:autoSpaceDE w:val="0"/>
                  <w:autoSpaceDN w:val="0"/>
                  <w:adjustRightInd w:val="0"/>
                  <w:jc w:val="right"/>
                  <w:rPr>
                    <w:rFonts w:cs="Times New Roman"/>
                    <w:sz w:val="18"/>
                    <w:szCs w:val="18"/>
                  </w:rPr>
                </w:pPr>
                <w:r>
                  <w:rPr>
                    <w:rFonts w:cs="Times New Roman"/>
                    <w:sz w:val="18"/>
                    <w:szCs w:val="18"/>
                  </w:rPr>
                  <w:t>3,424.17</w:t>
                </w:r>
              </w:p>
            </w:tc>
            <w:tc>
              <w:tcPr>
                <w:tcW w:w="809" w:type="pct"/>
                <w:tcBorders>
                  <w:top w:val="single" w:color="auto" w:sz="4" w:space="0"/>
                  <w:left w:val="single" w:color="auto" w:sz="4" w:space="0"/>
                  <w:bottom w:val="single" w:color="auto" w:sz="4" w:space="0"/>
                  <w:right w:val="single" w:color="auto" w:sz="4" w:space="0"/>
                </w:tcBorders>
                <w:vAlign w:val="center"/>
              </w:tcPr>
              <w:p w14:paraId="2D102FFE">
                <w:pPr>
                  <w:autoSpaceDE w:val="0"/>
                  <w:autoSpaceDN w:val="0"/>
                  <w:adjustRightInd w:val="0"/>
                  <w:jc w:val="right"/>
                  <w:rPr>
                    <w:rFonts w:cs="Times New Roman"/>
                    <w:sz w:val="18"/>
                    <w:szCs w:val="18"/>
                  </w:rPr>
                </w:pPr>
                <w:r>
                  <w:rPr>
                    <w:rFonts w:cs="Times New Roman"/>
                    <w:sz w:val="18"/>
                    <w:szCs w:val="18"/>
                  </w:rPr>
                  <w:t>84,510.00</w:t>
                </w:r>
              </w:p>
            </w:tc>
            <w:tc>
              <w:tcPr>
                <w:tcW w:w="678" w:type="pct"/>
                <w:tcBorders>
                  <w:top w:val="single" w:color="auto" w:sz="4" w:space="0"/>
                  <w:left w:val="single" w:color="auto" w:sz="4" w:space="0"/>
                  <w:bottom w:val="single" w:color="auto" w:sz="4" w:space="0"/>
                  <w:right w:val="single" w:color="auto" w:sz="4" w:space="0"/>
                </w:tcBorders>
                <w:vAlign w:val="center"/>
              </w:tcPr>
              <w:p w14:paraId="7673DC9C">
                <w:pPr>
                  <w:autoSpaceDE w:val="0"/>
                  <w:autoSpaceDN w:val="0"/>
                  <w:adjustRightInd w:val="0"/>
                  <w:jc w:val="right"/>
                  <w:rPr>
                    <w:rFonts w:cs="Times New Roman"/>
                    <w:sz w:val="18"/>
                    <w:szCs w:val="18"/>
                  </w:rPr>
                </w:pPr>
                <w:r>
                  <w:rPr>
                    <w:rFonts w:cs="Times New Roman"/>
                    <w:sz w:val="18"/>
                    <w:szCs w:val="18"/>
                  </w:rPr>
                  <w:t>3,424.17</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91468440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011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0006239">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34880F1A">
                <w:pPr>
                  <w:autoSpaceDE w:val="0"/>
                  <w:autoSpaceDN w:val="0"/>
                  <w:adjustRightInd w:val="0"/>
                  <w:rPr>
                    <w:rFonts w:cs="Times New Roman"/>
                    <w:sz w:val="20"/>
                    <w:szCs w:val="20"/>
                  </w:rPr>
                </w:pPr>
                <w:r>
                  <w:rPr>
                    <w:rFonts w:cs="Times New Roman"/>
                    <w:sz w:val="20"/>
                    <w:szCs w:val="20"/>
                  </w:rPr>
                  <w:t>天津移山工程机械有限公司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3D520F0">
                <w:pPr>
                  <w:autoSpaceDE w:val="0"/>
                  <w:autoSpaceDN w:val="0"/>
                  <w:adjustRightInd w:val="0"/>
                  <w:jc w:val="right"/>
                  <w:rPr>
                    <w:rFonts w:cs="Times New Roman"/>
                    <w:sz w:val="18"/>
                    <w:szCs w:val="18"/>
                  </w:rPr>
                </w:pPr>
                <w:r>
                  <w:rPr>
                    <w:rFonts w:cs="Times New Roman"/>
                    <w:sz w:val="18"/>
                    <w:szCs w:val="18"/>
                  </w:rPr>
                  <w:t>49,000.00</w:t>
                </w:r>
              </w:p>
            </w:tc>
            <w:tc>
              <w:tcPr>
                <w:tcW w:w="724" w:type="pct"/>
                <w:tcBorders>
                  <w:top w:val="single" w:color="auto" w:sz="4" w:space="0"/>
                  <w:left w:val="single" w:color="auto" w:sz="4" w:space="0"/>
                  <w:bottom w:val="single" w:color="auto" w:sz="4" w:space="0"/>
                  <w:right w:val="single" w:color="auto" w:sz="4" w:space="0"/>
                </w:tcBorders>
                <w:vAlign w:val="center"/>
              </w:tcPr>
              <w:p w14:paraId="344FE95C">
                <w:pPr>
                  <w:autoSpaceDE w:val="0"/>
                  <w:autoSpaceDN w:val="0"/>
                  <w:adjustRightInd w:val="0"/>
                  <w:jc w:val="right"/>
                  <w:rPr>
                    <w:rFonts w:cs="Times New Roman"/>
                    <w:sz w:val="18"/>
                    <w:szCs w:val="18"/>
                  </w:rPr>
                </w:pPr>
                <w:r>
                  <w:rPr>
                    <w:rFonts w:cs="Times New Roman"/>
                    <w:sz w:val="18"/>
                    <w:szCs w:val="18"/>
                  </w:rPr>
                  <w:t>1,985.38</w:t>
                </w:r>
              </w:p>
            </w:tc>
            <w:tc>
              <w:tcPr>
                <w:tcW w:w="809" w:type="pct"/>
                <w:tcBorders>
                  <w:top w:val="single" w:color="auto" w:sz="4" w:space="0"/>
                  <w:left w:val="single" w:color="auto" w:sz="4" w:space="0"/>
                  <w:bottom w:val="single" w:color="auto" w:sz="4" w:space="0"/>
                  <w:right w:val="single" w:color="auto" w:sz="4" w:space="0"/>
                </w:tcBorders>
                <w:vAlign w:val="center"/>
              </w:tcPr>
              <w:p w14:paraId="5FF37688">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6F00D07F">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71161432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3EA3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B99420C">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F07878B">
                <w:pPr>
                  <w:autoSpaceDE w:val="0"/>
                  <w:autoSpaceDN w:val="0"/>
                  <w:adjustRightInd w:val="0"/>
                  <w:rPr>
                    <w:rFonts w:cs="Times New Roman"/>
                    <w:sz w:val="20"/>
                    <w:szCs w:val="20"/>
                  </w:rPr>
                </w:pPr>
                <w:r>
                  <w:rPr>
                    <w:rFonts w:cs="Times New Roman"/>
                    <w:sz w:val="20"/>
                    <w:szCs w:val="20"/>
                  </w:rPr>
                  <w:t>黄石新兴管业有限公司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8515469">
                <w:pPr>
                  <w:autoSpaceDE w:val="0"/>
                  <w:autoSpaceDN w:val="0"/>
                  <w:adjustRightInd w:val="0"/>
                  <w:jc w:val="right"/>
                  <w:rPr>
                    <w:rFonts w:cs="Times New Roman"/>
                    <w:sz w:val="18"/>
                    <w:szCs w:val="18"/>
                  </w:rPr>
                </w:pPr>
                <w:r>
                  <w:rPr>
                    <w:rFonts w:cs="Times New Roman"/>
                    <w:sz w:val="18"/>
                    <w:szCs w:val="18"/>
                  </w:rPr>
                  <w:t>48,719.00</w:t>
                </w:r>
              </w:p>
            </w:tc>
            <w:tc>
              <w:tcPr>
                <w:tcW w:w="724" w:type="pct"/>
                <w:tcBorders>
                  <w:top w:val="single" w:color="auto" w:sz="4" w:space="0"/>
                  <w:left w:val="single" w:color="auto" w:sz="4" w:space="0"/>
                  <w:bottom w:val="single" w:color="auto" w:sz="4" w:space="0"/>
                  <w:right w:val="single" w:color="auto" w:sz="4" w:space="0"/>
                </w:tcBorders>
                <w:vAlign w:val="center"/>
              </w:tcPr>
              <w:p w14:paraId="1F6A4EB2">
                <w:pPr>
                  <w:autoSpaceDE w:val="0"/>
                  <w:autoSpaceDN w:val="0"/>
                  <w:adjustRightInd w:val="0"/>
                  <w:jc w:val="right"/>
                  <w:rPr>
                    <w:rFonts w:cs="Times New Roman"/>
                    <w:sz w:val="18"/>
                    <w:szCs w:val="18"/>
                  </w:rPr>
                </w:pPr>
                <w:r>
                  <w:rPr>
                    <w:rFonts w:cs="Times New Roman"/>
                    <w:sz w:val="18"/>
                    <w:szCs w:val="18"/>
                  </w:rPr>
                  <w:t>2,596.61</w:t>
                </w:r>
              </w:p>
            </w:tc>
            <w:tc>
              <w:tcPr>
                <w:tcW w:w="809" w:type="pct"/>
                <w:tcBorders>
                  <w:top w:val="single" w:color="auto" w:sz="4" w:space="0"/>
                  <w:left w:val="single" w:color="auto" w:sz="4" w:space="0"/>
                  <w:bottom w:val="single" w:color="auto" w:sz="4" w:space="0"/>
                  <w:right w:val="single" w:color="auto" w:sz="4" w:space="0"/>
                </w:tcBorders>
                <w:vAlign w:val="center"/>
              </w:tcPr>
              <w:p w14:paraId="34107809">
                <w:pPr>
                  <w:autoSpaceDE w:val="0"/>
                  <w:autoSpaceDN w:val="0"/>
                  <w:adjustRightInd w:val="0"/>
                  <w:jc w:val="right"/>
                  <w:rPr>
                    <w:rFonts w:cs="Times New Roman"/>
                    <w:sz w:val="18"/>
                    <w:szCs w:val="18"/>
                  </w:rPr>
                </w:pPr>
                <w:r>
                  <w:rPr>
                    <w:rFonts w:cs="Times New Roman"/>
                    <w:sz w:val="18"/>
                    <w:szCs w:val="18"/>
                  </w:rPr>
                  <w:t>105,119.00</w:t>
                </w:r>
              </w:p>
            </w:tc>
            <w:tc>
              <w:tcPr>
                <w:tcW w:w="678" w:type="pct"/>
                <w:tcBorders>
                  <w:top w:val="single" w:color="auto" w:sz="4" w:space="0"/>
                  <w:left w:val="single" w:color="auto" w:sz="4" w:space="0"/>
                  <w:bottom w:val="single" w:color="auto" w:sz="4" w:space="0"/>
                  <w:right w:val="single" w:color="auto" w:sz="4" w:space="0"/>
                </w:tcBorders>
                <w:vAlign w:val="center"/>
              </w:tcPr>
              <w:p w14:paraId="4032D114">
                <w:pPr>
                  <w:autoSpaceDE w:val="0"/>
                  <w:autoSpaceDN w:val="0"/>
                  <w:adjustRightInd w:val="0"/>
                  <w:jc w:val="right"/>
                  <w:rPr>
                    <w:rFonts w:cs="Times New Roman"/>
                    <w:sz w:val="18"/>
                    <w:szCs w:val="18"/>
                  </w:rPr>
                </w:pPr>
                <w:r>
                  <w:rPr>
                    <w:rFonts w:cs="Times New Roman"/>
                    <w:sz w:val="18"/>
                    <w:szCs w:val="18"/>
                  </w:rPr>
                  <w:t>4,259.21</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38999239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B91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ABA9821">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270AD12">
                <w:pPr>
                  <w:autoSpaceDE w:val="0"/>
                  <w:autoSpaceDN w:val="0"/>
                  <w:adjustRightInd w:val="0"/>
                  <w:rPr>
                    <w:rFonts w:cs="Times New Roman"/>
                    <w:sz w:val="20"/>
                    <w:szCs w:val="20"/>
                  </w:rPr>
                </w:pPr>
                <w:r>
                  <w:rPr>
                    <w:rFonts w:cs="Times New Roman"/>
                    <w:sz w:val="20"/>
                    <w:szCs w:val="20"/>
                  </w:rPr>
                  <w:t>湖北新兴全力机械有限公司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78053464">
                <w:pPr>
                  <w:autoSpaceDE w:val="0"/>
                  <w:autoSpaceDN w:val="0"/>
                  <w:adjustRightInd w:val="0"/>
                  <w:jc w:val="right"/>
                  <w:rPr>
                    <w:rFonts w:cs="Times New Roman"/>
                    <w:sz w:val="18"/>
                    <w:szCs w:val="18"/>
                  </w:rPr>
                </w:pPr>
                <w:r>
                  <w:rPr>
                    <w:rFonts w:cs="Times New Roman"/>
                    <w:sz w:val="18"/>
                    <w:szCs w:val="18"/>
                  </w:rPr>
                  <w:t>40,560.00</w:t>
                </w:r>
              </w:p>
            </w:tc>
            <w:tc>
              <w:tcPr>
                <w:tcW w:w="724" w:type="pct"/>
                <w:tcBorders>
                  <w:top w:val="single" w:color="auto" w:sz="4" w:space="0"/>
                  <w:left w:val="single" w:color="auto" w:sz="4" w:space="0"/>
                  <w:bottom w:val="single" w:color="auto" w:sz="4" w:space="0"/>
                  <w:right w:val="single" w:color="auto" w:sz="4" w:space="0"/>
                </w:tcBorders>
                <w:vAlign w:val="center"/>
              </w:tcPr>
              <w:p w14:paraId="2D5D038A">
                <w:pPr>
                  <w:autoSpaceDE w:val="0"/>
                  <w:autoSpaceDN w:val="0"/>
                  <w:adjustRightInd w:val="0"/>
                  <w:jc w:val="right"/>
                  <w:rPr>
                    <w:rFonts w:cs="Times New Roman"/>
                    <w:sz w:val="18"/>
                    <w:szCs w:val="18"/>
                  </w:rPr>
                </w:pPr>
                <w:r>
                  <w:rPr>
                    <w:rFonts w:cs="Times New Roman"/>
                    <w:sz w:val="18"/>
                    <w:szCs w:val="18"/>
                  </w:rPr>
                  <w:t>1,643.41</w:t>
                </w:r>
              </w:p>
            </w:tc>
            <w:tc>
              <w:tcPr>
                <w:tcW w:w="809" w:type="pct"/>
                <w:tcBorders>
                  <w:top w:val="single" w:color="auto" w:sz="4" w:space="0"/>
                  <w:left w:val="single" w:color="auto" w:sz="4" w:space="0"/>
                  <w:bottom w:val="single" w:color="auto" w:sz="4" w:space="0"/>
                  <w:right w:val="single" w:color="auto" w:sz="4" w:space="0"/>
                </w:tcBorders>
                <w:vAlign w:val="center"/>
              </w:tcPr>
              <w:p w14:paraId="2EFBA36F">
                <w:pPr>
                  <w:autoSpaceDE w:val="0"/>
                  <w:autoSpaceDN w:val="0"/>
                  <w:adjustRightInd w:val="0"/>
                  <w:jc w:val="right"/>
                  <w:rPr>
                    <w:rFonts w:cs="Times New Roman"/>
                    <w:sz w:val="18"/>
                    <w:szCs w:val="18"/>
                  </w:rPr>
                </w:pPr>
                <w:r>
                  <w:rPr>
                    <w:rFonts w:cs="Times New Roman"/>
                    <w:sz w:val="18"/>
                    <w:szCs w:val="18"/>
                  </w:rPr>
                  <w:t>46,060.00</w:t>
                </w:r>
              </w:p>
            </w:tc>
            <w:tc>
              <w:tcPr>
                <w:tcW w:w="678" w:type="pct"/>
                <w:tcBorders>
                  <w:top w:val="single" w:color="auto" w:sz="4" w:space="0"/>
                  <w:left w:val="single" w:color="auto" w:sz="4" w:space="0"/>
                  <w:bottom w:val="single" w:color="auto" w:sz="4" w:space="0"/>
                  <w:right w:val="single" w:color="auto" w:sz="4" w:space="0"/>
                </w:tcBorders>
                <w:vAlign w:val="center"/>
              </w:tcPr>
              <w:p w14:paraId="75FD9C1F">
                <w:pPr>
                  <w:autoSpaceDE w:val="0"/>
                  <w:autoSpaceDN w:val="0"/>
                  <w:adjustRightInd w:val="0"/>
                  <w:jc w:val="right"/>
                  <w:rPr>
                    <w:rFonts w:cs="Times New Roman"/>
                    <w:sz w:val="18"/>
                    <w:szCs w:val="18"/>
                  </w:rPr>
                </w:pPr>
                <w:r>
                  <w:rPr>
                    <w:rFonts w:cs="Times New Roman"/>
                    <w:sz w:val="18"/>
                    <w:szCs w:val="18"/>
                  </w:rPr>
                  <w:t>1,866.26</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27402205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06D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592A767">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77AB585F">
                <w:pPr>
                  <w:autoSpaceDE w:val="0"/>
                  <w:autoSpaceDN w:val="0"/>
                  <w:adjustRightInd w:val="0"/>
                  <w:rPr>
                    <w:rFonts w:cs="Times New Roman"/>
                    <w:sz w:val="20"/>
                    <w:szCs w:val="20"/>
                  </w:rPr>
                </w:pPr>
                <w:r>
                  <w:rPr>
                    <w:rFonts w:cs="Times New Roman"/>
                    <w:sz w:val="20"/>
                    <w:szCs w:val="20"/>
                  </w:rPr>
                  <w:t>北京三兴汽车有限公司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3C715E2">
                <w:pPr>
                  <w:autoSpaceDE w:val="0"/>
                  <w:autoSpaceDN w:val="0"/>
                  <w:adjustRightInd w:val="0"/>
                  <w:jc w:val="right"/>
                  <w:rPr>
                    <w:rFonts w:cs="Times New Roman"/>
                    <w:sz w:val="18"/>
                    <w:szCs w:val="18"/>
                  </w:rPr>
                </w:pPr>
                <w:r>
                  <w:rPr>
                    <w:rFonts w:cs="Times New Roman"/>
                    <w:sz w:val="18"/>
                    <w:szCs w:val="18"/>
                  </w:rPr>
                  <w:t>34,809.60</w:t>
                </w:r>
              </w:p>
            </w:tc>
            <w:tc>
              <w:tcPr>
                <w:tcW w:w="724" w:type="pct"/>
                <w:tcBorders>
                  <w:top w:val="single" w:color="auto" w:sz="4" w:space="0"/>
                  <w:left w:val="single" w:color="auto" w:sz="4" w:space="0"/>
                  <w:bottom w:val="single" w:color="auto" w:sz="4" w:space="0"/>
                  <w:right w:val="single" w:color="auto" w:sz="4" w:space="0"/>
                </w:tcBorders>
                <w:vAlign w:val="center"/>
              </w:tcPr>
              <w:p w14:paraId="3CA35322">
                <w:pPr>
                  <w:autoSpaceDE w:val="0"/>
                  <w:autoSpaceDN w:val="0"/>
                  <w:adjustRightInd w:val="0"/>
                  <w:jc w:val="right"/>
                  <w:rPr>
                    <w:rFonts w:cs="Times New Roman"/>
                    <w:sz w:val="18"/>
                    <w:szCs w:val="18"/>
                  </w:rPr>
                </w:pPr>
                <w:r>
                  <w:rPr>
                    <w:rFonts w:cs="Times New Roman"/>
                    <w:sz w:val="18"/>
                    <w:szCs w:val="18"/>
                  </w:rPr>
                  <w:t>1,410.41</w:t>
                </w:r>
              </w:p>
            </w:tc>
            <w:tc>
              <w:tcPr>
                <w:tcW w:w="809" w:type="pct"/>
                <w:tcBorders>
                  <w:top w:val="single" w:color="auto" w:sz="4" w:space="0"/>
                  <w:left w:val="single" w:color="auto" w:sz="4" w:space="0"/>
                  <w:bottom w:val="single" w:color="auto" w:sz="4" w:space="0"/>
                  <w:right w:val="single" w:color="auto" w:sz="4" w:space="0"/>
                </w:tcBorders>
                <w:vAlign w:val="center"/>
              </w:tcPr>
              <w:p w14:paraId="186224D2">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65C3ABB5">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16920936"/>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62E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DAB367D">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1789A30D">
                <w:pPr>
                  <w:autoSpaceDE w:val="0"/>
                  <w:autoSpaceDN w:val="0"/>
                  <w:adjustRightInd w:val="0"/>
                  <w:rPr>
                    <w:rFonts w:cs="Times New Roman"/>
                    <w:sz w:val="20"/>
                    <w:szCs w:val="20"/>
                  </w:rPr>
                </w:pPr>
                <w:r>
                  <w:rPr>
                    <w:rFonts w:cs="Times New Roman"/>
                    <w:sz w:val="20"/>
                    <w:szCs w:val="20"/>
                  </w:rPr>
                  <w:t>新兴移山（天津）重工有限公司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75F3034">
                <w:pPr>
                  <w:autoSpaceDE w:val="0"/>
                  <w:autoSpaceDN w:val="0"/>
                  <w:adjustRightInd w:val="0"/>
                  <w:jc w:val="right"/>
                  <w:rPr>
                    <w:rFonts w:cs="Times New Roman"/>
                    <w:sz w:val="18"/>
                    <w:szCs w:val="18"/>
                  </w:rPr>
                </w:pPr>
                <w:r>
                  <w:rPr>
                    <w:rFonts w:cs="Times New Roman"/>
                    <w:sz w:val="18"/>
                    <w:szCs w:val="18"/>
                  </w:rPr>
                  <w:t>26,100.00</w:t>
                </w:r>
              </w:p>
            </w:tc>
            <w:tc>
              <w:tcPr>
                <w:tcW w:w="724" w:type="pct"/>
                <w:tcBorders>
                  <w:top w:val="single" w:color="auto" w:sz="4" w:space="0"/>
                  <w:left w:val="single" w:color="auto" w:sz="4" w:space="0"/>
                  <w:bottom w:val="single" w:color="auto" w:sz="4" w:space="0"/>
                  <w:right w:val="single" w:color="auto" w:sz="4" w:space="0"/>
                </w:tcBorders>
                <w:vAlign w:val="center"/>
              </w:tcPr>
              <w:p w14:paraId="4F634DAD">
                <w:pPr>
                  <w:autoSpaceDE w:val="0"/>
                  <w:autoSpaceDN w:val="0"/>
                  <w:adjustRightInd w:val="0"/>
                  <w:jc w:val="right"/>
                  <w:rPr>
                    <w:rFonts w:cs="Times New Roman"/>
                    <w:sz w:val="18"/>
                    <w:szCs w:val="18"/>
                  </w:rPr>
                </w:pPr>
                <w:r>
                  <w:rPr>
                    <w:rFonts w:cs="Times New Roman"/>
                    <w:sz w:val="18"/>
                    <w:szCs w:val="18"/>
                  </w:rPr>
                  <w:t>14,417.88</w:t>
                </w:r>
              </w:p>
            </w:tc>
            <w:tc>
              <w:tcPr>
                <w:tcW w:w="809" w:type="pct"/>
                <w:tcBorders>
                  <w:top w:val="single" w:color="auto" w:sz="4" w:space="0"/>
                  <w:left w:val="single" w:color="auto" w:sz="4" w:space="0"/>
                  <w:bottom w:val="single" w:color="auto" w:sz="4" w:space="0"/>
                  <w:right w:val="single" w:color="auto" w:sz="4" w:space="0"/>
                </w:tcBorders>
                <w:vAlign w:val="center"/>
              </w:tcPr>
              <w:p w14:paraId="37FF30CD">
                <w:pPr>
                  <w:autoSpaceDE w:val="0"/>
                  <w:autoSpaceDN w:val="0"/>
                  <w:adjustRightInd w:val="0"/>
                  <w:jc w:val="right"/>
                  <w:rPr>
                    <w:rFonts w:cs="Times New Roman"/>
                    <w:sz w:val="18"/>
                    <w:szCs w:val="18"/>
                  </w:rPr>
                </w:pPr>
                <w:r>
                  <w:rPr>
                    <w:rFonts w:cs="Times New Roman"/>
                    <w:sz w:val="18"/>
                    <w:szCs w:val="18"/>
                  </w:rPr>
                  <w:t>26,100.00</w:t>
                </w:r>
              </w:p>
            </w:tc>
            <w:tc>
              <w:tcPr>
                <w:tcW w:w="678" w:type="pct"/>
                <w:tcBorders>
                  <w:top w:val="single" w:color="auto" w:sz="4" w:space="0"/>
                  <w:left w:val="single" w:color="auto" w:sz="4" w:space="0"/>
                  <w:bottom w:val="single" w:color="auto" w:sz="4" w:space="0"/>
                  <w:right w:val="single" w:color="auto" w:sz="4" w:space="0"/>
                </w:tcBorders>
                <w:vAlign w:val="center"/>
              </w:tcPr>
              <w:p w14:paraId="4C42C383">
                <w:pPr>
                  <w:autoSpaceDE w:val="0"/>
                  <w:autoSpaceDN w:val="0"/>
                  <w:adjustRightInd w:val="0"/>
                  <w:jc w:val="right"/>
                  <w:rPr>
                    <w:rFonts w:cs="Times New Roman"/>
                    <w:sz w:val="18"/>
                    <w:szCs w:val="18"/>
                  </w:rPr>
                </w:pPr>
                <w:r>
                  <w:rPr>
                    <w:rFonts w:cs="Times New Roman"/>
                    <w:sz w:val="18"/>
                    <w:szCs w:val="18"/>
                  </w:rPr>
                  <w:t>14,417.88</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93550902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DCB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26A33A6">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76C9597E">
                <w:pPr>
                  <w:autoSpaceDE w:val="0"/>
                  <w:autoSpaceDN w:val="0"/>
                  <w:adjustRightInd w:val="0"/>
                  <w:rPr>
                    <w:rFonts w:cs="Times New Roman"/>
                    <w:sz w:val="20"/>
                    <w:szCs w:val="20"/>
                  </w:rPr>
                </w:pPr>
                <w:r>
                  <w:rPr>
                    <w:rFonts w:cs="Times New Roman"/>
                    <w:sz w:val="20"/>
                    <w:szCs w:val="20"/>
                  </w:rPr>
                  <w:t>新兴河北工程技术有限公司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C6E128D">
                <w:pPr>
                  <w:autoSpaceDE w:val="0"/>
                  <w:autoSpaceDN w:val="0"/>
                  <w:adjustRightInd w:val="0"/>
                  <w:jc w:val="right"/>
                  <w:rPr>
                    <w:rFonts w:cs="Times New Roman"/>
                    <w:sz w:val="18"/>
                    <w:szCs w:val="18"/>
                  </w:rPr>
                </w:pPr>
                <w:r>
                  <w:rPr>
                    <w:rFonts w:cs="Times New Roman"/>
                    <w:sz w:val="18"/>
                    <w:szCs w:val="18"/>
                  </w:rPr>
                  <w:t>21,230.65</w:t>
                </w:r>
              </w:p>
            </w:tc>
            <w:tc>
              <w:tcPr>
                <w:tcW w:w="724" w:type="pct"/>
                <w:tcBorders>
                  <w:top w:val="single" w:color="auto" w:sz="4" w:space="0"/>
                  <w:left w:val="single" w:color="auto" w:sz="4" w:space="0"/>
                  <w:bottom w:val="single" w:color="auto" w:sz="4" w:space="0"/>
                  <w:right w:val="single" w:color="auto" w:sz="4" w:space="0"/>
                </w:tcBorders>
                <w:vAlign w:val="center"/>
              </w:tcPr>
              <w:p w14:paraId="57376706">
                <w:pPr>
                  <w:autoSpaceDE w:val="0"/>
                  <w:autoSpaceDN w:val="0"/>
                  <w:adjustRightInd w:val="0"/>
                  <w:jc w:val="right"/>
                  <w:rPr>
                    <w:rFonts w:cs="Times New Roman"/>
                    <w:sz w:val="18"/>
                    <w:szCs w:val="18"/>
                  </w:rPr>
                </w:pPr>
                <w:r>
                  <w:rPr>
                    <w:rFonts w:cs="Times New Roman"/>
                    <w:sz w:val="18"/>
                    <w:szCs w:val="18"/>
                  </w:rPr>
                  <w:t>21,230.65</w:t>
                </w:r>
              </w:p>
            </w:tc>
            <w:tc>
              <w:tcPr>
                <w:tcW w:w="809" w:type="pct"/>
                <w:tcBorders>
                  <w:top w:val="single" w:color="auto" w:sz="4" w:space="0"/>
                  <w:left w:val="single" w:color="auto" w:sz="4" w:space="0"/>
                  <w:bottom w:val="single" w:color="auto" w:sz="4" w:space="0"/>
                  <w:right w:val="single" w:color="auto" w:sz="4" w:space="0"/>
                </w:tcBorders>
                <w:vAlign w:val="center"/>
              </w:tcPr>
              <w:p w14:paraId="000841C3">
                <w:pPr>
                  <w:autoSpaceDE w:val="0"/>
                  <w:autoSpaceDN w:val="0"/>
                  <w:adjustRightInd w:val="0"/>
                  <w:jc w:val="right"/>
                  <w:rPr>
                    <w:rFonts w:cs="Times New Roman"/>
                    <w:sz w:val="18"/>
                    <w:szCs w:val="18"/>
                  </w:rPr>
                </w:pPr>
                <w:r>
                  <w:rPr>
                    <w:rFonts w:cs="Times New Roman"/>
                    <w:sz w:val="18"/>
                    <w:szCs w:val="18"/>
                  </w:rPr>
                  <w:t>21,230.65</w:t>
                </w:r>
              </w:p>
            </w:tc>
            <w:tc>
              <w:tcPr>
                <w:tcW w:w="678" w:type="pct"/>
                <w:tcBorders>
                  <w:top w:val="single" w:color="auto" w:sz="4" w:space="0"/>
                  <w:left w:val="single" w:color="auto" w:sz="4" w:space="0"/>
                  <w:bottom w:val="single" w:color="auto" w:sz="4" w:space="0"/>
                  <w:right w:val="single" w:color="auto" w:sz="4" w:space="0"/>
                </w:tcBorders>
                <w:vAlign w:val="center"/>
              </w:tcPr>
              <w:p w14:paraId="4BF1CE9A">
                <w:pPr>
                  <w:autoSpaceDE w:val="0"/>
                  <w:autoSpaceDN w:val="0"/>
                  <w:adjustRightInd w:val="0"/>
                  <w:jc w:val="right"/>
                  <w:rPr>
                    <w:rFonts w:cs="Times New Roman"/>
                    <w:sz w:val="18"/>
                    <w:szCs w:val="18"/>
                  </w:rPr>
                </w:pPr>
                <w:r>
                  <w:rPr>
                    <w:rFonts w:cs="Times New Roman"/>
                    <w:sz w:val="18"/>
                    <w:szCs w:val="18"/>
                  </w:rPr>
                  <w:t>21,230.65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57031089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E7D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9D6F0D3">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516FB980">
                <w:pPr>
                  <w:autoSpaceDE w:val="0"/>
                  <w:autoSpaceDN w:val="0"/>
                  <w:adjustRightInd w:val="0"/>
                  <w:rPr>
                    <w:rFonts w:cs="Times New Roman"/>
                    <w:sz w:val="20"/>
                    <w:szCs w:val="20"/>
                  </w:rPr>
                </w:pPr>
                <w:r>
                  <w:rPr>
                    <w:rFonts w:cs="Times New Roman"/>
                    <w:sz w:val="20"/>
                    <w:szCs w:val="20"/>
                  </w:rPr>
                  <w:t>新兴际华集团有限公司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2EE9591">
                <w:pPr>
                  <w:autoSpaceDE w:val="0"/>
                  <w:autoSpaceDN w:val="0"/>
                  <w:adjustRightInd w:val="0"/>
                  <w:jc w:val="right"/>
                  <w:rPr>
                    <w:rFonts w:cs="Times New Roman"/>
                    <w:sz w:val="18"/>
                    <w:szCs w:val="18"/>
                  </w:rPr>
                </w:pPr>
                <w:r>
                  <w:rPr>
                    <w:rFonts w:cs="Times New Roman"/>
                    <w:sz w:val="18"/>
                    <w:szCs w:val="18"/>
                  </w:rPr>
                  <w:t>20,456.00</w:t>
                </w:r>
              </w:p>
            </w:tc>
            <w:tc>
              <w:tcPr>
                <w:tcW w:w="724" w:type="pct"/>
                <w:tcBorders>
                  <w:top w:val="single" w:color="auto" w:sz="4" w:space="0"/>
                  <w:left w:val="single" w:color="auto" w:sz="4" w:space="0"/>
                  <w:bottom w:val="single" w:color="auto" w:sz="4" w:space="0"/>
                  <w:right w:val="single" w:color="auto" w:sz="4" w:space="0"/>
                </w:tcBorders>
                <w:vAlign w:val="center"/>
              </w:tcPr>
              <w:p w14:paraId="73A09F16">
                <w:pPr>
                  <w:autoSpaceDE w:val="0"/>
                  <w:autoSpaceDN w:val="0"/>
                  <w:adjustRightInd w:val="0"/>
                  <w:jc w:val="right"/>
                  <w:rPr>
                    <w:rFonts w:cs="Times New Roman"/>
                    <w:sz w:val="18"/>
                    <w:szCs w:val="18"/>
                  </w:rPr>
                </w:pPr>
                <w:r>
                  <w:rPr>
                    <w:rFonts w:cs="Times New Roman"/>
                    <w:sz w:val="18"/>
                    <w:szCs w:val="18"/>
                  </w:rPr>
                  <w:t>828.84</w:t>
                </w:r>
              </w:p>
            </w:tc>
            <w:tc>
              <w:tcPr>
                <w:tcW w:w="809" w:type="pct"/>
                <w:tcBorders>
                  <w:top w:val="single" w:color="auto" w:sz="4" w:space="0"/>
                  <w:left w:val="single" w:color="auto" w:sz="4" w:space="0"/>
                  <w:bottom w:val="single" w:color="auto" w:sz="4" w:space="0"/>
                  <w:right w:val="single" w:color="auto" w:sz="4" w:space="0"/>
                </w:tcBorders>
                <w:vAlign w:val="center"/>
              </w:tcPr>
              <w:p w14:paraId="6992E2DD">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31320427">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57284919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A3E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C883FD1">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6226CD4F">
                <w:pPr>
                  <w:autoSpaceDE w:val="0"/>
                  <w:autoSpaceDN w:val="0"/>
                  <w:adjustRightInd w:val="0"/>
                  <w:rPr>
                    <w:rFonts w:cs="Times New Roman"/>
                    <w:sz w:val="20"/>
                    <w:szCs w:val="20"/>
                  </w:rPr>
                </w:pPr>
                <w:r>
                  <w:rPr>
                    <w:rFonts w:cs="Times New Roman"/>
                    <w:sz w:val="20"/>
                    <w:szCs w:val="20"/>
                  </w:rPr>
                  <w:t>新兴铸管集团邯郸新材料有限公司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6D28488">
                <w:pPr>
                  <w:autoSpaceDE w:val="0"/>
                  <w:autoSpaceDN w:val="0"/>
                  <w:adjustRightInd w:val="0"/>
                  <w:jc w:val="right"/>
                  <w:rPr>
                    <w:rFonts w:cs="Times New Roman"/>
                    <w:sz w:val="18"/>
                    <w:szCs w:val="18"/>
                  </w:rPr>
                </w:pPr>
                <w:r>
                  <w:rPr>
                    <w:rFonts w:cs="Times New Roman"/>
                    <w:sz w:val="18"/>
                    <w:szCs w:val="18"/>
                  </w:rPr>
                  <w:t>17,542.00</w:t>
                </w:r>
              </w:p>
            </w:tc>
            <w:tc>
              <w:tcPr>
                <w:tcW w:w="724" w:type="pct"/>
                <w:tcBorders>
                  <w:top w:val="single" w:color="auto" w:sz="4" w:space="0"/>
                  <w:left w:val="single" w:color="auto" w:sz="4" w:space="0"/>
                  <w:bottom w:val="single" w:color="auto" w:sz="4" w:space="0"/>
                  <w:right w:val="single" w:color="auto" w:sz="4" w:space="0"/>
                </w:tcBorders>
                <w:vAlign w:val="center"/>
              </w:tcPr>
              <w:p w14:paraId="522EB43A">
                <w:pPr>
                  <w:autoSpaceDE w:val="0"/>
                  <w:autoSpaceDN w:val="0"/>
                  <w:adjustRightInd w:val="0"/>
                  <w:jc w:val="right"/>
                  <w:rPr>
                    <w:rFonts w:cs="Times New Roman"/>
                    <w:sz w:val="18"/>
                    <w:szCs w:val="18"/>
                  </w:rPr>
                </w:pPr>
                <w:r>
                  <w:rPr>
                    <w:rFonts w:cs="Times New Roman"/>
                    <w:sz w:val="18"/>
                    <w:szCs w:val="18"/>
                  </w:rPr>
                  <w:t>3,210.06</w:t>
                </w:r>
              </w:p>
            </w:tc>
            <w:tc>
              <w:tcPr>
                <w:tcW w:w="809" w:type="pct"/>
                <w:tcBorders>
                  <w:top w:val="single" w:color="auto" w:sz="4" w:space="0"/>
                  <w:left w:val="single" w:color="auto" w:sz="4" w:space="0"/>
                  <w:bottom w:val="single" w:color="auto" w:sz="4" w:space="0"/>
                  <w:right w:val="single" w:color="auto" w:sz="4" w:space="0"/>
                </w:tcBorders>
                <w:vAlign w:val="center"/>
              </w:tcPr>
              <w:p w14:paraId="21CB5110">
                <w:pPr>
                  <w:autoSpaceDE w:val="0"/>
                  <w:autoSpaceDN w:val="0"/>
                  <w:adjustRightInd w:val="0"/>
                  <w:jc w:val="right"/>
                  <w:rPr>
                    <w:rFonts w:cs="Times New Roman"/>
                    <w:sz w:val="18"/>
                    <w:szCs w:val="18"/>
                  </w:rPr>
                </w:pPr>
                <w:r>
                  <w:rPr>
                    <w:rFonts w:cs="Times New Roman"/>
                    <w:sz w:val="18"/>
                    <w:szCs w:val="18"/>
                  </w:rPr>
                  <w:t>17,542.00</w:t>
                </w:r>
              </w:p>
            </w:tc>
            <w:tc>
              <w:tcPr>
                <w:tcW w:w="678" w:type="pct"/>
                <w:tcBorders>
                  <w:top w:val="single" w:color="auto" w:sz="4" w:space="0"/>
                  <w:left w:val="single" w:color="auto" w:sz="4" w:space="0"/>
                  <w:bottom w:val="single" w:color="auto" w:sz="4" w:space="0"/>
                  <w:right w:val="single" w:color="auto" w:sz="4" w:space="0"/>
                </w:tcBorders>
                <w:vAlign w:val="center"/>
              </w:tcPr>
              <w:p w14:paraId="350E415B">
                <w:pPr>
                  <w:autoSpaceDE w:val="0"/>
                  <w:autoSpaceDN w:val="0"/>
                  <w:adjustRightInd w:val="0"/>
                  <w:jc w:val="right"/>
                  <w:rPr>
                    <w:rFonts w:cs="Times New Roman"/>
                    <w:sz w:val="18"/>
                    <w:szCs w:val="18"/>
                  </w:rPr>
                </w:pPr>
                <w:r>
                  <w:rPr>
                    <w:rFonts w:cs="Times New Roman"/>
                    <w:sz w:val="18"/>
                    <w:szCs w:val="18"/>
                  </w:rPr>
                  <w:t>710.77</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62951702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3F20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D465977">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476EC870">
                <w:pPr>
                  <w:autoSpaceDE w:val="0"/>
                  <w:autoSpaceDN w:val="0"/>
                  <w:adjustRightInd w:val="0"/>
                  <w:rPr>
                    <w:rFonts w:cs="Times New Roman"/>
                    <w:sz w:val="20"/>
                    <w:szCs w:val="20"/>
                  </w:rPr>
                </w:pPr>
                <w:r>
                  <w:rPr>
                    <w:rFonts w:cs="Times New Roman"/>
                    <w:sz w:val="20"/>
                    <w:szCs w:val="20"/>
                  </w:rPr>
                  <w:t>宜昌际华仙女服饰有限公司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323D9A1">
                <w:pPr>
                  <w:autoSpaceDE w:val="0"/>
                  <w:autoSpaceDN w:val="0"/>
                  <w:adjustRightInd w:val="0"/>
                  <w:jc w:val="right"/>
                  <w:rPr>
                    <w:rFonts w:cs="Times New Roman"/>
                    <w:sz w:val="18"/>
                    <w:szCs w:val="18"/>
                  </w:rPr>
                </w:pPr>
                <w:r>
                  <w:rPr>
                    <w:rFonts w:cs="Times New Roman"/>
                    <w:sz w:val="18"/>
                    <w:szCs w:val="18"/>
                  </w:rPr>
                  <w:t>10,289.05</w:t>
                </w:r>
              </w:p>
            </w:tc>
            <w:tc>
              <w:tcPr>
                <w:tcW w:w="724" w:type="pct"/>
                <w:tcBorders>
                  <w:top w:val="single" w:color="auto" w:sz="4" w:space="0"/>
                  <w:left w:val="single" w:color="auto" w:sz="4" w:space="0"/>
                  <w:bottom w:val="single" w:color="auto" w:sz="4" w:space="0"/>
                  <w:right w:val="single" w:color="auto" w:sz="4" w:space="0"/>
                </w:tcBorders>
                <w:vAlign w:val="center"/>
              </w:tcPr>
              <w:p w14:paraId="4AB97B25">
                <w:pPr>
                  <w:autoSpaceDE w:val="0"/>
                  <w:autoSpaceDN w:val="0"/>
                  <w:adjustRightInd w:val="0"/>
                  <w:jc w:val="right"/>
                  <w:rPr>
                    <w:rFonts w:cs="Times New Roman"/>
                    <w:sz w:val="18"/>
                    <w:szCs w:val="18"/>
                  </w:rPr>
                </w:pPr>
                <w:r>
                  <w:rPr>
                    <w:rFonts w:cs="Times New Roman"/>
                    <w:sz w:val="18"/>
                    <w:szCs w:val="18"/>
                  </w:rPr>
                  <w:t>416.89</w:t>
                </w:r>
              </w:p>
            </w:tc>
            <w:tc>
              <w:tcPr>
                <w:tcW w:w="809" w:type="pct"/>
                <w:tcBorders>
                  <w:top w:val="single" w:color="auto" w:sz="4" w:space="0"/>
                  <w:left w:val="single" w:color="auto" w:sz="4" w:space="0"/>
                  <w:bottom w:val="single" w:color="auto" w:sz="4" w:space="0"/>
                  <w:right w:val="single" w:color="auto" w:sz="4" w:space="0"/>
                </w:tcBorders>
                <w:vAlign w:val="center"/>
              </w:tcPr>
              <w:p w14:paraId="6280B3F0">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151441DE">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4528982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D9E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D6A5B18">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7D73FABD">
                <w:pPr>
                  <w:autoSpaceDE w:val="0"/>
                  <w:autoSpaceDN w:val="0"/>
                  <w:adjustRightInd w:val="0"/>
                  <w:rPr>
                    <w:rFonts w:cs="Times New Roman"/>
                    <w:sz w:val="20"/>
                    <w:szCs w:val="20"/>
                  </w:rPr>
                </w:pPr>
                <w:r>
                  <w:rPr>
                    <w:rFonts w:cs="Times New Roman"/>
                    <w:sz w:val="20"/>
                    <w:szCs w:val="20"/>
                  </w:rPr>
                  <w:t>新兴职业装备生产技术研究所</w:t>
                </w:r>
              </w:p>
            </w:tc>
            <w:tc>
              <w:tcPr>
                <w:tcW w:w="778" w:type="pct"/>
                <w:tcBorders>
                  <w:top w:val="single" w:color="auto" w:sz="4" w:space="0"/>
                  <w:left w:val="single" w:color="auto" w:sz="4" w:space="0"/>
                  <w:bottom w:val="single" w:color="auto" w:sz="4" w:space="0"/>
                  <w:right w:val="single" w:color="auto" w:sz="4" w:space="0"/>
                </w:tcBorders>
                <w:vAlign w:val="center"/>
              </w:tcPr>
              <w:p w14:paraId="26C5D16A">
                <w:pPr>
                  <w:autoSpaceDE w:val="0"/>
                  <w:autoSpaceDN w:val="0"/>
                  <w:adjustRightInd w:val="0"/>
                  <w:jc w:val="right"/>
                  <w:rPr>
                    <w:rFonts w:cs="Times New Roman"/>
                    <w:sz w:val="18"/>
                    <w:szCs w:val="18"/>
                  </w:rPr>
                </w:pPr>
                <w:r>
                  <w:rPr>
                    <w:rFonts w:cs="Times New Roman"/>
                    <w:sz w:val="18"/>
                    <w:szCs w:val="18"/>
                  </w:rPr>
                  <w:t>7,710.00</w:t>
                </w:r>
              </w:p>
            </w:tc>
            <w:tc>
              <w:tcPr>
                <w:tcW w:w="724" w:type="pct"/>
                <w:tcBorders>
                  <w:top w:val="single" w:color="auto" w:sz="4" w:space="0"/>
                  <w:left w:val="single" w:color="auto" w:sz="4" w:space="0"/>
                  <w:bottom w:val="single" w:color="auto" w:sz="4" w:space="0"/>
                  <w:right w:val="single" w:color="auto" w:sz="4" w:space="0"/>
                </w:tcBorders>
                <w:vAlign w:val="center"/>
              </w:tcPr>
              <w:p w14:paraId="25AF1AA3">
                <w:pPr>
                  <w:autoSpaceDE w:val="0"/>
                  <w:autoSpaceDN w:val="0"/>
                  <w:adjustRightInd w:val="0"/>
                  <w:jc w:val="right"/>
                  <w:rPr>
                    <w:rFonts w:cs="Times New Roman"/>
                    <w:sz w:val="18"/>
                    <w:szCs w:val="18"/>
                  </w:rPr>
                </w:pPr>
                <w:r>
                  <w:rPr>
                    <w:rFonts w:cs="Times New Roman"/>
                    <w:sz w:val="18"/>
                    <w:szCs w:val="18"/>
                  </w:rPr>
                  <w:t>4,259.07</w:t>
                </w:r>
              </w:p>
            </w:tc>
            <w:tc>
              <w:tcPr>
                <w:tcW w:w="809" w:type="pct"/>
                <w:tcBorders>
                  <w:top w:val="single" w:color="auto" w:sz="4" w:space="0"/>
                  <w:left w:val="single" w:color="auto" w:sz="4" w:space="0"/>
                  <w:bottom w:val="single" w:color="auto" w:sz="4" w:space="0"/>
                  <w:right w:val="single" w:color="auto" w:sz="4" w:space="0"/>
                </w:tcBorders>
                <w:vAlign w:val="center"/>
              </w:tcPr>
              <w:p w14:paraId="371F4AA4">
                <w:pPr>
                  <w:autoSpaceDE w:val="0"/>
                  <w:autoSpaceDN w:val="0"/>
                  <w:adjustRightInd w:val="0"/>
                  <w:jc w:val="right"/>
                  <w:rPr>
                    <w:rFonts w:cs="Times New Roman"/>
                    <w:sz w:val="18"/>
                    <w:szCs w:val="18"/>
                  </w:rPr>
                </w:pPr>
                <w:r>
                  <w:rPr>
                    <w:rFonts w:cs="Times New Roman"/>
                    <w:sz w:val="18"/>
                    <w:szCs w:val="18"/>
                  </w:rPr>
                  <w:t>7,710.00</w:t>
                </w:r>
              </w:p>
            </w:tc>
            <w:tc>
              <w:tcPr>
                <w:tcW w:w="678" w:type="pct"/>
                <w:tcBorders>
                  <w:top w:val="single" w:color="auto" w:sz="4" w:space="0"/>
                  <w:left w:val="single" w:color="auto" w:sz="4" w:space="0"/>
                  <w:bottom w:val="single" w:color="auto" w:sz="4" w:space="0"/>
                  <w:right w:val="single" w:color="auto" w:sz="4" w:space="0"/>
                </w:tcBorders>
                <w:vAlign w:val="center"/>
              </w:tcPr>
              <w:p w14:paraId="41777C7C">
                <w:pPr>
                  <w:autoSpaceDE w:val="0"/>
                  <w:autoSpaceDN w:val="0"/>
                  <w:adjustRightInd w:val="0"/>
                  <w:jc w:val="right"/>
                  <w:rPr>
                    <w:rFonts w:cs="Times New Roman"/>
                    <w:sz w:val="18"/>
                    <w:szCs w:val="18"/>
                  </w:rPr>
                </w:pPr>
                <w:r>
                  <w:rPr>
                    <w:rFonts w:cs="Times New Roman"/>
                    <w:sz w:val="18"/>
                    <w:szCs w:val="18"/>
                  </w:rPr>
                  <w:t>4,259.07</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523820894"/>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2A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DA6325A">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F964A16">
                <w:pPr>
                  <w:autoSpaceDE w:val="0"/>
                  <w:autoSpaceDN w:val="0"/>
                  <w:adjustRightInd w:val="0"/>
                  <w:rPr>
                    <w:rFonts w:cs="Times New Roman"/>
                    <w:sz w:val="20"/>
                    <w:szCs w:val="20"/>
                  </w:rPr>
                </w:pPr>
                <w:r>
                  <w:rPr>
                    <w:rFonts w:cs="Times New Roman"/>
                    <w:sz w:val="20"/>
                    <w:szCs w:val="20"/>
                  </w:rPr>
                  <w:t>新兴重工集团有限公司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624217B">
                <w:pPr>
                  <w:autoSpaceDE w:val="0"/>
                  <w:autoSpaceDN w:val="0"/>
                  <w:adjustRightInd w:val="0"/>
                  <w:jc w:val="right"/>
                  <w:rPr>
                    <w:rFonts w:cs="Times New Roman"/>
                    <w:sz w:val="18"/>
                    <w:szCs w:val="18"/>
                  </w:rPr>
                </w:pPr>
                <w:r>
                  <w:rPr>
                    <w:rFonts w:cs="Times New Roman"/>
                    <w:sz w:val="18"/>
                    <w:szCs w:val="18"/>
                  </w:rPr>
                  <w:t>1,440.00</w:t>
                </w:r>
              </w:p>
            </w:tc>
            <w:tc>
              <w:tcPr>
                <w:tcW w:w="724" w:type="pct"/>
                <w:tcBorders>
                  <w:top w:val="single" w:color="auto" w:sz="4" w:space="0"/>
                  <w:left w:val="single" w:color="auto" w:sz="4" w:space="0"/>
                  <w:bottom w:val="single" w:color="auto" w:sz="4" w:space="0"/>
                  <w:right w:val="single" w:color="auto" w:sz="4" w:space="0"/>
                </w:tcBorders>
                <w:vAlign w:val="center"/>
              </w:tcPr>
              <w:p w14:paraId="7EB3B80D">
                <w:pPr>
                  <w:autoSpaceDE w:val="0"/>
                  <w:autoSpaceDN w:val="0"/>
                  <w:adjustRightInd w:val="0"/>
                  <w:jc w:val="right"/>
                  <w:rPr>
                    <w:rFonts w:cs="Times New Roman"/>
                    <w:sz w:val="18"/>
                    <w:szCs w:val="18"/>
                  </w:rPr>
                </w:pPr>
                <w:r>
                  <w:rPr>
                    <w:rFonts w:cs="Times New Roman"/>
                    <w:sz w:val="18"/>
                    <w:szCs w:val="18"/>
                  </w:rPr>
                  <w:t>461.93</w:t>
                </w:r>
              </w:p>
            </w:tc>
            <w:tc>
              <w:tcPr>
                <w:tcW w:w="809" w:type="pct"/>
                <w:tcBorders>
                  <w:top w:val="single" w:color="auto" w:sz="4" w:space="0"/>
                  <w:left w:val="single" w:color="auto" w:sz="4" w:space="0"/>
                  <w:bottom w:val="single" w:color="auto" w:sz="4" w:space="0"/>
                  <w:right w:val="single" w:color="auto" w:sz="4" w:space="0"/>
                </w:tcBorders>
                <w:vAlign w:val="center"/>
              </w:tcPr>
              <w:p w14:paraId="379B1273">
                <w:pPr>
                  <w:autoSpaceDE w:val="0"/>
                  <w:autoSpaceDN w:val="0"/>
                  <w:adjustRightInd w:val="0"/>
                  <w:jc w:val="right"/>
                  <w:rPr>
                    <w:rFonts w:cs="Times New Roman"/>
                    <w:sz w:val="18"/>
                    <w:szCs w:val="18"/>
                  </w:rPr>
                </w:pPr>
                <w:r>
                  <w:rPr>
                    <w:rFonts w:cs="Times New Roman"/>
                    <w:sz w:val="18"/>
                    <w:szCs w:val="18"/>
                  </w:rPr>
                  <w:t>1,440.00</w:t>
                </w:r>
              </w:p>
            </w:tc>
            <w:tc>
              <w:tcPr>
                <w:tcW w:w="678" w:type="pct"/>
                <w:tcBorders>
                  <w:top w:val="single" w:color="auto" w:sz="4" w:space="0"/>
                  <w:left w:val="single" w:color="auto" w:sz="4" w:space="0"/>
                  <w:bottom w:val="single" w:color="auto" w:sz="4" w:space="0"/>
                  <w:right w:val="single" w:color="auto" w:sz="4" w:space="0"/>
                </w:tcBorders>
                <w:vAlign w:val="center"/>
              </w:tcPr>
              <w:p w14:paraId="5A60D9D1">
                <w:pPr>
                  <w:autoSpaceDE w:val="0"/>
                  <w:autoSpaceDN w:val="0"/>
                  <w:adjustRightInd w:val="0"/>
                  <w:jc w:val="right"/>
                  <w:rPr>
                    <w:rFonts w:cs="Times New Roman"/>
                    <w:sz w:val="18"/>
                    <w:szCs w:val="18"/>
                  </w:rPr>
                </w:pPr>
                <w:r>
                  <w:rPr>
                    <w:rFonts w:cs="Times New Roman"/>
                    <w:sz w:val="18"/>
                    <w:szCs w:val="18"/>
                  </w:rPr>
                  <w:t>461.93</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8310447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871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3BC16E1">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28CB5CE2">
                <w:pPr>
                  <w:autoSpaceDE w:val="0"/>
                  <w:autoSpaceDN w:val="0"/>
                  <w:adjustRightInd w:val="0"/>
                  <w:rPr>
                    <w:rFonts w:cs="Times New Roman"/>
                    <w:sz w:val="20"/>
                    <w:szCs w:val="20"/>
                  </w:rPr>
                </w:pPr>
                <w:r>
                  <w:rPr>
                    <w:rFonts w:cs="Times New Roman"/>
                    <w:sz w:val="20"/>
                    <w:szCs w:val="20"/>
                  </w:rPr>
                  <w:t>新兴际华投资有限公司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4B34740">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6DCDF9E4">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3684C722">
                <w:pPr>
                  <w:autoSpaceDE w:val="0"/>
                  <w:autoSpaceDN w:val="0"/>
                  <w:adjustRightInd w:val="0"/>
                  <w:jc w:val="right"/>
                  <w:rPr>
                    <w:rFonts w:cs="Times New Roman"/>
                    <w:sz w:val="18"/>
                    <w:szCs w:val="18"/>
                  </w:rPr>
                </w:pPr>
                <w:r>
                  <w:rPr>
                    <w:rFonts w:cs="Times New Roman"/>
                    <w:sz w:val="18"/>
                    <w:szCs w:val="18"/>
                  </w:rPr>
                  <w:t>426,285.86</w:t>
                </w:r>
              </w:p>
            </w:tc>
            <w:tc>
              <w:tcPr>
                <w:tcW w:w="678" w:type="pct"/>
                <w:tcBorders>
                  <w:top w:val="single" w:color="auto" w:sz="4" w:space="0"/>
                  <w:left w:val="single" w:color="auto" w:sz="4" w:space="0"/>
                  <w:bottom w:val="single" w:color="auto" w:sz="4" w:space="0"/>
                  <w:right w:val="single" w:color="auto" w:sz="4" w:space="0"/>
                </w:tcBorders>
                <w:vAlign w:val="center"/>
              </w:tcPr>
              <w:p w14:paraId="3F91E7A0">
                <w:pPr>
                  <w:autoSpaceDE w:val="0"/>
                  <w:autoSpaceDN w:val="0"/>
                  <w:adjustRightInd w:val="0"/>
                  <w:jc w:val="right"/>
                  <w:rPr>
                    <w:rFonts w:cs="Times New Roman"/>
                    <w:sz w:val="18"/>
                    <w:szCs w:val="18"/>
                  </w:rPr>
                </w:pPr>
                <w:r>
                  <w:rPr>
                    <w:rFonts w:cs="Times New Roman"/>
                    <w:sz w:val="18"/>
                    <w:szCs w:val="18"/>
                  </w:rPr>
                  <w:t>406,674.05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2036959186"/>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CE5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D08DE6E">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7BD7E684">
                <w:pPr>
                  <w:autoSpaceDE w:val="0"/>
                  <w:autoSpaceDN w:val="0"/>
                  <w:adjustRightInd w:val="0"/>
                  <w:rPr>
                    <w:rFonts w:cs="Times New Roman"/>
                    <w:sz w:val="20"/>
                    <w:szCs w:val="20"/>
                  </w:rPr>
                </w:pPr>
                <w:r>
                  <w:rPr>
                    <w:rFonts w:cs="Times New Roman"/>
                    <w:sz w:val="20"/>
                    <w:szCs w:val="20"/>
                  </w:rPr>
                  <w:t>天津华津制药有限公司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70D2265">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756B7AAB">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7BF6C669">
                <w:pPr>
                  <w:autoSpaceDE w:val="0"/>
                  <w:autoSpaceDN w:val="0"/>
                  <w:adjustRightInd w:val="0"/>
                  <w:jc w:val="right"/>
                  <w:rPr>
                    <w:rFonts w:cs="Times New Roman"/>
                    <w:sz w:val="18"/>
                    <w:szCs w:val="18"/>
                  </w:rPr>
                </w:pPr>
                <w:r>
                  <w:rPr>
                    <w:rFonts w:cs="Times New Roman"/>
                    <w:sz w:val="18"/>
                    <w:szCs w:val="18"/>
                  </w:rPr>
                  <w:t>415,270.44</w:t>
                </w:r>
              </w:p>
            </w:tc>
            <w:tc>
              <w:tcPr>
                <w:tcW w:w="678" w:type="pct"/>
                <w:tcBorders>
                  <w:top w:val="single" w:color="auto" w:sz="4" w:space="0"/>
                  <w:left w:val="single" w:color="auto" w:sz="4" w:space="0"/>
                  <w:bottom w:val="single" w:color="auto" w:sz="4" w:space="0"/>
                  <w:right w:val="single" w:color="auto" w:sz="4" w:space="0"/>
                </w:tcBorders>
                <w:vAlign w:val="center"/>
              </w:tcPr>
              <w:p w14:paraId="309866AF">
                <w:pPr>
                  <w:autoSpaceDE w:val="0"/>
                  <w:autoSpaceDN w:val="0"/>
                  <w:adjustRightInd w:val="0"/>
                  <w:jc w:val="right"/>
                  <w:rPr>
                    <w:rFonts w:cs="Times New Roman"/>
                    <w:sz w:val="18"/>
                    <w:szCs w:val="18"/>
                  </w:rPr>
                </w:pPr>
                <w:r>
                  <w:rPr>
                    <w:rFonts w:cs="Times New Roman"/>
                    <w:sz w:val="18"/>
                    <w:szCs w:val="18"/>
                  </w:rPr>
                  <w:t>415,270.44</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55031499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85F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ACBC4D9">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1020AA0D">
                <w:pPr>
                  <w:autoSpaceDE w:val="0"/>
                  <w:autoSpaceDN w:val="0"/>
                  <w:adjustRightInd w:val="0"/>
                  <w:rPr>
                    <w:rFonts w:cs="Times New Roman"/>
                    <w:sz w:val="20"/>
                    <w:szCs w:val="20"/>
                  </w:rPr>
                </w:pPr>
                <w:r>
                  <w:rPr>
                    <w:rFonts w:cs="Times New Roman"/>
                    <w:sz w:val="20"/>
                    <w:szCs w:val="20"/>
                  </w:rPr>
                  <w:t>芜湖新兴铸管有限责任公司</w:t>
                </w:r>
              </w:p>
            </w:tc>
            <w:tc>
              <w:tcPr>
                <w:tcW w:w="778" w:type="pct"/>
                <w:tcBorders>
                  <w:top w:val="single" w:color="auto" w:sz="4" w:space="0"/>
                  <w:left w:val="single" w:color="auto" w:sz="4" w:space="0"/>
                  <w:bottom w:val="single" w:color="auto" w:sz="4" w:space="0"/>
                  <w:right w:val="single" w:color="auto" w:sz="4" w:space="0"/>
                </w:tcBorders>
                <w:vAlign w:val="center"/>
              </w:tcPr>
              <w:p w14:paraId="169F0A8E">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68183E9C">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6140B090">
                <w:pPr>
                  <w:autoSpaceDE w:val="0"/>
                  <w:autoSpaceDN w:val="0"/>
                  <w:adjustRightInd w:val="0"/>
                  <w:jc w:val="right"/>
                  <w:rPr>
                    <w:rFonts w:cs="Times New Roman"/>
                    <w:sz w:val="18"/>
                    <w:szCs w:val="18"/>
                  </w:rPr>
                </w:pPr>
                <w:r>
                  <w:rPr>
                    <w:rFonts w:cs="Times New Roman"/>
                    <w:sz w:val="18"/>
                    <w:szCs w:val="18"/>
                  </w:rPr>
                  <w:t>284,028.49</w:t>
                </w:r>
              </w:p>
            </w:tc>
            <w:tc>
              <w:tcPr>
                <w:tcW w:w="678" w:type="pct"/>
                <w:tcBorders>
                  <w:top w:val="single" w:color="auto" w:sz="4" w:space="0"/>
                  <w:left w:val="single" w:color="auto" w:sz="4" w:space="0"/>
                  <w:bottom w:val="single" w:color="auto" w:sz="4" w:space="0"/>
                  <w:right w:val="single" w:color="auto" w:sz="4" w:space="0"/>
                </w:tcBorders>
                <w:vAlign w:val="center"/>
              </w:tcPr>
              <w:p w14:paraId="7E0BA6B0">
                <w:pPr>
                  <w:autoSpaceDE w:val="0"/>
                  <w:autoSpaceDN w:val="0"/>
                  <w:adjustRightInd w:val="0"/>
                  <w:jc w:val="right"/>
                  <w:rPr>
                    <w:rFonts w:cs="Times New Roman"/>
                    <w:sz w:val="18"/>
                    <w:szCs w:val="18"/>
                  </w:rPr>
                </w:pPr>
                <w:r>
                  <w:rPr>
                    <w:rFonts w:cs="Times New Roman"/>
                    <w:sz w:val="18"/>
                    <w:szCs w:val="18"/>
                  </w:rPr>
                  <w:t>11,508.26</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4467956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2C4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407112A">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43413179">
                <w:pPr>
                  <w:autoSpaceDE w:val="0"/>
                  <w:autoSpaceDN w:val="0"/>
                  <w:adjustRightInd w:val="0"/>
                  <w:rPr>
                    <w:rFonts w:cs="Times New Roman"/>
                    <w:sz w:val="20"/>
                    <w:szCs w:val="20"/>
                  </w:rPr>
                </w:pPr>
                <w:r>
                  <w:rPr>
                    <w:rFonts w:cs="Times New Roman"/>
                    <w:sz w:val="20"/>
                    <w:szCs w:val="20"/>
                  </w:rPr>
                  <w:t>石家庄际华资产管理有限公司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11B47C2">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6D73E700">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59C59EB4">
                <w:pPr>
                  <w:autoSpaceDE w:val="0"/>
                  <w:autoSpaceDN w:val="0"/>
                  <w:adjustRightInd w:val="0"/>
                  <w:jc w:val="right"/>
                  <w:rPr>
                    <w:rFonts w:cs="Times New Roman"/>
                    <w:sz w:val="18"/>
                    <w:szCs w:val="18"/>
                  </w:rPr>
                </w:pPr>
                <w:r>
                  <w:rPr>
                    <w:rFonts w:cs="Times New Roman"/>
                    <w:sz w:val="18"/>
                    <w:szCs w:val="18"/>
                  </w:rPr>
                  <w:t>33,200.00</w:t>
                </w:r>
              </w:p>
            </w:tc>
            <w:tc>
              <w:tcPr>
                <w:tcW w:w="678" w:type="pct"/>
                <w:tcBorders>
                  <w:top w:val="single" w:color="auto" w:sz="4" w:space="0"/>
                  <w:left w:val="single" w:color="auto" w:sz="4" w:space="0"/>
                  <w:bottom w:val="single" w:color="auto" w:sz="4" w:space="0"/>
                  <w:right w:val="single" w:color="auto" w:sz="4" w:space="0"/>
                </w:tcBorders>
                <w:vAlign w:val="center"/>
              </w:tcPr>
              <w:p w14:paraId="2140E4B3">
                <w:pPr>
                  <w:autoSpaceDE w:val="0"/>
                  <w:autoSpaceDN w:val="0"/>
                  <w:adjustRightInd w:val="0"/>
                  <w:jc w:val="right"/>
                  <w:rPr>
                    <w:rFonts w:cs="Times New Roman"/>
                    <w:sz w:val="18"/>
                    <w:szCs w:val="18"/>
                  </w:rPr>
                </w:pPr>
                <w:r>
                  <w:rPr>
                    <w:rFonts w:cs="Times New Roman"/>
                    <w:sz w:val="18"/>
                    <w:szCs w:val="18"/>
                  </w:rPr>
                  <w:t>1,345.20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2566556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355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BBD3336">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1DC8AD12">
                <w:pPr>
                  <w:autoSpaceDE w:val="0"/>
                  <w:autoSpaceDN w:val="0"/>
                  <w:adjustRightInd w:val="0"/>
                  <w:rPr>
                    <w:rFonts w:cs="Times New Roman"/>
                    <w:sz w:val="20"/>
                    <w:szCs w:val="20"/>
                  </w:rPr>
                </w:pPr>
                <w:r>
                  <w:rPr>
                    <w:rFonts w:cs="Times New Roman"/>
                    <w:sz w:val="20"/>
                    <w:szCs w:val="20"/>
                  </w:rPr>
                  <w:t>广东新兴铸管有限公司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28E8E2B">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1857EB1B">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706DE82E">
                <w:pPr>
                  <w:autoSpaceDE w:val="0"/>
                  <w:autoSpaceDN w:val="0"/>
                  <w:adjustRightInd w:val="0"/>
                  <w:jc w:val="right"/>
                  <w:rPr>
                    <w:rFonts w:cs="Times New Roman"/>
                    <w:sz w:val="18"/>
                    <w:szCs w:val="18"/>
                  </w:rPr>
                </w:pPr>
                <w:r>
                  <w:rPr>
                    <w:rFonts w:cs="Times New Roman"/>
                    <w:sz w:val="18"/>
                    <w:szCs w:val="18"/>
                  </w:rPr>
                  <w:t>24,640.00</w:t>
                </w:r>
              </w:p>
            </w:tc>
            <w:tc>
              <w:tcPr>
                <w:tcW w:w="678" w:type="pct"/>
                <w:tcBorders>
                  <w:top w:val="single" w:color="auto" w:sz="4" w:space="0"/>
                  <w:left w:val="single" w:color="auto" w:sz="4" w:space="0"/>
                  <w:bottom w:val="single" w:color="auto" w:sz="4" w:space="0"/>
                  <w:right w:val="single" w:color="auto" w:sz="4" w:space="0"/>
                </w:tcBorders>
                <w:vAlign w:val="center"/>
              </w:tcPr>
              <w:p w14:paraId="25F07B9C">
                <w:pPr>
                  <w:autoSpaceDE w:val="0"/>
                  <w:autoSpaceDN w:val="0"/>
                  <w:adjustRightInd w:val="0"/>
                  <w:jc w:val="right"/>
                  <w:rPr>
                    <w:rFonts w:cs="Times New Roman"/>
                    <w:sz w:val="18"/>
                    <w:szCs w:val="18"/>
                  </w:rPr>
                </w:pPr>
                <w:r>
                  <w:rPr>
                    <w:rFonts w:cs="Times New Roman"/>
                    <w:sz w:val="18"/>
                    <w:szCs w:val="18"/>
                  </w:rPr>
                  <w:t>998.36</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561866778"/>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20E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61FC2AC">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0FF632A1">
                <w:pPr>
                  <w:autoSpaceDE w:val="0"/>
                  <w:autoSpaceDN w:val="0"/>
                  <w:adjustRightInd w:val="0"/>
                  <w:rPr>
                    <w:rFonts w:cs="Times New Roman"/>
                    <w:sz w:val="20"/>
                    <w:szCs w:val="20"/>
                  </w:rPr>
                </w:pPr>
                <w:r>
                  <w:rPr>
                    <w:rFonts w:cs="Times New Roman"/>
                    <w:sz w:val="20"/>
                    <w:szCs w:val="20"/>
                  </w:rPr>
                  <w:t>广州新星投资发展有限公司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A40B093">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47C8BFFD">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01BC89D2">
                <w:pPr>
                  <w:autoSpaceDE w:val="0"/>
                  <w:autoSpaceDN w:val="0"/>
                  <w:adjustRightInd w:val="0"/>
                  <w:jc w:val="right"/>
                  <w:rPr>
                    <w:rFonts w:cs="Times New Roman"/>
                    <w:sz w:val="18"/>
                    <w:szCs w:val="18"/>
                  </w:rPr>
                </w:pPr>
                <w:r>
                  <w:rPr>
                    <w:rFonts w:cs="Times New Roman"/>
                    <w:sz w:val="18"/>
                    <w:szCs w:val="18"/>
                  </w:rPr>
                  <w:t>10,101.70</w:t>
                </w:r>
              </w:p>
            </w:tc>
            <w:tc>
              <w:tcPr>
                <w:tcW w:w="678" w:type="pct"/>
                <w:tcBorders>
                  <w:top w:val="single" w:color="auto" w:sz="4" w:space="0"/>
                  <w:left w:val="single" w:color="auto" w:sz="4" w:space="0"/>
                  <w:bottom w:val="single" w:color="auto" w:sz="4" w:space="0"/>
                  <w:right w:val="single" w:color="auto" w:sz="4" w:space="0"/>
                </w:tcBorders>
                <w:vAlign w:val="center"/>
              </w:tcPr>
              <w:p w14:paraId="6478AA04">
                <w:pPr>
                  <w:autoSpaceDE w:val="0"/>
                  <w:autoSpaceDN w:val="0"/>
                  <w:adjustRightInd w:val="0"/>
                  <w:jc w:val="right"/>
                  <w:rPr>
                    <w:rFonts w:cs="Times New Roman"/>
                    <w:sz w:val="18"/>
                    <w:szCs w:val="18"/>
                  </w:rPr>
                </w:pPr>
                <w:r>
                  <w:rPr>
                    <w:rFonts w:cs="Times New Roman"/>
                    <w:sz w:val="18"/>
                    <w:szCs w:val="18"/>
                  </w:rPr>
                  <w:t>10,101.70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37041122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F04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5155BB2">
                <w:pPr>
                  <w:autoSpaceDE w:val="0"/>
                  <w:autoSpaceDN w:val="0"/>
                  <w:adjustRightInd w:val="0"/>
                  <w:rPr>
                    <w:rFonts w:cs="Times New Roman"/>
                    <w:sz w:val="20"/>
                    <w:szCs w:val="20"/>
                  </w:rPr>
                </w:pPr>
                <w:r>
                  <w:rPr>
                    <w:rFonts w:cs="Times New Roman"/>
                    <w:sz w:val="20"/>
                    <w:szCs w:val="20"/>
                  </w:rPr>
                  <w:t>应收账款</w:t>
                </w:r>
              </w:p>
            </w:tc>
            <w:tc>
              <w:tcPr>
                <w:tcW w:w="1208" w:type="pct"/>
                <w:tcBorders>
                  <w:top w:val="single" w:color="auto" w:sz="4" w:space="0"/>
                  <w:left w:val="single" w:color="auto" w:sz="4" w:space="0"/>
                  <w:bottom w:val="single" w:color="auto" w:sz="4" w:space="0"/>
                  <w:right w:val="single" w:color="auto" w:sz="4" w:space="0"/>
                </w:tcBorders>
                <w:vAlign w:val="center"/>
              </w:tcPr>
              <w:p w14:paraId="4B156AC9">
                <w:pPr>
                  <w:autoSpaceDE w:val="0"/>
                  <w:autoSpaceDN w:val="0"/>
                  <w:adjustRightInd w:val="0"/>
                  <w:rPr>
                    <w:rFonts w:cs="Times New Roman"/>
                    <w:sz w:val="20"/>
                    <w:szCs w:val="20"/>
                  </w:rPr>
                </w:pPr>
                <w:r>
                  <w:rPr>
                    <w:rFonts w:cs="Times New Roman"/>
                    <w:sz w:val="20"/>
                    <w:szCs w:val="20"/>
                  </w:rPr>
                  <w:t>上海三五一六置业有限公司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493EF062">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0BEC435E">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29244E63">
                <w:pPr>
                  <w:autoSpaceDE w:val="0"/>
                  <w:autoSpaceDN w:val="0"/>
                  <w:adjustRightInd w:val="0"/>
                  <w:jc w:val="right"/>
                  <w:rPr>
                    <w:rFonts w:cs="Times New Roman"/>
                    <w:sz w:val="18"/>
                    <w:szCs w:val="18"/>
                  </w:rPr>
                </w:pPr>
                <w:r>
                  <w:rPr>
                    <w:rFonts w:cs="Times New Roman"/>
                    <w:sz w:val="18"/>
                    <w:szCs w:val="18"/>
                  </w:rPr>
                  <w:t>28,305.00</w:t>
                </w:r>
              </w:p>
            </w:tc>
            <w:tc>
              <w:tcPr>
                <w:tcW w:w="678" w:type="pct"/>
                <w:tcBorders>
                  <w:top w:val="single" w:color="auto" w:sz="4" w:space="0"/>
                  <w:left w:val="single" w:color="auto" w:sz="4" w:space="0"/>
                  <w:bottom w:val="single" w:color="auto" w:sz="4" w:space="0"/>
                  <w:right w:val="single" w:color="auto" w:sz="4" w:space="0"/>
                </w:tcBorders>
                <w:vAlign w:val="center"/>
              </w:tcPr>
              <w:p w14:paraId="7E7F817F">
                <w:pPr>
                  <w:autoSpaceDE w:val="0"/>
                  <w:autoSpaceDN w:val="0"/>
                  <w:adjustRightInd w:val="0"/>
                  <w:jc w:val="right"/>
                  <w:rPr>
                    <w:rFonts w:cs="Times New Roman"/>
                    <w:sz w:val="18"/>
                    <w:szCs w:val="18"/>
                  </w:rPr>
                </w:pPr>
                <w:r>
                  <w:rPr>
                    <w:rFonts w:cs="Times New Roman"/>
                    <w:sz w:val="18"/>
                    <w:szCs w:val="18"/>
                  </w:rPr>
                  <w:t>28,305.00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449751779"/>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7C1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7E9E8108">
                <w:pPr>
                  <w:autoSpaceDE w:val="0"/>
                  <w:autoSpaceDN w:val="0"/>
                  <w:adjustRightInd w:val="0"/>
                  <w:rPr>
                    <w:rFonts w:cs="Times New Roman"/>
                    <w:sz w:val="20"/>
                    <w:szCs w:val="20"/>
                  </w:rPr>
                </w:pPr>
                <w:r>
                  <w:rPr>
                    <w:rFonts w:cs="Times New Roman"/>
                    <w:sz w:val="20"/>
                    <w:szCs w:val="20"/>
                  </w:rPr>
                  <w:t>预付款项</w:t>
                </w:r>
              </w:p>
            </w:tc>
            <w:tc>
              <w:tcPr>
                <w:tcW w:w="1208" w:type="pct"/>
                <w:tcBorders>
                  <w:top w:val="single" w:color="auto" w:sz="4" w:space="0"/>
                  <w:left w:val="single" w:color="auto" w:sz="4" w:space="0"/>
                  <w:bottom w:val="single" w:color="auto" w:sz="4" w:space="0"/>
                  <w:right w:val="single" w:color="auto" w:sz="4" w:space="0"/>
                </w:tcBorders>
                <w:vAlign w:val="center"/>
              </w:tcPr>
              <w:p w14:paraId="1375F5F8">
                <w:pPr>
                  <w:autoSpaceDE w:val="0"/>
                  <w:autoSpaceDN w:val="0"/>
                  <w:adjustRightInd w:val="0"/>
                  <w:rPr>
                    <w:rFonts w:cs="Times New Roman"/>
                    <w:sz w:val="20"/>
                    <w:szCs w:val="20"/>
                  </w:rPr>
                </w:pPr>
              </w:p>
            </w:tc>
            <w:tc>
              <w:tcPr>
                <w:tcW w:w="778" w:type="pct"/>
                <w:tcBorders>
                  <w:top w:val="single" w:color="auto" w:sz="4" w:space="0"/>
                  <w:left w:val="single" w:color="auto" w:sz="4" w:space="0"/>
                  <w:bottom w:val="single" w:color="auto" w:sz="4" w:space="0"/>
                  <w:right w:val="single" w:color="auto" w:sz="4" w:space="0"/>
                </w:tcBorders>
                <w:vAlign w:val="center"/>
              </w:tcPr>
              <w:p w14:paraId="53099FD2">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64732E4F">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1A841E16">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4A74DF98">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43634384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DF3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7BF8E936">
                <w:pPr>
                  <w:autoSpaceDE w:val="0"/>
                  <w:autoSpaceDN w:val="0"/>
                  <w:adjustRightInd w:val="0"/>
                  <w:rPr>
                    <w:rFonts w:cs="Times New Roman"/>
                    <w:sz w:val="20"/>
                    <w:szCs w:val="20"/>
                  </w:rPr>
                </w:pPr>
                <w:r>
                  <w:rPr>
                    <w:rFonts w:cs="Times New Roman"/>
                    <w:sz w:val="20"/>
                    <w:szCs w:val="20"/>
                  </w:rPr>
                  <w:t>预付款项</w:t>
                </w:r>
              </w:p>
            </w:tc>
            <w:tc>
              <w:tcPr>
                <w:tcW w:w="1208" w:type="pct"/>
                <w:tcBorders>
                  <w:top w:val="single" w:color="auto" w:sz="4" w:space="0"/>
                  <w:left w:val="single" w:color="auto" w:sz="4" w:space="0"/>
                  <w:bottom w:val="single" w:color="auto" w:sz="4" w:space="0"/>
                  <w:right w:val="single" w:color="auto" w:sz="4" w:space="0"/>
                </w:tcBorders>
                <w:vAlign w:val="center"/>
              </w:tcPr>
              <w:p w14:paraId="0BEC2188">
                <w:pPr>
                  <w:autoSpaceDE w:val="0"/>
                  <w:autoSpaceDN w:val="0"/>
                  <w:adjustRightInd w:val="0"/>
                  <w:rPr>
                    <w:rFonts w:cs="Times New Roman"/>
                    <w:sz w:val="20"/>
                    <w:szCs w:val="20"/>
                  </w:rPr>
                </w:pPr>
                <w:r>
                  <w:rPr>
                    <w:rFonts w:cs="Times New Roman"/>
                    <w:sz w:val="20"/>
                    <w:szCs w:val="20"/>
                  </w:rPr>
                  <w:t>北京三五零一服装厂有限公司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A873217">
                <w:pPr>
                  <w:autoSpaceDE w:val="0"/>
                  <w:autoSpaceDN w:val="0"/>
                  <w:adjustRightInd w:val="0"/>
                  <w:jc w:val="right"/>
                  <w:rPr>
                    <w:rFonts w:cs="Times New Roman"/>
                    <w:sz w:val="18"/>
                    <w:szCs w:val="18"/>
                  </w:rPr>
                </w:pPr>
                <w:r>
                  <w:rPr>
                    <w:rFonts w:cs="Times New Roman"/>
                    <w:sz w:val="18"/>
                    <w:szCs w:val="18"/>
                  </w:rPr>
                  <w:t>154,845.15</w:t>
                </w:r>
              </w:p>
            </w:tc>
            <w:tc>
              <w:tcPr>
                <w:tcW w:w="724" w:type="pct"/>
                <w:tcBorders>
                  <w:top w:val="single" w:color="auto" w:sz="4" w:space="0"/>
                  <w:left w:val="single" w:color="auto" w:sz="4" w:space="0"/>
                  <w:bottom w:val="single" w:color="auto" w:sz="4" w:space="0"/>
                  <w:right w:val="single" w:color="auto" w:sz="4" w:space="0"/>
                </w:tcBorders>
                <w:vAlign w:val="center"/>
              </w:tcPr>
              <w:p w14:paraId="2E8048C3">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41B33972">
                <w:pPr>
                  <w:autoSpaceDE w:val="0"/>
                  <w:autoSpaceDN w:val="0"/>
                  <w:adjustRightInd w:val="0"/>
                  <w:jc w:val="right"/>
                  <w:rPr>
                    <w:rFonts w:cs="Times New Roman"/>
                    <w:sz w:val="18"/>
                    <w:szCs w:val="18"/>
                  </w:rPr>
                </w:pPr>
                <w:r>
                  <w:rPr>
                    <w:rFonts w:cs="Times New Roman"/>
                    <w:sz w:val="18"/>
                    <w:szCs w:val="18"/>
                  </w:rPr>
                  <w:t>154,845.15</w:t>
                </w:r>
              </w:p>
            </w:tc>
            <w:tc>
              <w:tcPr>
                <w:tcW w:w="678" w:type="pct"/>
                <w:tcBorders>
                  <w:top w:val="single" w:color="auto" w:sz="4" w:space="0"/>
                  <w:left w:val="single" w:color="auto" w:sz="4" w:space="0"/>
                  <w:bottom w:val="single" w:color="auto" w:sz="4" w:space="0"/>
                  <w:right w:val="single" w:color="auto" w:sz="4" w:space="0"/>
                </w:tcBorders>
                <w:vAlign w:val="center"/>
              </w:tcPr>
              <w:p w14:paraId="0B53DA39">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7869844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C47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FFF17C7">
                <w:pPr>
                  <w:autoSpaceDE w:val="0"/>
                  <w:autoSpaceDN w:val="0"/>
                  <w:adjustRightInd w:val="0"/>
                  <w:rPr>
                    <w:rFonts w:cs="Times New Roman"/>
                    <w:sz w:val="20"/>
                    <w:szCs w:val="20"/>
                  </w:rPr>
                </w:pPr>
                <w:r>
                  <w:rPr>
                    <w:rFonts w:cs="Times New Roman"/>
                    <w:sz w:val="20"/>
                    <w:szCs w:val="20"/>
                  </w:rPr>
                  <w:t>预付款项</w:t>
                </w:r>
              </w:p>
            </w:tc>
            <w:tc>
              <w:tcPr>
                <w:tcW w:w="1208" w:type="pct"/>
                <w:tcBorders>
                  <w:top w:val="single" w:color="auto" w:sz="4" w:space="0"/>
                  <w:left w:val="single" w:color="auto" w:sz="4" w:space="0"/>
                  <w:bottom w:val="single" w:color="auto" w:sz="4" w:space="0"/>
                  <w:right w:val="single" w:color="auto" w:sz="4" w:space="0"/>
                </w:tcBorders>
                <w:vAlign w:val="center"/>
              </w:tcPr>
              <w:p w14:paraId="175B8700">
                <w:pPr>
                  <w:autoSpaceDE w:val="0"/>
                  <w:autoSpaceDN w:val="0"/>
                  <w:adjustRightInd w:val="0"/>
                  <w:rPr>
                    <w:rFonts w:cs="Times New Roman"/>
                    <w:sz w:val="20"/>
                    <w:szCs w:val="20"/>
                  </w:rPr>
                </w:pPr>
                <w:r>
                  <w:rPr>
                    <w:rFonts w:cs="Times New Roman"/>
                    <w:sz w:val="20"/>
                    <w:szCs w:val="20"/>
                  </w:rPr>
                  <w:t>新兴际华（上海）工程科技研究院有限公司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4284C90">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51C91E3B">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489CD4FF">
                <w:pPr>
                  <w:autoSpaceDE w:val="0"/>
                  <w:autoSpaceDN w:val="0"/>
                  <w:adjustRightInd w:val="0"/>
                  <w:jc w:val="right"/>
                  <w:rPr>
                    <w:rFonts w:cs="Times New Roman"/>
                    <w:sz w:val="18"/>
                    <w:szCs w:val="18"/>
                  </w:rPr>
                </w:pPr>
                <w:r>
                  <w:rPr>
                    <w:rFonts w:cs="Times New Roman"/>
                    <w:sz w:val="18"/>
                    <w:szCs w:val="18"/>
                  </w:rPr>
                  <w:t>358.94</w:t>
                </w:r>
              </w:p>
            </w:tc>
            <w:tc>
              <w:tcPr>
                <w:tcW w:w="678" w:type="pct"/>
                <w:tcBorders>
                  <w:top w:val="single" w:color="auto" w:sz="4" w:space="0"/>
                  <w:left w:val="single" w:color="auto" w:sz="4" w:space="0"/>
                  <w:bottom w:val="single" w:color="auto" w:sz="4" w:space="0"/>
                  <w:right w:val="single" w:color="auto" w:sz="4" w:space="0"/>
                </w:tcBorders>
                <w:vAlign w:val="center"/>
              </w:tcPr>
              <w:p w14:paraId="20E61A17">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7867493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0E2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75C83E78">
                <w:pPr>
                  <w:autoSpaceDE w:val="0"/>
                  <w:autoSpaceDN w:val="0"/>
                  <w:adjustRightInd w:val="0"/>
                  <w:rPr>
                    <w:rFonts w:cs="Times New Roman"/>
                    <w:sz w:val="20"/>
                    <w:szCs w:val="20"/>
                  </w:rPr>
                </w:pPr>
                <w:r>
                  <w:rPr>
                    <w:rFonts w:cs="Times New Roman"/>
                    <w:sz w:val="20"/>
                    <w:szCs w:val="20"/>
                  </w:rPr>
                  <w:t>预付款项</w:t>
                </w:r>
              </w:p>
            </w:tc>
            <w:tc>
              <w:tcPr>
                <w:tcW w:w="1208" w:type="pct"/>
                <w:tcBorders>
                  <w:top w:val="single" w:color="auto" w:sz="4" w:space="0"/>
                  <w:left w:val="single" w:color="auto" w:sz="4" w:space="0"/>
                  <w:bottom w:val="single" w:color="auto" w:sz="4" w:space="0"/>
                  <w:right w:val="single" w:color="auto" w:sz="4" w:space="0"/>
                </w:tcBorders>
                <w:vAlign w:val="center"/>
              </w:tcPr>
              <w:p w14:paraId="4D4B8CCA">
                <w:pPr>
                  <w:autoSpaceDE w:val="0"/>
                  <w:autoSpaceDN w:val="0"/>
                  <w:adjustRightInd w:val="0"/>
                  <w:rPr>
                    <w:rFonts w:cs="Times New Roman"/>
                    <w:sz w:val="20"/>
                    <w:szCs w:val="20"/>
                  </w:rPr>
                </w:pPr>
                <w:r>
                  <w:rPr>
                    <w:rFonts w:cs="Times New Roman"/>
                    <w:sz w:val="20"/>
                    <w:szCs w:val="20"/>
                  </w:rPr>
                  <w:t>石家庄际华资产管理有限公司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676BA6A6">
                <w:pPr>
                  <w:autoSpaceDE w:val="0"/>
                  <w:autoSpaceDN w:val="0"/>
                  <w:adjustRightInd w:val="0"/>
                  <w:jc w:val="right"/>
                  <w:rPr>
                    <w:rFonts w:cs="Times New Roman"/>
                    <w:sz w:val="18"/>
                    <w:szCs w:val="18"/>
                  </w:rPr>
                </w:pPr>
                <w:r>
                  <w:rPr>
                    <w:rFonts w:cs="Times New Roman"/>
                    <w:sz w:val="18"/>
                    <w:szCs w:val="18"/>
                  </w:rPr>
                  <w:t>284,296.68</w:t>
                </w:r>
              </w:p>
            </w:tc>
            <w:tc>
              <w:tcPr>
                <w:tcW w:w="724" w:type="pct"/>
                <w:tcBorders>
                  <w:top w:val="single" w:color="auto" w:sz="4" w:space="0"/>
                  <w:left w:val="single" w:color="auto" w:sz="4" w:space="0"/>
                  <w:bottom w:val="single" w:color="auto" w:sz="4" w:space="0"/>
                  <w:right w:val="single" w:color="auto" w:sz="4" w:space="0"/>
                </w:tcBorders>
                <w:vAlign w:val="center"/>
              </w:tcPr>
              <w:p w14:paraId="2B8C78E1">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4C5CEAC4">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7C663703">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39200573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BDA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7FF0D06F">
                <w:pPr>
                  <w:autoSpaceDE w:val="0"/>
                  <w:autoSpaceDN w:val="0"/>
                  <w:adjustRightInd w:val="0"/>
                  <w:rPr>
                    <w:rFonts w:cs="Times New Roman"/>
                    <w:sz w:val="20"/>
                    <w:szCs w:val="20"/>
                  </w:rPr>
                </w:pPr>
                <w:r>
                  <w:rPr>
                    <w:rFonts w:cs="Times New Roman"/>
                    <w:sz w:val="20"/>
                    <w:szCs w:val="20"/>
                  </w:rPr>
                  <w:t>预付款项</w:t>
                </w:r>
              </w:p>
            </w:tc>
            <w:tc>
              <w:tcPr>
                <w:tcW w:w="1208" w:type="pct"/>
                <w:tcBorders>
                  <w:top w:val="single" w:color="auto" w:sz="4" w:space="0"/>
                  <w:left w:val="single" w:color="auto" w:sz="4" w:space="0"/>
                  <w:bottom w:val="single" w:color="auto" w:sz="4" w:space="0"/>
                  <w:right w:val="single" w:color="auto" w:sz="4" w:space="0"/>
                </w:tcBorders>
                <w:vAlign w:val="center"/>
              </w:tcPr>
              <w:p w14:paraId="6D4B3241">
                <w:pPr>
                  <w:autoSpaceDE w:val="0"/>
                  <w:autoSpaceDN w:val="0"/>
                  <w:adjustRightInd w:val="0"/>
                  <w:rPr>
                    <w:rFonts w:cs="Times New Roman"/>
                    <w:sz w:val="20"/>
                    <w:szCs w:val="20"/>
                  </w:rPr>
                </w:pPr>
                <w:r>
                  <w:rPr>
                    <w:rFonts w:cs="Times New Roman"/>
                    <w:sz w:val="20"/>
                    <w:szCs w:val="20"/>
                  </w:rPr>
                  <w:t>荷原置地控股有限公司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4CC022B9">
                <w:pPr>
                  <w:autoSpaceDE w:val="0"/>
                  <w:autoSpaceDN w:val="0"/>
                  <w:adjustRightInd w:val="0"/>
                  <w:jc w:val="right"/>
                  <w:rPr>
                    <w:rFonts w:cs="Times New Roman"/>
                    <w:sz w:val="18"/>
                    <w:szCs w:val="18"/>
                  </w:rPr>
                </w:pPr>
                <w:r>
                  <w:rPr>
                    <w:rFonts w:cs="Times New Roman"/>
                    <w:sz w:val="18"/>
                    <w:szCs w:val="18"/>
                  </w:rPr>
                  <w:t>600,000.00</w:t>
                </w:r>
              </w:p>
            </w:tc>
            <w:tc>
              <w:tcPr>
                <w:tcW w:w="724" w:type="pct"/>
                <w:tcBorders>
                  <w:top w:val="single" w:color="auto" w:sz="4" w:space="0"/>
                  <w:left w:val="single" w:color="auto" w:sz="4" w:space="0"/>
                  <w:bottom w:val="single" w:color="auto" w:sz="4" w:space="0"/>
                  <w:right w:val="single" w:color="auto" w:sz="4" w:space="0"/>
                </w:tcBorders>
                <w:vAlign w:val="center"/>
              </w:tcPr>
              <w:p w14:paraId="7622443B">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0E691276">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5E4D8CD6">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72858318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5CC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AFFE829">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50B3D15">
                <w:pPr>
                  <w:autoSpaceDE w:val="0"/>
                  <w:autoSpaceDN w:val="0"/>
                  <w:adjustRightInd w:val="0"/>
                  <w:rPr>
                    <w:rFonts w:cs="Times New Roman"/>
                    <w:sz w:val="20"/>
                    <w:szCs w:val="20"/>
                  </w:rPr>
                </w:pPr>
              </w:p>
            </w:tc>
            <w:tc>
              <w:tcPr>
                <w:tcW w:w="778" w:type="pct"/>
                <w:tcBorders>
                  <w:top w:val="single" w:color="auto" w:sz="4" w:space="0"/>
                  <w:left w:val="single" w:color="auto" w:sz="4" w:space="0"/>
                  <w:bottom w:val="single" w:color="auto" w:sz="4" w:space="0"/>
                  <w:right w:val="single" w:color="auto" w:sz="4" w:space="0"/>
                </w:tcBorders>
                <w:vAlign w:val="center"/>
              </w:tcPr>
              <w:p w14:paraId="2E69E764">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4356E44A">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1D7C200B">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0AD1EA78">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49372494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B63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1816C92">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5FBCF76">
                <w:pPr>
                  <w:autoSpaceDE w:val="0"/>
                  <w:autoSpaceDN w:val="0"/>
                  <w:adjustRightInd w:val="0"/>
                  <w:rPr>
                    <w:rFonts w:cs="Times New Roman"/>
                    <w:sz w:val="20"/>
                    <w:szCs w:val="20"/>
                  </w:rPr>
                </w:pPr>
                <w:r>
                  <w:rPr>
                    <w:rFonts w:cs="Times New Roman"/>
                    <w:sz w:val="20"/>
                    <w:szCs w:val="20"/>
                  </w:rPr>
                  <w:t>际华洁能（天津）环保科技发展有限公司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9284CDA">
                <w:pPr>
                  <w:jc w:val="right"/>
                  <w:textAlignment w:val="bottom"/>
                  <w:rPr>
                    <w:rFonts w:cs="Times New Roman"/>
                    <w:sz w:val="18"/>
                    <w:szCs w:val="18"/>
                  </w:rPr>
                </w:pPr>
                <w:r>
                  <w:rPr>
                    <w:rFonts w:eastAsia="Arial Narrow" w:cs="Times New Roman"/>
                    <w:color w:val="000000"/>
                    <w:sz w:val="18"/>
                    <w:szCs w:val="18"/>
                    <w:lang w:bidi="ar"/>
                  </w:rPr>
                  <w:t>103,786,567.99</w:t>
                </w:r>
              </w:p>
            </w:tc>
            <w:tc>
              <w:tcPr>
                <w:tcW w:w="724" w:type="pct"/>
                <w:tcBorders>
                  <w:top w:val="single" w:color="auto" w:sz="4" w:space="0"/>
                  <w:left w:val="single" w:color="auto" w:sz="4" w:space="0"/>
                  <w:bottom w:val="single" w:color="auto" w:sz="4" w:space="0"/>
                  <w:right w:val="single" w:color="auto" w:sz="4" w:space="0"/>
                </w:tcBorders>
                <w:vAlign w:val="center"/>
              </w:tcPr>
              <w:p w14:paraId="0C22D5A8">
                <w:pPr>
                  <w:jc w:val="right"/>
                  <w:textAlignment w:val="bottom"/>
                  <w:rPr>
                    <w:rFonts w:cs="Times New Roman"/>
                    <w:sz w:val="18"/>
                    <w:szCs w:val="18"/>
                  </w:rPr>
                </w:pPr>
                <w:r>
                  <w:rPr>
                    <w:rFonts w:eastAsia="Arial Narrow" w:cs="Times New Roman"/>
                    <w:color w:val="000000"/>
                    <w:sz w:val="18"/>
                    <w:szCs w:val="18"/>
                    <w:lang w:bidi="ar"/>
                  </w:rPr>
                  <w:t>103,786,567.99</w:t>
                </w:r>
              </w:p>
            </w:tc>
            <w:tc>
              <w:tcPr>
                <w:tcW w:w="809" w:type="pct"/>
                <w:tcBorders>
                  <w:top w:val="single" w:color="auto" w:sz="4" w:space="0"/>
                  <w:left w:val="single" w:color="auto" w:sz="4" w:space="0"/>
                  <w:bottom w:val="single" w:color="auto" w:sz="4" w:space="0"/>
                  <w:right w:val="single" w:color="auto" w:sz="4" w:space="0"/>
                </w:tcBorders>
                <w:vAlign w:val="center"/>
              </w:tcPr>
              <w:p w14:paraId="60119C01">
                <w:pPr>
                  <w:autoSpaceDE w:val="0"/>
                  <w:autoSpaceDN w:val="0"/>
                  <w:adjustRightInd w:val="0"/>
                  <w:jc w:val="right"/>
                  <w:rPr>
                    <w:rFonts w:cs="Times New Roman"/>
                    <w:sz w:val="18"/>
                    <w:szCs w:val="18"/>
                  </w:rPr>
                </w:pPr>
                <w:r>
                  <w:rPr>
                    <w:rFonts w:cs="Times New Roman"/>
                    <w:sz w:val="18"/>
                    <w:szCs w:val="18"/>
                  </w:rPr>
                  <w:t>103,786,567.99</w:t>
                </w:r>
              </w:p>
            </w:tc>
            <w:tc>
              <w:tcPr>
                <w:tcW w:w="678" w:type="pct"/>
                <w:tcBorders>
                  <w:top w:val="single" w:color="auto" w:sz="4" w:space="0"/>
                  <w:left w:val="single" w:color="auto" w:sz="4" w:space="0"/>
                  <w:bottom w:val="single" w:color="auto" w:sz="4" w:space="0"/>
                  <w:right w:val="single" w:color="auto" w:sz="4" w:space="0"/>
                </w:tcBorders>
                <w:vAlign w:val="center"/>
              </w:tcPr>
              <w:p w14:paraId="1122BA50">
                <w:pPr>
                  <w:autoSpaceDE w:val="0"/>
                  <w:autoSpaceDN w:val="0"/>
                  <w:adjustRightInd w:val="0"/>
                  <w:jc w:val="right"/>
                  <w:rPr>
                    <w:rFonts w:cs="Times New Roman"/>
                    <w:sz w:val="18"/>
                    <w:szCs w:val="18"/>
                  </w:rPr>
                </w:pPr>
                <w:r>
                  <w:rPr>
                    <w:rFonts w:cs="Times New Roman"/>
                    <w:sz w:val="18"/>
                    <w:szCs w:val="18"/>
                  </w:rPr>
                  <w:t>103,786,567.99</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90598822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935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4AE0810">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11256AF3">
                <w:pPr>
                  <w:autoSpaceDE w:val="0"/>
                  <w:autoSpaceDN w:val="0"/>
                  <w:adjustRightInd w:val="0"/>
                  <w:rPr>
                    <w:rFonts w:cs="Times New Roman"/>
                    <w:sz w:val="20"/>
                    <w:szCs w:val="20"/>
                  </w:rPr>
                </w:pPr>
                <w:r>
                  <w:rPr>
                    <w:rFonts w:cs="Times New Roman"/>
                    <w:sz w:val="20"/>
                    <w:szCs w:val="20"/>
                  </w:rPr>
                  <w:t>邢台诚达房地产开发有限公司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5DC04E8">
                <w:pPr>
                  <w:jc w:val="right"/>
                  <w:textAlignment w:val="bottom"/>
                  <w:rPr>
                    <w:rFonts w:cs="Times New Roman"/>
                    <w:sz w:val="18"/>
                    <w:szCs w:val="18"/>
                  </w:rPr>
                </w:pPr>
                <w:r>
                  <w:rPr>
                    <w:rFonts w:eastAsia="Arial Narrow" w:cs="Times New Roman"/>
                    <w:color w:val="000000"/>
                    <w:sz w:val="18"/>
                    <w:szCs w:val="18"/>
                    <w:lang w:bidi="ar"/>
                  </w:rPr>
                  <w:t>39,661,746.49</w:t>
                </w:r>
              </w:p>
            </w:tc>
            <w:tc>
              <w:tcPr>
                <w:tcW w:w="724" w:type="pct"/>
                <w:tcBorders>
                  <w:top w:val="single" w:color="auto" w:sz="4" w:space="0"/>
                  <w:left w:val="single" w:color="auto" w:sz="4" w:space="0"/>
                  <w:bottom w:val="single" w:color="auto" w:sz="4" w:space="0"/>
                  <w:right w:val="single" w:color="auto" w:sz="4" w:space="0"/>
                </w:tcBorders>
                <w:vAlign w:val="center"/>
              </w:tcPr>
              <w:p w14:paraId="640FE234">
                <w:pPr>
                  <w:jc w:val="right"/>
                  <w:textAlignment w:val="bottom"/>
                  <w:rPr>
                    <w:rFonts w:cs="Times New Roman"/>
                    <w:sz w:val="18"/>
                    <w:szCs w:val="18"/>
                  </w:rPr>
                </w:pPr>
                <w:r>
                  <w:rPr>
                    <w:rFonts w:eastAsia="Arial Narrow" w:cs="Times New Roman"/>
                    <w:color w:val="000000"/>
                    <w:sz w:val="18"/>
                    <w:szCs w:val="18"/>
                    <w:lang w:bidi="ar"/>
                  </w:rPr>
                  <w:t>13,220,582.16</w:t>
                </w:r>
              </w:p>
            </w:tc>
            <w:tc>
              <w:tcPr>
                <w:tcW w:w="809" w:type="pct"/>
                <w:tcBorders>
                  <w:top w:val="single" w:color="auto" w:sz="4" w:space="0"/>
                  <w:left w:val="single" w:color="auto" w:sz="4" w:space="0"/>
                  <w:bottom w:val="single" w:color="auto" w:sz="4" w:space="0"/>
                  <w:right w:val="single" w:color="auto" w:sz="4" w:space="0"/>
                </w:tcBorders>
                <w:vAlign w:val="center"/>
              </w:tcPr>
              <w:p w14:paraId="66A4A358">
                <w:pPr>
                  <w:autoSpaceDE w:val="0"/>
                  <w:autoSpaceDN w:val="0"/>
                  <w:adjustRightInd w:val="0"/>
                  <w:jc w:val="right"/>
                  <w:rPr>
                    <w:rFonts w:cs="Times New Roman"/>
                    <w:sz w:val="18"/>
                    <w:szCs w:val="18"/>
                  </w:rPr>
                </w:pPr>
                <w:r>
                  <w:rPr>
                    <w:rFonts w:cs="Times New Roman"/>
                    <w:sz w:val="18"/>
                    <w:szCs w:val="18"/>
                  </w:rPr>
                  <w:t>39,661,746.49</w:t>
                </w:r>
              </w:p>
            </w:tc>
            <w:tc>
              <w:tcPr>
                <w:tcW w:w="678" w:type="pct"/>
                <w:tcBorders>
                  <w:top w:val="single" w:color="auto" w:sz="4" w:space="0"/>
                  <w:left w:val="single" w:color="auto" w:sz="4" w:space="0"/>
                  <w:bottom w:val="single" w:color="auto" w:sz="4" w:space="0"/>
                  <w:right w:val="single" w:color="auto" w:sz="4" w:space="0"/>
                </w:tcBorders>
                <w:vAlign w:val="center"/>
              </w:tcPr>
              <w:p w14:paraId="1B423AF4">
                <w:pPr>
                  <w:autoSpaceDE w:val="0"/>
                  <w:autoSpaceDN w:val="0"/>
                  <w:adjustRightInd w:val="0"/>
                  <w:jc w:val="right"/>
                  <w:rPr>
                    <w:rFonts w:cs="Times New Roman"/>
                    <w:sz w:val="18"/>
                    <w:szCs w:val="18"/>
                  </w:rPr>
                </w:pPr>
                <w:r>
                  <w:rPr>
                    <w:rFonts w:cs="Times New Roman"/>
                    <w:sz w:val="18"/>
                    <w:szCs w:val="18"/>
                  </w:rPr>
                  <w:t>12,739,026.70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30809480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AB9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20268E8">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A677651">
                <w:pPr>
                  <w:autoSpaceDE w:val="0"/>
                  <w:autoSpaceDN w:val="0"/>
                  <w:adjustRightInd w:val="0"/>
                  <w:rPr>
                    <w:rFonts w:cs="Times New Roman"/>
                    <w:sz w:val="20"/>
                    <w:szCs w:val="20"/>
                  </w:rPr>
                </w:pPr>
                <w:r>
                  <w:rPr>
                    <w:rFonts w:cs="Times New Roman"/>
                    <w:sz w:val="20"/>
                    <w:szCs w:val="20"/>
                  </w:rPr>
                  <w:t>辽宁际华三五二三特种装备有限公司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40C2EF4D">
                <w:pPr>
                  <w:jc w:val="right"/>
                  <w:textAlignment w:val="bottom"/>
                  <w:rPr>
                    <w:rFonts w:cs="Times New Roman"/>
                    <w:sz w:val="18"/>
                    <w:szCs w:val="18"/>
                  </w:rPr>
                </w:pPr>
                <w:r>
                  <w:rPr>
                    <w:rFonts w:eastAsia="Arial Narrow" w:cs="Times New Roman"/>
                    <w:color w:val="000000"/>
                    <w:sz w:val="18"/>
                    <w:szCs w:val="18"/>
                    <w:lang w:bidi="ar"/>
                  </w:rPr>
                  <w:t>28,850,951.84</w:t>
                </w:r>
              </w:p>
            </w:tc>
            <w:tc>
              <w:tcPr>
                <w:tcW w:w="724" w:type="pct"/>
                <w:tcBorders>
                  <w:top w:val="single" w:color="auto" w:sz="4" w:space="0"/>
                  <w:left w:val="single" w:color="auto" w:sz="4" w:space="0"/>
                  <w:bottom w:val="single" w:color="auto" w:sz="4" w:space="0"/>
                  <w:right w:val="single" w:color="auto" w:sz="4" w:space="0"/>
                </w:tcBorders>
                <w:vAlign w:val="center"/>
              </w:tcPr>
              <w:p w14:paraId="630D96BA">
                <w:pPr>
                  <w:jc w:val="right"/>
                  <w:textAlignment w:val="bottom"/>
                  <w:rPr>
                    <w:rFonts w:cs="Times New Roman"/>
                    <w:sz w:val="18"/>
                    <w:szCs w:val="18"/>
                  </w:rPr>
                </w:pPr>
                <w:r>
                  <w:rPr>
                    <w:rFonts w:eastAsia="Arial Narrow" w:cs="Times New Roman"/>
                    <w:color w:val="000000"/>
                    <w:sz w:val="18"/>
                    <w:szCs w:val="18"/>
                    <w:lang w:bidi="ar"/>
                  </w:rPr>
                  <w:t>9,616,983.95</w:t>
                </w:r>
              </w:p>
            </w:tc>
            <w:tc>
              <w:tcPr>
                <w:tcW w:w="809" w:type="pct"/>
                <w:tcBorders>
                  <w:top w:val="single" w:color="auto" w:sz="4" w:space="0"/>
                  <w:left w:val="single" w:color="auto" w:sz="4" w:space="0"/>
                  <w:bottom w:val="single" w:color="auto" w:sz="4" w:space="0"/>
                  <w:right w:val="single" w:color="auto" w:sz="4" w:space="0"/>
                </w:tcBorders>
                <w:vAlign w:val="center"/>
              </w:tcPr>
              <w:p w14:paraId="48E10342">
                <w:pPr>
                  <w:autoSpaceDE w:val="0"/>
                  <w:autoSpaceDN w:val="0"/>
                  <w:adjustRightInd w:val="0"/>
                  <w:jc w:val="right"/>
                  <w:rPr>
                    <w:rFonts w:cs="Times New Roman"/>
                    <w:sz w:val="18"/>
                    <w:szCs w:val="18"/>
                  </w:rPr>
                </w:pPr>
                <w:r>
                  <w:rPr>
                    <w:rFonts w:cs="Times New Roman"/>
                    <w:sz w:val="18"/>
                    <w:szCs w:val="18"/>
                  </w:rPr>
                  <w:t>28,850,951.84</w:t>
                </w:r>
              </w:p>
            </w:tc>
            <w:tc>
              <w:tcPr>
                <w:tcW w:w="678" w:type="pct"/>
                <w:tcBorders>
                  <w:top w:val="single" w:color="auto" w:sz="4" w:space="0"/>
                  <w:left w:val="single" w:color="auto" w:sz="4" w:space="0"/>
                  <w:bottom w:val="single" w:color="auto" w:sz="4" w:space="0"/>
                  <w:right w:val="single" w:color="auto" w:sz="4" w:space="0"/>
                </w:tcBorders>
                <w:vAlign w:val="center"/>
              </w:tcPr>
              <w:p w14:paraId="63A9F524">
                <w:pPr>
                  <w:autoSpaceDE w:val="0"/>
                  <w:autoSpaceDN w:val="0"/>
                  <w:adjustRightInd w:val="0"/>
                  <w:jc w:val="right"/>
                  <w:rPr>
                    <w:rFonts w:cs="Times New Roman"/>
                    <w:sz w:val="18"/>
                    <w:szCs w:val="18"/>
                  </w:rPr>
                </w:pPr>
                <w:r>
                  <w:rPr>
                    <w:rFonts w:cs="Times New Roman"/>
                    <w:sz w:val="18"/>
                    <w:szCs w:val="18"/>
                  </w:rPr>
                  <w:t>9,616,983.95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35023237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EEC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D2ECDAE">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53694AAA">
                <w:pPr>
                  <w:autoSpaceDE w:val="0"/>
                  <w:autoSpaceDN w:val="0"/>
                  <w:adjustRightInd w:val="0"/>
                  <w:rPr>
                    <w:rFonts w:cs="Times New Roman"/>
                    <w:sz w:val="20"/>
                    <w:szCs w:val="20"/>
                  </w:rPr>
                </w:pPr>
                <w:r>
                  <w:rPr>
                    <w:rFonts w:cs="Times New Roman"/>
                    <w:sz w:val="20"/>
                    <w:szCs w:val="20"/>
                  </w:rPr>
                  <w:t>际华（天津）智能热力有限公司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7F33473">
                <w:pPr>
                  <w:jc w:val="right"/>
                  <w:textAlignment w:val="bottom"/>
                  <w:rPr>
                    <w:rFonts w:cs="Times New Roman"/>
                    <w:sz w:val="18"/>
                    <w:szCs w:val="18"/>
                  </w:rPr>
                </w:pPr>
                <w:r>
                  <w:rPr>
                    <w:rFonts w:eastAsia="Arial Narrow" w:cs="Times New Roman"/>
                    <w:color w:val="000000"/>
                    <w:sz w:val="18"/>
                    <w:szCs w:val="18"/>
                    <w:lang w:bidi="ar"/>
                  </w:rPr>
                  <w:t>22,920,000.00</w:t>
                </w:r>
              </w:p>
            </w:tc>
            <w:tc>
              <w:tcPr>
                <w:tcW w:w="724" w:type="pct"/>
                <w:tcBorders>
                  <w:top w:val="single" w:color="auto" w:sz="4" w:space="0"/>
                  <w:left w:val="single" w:color="auto" w:sz="4" w:space="0"/>
                  <w:bottom w:val="single" w:color="auto" w:sz="4" w:space="0"/>
                  <w:right w:val="single" w:color="auto" w:sz="4" w:space="0"/>
                </w:tcBorders>
                <w:vAlign w:val="center"/>
              </w:tcPr>
              <w:p w14:paraId="41926101">
                <w:pPr>
                  <w:jc w:val="right"/>
                  <w:textAlignment w:val="bottom"/>
                  <w:rPr>
                    <w:rFonts w:cs="Times New Roman"/>
                    <w:sz w:val="18"/>
                    <w:szCs w:val="18"/>
                  </w:rPr>
                </w:pPr>
                <w:r>
                  <w:rPr>
                    <w:rFonts w:eastAsia="Arial Narrow" w:cs="Times New Roman"/>
                    <w:color w:val="000000"/>
                    <w:sz w:val="18"/>
                    <w:szCs w:val="18"/>
                    <w:lang w:bidi="ar"/>
                  </w:rPr>
                  <w:t>22,920,000.00</w:t>
                </w:r>
              </w:p>
            </w:tc>
            <w:tc>
              <w:tcPr>
                <w:tcW w:w="809" w:type="pct"/>
                <w:tcBorders>
                  <w:top w:val="single" w:color="auto" w:sz="4" w:space="0"/>
                  <w:left w:val="single" w:color="auto" w:sz="4" w:space="0"/>
                  <w:bottom w:val="single" w:color="auto" w:sz="4" w:space="0"/>
                  <w:right w:val="single" w:color="auto" w:sz="4" w:space="0"/>
                </w:tcBorders>
                <w:vAlign w:val="center"/>
              </w:tcPr>
              <w:p w14:paraId="4499E825">
                <w:pPr>
                  <w:autoSpaceDE w:val="0"/>
                  <w:autoSpaceDN w:val="0"/>
                  <w:adjustRightInd w:val="0"/>
                  <w:jc w:val="right"/>
                  <w:rPr>
                    <w:rFonts w:cs="Times New Roman"/>
                    <w:sz w:val="18"/>
                    <w:szCs w:val="18"/>
                  </w:rPr>
                </w:pPr>
                <w:r>
                  <w:rPr>
                    <w:rFonts w:cs="Times New Roman"/>
                    <w:sz w:val="18"/>
                    <w:szCs w:val="18"/>
                  </w:rPr>
                  <w:t>22,920,000.00</w:t>
                </w:r>
              </w:p>
            </w:tc>
            <w:tc>
              <w:tcPr>
                <w:tcW w:w="678" w:type="pct"/>
                <w:tcBorders>
                  <w:top w:val="single" w:color="auto" w:sz="4" w:space="0"/>
                  <w:left w:val="single" w:color="auto" w:sz="4" w:space="0"/>
                  <w:bottom w:val="single" w:color="auto" w:sz="4" w:space="0"/>
                  <w:right w:val="single" w:color="auto" w:sz="4" w:space="0"/>
                </w:tcBorders>
                <w:vAlign w:val="center"/>
              </w:tcPr>
              <w:p w14:paraId="69CE35F6">
                <w:pPr>
                  <w:autoSpaceDE w:val="0"/>
                  <w:autoSpaceDN w:val="0"/>
                  <w:adjustRightInd w:val="0"/>
                  <w:jc w:val="right"/>
                  <w:rPr>
                    <w:rFonts w:cs="Times New Roman"/>
                    <w:sz w:val="18"/>
                    <w:szCs w:val="18"/>
                  </w:rPr>
                </w:pPr>
                <w:r>
                  <w:rPr>
                    <w:rFonts w:cs="Times New Roman"/>
                    <w:sz w:val="18"/>
                    <w:szCs w:val="18"/>
                  </w:rPr>
                  <w:t>22,920,000.00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286701468"/>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E52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EBC40EB">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4A87CFC4">
                <w:pPr>
                  <w:autoSpaceDE w:val="0"/>
                  <w:autoSpaceDN w:val="0"/>
                  <w:adjustRightInd w:val="0"/>
                  <w:rPr>
                    <w:rFonts w:cs="Times New Roman"/>
                    <w:sz w:val="20"/>
                    <w:szCs w:val="20"/>
                  </w:rPr>
                </w:pPr>
                <w:r>
                  <w:rPr>
                    <w:rFonts w:cs="Times New Roman"/>
                    <w:sz w:val="20"/>
                    <w:szCs w:val="20"/>
                  </w:rPr>
                  <w:t>宜昌际华仙女服饰有限公司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BA5E49F">
                <w:pPr>
                  <w:jc w:val="right"/>
                  <w:textAlignment w:val="bottom"/>
                  <w:rPr>
                    <w:rFonts w:cs="Times New Roman"/>
                    <w:sz w:val="18"/>
                    <w:szCs w:val="18"/>
                  </w:rPr>
                </w:pPr>
                <w:r>
                  <w:rPr>
                    <w:rFonts w:eastAsia="Arial Narrow" w:cs="Times New Roman"/>
                    <w:color w:val="000000"/>
                    <w:sz w:val="18"/>
                    <w:szCs w:val="18"/>
                    <w:lang w:bidi="ar"/>
                  </w:rPr>
                  <w:t>21,759,832.30</w:t>
                </w:r>
              </w:p>
            </w:tc>
            <w:tc>
              <w:tcPr>
                <w:tcW w:w="724" w:type="pct"/>
                <w:tcBorders>
                  <w:top w:val="single" w:color="auto" w:sz="4" w:space="0"/>
                  <w:left w:val="single" w:color="auto" w:sz="4" w:space="0"/>
                  <w:bottom w:val="single" w:color="auto" w:sz="4" w:space="0"/>
                  <w:right w:val="single" w:color="auto" w:sz="4" w:space="0"/>
                </w:tcBorders>
                <w:vAlign w:val="center"/>
              </w:tcPr>
              <w:p w14:paraId="55EE76A2">
                <w:pPr>
                  <w:jc w:val="right"/>
                  <w:textAlignment w:val="bottom"/>
                  <w:rPr>
                    <w:rFonts w:cs="Times New Roman"/>
                    <w:sz w:val="18"/>
                    <w:szCs w:val="18"/>
                  </w:rPr>
                </w:pPr>
                <w:r>
                  <w:rPr>
                    <w:rFonts w:eastAsia="Arial Narrow" w:cs="Times New Roman"/>
                    <w:color w:val="000000"/>
                    <w:sz w:val="18"/>
                    <w:szCs w:val="18"/>
                    <w:lang w:bidi="ar"/>
                  </w:rPr>
                  <w:t>21,759,832.30</w:t>
                </w:r>
              </w:p>
            </w:tc>
            <w:tc>
              <w:tcPr>
                <w:tcW w:w="809" w:type="pct"/>
                <w:tcBorders>
                  <w:top w:val="single" w:color="auto" w:sz="4" w:space="0"/>
                  <w:left w:val="single" w:color="auto" w:sz="4" w:space="0"/>
                  <w:bottom w:val="single" w:color="auto" w:sz="4" w:space="0"/>
                  <w:right w:val="single" w:color="auto" w:sz="4" w:space="0"/>
                </w:tcBorders>
                <w:vAlign w:val="center"/>
              </w:tcPr>
              <w:p w14:paraId="24F74120">
                <w:pPr>
                  <w:autoSpaceDE w:val="0"/>
                  <w:autoSpaceDN w:val="0"/>
                  <w:adjustRightInd w:val="0"/>
                  <w:jc w:val="right"/>
                  <w:rPr>
                    <w:rFonts w:cs="Times New Roman"/>
                    <w:sz w:val="18"/>
                    <w:szCs w:val="18"/>
                  </w:rPr>
                </w:pPr>
                <w:r>
                  <w:rPr>
                    <w:rFonts w:cs="Times New Roman"/>
                    <w:sz w:val="18"/>
                    <w:szCs w:val="18"/>
                  </w:rPr>
                  <w:t>21,332,832.34</w:t>
                </w:r>
              </w:p>
            </w:tc>
            <w:tc>
              <w:tcPr>
                <w:tcW w:w="678" w:type="pct"/>
                <w:tcBorders>
                  <w:top w:val="single" w:color="auto" w:sz="4" w:space="0"/>
                  <w:left w:val="single" w:color="auto" w:sz="4" w:space="0"/>
                  <w:bottom w:val="single" w:color="auto" w:sz="4" w:space="0"/>
                  <w:right w:val="single" w:color="auto" w:sz="4" w:space="0"/>
                </w:tcBorders>
                <w:vAlign w:val="center"/>
              </w:tcPr>
              <w:p w14:paraId="51E82829">
                <w:pPr>
                  <w:autoSpaceDE w:val="0"/>
                  <w:autoSpaceDN w:val="0"/>
                  <w:adjustRightInd w:val="0"/>
                  <w:jc w:val="right"/>
                  <w:rPr>
                    <w:rFonts w:cs="Times New Roman"/>
                    <w:sz w:val="18"/>
                    <w:szCs w:val="18"/>
                  </w:rPr>
                </w:pPr>
                <w:r>
                  <w:rPr>
                    <w:rFonts w:cs="Times New Roman"/>
                    <w:sz w:val="18"/>
                    <w:szCs w:val="18"/>
                  </w:rPr>
                  <w:t>21,332,832.34</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89956574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3AC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05EF79C">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03FCF380">
                <w:pPr>
                  <w:autoSpaceDE w:val="0"/>
                  <w:autoSpaceDN w:val="0"/>
                  <w:adjustRightInd w:val="0"/>
                  <w:rPr>
                    <w:rFonts w:cs="Times New Roman"/>
                    <w:sz w:val="20"/>
                    <w:szCs w:val="20"/>
                  </w:rPr>
                </w:pPr>
                <w:r>
                  <w:rPr>
                    <w:rFonts w:cs="Times New Roman"/>
                    <w:sz w:val="20"/>
                    <w:szCs w:val="20"/>
                  </w:rPr>
                  <w:t>湖北际华置业有限公司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6C65E493">
                <w:pPr>
                  <w:jc w:val="right"/>
                  <w:textAlignment w:val="bottom"/>
                  <w:rPr>
                    <w:rFonts w:cs="Times New Roman"/>
                    <w:sz w:val="18"/>
                    <w:szCs w:val="18"/>
                  </w:rPr>
                </w:pPr>
                <w:r>
                  <w:rPr>
                    <w:rFonts w:eastAsia="Arial Narrow" w:cs="Times New Roman"/>
                    <w:color w:val="000000"/>
                    <w:sz w:val="18"/>
                    <w:szCs w:val="18"/>
                    <w:lang w:bidi="ar"/>
                  </w:rPr>
                  <w:t>12,390,000.00</w:t>
                </w:r>
              </w:p>
            </w:tc>
            <w:tc>
              <w:tcPr>
                <w:tcW w:w="724" w:type="pct"/>
                <w:tcBorders>
                  <w:top w:val="single" w:color="auto" w:sz="4" w:space="0"/>
                  <w:left w:val="single" w:color="auto" w:sz="4" w:space="0"/>
                  <w:bottom w:val="single" w:color="auto" w:sz="4" w:space="0"/>
                  <w:right w:val="single" w:color="auto" w:sz="4" w:space="0"/>
                </w:tcBorders>
                <w:vAlign w:val="center"/>
              </w:tcPr>
              <w:p w14:paraId="18721178">
                <w:pPr>
                  <w:jc w:val="right"/>
                  <w:textAlignment w:val="bottom"/>
                  <w:rPr>
                    <w:rFonts w:cs="Times New Roman"/>
                    <w:sz w:val="18"/>
                    <w:szCs w:val="18"/>
                  </w:rPr>
                </w:pPr>
                <w:r>
                  <w:rPr>
                    <w:rFonts w:eastAsia="Arial Narrow" w:cs="Times New Roman"/>
                    <w:color w:val="000000"/>
                    <w:sz w:val="18"/>
                    <w:szCs w:val="18"/>
                    <w:lang w:bidi="ar"/>
                  </w:rPr>
                  <w:t>2,676,736.39</w:t>
                </w:r>
              </w:p>
            </w:tc>
            <w:tc>
              <w:tcPr>
                <w:tcW w:w="809" w:type="pct"/>
                <w:tcBorders>
                  <w:top w:val="single" w:color="auto" w:sz="4" w:space="0"/>
                  <w:left w:val="single" w:color="auto" w:sz="4" w:space="0"/>
                  <w:bottom w:val="single" w:color="auto" w:sz="4" w:space="0"/>
                  <w:right w:val="single" w:color="auto" w:sz="4" w:space="0"/>
                </w:tcBorders>
                <w:vAlign w:val="center"/>
              </w:tcPr>
              <w:p w14:paraId="49BEDE35">
                <w:pPr>
                  <w:autoSpaceDE w:val="0"/>
                  <w:autoSpaceDN w:val="0"/>
                  <w:adjustRightInd w:val="0"/>
                  <w:jc w:val="right"/>
                  <w:rPr>
                    <w:rFonts w:cs="Times New Roman"/>
                    <w:sz w:val="18"/>
                    <w:szCs w:val="18"/>
                  </w:rPr>
                </w:pPr>
                <w:r>
                  <w:rPr>
                    <w:rFonts w:cs="Times New Roman"/>
                    <w:sz w:val="18"/>
                    <w:szCs w:val="18"/>
                  </w:rPr>
                  <w:t>12,390,000.00</w:t>
                </w:r>
              </w:p>
            </w:tc>
            <w:tc>
              <w:tcPr>
                <w:tcW w:w="678" w:type="pct"/>
                <w:tcBorders>
                  <w:top w:val="single" w:color="auto" w:sz="4" w:space="0"/>
                  <w:left w:val="single" w:color="auto" w:sz="4" w:space="0"/>
                  <w:bottom w:val="single" w:color="auto" w:sz="4" w:space="0"/>
                  <w:right w:val="single" w:color="auto" w:sz="4" w:space="0"/>
                </w:tcBorders>
                <w:vAlign w:val="center"/>
              </w:tcPr>
              <w:p w14:paraId="7CE2D559">
                <w:pPr>
                  <w:autoSpaceDE w:val="0"/>
                  <w:autoSpaceDN w:val="0"/>
                  <w:adjustRightInd w:val="0"/>
                  <w:jc w:val="right"/>
                  <w:rPr>
                    <w:rFonts w:cs="Times New Roman"/>
                    <w:sz w:val="18"/>
                    <w:szCs w:val="18"/>
                  </w:rPr>
                </w:pPr>
                <w:r>
                  <w:rPr>
                    <w:rFonts w:cs="Times New Roman"/>
                    <w:sz w:val="18"/>
                    <w:szCs w:val="18"/>
                  </w:rPr>
                  <w:t>2,676,736.39</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67634697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3E93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03A2076">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06E9EFF">
                <w:pPr>
                  <w:autoSpaceDE w:val="0"/>
                  <w:autoSpaceDN w:val="0"/>
                  <w:adjustRightInd w:val="0"/>
                  <w:rPr>
                    <w:rFonts w:cs="Times New Roman"/>
                    <w:sz w:val="20"/>
                    <w:szCs w:val="20"/>
                  </w:rPr>
                </w:pPr>
                <w:r>
                  <w:rPr>
                    <w:rFonts w:cs="Times New Roman"/>
                    <w:sz w:val="20"/>
                    <w:szCs w:val="20"/>
                  </w:rPr>
                  <w:t>秦皇岛际华三五四四鞋业有限公司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AB2EEAC">
                <w:pPr>
                  <w:jc w:val="right"/>
                  <w:textAlignment w:val="bottom"/>
                  <w:rPr>
                    <w:rFonts w:cs="Times New Roman"/>
                    <w:sz w:val="18"/>
                    <w:szCs w:val="18"/>
                  </w:rPr>
                </w:pPr>
                <w:r>
                  <w:rPr>
                    <w:rFonts w:eastAsia="Arial Narrow" w:cs="Times New Roman"/>
                    <w:color w:val="000000"/>
                    <w:sz w:val="18"/>
                    <w:szCs w:val="18"/>
                    <w:lang w:bidi="ar"/>
                  </w:rPr>
                  <w:t>3,794,925.67</w:t>
                </w:r>
              </w:p>
            </w:tc>
            <w:tc>
              <w:tcPr>
                <w:tcW w:w="724" w:type="pct"/>
                <w:tcBorders>
                  <w:top w:val="single" w:color="auto" w:sz="4" w:space="0"/>
                  <w:left w:val="single" w:color="auto" w:sz="4" w:space="0"/>
                  <w:bottom w:val="single" w:color="auto" w:sz="4" w:space="0"/>
                  <w:right w:val="single" w:color="auto" w:sz="4" w:space="0"/>
                </w:tcBorders>
                <w:vAlign w:val="center"/>
              </w:tcPr>
              <w:p w14:paraId="3BE77095">
                <w:pPr>
                  <w:jc w:val="right"/>
                  <w:textAlignment w:val="bottom"/>
                  <w:rPr>
                    <w:rFonts w:cs="Times New Roman"/>
                    <w:sz w:val="18"/>
                    <w:szCs w:val="18"/>
                  </w:rPr>
                </w:pPr>
                <w:r>
                  <w:rPr>
                    <w:rFonts w:eastAsia="Arial Narrow" w:cs="Times New Roman"/>
                    <w:color w:val="000000"/>
                    <w:sz w:val="18"/>
                    <w:szCs w:val="18"/>
                    <w:lang w:bidi="ar"/>
                  </w:rPr>
                  <w:t>1,099,923.97</w:t>
                </w:r>
              </w:p>
            </w:tc>
            <w:tc>
              <w:tcPr>
                <w:tcW w:w="809" w:type="pct"/>
                <w:tcBorders>
                  <w:top w:val="single" w:color="auto" w:sz="4" w:space="0"/>
                  <w:left w:val="single" w:color="auto" w:sz="4" w:space="0"/>
                  <w:bottom w:val="single" w:color="auto" w:sz="4" w:space="0"/>
                  <w:right w:val="single" w:color="auto" w:sz="4" w:space="0"/>
                </w:tcBorders>
                <w:vAlign w:val="center"/>
              </w:tcPr>
              <w:p w14:paraId="3627884C">
                <w:pPr>
                  <w:autoSpaceDE w:val="0"/>
                  <w:autoSpaceDN w:val="0"/>
                  <w:adjustRightInd w:val="0"/>
                  <w:jc w:val="right"/>
                  <w:rPr>
                    <w:rFonts w:cs="Times New Roman"/>
                    <w:sz w:val="18"/>
                    <w:szCs w:val="18"/>
                  </w:rPr>
                </w:pPr>
                <w:r>
                  <w:rPr>
                    <w:rFonts w:cs="Times New Roman"/>
                    <w:sz w:val="18"/>
                    <w:szCs w:val="18"/>
                  </w:rPr>
                  <w:t>3,794,925.67</w:t>
                </w:r>
              </w:p>
            </w:tc>
            <w:tc>
              <w:tcPr>
                <w:tcW w:w="678" w:type="pct"/>
                <w:tcBorders>
                  <w:top w:val="single" w:color="auto" w:sz="4" w:space="0"/>
                  <w:left w:val="single" w:color="auto" w:sz="4" w:space="0"/>
                  <w:bottom w:val="single" w:color="auto" w:sz="4" w:space="0"/>
                  <w:right w:val="single" w:color="auto" w:sz="4" w:space="0"/>
                </w:tcBorders>
                <w:vAlign w:val="center"/>
              </w:tcPr>
              <w:p w14:paraId="543AF273">
                <w:pPr>
                  <w:autoSpaceDE w:val="0"/>
                  <w:autoSpaceDN w:val="0"/>
                  <w:adjustRightInd w:val="0"/>
                  <w:jc w:val="right"/>
                  <w:rPr>
                    <w:rFonts w:cs="Times New Roman"/>
                    <w:sz w:val="18"/>
                    <w:szCs w:val="18"/>
                  </w:rPr>
                </w:pPr>
                <w:r>
                  <w:rPr>
                    <w:rFonts w:cs="Times New Roman"/>
                    <w:sz w:val="18"/>
                    <w:szCs w:val="18"/>
                  </w:rPr>
                  <w:t>808,985.80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51429686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2267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E92C908">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B41F9B1">
                <w:pPr>
                  <w:autoSpaceDE w:val="0"/>
                  <w:autoSpaceDN w:val="0"/>
                  <w:adjustRightInd w:val="0"/>
                  <w:rPr>
                    <w:rFonts w:cs="Times New Roman"/>
                    <w:sz w:val="20"/>
                    <w:szCs w:val="20"/>
                  </w:rPr>
                </w:pPr>
                <w:r>
                  <w:rPr>
                    <w:rFonts w:cs="Times New Roman"/>
                    <w:sz w:val="20"/>
                    <w:szCs w:val="20"/>
                  </w:rPr>
                  <w:t>天津双鹿大厦有限公司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74DACC9">
                <w:pPr>
                  <w:jc w:val="right"/>
                  <w:textAlignment w:val="bottom"/>
                  <w:rPr>
                    <w:rFonts w:cs="Times New Roman"/>
                    <w:sz w:val="18"/>
                    <w:szCs w:val="18"/>
                  </w:rPr>
                </w:pPr>
                <w:r>
                  <w:rPr>
                    <w:rFonts w:eastAsia="Arial Narrow" w:cs="Times New Roman"/>
                    <w:color w:val="000000"/>
                    <w:sz w:val="18"/>
                    <w:szCs w:val="18"/>
                    <w:lang w:bidi="ar"/>
                  </w:rPr>
                  <w:t>2,880,349.27</w:t>
                </w:r>
              </w:p>
            </w:tc>
            <w:tc>
              <w:tcPr>
                <w:tcW w:w="724" w:type="pct"/>
                <w:tcBorders>
                  <w:top w:val="single" w:color="auto" w:sz="4" w:space="0"/>
                  <w:left w:val="single" w:color="auto" w:sz="4" w:space="0"/>
                  <w:bottom w:val="single" w:color="auto" w:sz="4" w:space="0"/>
                  <w:right w:val="single" w:color="auto" w:sz="4" w:space="0"/>
                </w:tcBorders>
                <w:vAlign w:val="center"/>
              </w:tcPr>
              <w:p w14:paraId="0D396178">
                <w:pPr>
                  <w:jc w:val="right"/>
                  <w:textAlignment w:val="bottom"/>
                  <w:rPr>
                    <w:rFonts w:cs="Times New Roman"/>
                    <w:sz w:val="18"/>
                    <w:szCs w:val="18"/>
                  </w:rPr>
                </w:pPr>
                <w:r>
                  <w:rPr>
                    <w:rFonts w:eastAsia="Arial Narrow" w:cs="Times New Roman"/>
                    <w:color w:val="000000"/>
                    <w:sz w:val="18"/>
                    <w:szCs w:val="18"/>
                    <w:lang w:bidi="ar"/>
                  </w:rPr>
                  <w:t>544,084.43</w:t>
                </w:r>
              </w:p>
            </w:tc>
            <w:tc>
              <w:tcPr>
                <w:tcW w:w="809" w:type="pct"/>
                <w:tcBorders>
                  <w:top w:val="single" w:color="auto" w:sz="4" w:space="0"/>
                  <w:left w:val="single" w:color="auto" w:sz="4" w:space="0"/>
                  <w:bottom w:val="single" w:color="auto" w:sz="4" w:space="0"/>
                  <w:right w:val="single" w:color="auto" w:sz="4" w:space="0"/>
                </w:tcBorders>
                <w:vAlign w:val="center"/>
              </w:tcPr>
              <w:p w14:paraId="20AD1F3D">
                <w:pPr>
                  <w:autoSpaceDE w:val="0"/>
                  <w:autoSpaceDN w:val="0"/>
                  <w:adjustRightInd w:val="0"/>
                  <w:jc w:val="right"/>
                  <w:rPr>
                    <w:rFonts w:cs="Times New Roman"/>
                    <w:sz w:val="18"/>
                    <w:szCs w:val="18"/>
                  </w:rPr>
                </w:pPr>
                <w:r>
                  <w:rPr>
                    <w:rFonts w:cs="Times New Roman"/>
                    <w:sz w:val="18"/>
                    <w:szCs w:val="18"/>
                  </w:rPr>
                  <w:t>2,399,836.35</w:t>
                </w:r>
              </w:p>
            </w:tc>
            <w:tc>
              <w:tcPr>
                <w:tcW w:w="678" w:type="pct"/>
                <w:tcBorders>
                  <w:top w:val="single" w:color="auto" w:sz="4" w:space="0"/>
                  <w:left w:val="single" w:color="auto" w:sz="4" w:space="0"/>
                  <w:bottom w:val="single" w:color="auto" w:sz="4" w:space="0"/>
                  <w:right w:val="single" w:color="auto" w:sz="4" w:space="0"/>
                </w:tcBorders>
                <w:vAlign w:val="center"/>
              </w:tcPr>
              <w:p w14:paraId="06A5652E">
                <w:pPr>
                  <w:autoSpaceDE w:val="0"/>
                  <w:autoSpaceDN w:val="0"/>
                  <w:adjustRightInd w:val="0"/>
                  <w:jc w:val="right"/>
                  <w:rPr>
                    <w:rFonts w:cs="Times New Roman"/>
                    <w:sz w:val="18"/>
                    <w:szCs w:val="18"/>
                  </w:rPr>
                </w:pPr>
                <w:r>
                  <w:rPr>
                    <w:rFonts w:cs="Times New Roman"/>
                    <w:sz w:val="18"/>
                    <w:szCs w:val="18"/>
                  </w:rPr>
                  <w:t>455,410.99</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29769374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7B7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249AB9A">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75EECAE1">
                <w:pPr>
                  <w:autoSpaceDE w:val="0"/>
                  <w:autoSpaceDN w:val="0"/>
                  <w:adjustRightInd w:val="0"/>
                  <w:rPr>
                    <w:rFonts w:cs="Times New Roman"/>
                    <w:sz w:val="20"/>
                    <w:szCs w:val="20"/>
                  </w:rPr>
                </w:pPr>
                <w:r>
                  <w:rPr>
                    <w:rFonts w:cs="Times New Roman"/>
                    <w:sz w:val="20"/>
                    <w:szCs w:val="20"/>
                  </w:rPr>
                  <w:t>武汉汉江资产运营有限公司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74F39E80">
                <w:pPr>
                  <w:jc w:val="right"/>
                  <w:textAlignment w:val="bottom"/>
                  <w:rPr>
                    <w:rFonts w:cs="Times New Roman"/>
                    <w:sz w:val="18"/>
                    <w:szCs w:val="18"/>
                  </w:rPr>
                </w:pPr>
                <w:r>
                  <w:rPr>
                    <w:rFonts w:eastAsia="Arial Narrow" w:cs="Times New Roman"/>
                    <w:color w:val="000000"/>
                    <w:sz w:val="18"/>
                    <w:szCs w:val="18"/>
                    <w:lang w:bidi="ar"/>
                  </w:rPr>
                  <w:t>2,261,649.69</w:t>
                </w:r>
              </w:p>
            </w:tc>
            <w:tc>
              <w:tcPr>
                <w:tcW w:w="724" w:type="pct"/>
                <w:tcBorders>
                  <w:top w:val="single" w:color="auto" w:sz="4" w:space="0"/>
                  <w:left w:val="single" w:color="auto" w:sz="4" w:space="0"/>
                  <w:bottom w:val="single" w:color="auto" w:sz="4" w:space="0"/>
                  <w:right w:val="single" w:color="auto" w:sz="4" w:space="0"/>
                </w:tcBorders>
                <w:vAlign w:val="center"/>
              </w:tcPr>
              <w:p w14:paraId="7C41A416">
                <w:pPr>
                  <w:jc w:val="right"/>
                  <w:textAlignment w:val="bottom"/>
                  <w:rPr>
                    <w:rFonts w:cs="Times New Roman"/>
                    <w:sz w:val="18"/>
                    <w:szCs w:val="18"/>
                  </w:rPr>
                </w:pPr>
                <w:r>
                  <w:rPr>
                    <w:rFonts w:eastAsia="Arial Narrow" w:cs="Times New Roman"/>
                    <w:color w:val="000000"/>
                    <w:sz w:val="18"/>
                    <w:szCs w:val="18"/>
                    <w:lang w:bidi="ar"/>
                  </w:rPr>
                  <w:t>423,776.25</w:t>
                </w:r>
              </w:p>
            </w:tc>
            <w:tc>
              <w:tcPr>
                <w:tcW w:w="809" w:type="pct"/>
                <w:tcBorders>
                  <w:top w:val="single" w:color="auto" w:sz="4" w:space="0"/>
                  <w:left w:val="single" w:color="auto" w:sz="4" w:space="0"/>
                  <w:bottom w:val="single" w:color="auto" w:sz="4" w:space="0"/>
                  <w:right w:val="single" w:color="auto" w:sz="4" w:space="0"/>
                </w:tcBorders>
                <w:vAlign w:val="center"/>
              </w:tcPr>
              <w:p w14:paraId="2ECF6BC4">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71685171">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456521346"/>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9AF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4F681EC">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3670A2FB">
                <w:pPr>
                  <w:autoSpaceDE w:val="0"/>
                  <w:autoSpaceDN w:val="0"/>
                  <w:adjustRightInd w:val="0"/>
                  <w:rPr>
                    <w:rFonts w:cs="Times New Roman"/>
                    <w:sz w:val="20"/>
                    <w:szCs w:val="20"/>
                  </w:rPr>
                </w:pPr>
                <w:r>
                  <w:rPr>
                    <w:rFonts w:cs="Times New Roman"/>
                    <w:sz w:val="20"/>
                    <w:szCs w:val="20"/>
                  </w:rPr>
                  <w:t>聚联智汇水务科技有限公司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E7B0F88">
                <w:pPr>
                  <w:jc w:val="right"/>
                  <w:textAlignment w:val="bottom"/>
                  <w:rPr>
                    <w:rFonts w:cs="Times New Roman"/>
                    <w:sz w:val="18"/>
                    <w:szCs w:val="18"/>
                  </w:rPr>
                </w:pPr>
                <w:r>
                  <w:rPr>
                    <w:rFonts w:eastAsia="Arial Narrow" w:cs="Times New Roman"/>
                    <w:color w:val="000000"/>
                    <w:sz w:val="18"/>
                    <w:szCs w:val="18"/>
                    <w:lang w:bidi="ar"/>
                  </w:rPr>
                  <w:t>900,000.00</w:t>
                </w:r>
              </w:p>
            </w:tc>
            <w:tc>
              <w:tcPr>
                <w:tcW w:w="724" w:type="pct"/>
                <w:tcBorders>
                  <w:top w:val="single" w:color="auto" w:sz="4" w:space="0"/>
                  <w:left w:val="single" w:color="auto" w:sz="4" w:space="0"/>
                  <w:bottom w:val="single" w:color="auto" w:sz="4" w:space="0"/>
                  <w:right w:val="single" w:color="auto" w:sz="4" w:space="0"/>
                </w:tcBorders>
                <w:vAlign w:val="center"/>
              </w:tcPr>
              <w:p w14:paraId="7FFDC5F8">
                <w:pPr>
                  <w:jc w:val="right"/>
                  <w:textAlignment w:val="bottom"/>
                  <w:rPr>
                    <w:rFonts w:cs="Times New Roman"/>
                    <w:sz w:val="18"/>
                    <w:szCs w:val="18"/>
                  </w:rPr>
                </w:pPr>
                <w:r>
                  <w:rPr>
                    <w:rFonts w:eastAsia="Arial Narrow" w:cs="Times New Roman"/>
                    <w:color w:val="000000"/>
                    <w:sz w:val="18"/>
                    <w:szCs w:val="18"/>
                    <w:lang w:bidi="ar"/>
                  </w:rPr>
                  <w:t>218,099.81</w:t>
                </w:r>
              </w:p>
            </w:tc>
            <w:tc>
              <w:tcPr>
                <w:tcW w:w="809" w:type="pct"/>
                <w:tcBorders>
                  <w:top w:val="single" w:color="auto" w:sz="4" w:space="0"/>
                  <w:left w:val="single" w:color="auto" w:sz="4" w:space="0"/>
                  <w:bottom w:val="single" w:color="auto" w:sz="4" w:space="0"/>
                  <w:right w:val="single" w:color="auto" w:sz="4" w:space="0"/>
                </w:tcBorders>
                <w:vAlign w:val="center"/>
              </w:tcPr>
              <w:p w14:paraId="56927A3B">
                <w:pPr>
                  <w:autoSpaceDE w:val="0"/>
                  <w:autoSpaceDN w:val="0"/>
                  <w:adjustRightInd w:val="0"/>
                  <w:jc w:val="right"/>
                  <w:rPr>
                    <w:rFonts w:cs="Times New Roman"/>
                    <w:sz w:val="18"/>
                    <w:szCs w:val="18"/>
                  </w:rPr>
                </w:pPr>
                <w:r>
                  <w:rPr>
                    <w:rFonts w:cs="Times New Roman"/>
                    <w:sz w:val="18"/>
                    <w:szCs w:val="18"/>
                  </w:rPr>
                  <w:t>900,000.00</w:t>
                </w:r>
              </w:p>
            </w:tc>
            <w:tc>
              <w:tcPr>
                <w:tcW w:w="678" w:type="pct"/>
                <w:tcBorders>
                  <w:top w:val="single" w:color="auto" w:sz="4" w:space="0"/>
                  <w:left w:val="single" w:color="auto" w:sz="4" w:space="0"/>
                  <w:bottom w:val="single" w:color="auto" w:sz="4" w:space="0"/>
                  <w:right w:val="single" w:color="auto" w:sz="4" w:space="0"/>
                </w:tcBorders>
                <w:vAlign w:val="center"/>
              </w:tcPr>
              <w:p w14:paraId="66F05E13">
                <w:pPr>
                  <w:autoSpaceDE w:val="0"/>
                  <w:autoSpaceDN w:val="0"/>
                  <w:adjustRightInd w:val="0"/>
                  <w:jc w:val="right"/>
                  <w:rPr>
                    <w:rFonts w:cs="Times New Roman"/>
                    <w:sz w:val="18"/>
                    <w:szCs w:val="18"/>
                  </w:rPr>
                </w:pPr>
                <w:r>
                  <w:rPr>
                    <w:rFonts w:cs="Times New Roman"/>
                    <w:sz w:val="18"/>
                    <w:szCs w:val="18"/>
                  </w:rPr>
                  <w:t>218,099.81</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88740014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A7C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2076C0F">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67BEDB5B">
                <w:pPr>
                  <w:autoSpaceDE w:val="0"/>
                  <w:autoSpaceDN w:val="0"/>
                  <w:adjustRightInd w:val="0"/>
                  <w:rPr>
                    <w:rFonts w:cs="Times New Roman"/>
                    <w:sz w:val="20"/>
                    <w:szCs w:val="20"/>
                  </w:rPr>
                </w:pPr>
                <w:r>
                  <w:rPr>
                    <w:rFonts w:cs="Times New Roman"/>
                    <w:sz w:val="20"/>
                    <w:szCs w:val="20"/>
                  </w:rPr>
                  <w:t>新兴铸管股份有限公司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D7E99A1">
                <w:pPr>
                  <w:jc w:val="right"/>
                  <w:textAlignment w:val="bottom"/>
                  <w:rPr>
                    <w:rFonts w:cs="Times New Roman"/>
                    <w:sz w:val="18"/>
                    <w:szCs w:val="18"/>
                  </w:rPr>
                </w:pPr>
                <w:r>
                  <w:rPr>
                    <w:rFonts w:eastAsia="Arial Narrow" w:cs="Times New Roman"/>
                    <w:color w:val="000000"/>
                    <w:sz w:val="18"/>
                    <w:szCs w:val="18"/>
                    <w:lang w:bidi="ar"/>
                  </w:rPr>
                  <w:t>670,000.00</w:t>
                </w:r>
              </w:p>
            </w:tc>
            <w:tc>
              <w:tcPr>
                <w:tcW w:w="724" w:type="pct"/>
                <w:tcBorders>
                  <w:top w:val="single" w:color="auto" w:sz="4" w:space="0"/>
                  <w:left w:val="single" w:color="auto" w:sz="4" w:space="0"/>
                  <w:bottom w:val="single" w:color="auto" w:sz="4" w:space="0"/>
                  <w:right w:val="single" w:color="auto" w:sz="4" w:space="0"/>
                </w:tcBorders>
                <w:vAlign w:val="center"/>
              </w:tcPr>
              <w:p w14:paraId="6C494546">
                <w:pPr>
                  <w:jc w:val="right"/>
                  <w:textAlignment w:val="bottom"/>
                  <w:rPr>
                    <w:rFonts w:cs="Times New Roman"/>
                    <w:sz w:val="18"/>
                    <w:szCs w:val="18"/>
                  </w:rPr>
                </w:pPr>
                <w:r>
                  <w:rPr>
                    <w:rFonts w:eastAsia="Arial Narrow" w:cs="Times New Roman"/>
                    <w:color w:val="000000"/>
                    <w:sz w:val="18"/>
                    <w:szCs w:val="18"/>
                    <w:lang w:bidi="ar"/>
                  </w:rPr>
                  <w:t>127,000.72</w:t>
                </w:r>
              </w:p>
            </w:tc>
            <w:tc>
              <w:tcPr>
                <w:tcW w:w="809" w:type="pct"/>
                <w:tcBorders>
                  <w:top w:val="single" w:color="auto" w:sz="4" w:space="0"/>
                  <w:left w:val="single" w:color="auto" w:sz="4" w:space="0"/>
                  <w:bottom w:val="single" w:color="auto" w:sz="4" w:space="0"/>
                  <w:right w:val="single" w:color="auto" w:sz="4" w:space="0"/>
                </w:tcBorders>
                <w:vAlign w:val="center"/>
              </w:tcPr>
              <w:p w14:paraId="4AF10982">
                <w:pPr>
                  <w:autoSpaceDE w:val="0"/>
                  <w:autoSpaceDN w:val="0"/>
                  <w:adjustRightInd w:val="0"/>
                  <w:jc w:val="right"/>
                  <w:rPr>
                    <w:rFonts w:cs="Times New Roman"/>
                    <w:sz w:val="18"/>
                    <w:szCs w:val="18"/>
                  </w:rPr>
                </w:pPr>
                <w:r>
                  <w:rPr>
                    <w:rFonts w:cs="Times New Roman"/>
                    <w:sz w:val="18"/>
                    <w:szCs w:val="18"/>
                  </w:rPr>
                  <w:t>310,000.00</w:t>
                </w:r>
              </w:p>
            </w:tc>
            <w:tc>
              <w:tcPr>
                <w:tcW w:w="678" w:type="pct"/>
                <w:tcBorders>
                  <w:top w:val="single" w:color="auto" w:sz="4" w:space="0"/>
                  <w:left w:val="single" w:color="auto" w:sz="4" w:space="0"/>
                  <w:bottom w:val="single" w:color="auto" w:sz="4" w:space="0"/>
                  <w:right w:val="single" w:color="auto" w:sz="4" w:space="0"/>
                </w:tcBorders>
                <w:vAlign w:val="center"/>
              </w:tcPr>
              <w:p w14:paraId="79B5362B">
                <w:pPr>
                  <w:autoSpaceDE w:val="0"/>
                  <w:autoSpaceDN w:val="0"/>
                  <w:adjustRightInd w:val="0"/>
                  <w:jc w:val="right"/>
                  <w:rPr>
                    <w:rFonts w:cs="Times New Roman"/>
                    <w:sz w:val="18"/>
                    <w:szCs w:val="18"/>
                  </w:rPr>
                </w:pPr>
                <w:r>
                  <w:rPr>
                    <w:rFonts w:cs="Times New Roman"/>
                    <w:sz w:val="18"/>
                    <w:szCs w:val="18"/>
                  </w:rPr>
                  <w:t>59,545.79</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52984259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71E1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FF7269D">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7E8C069B">
                <w:pPr>
                  <w:autoSpaceDE w:val="0"/>
                  <w:autoSpaceDN w:val="0"/>
                  <w:adjustRightInd w:val="0"/>
                  <w:rPr>
                    <w:rFonts w:cs="Times New Roman"/>
                    <w:sz w:val="20"/>
                    <w:szCs w:val="20"/>
                  </w:rPr>
                </w:pPr>
                <w:r>
                  <w:rPr>
                    <w:rFonts w:cs="Times New Roman"/>
                    <w:sz w:val="20"/>
                    <w:szCs w:val="20"/>
                  </w:rPr>
                  <w:t>南京三五〇三投资发展有限公司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6FA137A">
                <w:pPr>
                  <w:jc w:val="right"/>
                  <w:textAlignment w:val="bottom"/>
                  <w:rPr>
                    <w:rFonts w:cs="Times New Roman"/>
                    <w:sz w:val="18"/>
                    <w:szCs w:val="18"/>
                  </w:rPr>
                </w:pPr>
                <w:r>
                  <w:rPr>
                    <w:rFonts w:eastAsia="Arial Narrow" w:cs="Times New Roman"/>
                    <w:color w:val="000000"/>
                    <w:sz w:val="18"/>
                    <w:szCs w:val="18"/>
                    <w:lang w:bidi="ar"/>
                  </w:rPr>
                  <w:t>487,608.81</w:t>
                </w:r>
              </w:p>
            </w:tc>
            <w:tc>
              <w:tcPr>
                <w:tcW w:w="724" w:type="pct"/>
                <w:tcBorders>
                  <w:top w:val="single" w:color="auto" w:sz="4" w:space="0"/>
                  <w:left w:val="single" w:color="auto" w:sz="4" w:space="0"/>
                  <w:bottom w:val="single" w:color="auto" w:sz="4" w:space="0"/>
                  <w:right w:val="single" w:color="auto" w:sz="4" w:space="0"/>
                </w:tcBorders>
                <w:vAlign w:val="center"/>
              </w:tcPr>
              <w:p w14:paraId="0BD404F8">
                <w:pPr>
                  <w:jc w:val="right"/>
                  <w:textAlignment w:val="bottom"/>
                  <w:rPr>
                    <w:rFonts w:cs="Times New Roman"/>
                    <w:sz w:val="18"/>
                    <w:szCs w:val="18"/>
                  </w:rPr>
                </w:pPr>
                <w:r>
                  <w:rPr>
                    <w:rFonts w:eastAsia="Arial Narrow" w:cs="Times New Roman"/>
                    <w:color w:val="000000"/>
                    <w:sz w:val="18"/>
                    <w:szCs w:val="18"/>
                    <w:lang w:bidi="ar"/>
                  </w:rPr>
                  <w:t>359,531.29</w:t>
                </w:r>
              </w:p>
            </w:tc>
            <w:tc>
              <w:tcPr>
                <w:tcW w:w="809" w:type="pct"/>
                <w:tcBorders>
                  <w:top w:val="single" w:color="auto" w:sz="4" w:space="0"/>
                  <w:left w:val="single" w:color="auto" w:sz="4" w:space="0"/>
                  <w:bottom w:val="single" w:color="auto" w:sz="4" w:space="0"/>
                  <w:right w:val="single" w:color="auto" w:sz="4" w:space="0"/>
                </w:tcBorders>
                <w:vAlign w:val="center"/>
              </w:tcPr>
              <w:p w14:paraId="438B6790">
                <w:pPr>
                  <w:autoSpaceDE w:val="0"/>
                  <w:autoSpaceDN w:val="0"/>
                  <w:adjustRightInd w:val="0"/>
                  <w:jc w:val="right"/>
                  <w:rPr>
                    <w:rFonts w:cs="Times New Roman"/>
                    <w:sz w:val="18"/>
                    <w:szCs w:val="18"/>
                  </w:rPr>
                </w:pPr>
                <w:r>
                  <w:rPr>
                    <w:rFonts w:cs="Times New Roman"/>
                    <w:sz w:val="18"/>
                    <w:szCs w:val="18"/>
                  </w:rPr>
                  <w:t>487,608.81</w:t>
                </w:r>
              </w:p>
            </w:tc>
            <w:tc>
              <w:tcPr>
                <w:tcW w:w="678" w:type="pct"/>
                <w:tcBorders>
                  <w:top w:val="single" w:color="auto" w:sz="4" w:space="0"/>
                  <w:left w:val="single" w:color="auto" w:sz="4" w:space="0"/>
                  <w:bottom w:val="single" w:color="auto" w:sz="4" w:space="0"/>
                  <w:right w:val="single" w:color="auto" w:sz="4" w:space="0"/>
                </w:tcBorders>
                <w:vAlign w:val="center"/>
              </w:tcPr>
              <w:p w14:paraId="0C8728A5">
                <w:pPr>
                  <w:autoSpaceDE w:val="0"/>
                  <w:autoSpaceDN w:val="0"/>
                  <w:adjustRightInd w:val="0"/>
                  <w:jc w:val="right"/>
                  <w:rPr>
                    <w:rFonts w:cs="Times New Roman"/>
                    <w:sz w:val="18"/>
                    <w:szCs w:val="18"/>
                  </w:rPr>
                </w:pPr>
                <w:r>
                  <w:rPr>
                    <w:rFonts w:cs="Times New Roman"/>
                    <w:sz w:val="18"/>
                    <w:szCs w:val="18"/>
                  </w:rPr>
                  <w:t>333,725.26</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56600180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C23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D57ECB5">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4993436">
                <w:pPr>
                  <w:autoSpaceDE w:val="0"/>
                  <w:autoSpaceDN w:val="0"/>
                  <w:adjustRightInd w:val="0"/>
                  <w:rPr>
                    <w:rFonts w:cs="Times New Roman"/>
                    <w:sz w:val="20"/>
                    <w:szCs w:val="20"/>
                  </w:rPr>
                </w:pPr>
                <w:r>
                  <w:rPr>
                    <w:rFonts w:cs="Times New Roman"/>
                    <w:sz w:val="20"/>
                    <w:szCs w:val="20"/>
                  </w:rPr>
                  <w:t>新兴铸管集团资源投资发展有限公司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33A1761">
                <w:pPr>
                  <w:jc w:val="right"/>
                  <w:textAlignment w:val="bottom"/>
                  <w:rPr>
                    <w:rFonts w:cs="Times New Roman"/>
                    <w:sz w:val="18"/>
                    <w:szCs w:val="18"/>
                  </w:rPr>
                </w:pPr>
                <w:r>
                  <w:rPr>
                    <w:rFonts w:eastAsia="Arial Narrow" w:cs="Times New Roman"/>
                    <w:color w:val="000000"/>
                    <w:sz w:val="18"/>
                    <w:szCs w:val="18"/>
                    <w:lang w:bidi="ar"/>
                  </w:rPr>
                  <w:t>400,000.00</w:t>
                </w:r>
              </w:p>
            </w:tc>
            <w:tc>
              <w:tcPr>
                <w:tcW w:w="724" w:type="pct"/>
                <w:tcBorders>
                  <w:top w:val="single" w:color="auto" w:sz="4" w:space="0"/>
                  <w:left w:val="single" w:color="auto" w:sz="4" w:space="0"/>
                  <w:bottom w:val="single" w:color="auto" w:sz="4" w:space="0"/>
                  <w:right w:val="single" w:color="auto" w:sz="4" w:space="0"/>
                </w:tcBorders>
                <w:vAlign w:val="center"/>
              </w:tcPr>
              <w:p w14:paraId="1203E76E">
                <w:pPr>
                  <w:jc w:val="right"/>
                  <w:textAlignment w:val="bottom"/>
                  <w:rPr>
                    <w:rFonts w:cs="Times New Roman"/>
                    <w:sz w:val="18"/>
                    <w:szCs w:val="18"/>
                  </w:rPr>
                </w:pPr>
                <w:r>
                  <w:rPr>
                    <w:rFonts w:eastAsia="Arial Narrow" w:cs="Times New Roman"/>
                    <w:color w:val="000000"/>
                    <w:sz w:val="18"/>
                    <w:szCs w:val="18"/>
                    <w:lang w:bidi="ar"/>
                  </w:rPr>
                  <w:t>74,949.94</w:t>
                </w:r>
              </w:p>
            </w:tc>
            <w:tc>
              <w:tcPr>
                <w:tcW w:w="809" w:type="pct"/>
                <w:tcBorders>
                  <w:top w:val="single" w:color="auto" w:sz="4" w:space="0"/>
                  <w:left w:val="single" w:color="auto" w:sz="4" w:space="0"/>
                  <w:bottom w:val="single" w:color="auto" w:sz="4" w:space="0"/>
                  <w:right w:val="single" w:color="auto" w:sz="4" w:space="0"/>
                </w:tcBorders>
                <w:vAlign w:val="center"/>
              </w:tcPr>
              <w:p w14:paraId="0B352AB1">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56F2502E">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22626393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660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4BD68F8">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1D80ACF3">
                <w:pPr>
                  <w:autoSpaceDE w:val="0"/>
                  <w:autoSpaceDN w:val="0"/>
                  <w:adjustRightInd w:val="0"/>
                  <w:rPr>
                    <w:rFonts w:cs="Times New Roman"/>
                    <w:sz w:val="20"/>
                    <w:szCs w:val="20"/>
                  </w:rPr>
                </w:pPr>
                <w:r>
                  <w:rPr>
                    <w:rFonts w:cs="Times New Roman"/>
                    <w:sz w:val="20"/>
                    <w:szCs w:val="20"/>
                  </w:rPr>
                  <w:t>上海际华物流有限公司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BAEB8E5">
                <w:pPr>
                  <w:jc w:val="right"/>
                  <w:textAlignment w:val="bottom"/>
                  <w:rPr>
                    <w:rFonts w:cs="Times New Roman"/>
                    <w:sz w:val="18"/>
                    <w:szCs w:val="18"/>
                  </w:rPr>
                </w:pPr>
                <w:r>
                  <w:rPr>
                    <w:rFonts w:eastAsia="Arial Narrow" w:cs="Times New Roman"/>
                    <w:color w:val="000000"/>
                    <w:sz w:val="18"/>
                    <w:szCs w:val="18"/>
                    <w:lang w:bidi="ar"/>
                  </w:rPr>
                  <w:t>173,208.49</w:t>
                </w:r>
              </w:p>
            </w:tc>
            <w:tc>
              <w:tcPr>
                <w:tcW w:w="724" w:type="pct"/>
                <w:tcBorders>
                  <w:top w:val="single" w:color="auto" w:sz="4" w:space="0"/>
                  <w:left w:val="single" w:color="auto" w:sz="4" w:space="0"/>
                  <w:bottom w:val="single" w:color="auto" w:sz="4" w:space="0"/>
                  <w:right w:val="single" w:color="auto" w:sz="4" w:space="0"/>
                </w:tcBorders>
                <w:vAlign w:val="center"/>
              </w:tcPr>
              <w:p w14:paraId="3F84FD08">
                <w:pPr>
                  <w:jc w:val="right"/>
                  <w:textAlignment w:val="bottom"/>
                  <w:rPr>
                    <w:rFonts w:cs="Times New Roman"/>
                    <w:sz w:val="18"/>
                    <w:szCs w:val="18"/>
                  </w:rPr>
                </w:pPr>
                <w:r>
                  <w:rPr>
                    <w:rFonts w:eastAsia="Arial Narrow" w:cs="Times New Roman"/>
                    <w:color w:val="000000"/>
                    <w:sz w:val="18"/>
                    <w:szCs w:val="18"/>
                    <w:lang w:bidi="ar"/>
                  </w:rPr>
                  <w:t>32,454.91</w:t>
                </w:r>
              </w:p>
            </w:tc>
            <w:tc>
              <w:tcPr>
                <w:tcW w:w="809" w:type="pct"/>
                <w:tcBorders>
                  <w:top w:val="single" w:color="auto" w:sz="4" w:space="0"/>
                  <w:left w:val="single" w:color="auto" w:sz="4" w:space="0"/>
                  <w:bottom w:val="single" w:color="auto" w:sz="4" w:space="0"/>
                  <w:right w:val="single" w:color="auto" w:sz="4" w:space="0"/>
                </w:tcBorders>
                <w:vAlign w:val="center"/>
              </w:tcPr>
              <w:p w14:paraId="6333D594">
                <w:pPr>
                  <w:autoSpaceDE w:val="0"/>
                  <w:autoSpaceDN w:val="0"/>
                  <w:adjustRightInd w:val="0"/>
                  <w:jc w:val="right"/>
                  <w:rPr>
                    <w:rFonts w:cs="Times New Roman"/>
                    <w:sz w:val="18"/>
                    <w:szCs w:val="18"/>
                  </w:rPr>
                </w:pPr>
                <w:r>
                  <w:rPr>
                    <w:rFonts w:cs="Times New Roman"/>
                    <w:sz w:val="18"/>
                    <w:szCs w:val="18"/>
                  </w:rPr>
                  <w:t>173,208.49</w:t>
                </w:r>
              </w:p>
            </w:tc>
            <w:tc>
              <w:tcPr>
                <w:tcW w:w="678" w:type="pct"/>
                <w:tcBorders>
                  <w:top w:val="single" w:color="auto" w:sz="4" w:space="0"/>
                  <w:left w:val="single" w:color="auto" w:sz="4" w:space="0"/>
                  <w:bottom w:val="single" w:color="auto" w:sz="4" w:space="0"/>
                  <w:right w:val="single" w:color="auto" w:sz="4" w:space="0"/>
                </w:tcBorders>
                <w:vAlign w:val="center"/>
              </w:tcPr>
              <w:p w14:paraId="262A7EC4">
                <w:pPr>
                  <w:autoSpaceDE w:val="0"/>
                  <w:autoSpaceDN w:val="0"/>
                  <w:adjustRightInd w:val="0"/>
                  <w:jc w:val="right"/>
                  <w:rPr>
                    <w:rFonts w:cs="Times New Roman"/>
                    <w:sz w:val="18"/>
                    <w:szCs w:val="18"/>
                  </w:rPr>
                </w:pPr>
                <w:r>
                  <w:rPr>
                    <w:rFonts w:cs="Times New Roman"/>
                    <w:sz w:val="18"/>
                    <w:szCs w:val="18"/>
                  </w:rPr>
                  <w:t>32,454.91</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05043694"/>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A37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21F37FAE">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84A1539">
                <w:pPr>
                  <w:autoSpaceDE w:val="0"/>
                  <w:autoSpaceDN w:val="0"/>
                  <w:adjustRightInd w:val="0"/>
                  <w:rPr>
                    <w:rFonts w:cs="Times New Roman"/>
                    <w:sz w:val="20"/>
                    <w:szCs w:val="20"/>
                  </w:rPr>
                </w:pPr>
                <w:r>
                  <w:rPr>
                    <w:rFonts w:cs="Times New Roman"/>
                    <w:sz w:val="20"/>
                    <w:szCs w:val="20"/>
                  </w:rPr>
                  <w:t>石家庄际华资产管理有限公司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1FE65CF0">
                <w:pPr>
                  <w:jc w:val="right"/>
                  <w:textAlignment w:val="bottom"/>
                  <w:rPr>
                    <w:rFonts w:cs="Times New Roman"/>
                    <w:sz w:val="18"/>
                    <w:szCs w:val="18"/>
                  </w:rPr>
                </w:pPr>
                <w:r>
                  <w:rPr>
                    <w:rFonts w:eastAsia="Arial Narrow" w:cs="Times New Roman"/>
                    <w:color w:val="000000"/>
                    <w:sz w:val="18"/>
                    <w:szCs w:val="18"/>
                    <w:lang w:bidi="ar"/>
                  </w:rPr>
                  <w:t>131,761.11</w:t>
                </w:r>
              </w:p>
            </w:tc>
            <w:tc>
              <w:tcPr>
                <w:tcW w:w="724" w:type="pct"/>
                <w:tcBorders>
                  <w:top w:val="single" w:color="auto" w:sz="4" w:space="0"/>
                  <w:left w:val="single" w:color="auto" w:sz="4" w:space="0"/>
                  <w:bottom w:val="single" w:color="auto" w:sz="4" w:space="0"/>
                  <w:right w:val="single" w:color="auto" w:sz="4" w:space="0"/>
                </w:tcBorders>
                <w:vAlign w:val="center"/>
              </w:tcPr>
              <w:p w14:paraId="0D252B6A">
                <w:pPr>
                  <w:jc w:val="right"/>
                  <w:textAlignment w:val="bottom"/>
                  <w:rPr>
                    <w:rFonts w:cs="Times New Roman"/>
                    <w:sz w:val="18"/>
                    <w:szCs w:val="18"/>
                  </w:rPr>
                </w:pPr>
                <w:r>
                  <w:rPr>
                    <w:rFonts w:eastAsia="Arial Narrow" w:cs="Times New Roman"/>
                    <w:color w:val="000000"/>
                    <w:sz w:val="18"/>
                    <w:szCs w:val="18"/>
                    <w:lang w:bidi="ar"/>
                  </w:rPr>
                  <w:t>24,688.72</w:t>
                </w:r>
              </w:p>
            </w:tc>
            <w:tc>
              <w:tcPr>
                <w:tcW w:w="809" w:type="pct"/>
                <w:tcBorders>
                  <w:top w:val="single" w:color="auto" w:sz="4" w:space="0"/>
                  <w:left w:val="single" w:color="auto" w:sz="4" w:space="0"/>
                  <w:bottom w:val="single" w:color="auto" w:sz="4" w:space="0"/>
                  <w:right w:val="single" w:color="auto" w:sz="4" w:space="0"/>
                </w:tcBorders>
                <w:vAlign w:val="center"/>
              </w:tcPr>
              <w:p w14:paraId="42A4D57A">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3622BD31">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62130185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E84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34FD8B6C">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319CC84C">
                <w:pPr>
                  <w:autoSpaceDE w:val="0"/>
                  <w:autoSpaceDN w:val="0"/>
                  <w:adjustRightInd w:val="0"/>
                  <w:rPr>
                    <w:rFonts w:cs="Times New Roman"/>
                    <w:sz w:val="20"/>
                    <w:szCs w:val="20"/>
                  </w:rPr>
                </w:pPr>
                <w:r>
                  <w:rPr>
                    <w:rFonts w:cs="Times New Roman"/>
                    <w:sz w:val="20"/>
                    <w:szCs w:val="20"/>
                  </w:rPr>
                  <w:t>新兴河北工程技术有限公司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7693E704">
                <w:pPr>
                  <w:jc w:val="right"/>
                  <w:textAlignment w:val="bottom"/>
                  <w:rPr>
                    <w:rFonts w:cs="Times New Roman"/>
                    <w:sz w:val="18"/>
                    <w:szCs w:val="18"/>
                  </w:rPr>
                </w:pPr>
                <w:r>
                  <w:rPr>
                    <w:rFonts w:eastAsia="Arial Narrow" w:cs="Times New Roman"/>
                    <w:color w:val="000000"/>
                    <w:sz w:val="18"/>
                    <w:szCs w:val="18"/>
                    <w:lang w:bidi="ar"/>
                  </w:rPr>
                  <w:t>30,000.00</w:t>
                </w:r>
              </w:p>
            </w:tc>
            <w:tc>
              <w:tcPr>
                <w:tcW w:w="724" w:type="pct"/>
                <w:tcBorders>
                  <w:top w:val="single" w:color="auto" w:sz="4" w:space="0"/>
                  <w:left w:val="single" w:color="auto" w:sz="4" w:space="0"/>
                  <w:bottom w:val="single" w:color="auto" w:sz="4" w:space="0"/>
                  <w:right w:val="single" w:color="auto" w:sz="4" w:space="0"/>
                </w:tcBorders>
                <w:vAlign w:val="center"/>
              </w:tcPr>
              <w:p w14:paraId="13F9A380">
                <w:pPr>
                  <w:jc w:val="right"/>
                  <w:textAlignment w:val="bottom"/>
                  <w:rPr>
                    <w:rFonts w:cs="Times New Roman"/>
                    <w:sz w:val="18"/>
                    <w:szCs w:val="18"/>
                  </w:rPr>
                </w:pPr>
                <w:r>
                  <w:rPr>
                    <w:rFonts w:eastAsia="Arial Narrow" w:cs="Times New Roman"/>
                    <w:color w:val="000000"/>
                    <w:sz w:val="18"/>
                    <w:szCs w:val="18"/>
                    <w:lang w:bidi="ar"/>
                  </w:rPr>
                  <w:t>30,000.00</w:t>
                </w:r>
              </w:p>
            </w:tc>
            <w:tc>
              <w:tcPr>
                <w:tcW w:w="809" w:type="pct"/>
                <w:tcBorders>
                  <w:top w:val="single" w:color="auto" w:sz="4" w:space="0"/>
                  <w:left w:val="single" w:color="auto" w:sz="4" w:space="0"/>
                  <w:bottom w:val="single" w:color="auto" w:sz="4" w:space="0"/>
                  <w:right w:val="single" w:color="auto" w:sz="4" w:space="0"/>
                </w:tcBorders>
                <w:vAlign w:val="center"/>
              </w:tcPr>
              <w:p w14:paraId="0E4E0631">
                <w:pPr>
                  <w:autoSpaceDE w:val="0"/>
                  <w:autoSpaceDN w:val="0"/>
                  <w:adjustRightInd w:val="0"/>
                  <w:jc w:val="right"/>
                  <w:rPr>
                    <w:rFonts w:cs="Times New Roman"/>
                    <w:sz w:val="18"/>
                    <w:szCs w:val="18"/>
                  </w:rPr>
                </w:pPr>
                <w:r>
                  <w:rPr>
                    <w:rFonts w:cs="Times New Roman"/>
                    <w:sz w:val="18"/>
                    <w:szCs w:val="18"/>
                  </w:rPr>
                  <w:t>30,000.00</w:t>
                </w:r>
              </w:p>
            </w:tc>
            <w:tc>
              <w:tcPr>
                <w:tcW w:w="678" w:type="pct"/>
                <w:tcBorders>
                  <w:top w:val="single" w:color="auto" w:sz="4" w:space="0"/>
                  <w:left w:val="single" w:color="auto" w:sz="4" w:space="0"/>
                  <w:bottom w:val="single" w:color="auto" w:sz="4" w:space="0"/>
                  <w:right w:val="single" w:color="auto" w:sz="4" w:space="0"/>
                </w:tcBorders>
                <w:vAlign w:val="center"/>
              </w:tcPr>
              <w:p w14:paraId="0AC09B38">
                <w:pPr>
                  <w:autoSpaceDE w:val="0"/>
                  <w:autoSpaceDN w:val="0"/>
                  <w:adjustRightInd w:val="0"/>
                  <w:jc w:val="right"/>
                  <w:rPr>
                    <w:rFonts w:cs="Times New Roman"/>
                    <w:sz w:val="18"/>
                    <w:szCs w:val="18"/>
                  </w:rPr>
                </w:pPr>
                <w:r>
                  <w:rPr>
                    <w:rFonts w:cs="Times New Roman"/>
                    <w:sz w:val="18"/>
                    <w:szCs w:val="18"/>
                  </w:rPr>
                  <w:t>30,000.00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14466219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4C5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E752846">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61538CB">
                <w:pPr>
                  <w:autoSpaceDE w:val="0"/>
                  <w:autoSpaceDN w:val="0"/>
                  <w:adjustRightInd w:val="0"/>
                  <w:rPr>
                    <w:rFonts w:cs="Times New Roman"/>
                    <w:sz w:val="20"/>
                    <w:szCs w:val="20"/>
                  </w:rPr>
                </w:pPr>
                <w:r>
                  <w:rPr>
                    <w:rFonts w:cs="Times New Roman"/>
                    <w:sz w:val="20"/>
                    <w:szCs w:val="20"/>
                  </w:rPr>
                  <w:t>武汉际华园投资建设有限公司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974E5AC">
                <w:pPr>
                  <w:jc w:val="right"/>
                  <w:textAlignment w:val="bottom"/>
                  <w:rPr>
                    <w:rFonts w:cs="Times New Roman"/>
                    <w:sz w:val="18"/>
                    <w:szCs w:val="18"/>
                  </w:rPr>
                </w:pPr>
                <w:r>
                  <w:rPr>
                    <w:rFonts w:eastAsia="Arial Narrow" w:cs="Times New Roman"/>
                    <w:color w:val="000000"/>
                    <w:sz w:val="18"/>
                    <w:szCs w:val="18"/>
                    <w:lang w:bidi="ar"/>
                  </w:rPr>
                  <w:t>14,266.34</w:t>
                </w:r>
              </w:p>
            </w:tc>
            <w:tc>
              <w:tcPr>
                <w:tcW w:w="724" w:type="pct"/>
                <w:tcBorders>
                  <w:top w:val="single" w:color="auto" w:sz="4" w:space="0"/>
                  <w:left w:val="single" w:color="auto" w:sz="4" w:space="0"/>
                  <w:bottom w:val="single" w:color="auto" w:sz="4" w:space="0"/>
                  <w:right w:val="single" w:color="auto" w:sz="4" w:space="0"/>
                </w:tcBorders>
                <w:vAlign w:val="center"/>
              </w:tcPr>
              <w:p w14:paraId="0487A764">
                <w:pPr>
                  <w:jc w:val="right"/>
                  <w:textAlignment w:val="bottom"/>
                  <w:rPr>
                    <w:rFonts w:cs="Times New Roman"/>
                    <w:sz w:val="18"/>
                    <w:szCs w:val="18"/>
                  </w:rPr>
                </w:pPr>
                <w:r>
                  <w:rPr>
                    <w:rFonts w:eastAsia="Arial Narrow" w:cs="Times New Roman"/>
                    <w:color w:val="000000"/>
                    <w:sz w:val="18"/>
                    <w:szCs w:val="18"/>
                    <w:lang w:bidi="ar"/>
                  </w:rPr>
                  <w:t>2,673.15</w:t>
                </w:r>
              </w:p>
            </w:tc>
            <w:tc>
              <w:tcPr>
                <w:tcW w:w="809" w:type="pct"/>
                <w:tcBorders>
                  <w:top w:val="single" w:color="auto" w:sz="4" w:space="0"/>
                  <w:left w:val="single" w:color="auto" w:sz="4" w:space="0"/>
                  <w:bottom w:val="single" w:color="auto" w:sz="4" w:space="0"/>
                  <w:right w:val="single" w:color="auto" w:sz="4" w:space="0"/>
                </w:tcBorders>
                <w:vAlign w:val="center"/>
              </w:tcPr>
              <w:p w14:paraId="190E7F01">
                <w:pPr>
                  <w:autoSpaceDE w:val="0"/>
                  <w:autoSpaceDN w:val="0"/>
                  <w:adjustRightInd w:val="0"/>
                  <w:jc w:val="right"/>
                  <w:rPr>
                    <w:rFonts w:cs="Times New Roman"/>
                    <w:sz w:val="18"/>
                    <w:szCs w:val="18"/>
                  </w:rPr>
                </w:pPr>
                <w:r>
                  <w:rPr>
                    <w:rFonts w:cs="Times New Roman"/>
                    <w:sz w:val="18"/>
                    <w:szCs w:val="18"/>
                  </w:rPr>
                  <w:t>0.48</w:t>
                </w:r>
              </w:p>
            </w:tc>
            <w:tc>
              <w:tcPr>
                <w:tcW w:w="678" w:type="pct"/>
                <w:tcBorders>
                  <w:top w:val="single" w:color="auto" w:sz="4" w:space="0"/>
                  <w:left w:val="single" w:color="auto" w:sz="4" w:space="0"/>
                  <w:bottom w:val="single" w:color="auto" w:sz="4" w:space="0"/>
                  <w:right w:val="single" w:color="auto" w:sz="4" w:space="0"/>
                </w:tcBorders>
                <w:vAlign w:val="center"/>
              </w:tcPr>
              <w:p w14:paraId="587B20A9">
                <w:pPr>
                  <w:autoSpaceDE w:val="0"/>
                  <w:autoSpaceDN w:val="0"/>
                  <w:adjustRightInd w:val="0"/>
                  <w:jc w:val="right"/>
                  <w:rPr>
                    <w:rFonts w:cs="Times New Roman"/>
                    <w:sz w:val="18"/>
                    <w:szCs w:val="18"/>
                  </w:rPr>
                </w:pPr>
                <w:r>
                  <w:rPr>
                    <w:rFonts w:cs="Times New Roman"/>
                    <w:sz w:val="18"/>
                    <w:szCs w:val="18"/>
                  </w:rPr>
                  <w:t>0.09</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1588074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4D1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9D5C549">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6717AA5F">
                <w:pPr>
                  <w:autoSpaceDE w:val="0"/>
                  <w:autoSpaceDN w:val="0"/>
                  <w:adjustRightInd w:val="0"/>
                  <w:rPr>
                    <w:rFonts w:cs="Times New Roman"/>
                    <w:sz w:val="20"/>
                    <w:szCs w:val="20"/>
                  </w:rPr>
                </w:pPr>
                <w:r>
                  <w:rPr>
                    <w:rFonts w:cs="Times New Roman"/>
                    <w:sz w:val="20"/>
                    <w:szCs w:val="20"/>
                  </w:rPr>
                  <w:t>陕西际华园开发建设有限公司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54FF7D32">
                <w:pPr>
                  <w:jc w:val="right"/>
                  <w:textAlignment w:val="bottom"/>
                  <w:rPr>
                    <w:rFonts w:cs="Times New Roman"/>
                    <w:sz w:val="18"/>
                    <w:szCs w:val="18"/>
                  </w:rPr>
                </w:pPr>
                <w:r>
                  <w:rPr>
                    <w:rFonts w:eastAsia="Arial Narrow" w:cs="Times New Roman"/>
                    <w:color w:val="000000"/>
                    <w:sz w:val="18"/>
                    <w:szCs w:val="18"/>
                    <w:lang w:bidi="ar"/>
                  </w:rPr>
                  <w:t>9,686.74</w:t>
                </w:r>
              </w:p>
            </w:tc>
            <w:tc>
              <w:tcPr>
                <w:tcW w:w="724" w:type="pct"/>
                <w:tcBorders>
                  <w:top w:val="single" w:color="auto" w:sz="4" w:space="0"/>
                  <w:left w:val="single" w:color="auto" w:sz="4" w:space="0"/>
                  <w:bottom w:val="single" w:color="auto" w:sz="4" w:space="0"/>
                  <w:right w:val="single" w:color="auto" w:sz="4" w:space="0"/>
                </w:tcBorders>
                <w:vAlign w:val="center"/>
              </w:tcPr>
              <w:p w14:paraId="0C5C041F">
                <w:pPr>
                  <w:jc w:val="right"/>
                  <w:textAlignment w:val="bottom"/>
                  <w:rPr>
                    <w:rFonts w:cs="Times New Roman"/>
                    <w:sz w:val="18"/>
                    <w:szCs w:val="18"/>
                  </w:rPr>
                </w:pPr>
                <w:r>
                  <w:rPr>
                    <w:rFonts w:eastAsia="Arial Narrow" w:cs="Times New Roman"/>
                    <w:color w:val="000000"/>
                    <w:sz w:val="18"/>
                    <w:szCs w:val="18"/>
                    <w:lang w:bidi="ar"/>
                  </w:rPr>
                  <w:t>1,815.05</w:t>
                </w:r>
              </w:p>
            </w:tc>
            <w:tc>
              <w:tcPr>
                <w:tcW w:w="809" w:type="pct"/>
                <w:tcBorders>
                  <w:top w:val="single" w:color="auto" w:sz="4" w:space="0"/>
                  <w:left w:val="single" w:color="auto" w:sz="4" w:space="0"/>
                  <w:bottom w:val="single" w:color="auto" w:sz="4" w:space="0"/>
                  <w:right w:val="single" w:color="auto" w:sz="4" w:space="0"/>
                </w:tcBorders>
                <w:vAlign w:val="center"/>
              </w:tcPr>
              <w:p w14:paraId="03F4CCD9">
                <w:pPr>
                  <w:autoSpaceDE w:val="0"/>
                  <w:autoSpaceDN w:val="0"/>
                  <w:adjustRightInd w:val="0"/>
                  <w:jc w:val="right"/>
                  <w:rPr>
                    <w:rFonts w:cs="Times New Roman"/>
                    <w:sz w:val="18"/>
                    <w:szCs w:val="18"/>
                  </w:rPr>
                </w:pPr>
                <w:r>
                  <w:rPr>
                    <w:rFonts w:cs="Times New Roman"/>
                    <w:sz w:val="18"/>
                    <w:szCs w:val="18"/>
                  </w:rPr>
                  <w:t>59,116.86</w:t>
                </w:r>
              </w:p>
            </w:tc>
            <w:tc>
              <w:tcPr>
                <w:tcW w:w="678" w:type="pct"/>
                <w:tcBorders>
                  <w:top w:val="single" w:color="auto" w:sz="4" w:space="0"/>
                  <w:left w:val="single" w:color="auto" w:sz="4" w:space="0"/>
                  <w:bottom w:val="single" w:color="auto" w:sz="4" w:space="0"/>
                  <w:right w:val="single" w:color="auto" w:sz="4" w:space="0"/>
                </w:tcBorders>
                <w:vAlign w:val="center"/>
              </w:tcPr>
              <w:p w14:paraId="74C351A6">
                <w:pPr>
                  <w:autoSpaceDE w:val="0"/>
                  <w:autoSpaceDN w:val="0"/>
                  <w:adjustRightInd w:val="0"/>
                  <w:jc w:val="right"/>
                  <w:rPr>
                    <w:rFonts w:cs="Times New Roman"/>
                    <w:sz w:val="18"/>
                    <w:szCs w:val="18"/>
                  </w:rPr>
                </w:pPr>
                <w:r>
                  <w:rPr>
                    <w:rFonts w:cs="Times New Roman"/>
                    <w:sz w:val="18"/>
                    <w:szCs w:val="18"/>
                  </w:rPr>
                  <w:t>11,077.01</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329333555"/>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604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52A0D6F6">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4A3E1E79">
                <w:pPr>
                  <w:autoSpaceDE w:val="0"/>
                  <w:autoSpaceDN w:val="0"/>
                  <w:adjustRightInd w:val="0"/>
                  <w:rPr>
                    <w:rFonts w:cs="Times New Roman"/>
                    <w:sz w:val="20"/>
                    <w:szCs w:val="20"/>
                  </w:rPr>
                </w:pPr>
                <w:r>
                  <w:rPr>
                    <w:rFonts w:cs="Times New Roman"/>
                    <w:sz w:val="20"/>
                    <w:szCs w:val="20"/>
                  </w:rPr>
                  <w:t>新兴际华（上海）工程科技研究院有限公司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5ED46C2">
                <w:pPr>
                  <w:jc w:val="right"/>
                  <w:textAlignment w:val="bottom"/>
                  <w:rPr>
                    <w:rFonts w:cs="Times New Roman"/>
                    <w:sz w:val="18"/>
                    <w:szCs w:val="18"/>
                  </w:rPr>
                </w:pPr>
                <w:r>
                  <w:rPr>
                    <w:rFonts w:eastAsia="Arial Narrow" w:cs="Times New Roman"/>
                    <w:color w:val="000000"/>
                    <w:sz w:val="18"/>
                    <w:szCs w:val="18"/>
                    <w:lang w:bidi="ar"/>
                  </w:rPr>
                  <w:t>9,293.00</w:t>
                </w:r>
              </w:p>
            </w:tc>
            <w:tc>
              <w:tcPr>
                <w:tcW w:w="724" w:type="pct"/>
                <w:tcBorders>
                  <w:top w:val="single" w:color="auto" w:sz="4" w:space="0"/>
                  <w:left w:val="single" w:color="auto" w:sz="4" w:space="0"/>
                  <w:bottom w:val="single" w:color="auto" w:sz="4" w:space="0"/>
                  <w:right w:val="single" w:color="auto" w:sz="4" w:space="0"/>
                </w:tcBorders>
                <w:vAlign w:val="center"/>
              </w:tcPr>
              <w:p w14:paraId="37DDB3B6">
                <w:pPr>
                  <w:jc w:val="right"/>
                  <w:textAlignment w:val="bottom"/>
                  <w:rPr>
                    <w:rFonts w:cs="Times New Roman"/>
                    <w:sz w:val="18"/>
                    <w:szCs w:val="18"/>
                  </w:rPr>
                </w:pPr>
                <w:r>
                  <w:rPr>
                    <w:rFonts w:eastAsia="Arial Narrow" w:cs="Times New Roman"/>
                    <w:color w:val="000000"/>
                    <w:sz w:val="18"/>
                    <w:szCs w:val="18"/>
                    <w:lang w:bidi="ar"/>
                  </w:rPr>
                  <w:t>1,741.27</w:t>
                </w:r>
              </w:p>
            </w:tc>
            <w:tc>
              <w:tcPr>
                <w:tcW w:w="809" w:type="pct"/>
                <w:tcBorders>
                  <w:top w:val="single" w:color="auto" w:sz="4" w:space="0"/>
                  <w:left w:val="single" w:color="auto" w:sz="4" w:space="0"/>
                  <w:bottom w:val="single" w:color="auto" w:sz="4" w:space="0"/>
                  <w:right w:val="single" w:color="auto" w:sz="4" w:space="0"/>
                </w:tcBorders>
                <w:vAlign w:val="center"/>
              </w:tcPr>
              <w:p w14:paraId="79DEAAD9">
                <w:pPr>
                  <w:autoSpaceDE w:val="0"/>
                  <w:autoSpaceDN w:val="0"/>
                  <w:adjustRightInd w:val="0"/>
                  <w:jc w:val="right"/>
                  <w:rPr>
                    <w:rFonts w:cs="Times New Roman"/>
                    <w:sz w:val="18"/>
                    <w:szCs w:val="18"/>
                  </w:rPr>
                </w:pPr>
                <w:r>
                  <w:rPr>
                    <w:rFonts w:cs="Times New Roman"/>
                    <w:sz w:val="18"/>
                    <w:szCs w:val="18"/>
                  </w:rPr>
                  <w:t>9,889.00</w:t>
                </w:r>
              </w:p>
            </w:tc>
            <w:tc>
              <w:tcPr>
                <w:tcW w:w="678" w:type="pct"/>
                <w:tcBorders>
                  <w:top w:val="single" w:color="auto" w:sz="4" w:space="0"/>
                  <w:left w:val="single" w:color="auto" w:sz="4" w:space="0"/>
                  <w:bottom w:val="single" w:color="auto" w:sz="4" w:space="0"/>
                  <w:right w:val="single" w:color="auto" w:sz="4" w:space="0"/>
                </w:tcBorders>
                <w:vAlign w:val="center"/>
              </w:tcPr>
              <w:p w14:paraId="6DE63216">
                <w:pPr>
                  <w:autoSpaceDE w:val="0"/>
                  <w:autoSpaceDN w:val="0"/>
                  <w:adjustRightInd w:val="0"/>
                  <w:jc w:val="right"/>
                  <w:rPr>
                    <w:rFonts w:cs="Times New Roman"/>
                    <w:sz w:val="18"/>
                    <w:szCs w:val="18"/>
                  </w:rPr>
                </w:pPr>
                <w:r>
                  <w:rPr>
                    <w:rFonts w:cs="Times New Roman"/>
                    <w:sz w:val="18"/>
                    <w:szCs w:val="18"/>
                  </w:rPr>
                  <w:t>1,852.95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316791557"/>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FD0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AD20F38">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089AA130">
                <w:pPr>
                  <w:autoSpaceDE w:val="0"/>
                  <w:autoSpaceDN w:val="0"/>
                  <w:adjustRightInd w:val="0"/>
                  <w:rPr>
                    <w:rFonts w:cs="Times New Roman"/>
                    <w:sz w:val="20"/>
                    <w:szCs w:val="20"/>
                  </w:rPr>
                </w:pPr>
                <w:r>
                  <w:rPr>
                    <w:rFonts w:cs="Times New Roman"/>
                    <w:sz w:val="20"/>
                    <w:szCs w:val="20"/>
                  </w:rPr>
                  <w:t>北京三五零一服装厂有限公司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CE76D3C">
                <w:pPr>
                  <w:jc w:val="right"/>
                  <w:textAlignment w:val="bottom"/>
                  <w:rPr>
                    <w:rFonts w:cs="Times New Roman"/>
                    <w:sz w:val="18"/>
                    <w:szCs w:val="18"/>
                  </w:rPr>
                </w:pPr>
                <w:r>
                  <w:rPr>
                    <w:rFonts w:eastAsia="Arial Narrow" w:cs="Times New Roman"/>
                    <w:color w:val="000000"/>
                    <w:sz w:val="18"/>
                    <w:szCs w:val="18"/>
                    <w:lang w:bidi="ar"/>
                  </w:rPr>
                  <w:t>7,814.25</w:t>
                </w:r>
              </w:p>
            </w:tc>
            <w:tc>
              <w:tcPr>
                <w:tcW w:w="724" w:type="pct"/>
                <w:tcBorders>
                  <w:top w:val="single" w:color="auto" w:sz="4" w:space="0"/>
                  <w:left w:val="single" w:color="auto" w:sz="4" w:space="0"/>
                  <w:bottom w:val="single" w:color="auto" w:sz="4" w:space="0"/>
                  <w:right w:val="single" w:color="auto" w:sz="4" w:space="0"/>
                </w:tcBorders>
                <w:vAlign w:val="center"/>
              </w:tcPr>
              <w:p w14:paraId="7BF9748A">
                <w:pPr>
                  <w:jc w:val="right"/>
                  <w:textAlignment w:val="bottom"/>
                  <w:rPr>
                    <w:rFonts w:cs="Times New Roman"/>
                    <w:sz w:val="18"/>
                    <w:szCs w:val="18"/>
                  </w:rPr>
                </w:pPr>
                <w:r>
                  <w:rPr>
                    <w:rFonts w:eastAsia="Arial Narrow" w:cs="Times New Roman"/>
                    <w:color w:val="000000"/>
                    <w:sz w:val="18"/>
                    <w:szCs w:val="18"/>
                    <w:lang w:bidi="ar"/>
                  </w:rPr>
                  <w:t>2,509.87</w:t>
                </w:r>
              </w:p>
            </w:tc>
            <w:tc>
              <w:tcPr>
                <w:tcW w:w="809" w:type="pct"/>
                <w:tcBorders>
                  <w:top w:val="single" w:color="auto" w:sz="4" w:space="0"/>
                  <w:left w:val="single" w:color="auto" w:sz="4" w:space="0"/>
                  <w:bottom w:val="single" w:color="auto" w:sz="4" w:space="0"/>
                  <w:right w:val="single" w:color="auto" w:sz="4" w:space="0"/>
                </w:tcBorders>
                <w:vAlign w:val="center"/>
              </w:tcPr>
              <w:p w14:paraId="219C0628">
                <w:pPr>
                  <w:autoSpaceDE w:val="0"/>
                  <w:autoSpaceDN w:val="0"/>
                  <w:adjustRightInd w:val="0"/>
                  <w:jc w:val="right"/>
                  <w:rPr>
                    <w:rFonts w:cs="Times New Roman"/>
                    <w:sz w:val="18"/>
                    <w:szCs w:val="18"/>
                  </w:rPr>
                </w:pPr>
                <w:r>
                  <w:rPr>
                    <w:rFonts w:cs="Times New Roman"/>
                    <w:sz w:val="18"/>
                    <w:szCs w:val="18"/>
                  </w:rPr>
                  <w:t>7,814.25</w:t>
                </w:r>
              </w:p>
            </w:tc>
            <w:tc>
              <w:tcPr>
                <w:tcW w:w="678" w:type="pct"/>
                <w:tcBorders>
                  <w:top w:val="single" w:color="auto" w:sz="4" w:space="0"/>
                  <w:left w:val="single" w:color="auto" w:sz="4" w:space="0"/>
                  <w:bottom w:val="single" w:color="auto" w:sz="4" w:space="0"/>
                  <w:right w:val="single" w:color="auto" w:sz="4" w:space="0"/>
                </w:tcBorders>
                <w:vAlign w:val="center"/>
              </w:tcPr>
              <w:p w14:paraId="347117E2">
                <w:pPr>
                  <w:autoSpaceDE w:val="0"/>
                  <w:autoSpaceDN w:val="0"/>
                  <w:adjustRightInd w:val="0"/>
                  <w:jc w:val="right"/>
                  <w:rPr>
                    <w:rFonts w:cs="Times New Roman"/>
                    <w:sz w:val="18"/>
                    <w:szCs w:val="18"/>
                  </w:rPr>
                </w:pPr>
                <w:r>
                  <w:rPr>
                    <w:rFonts w:cs="Times New Roman"/>
                    <w:sz w:val="18"/>
                    <w:szCs w:val="18"/>
                  </w:rPr>
                  <w:t>1,688.19</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618445621"/>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4B36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EC79227">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080FC929">
                <w:pPr>
                  <w:autoSpaceDE w:val="0"/>
                  <w:autoSpaceDN w:val="0"/>
                  <w:adjustRightInd w:val="0"/>
                  <w:rPr>
                    <w:rFonts w:cs="Times New Roman"/>
                    <w:sz w:val="20"/>
                    <w:szCs w:val="20"/>
                  </w:rPr>
                </w:pPr>
                <w:r>
                  <w:rPr>
                    <w:rFonts w:cs="Times New Roman"/>
                    <w:sz w:val="20"/>
                    <w:szCs w:val="20"/>
                  </w:rPr>
                  <w:t>新兴职业装备生产技术研究所</w:t>
                </w:r>
              </w:p>
            </w:tc>
            <w:tc>
              <w:tcPr>
                <w:tcW w:w="778" w:type="pct"/>
                <w:tcBorders>
                  <w:top w:val="single" w:color="auto" w:sz="4" w:space="0"/>
                  <w:left w:val="single" w:color="auto" w:sz="4" w:space="0"/>
                  <w:bottom w:val="single" w:color="auto" w:sz="4" w:space="0"/>
                  <w:right w:val="single" w:color="auto" w:sz="4" w:space="0"/>
                </w:tcBorders>
                <w:vAlign w:val="center"/>
              </w:tcPr>
              <w:p w14:paraId="64B6E43E">
                <w:pPr>
                  <w:jc w:val="right"/>
                  <w:textAlignment w:val="bottom"/>
                  <w:rPr>
                    <w:rFonts w:cs="Times New Roman"/>
                    <w:sz w:val="18"/>
                    <w:szCs w:val="18"/>
                  </w:rPr>
                </w:pPr>
                <w:r>
                  <w:rPr>
                    <w:rFonts w:eastAsia="Arial Narrow" w:cs="Times New Roman"/>
                    <w:color w:val="000000"/>
                    <w:sz w:val="18"/>
                    <w:szCs w:val="18"/>
                    <w:lang w:bidi="ar"/>
                  </w:rPr>
                  <w:t>2,700.00</w:t>
                </w:r>
              </w:p>
            </w:tc>
            <w:tc>
              <w:tcPr>
                <w:tcW w:w="724" w:type="pct"/>
                <w:tcBorders>
                  <w:top w:val="single" w:color="auto" w:sz="4" w:space="0"/>
                  <w:left w:val="single" w:color="auto" w:sz="4" w:space="0"/>
                  <w:bottom w:val="single" w:color="auto" w:sz="4" w:space="0"/>
                  <w:right w:val="single" w:color="auto" w:sz="4" w:space="0"/>
                </w:tcBorders>
                <w:vAlign w:val="center"/>
              </w:tcPr>
              <w:p w14:paraId="7E031205">
                <w:pPr>
                  <w:jc w:val="right"/>
                  <w:textAlignment w:val="bottom"/>
                  <w:rPr>
                    <w:rFonts w:cs="Times New Roman"/>
                    <w:sz w:val="18"/>
                    <w:szCs w:val="18"/>
                  </w:rPr>
                </w:pPr>
                <w:r>
                  <w:rPr>
                    <w:rFonts w:eastAsia="Arial Narrow" w:cs="Times New Roman"/>
                    <w:color w:val="000000"/>
                    <w:sz w:val="18"/>
                    <w:szCs w:val="18"/>
                    <w:lang w:bidi="ar"/>
                  </w:rPr>
                  <w:t>2,700.00</w:t>
                </w:r>
              </w:p>
            </w:tc>
            <w:tc>
              <w:tcPr>
                <w:tcW w:w="809" w:type="pct"/>
                <w:tcBorders>
                  <w:top w:val="single" w:color="auto" w:sz="4" w:space="0"/>
                  <w:left w:val="single" w:color="auto" w:sz="4" w:space="0"/>
                  <w:bottom w:val="single" w:color="auto" w:sz="4" w:space="0"/>
                  <w:right w:val="single" w:color="auto" w:sz="4" w:space="0"/>
                </w:tcBorders>
                <w:vAlign w:val="center"/>
              </w:tcPr>
              <w:p w14:paraId="212151F0">
                <w:pPr>
                  <w:autoSpaceDE w:val="0"/>
                  <w:autoSpaceDN w:val="0"/>
                  <w:adjustRightInd w:val="0"/>
                  <w:jc w:val="right"/>
                  <w:rPr>
                    <w:rFonts w:cs="Times New Roman"/>
                    <w:sz w:val="18"/>
                    <w:szCs w:val="18"/>
                  </w:rPr>
                </w:pPr>
                <w:r>
                  <w:rPr>
                    <w:rFonts w:cs="Times New Roman"/>
                    <w:sz w:val="18"/>
                    <w:szCs w:val="18"/>
                  </w:rPr>
                  <w:t>2,700.00</w:t>
                </w:r>
              </w:p>
            </w:tc>
            <w:tc>
              <w:tcPr>
                <w:tcW w:w="678" w:type="pct"/>
                <w:tcBorders>
                  <w:top w:val="single" w:color="auto" w:sz="4" w:space="0"/>
                  <w:left w:val="single" w:color="auto" w:sz="4" w:space="0"/>
                  <w:bottom w:val="single" w:color="auto" w:sz="4" w:space="0"/>
                  <w:right w:val="single" w:color="auto" w:sz="4" w:space="0"/>
                </w:tcBorders>
                <w:vAlign w:val="center"/>
              </w:tcPr>
              <w:p w14:paraId="59549266">
                <w:pPr>
                  <w:autoSpaceDE w:val="0"/>
                  <w:autoSpaceDN w:val="0"/>
                  <w:adjustRightInd w:val="0"/>
                  <w:jc w:val="right"/>
                  <w:rPr>
                    <w:rFonts w:cs="Times New Roman"/>
                    <w:sz w:val="18"/>
                    <w:szCs w:val="18"/>
                  </w:rPr>
                </w:pPr>
                <w:r>
                  <w:rPr>
                    <w:rFonts w:cs="Times New Roman"/>
                    <w:sz w:val="18"/>
                    <w:szCs w:val="18"/>
                  </w:rPr>
                  <w:t>2,700.00</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317847930"/>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88A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47A0590F">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1527AA8C">
                <w:pPr>
                  <w:autoSpaceDE w:val="0"/>
                  <w:autoSpaceDN w:val="0"/>
                  <w:adjustRightInd w:val="0"/>
                  <w:rPr>
                    <w:rFonts w:cs="Times New Roman"/>
                    <w:sz w:val="20"/>
                    <w:szCs w:val="20"/>
                  </w:rPr>
                </w:pPr>
                <w:r>
                  <w:rPr>
                    <w:rFonts w:cs="Times New Roman"/>
                    <w:sz w:val="20"/>
                    <w:szCs w:val="20"/>
                  </w:rPr>
                  <w:t>贵州际华三五三五商贸有限公司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3F454DCB">
                <w:pPr>
                  <w:jc w:val="right"/>
                  <w:textAlignment w:val="bottom"/>
                  <w:rPr>
                    <w:rFonts w:cs="Times New Roman"/>
                    <w:sz w:val="18"/>
                    <w:szCs w:val="18"/>
                  </w:rPr>
                </w:pPr>
                <w:r>
                  <w:rPr>
                    <w:rFonts w:eastAsia="Arial Narrow" w:cs="Times New Roman"/>
                    <w:color w:val="000000"/>
                    <w:sz w:val="18"/>
                    <w:szCs w:val="18"/>
                    <w:lang w:bidi="ar"/>
                  </w:rPr>
                  <w:t>446.00</w:t>
                </w:r>
              </w:p>
            </w:tc>
            <w:tc>
              <w:tcPr>
                <w:tcW w:w="724" w:type="pct"/>
                <w:tcBorders>
                  <w:top w:val="single" w:color="auto" w:sz="4" w:space="0"/>
                  <w:left w:val="single" w:color="auto" w:sz="4" w:space="0"/>
                  <w:bottom w:val="single" w:color="auto" w:sz="4" w:space="0"/>
                  <w:right w:val="single" w:color="auto" w:sz="4" w:space="0"/>
                </w:tcBorders>
                <w:vAlign w:val="center"/>
              </w:tcPr>
              <w:p w14:paraId="0BE7AFDB">
                <w:pPr>
                  <w:jc w:val="right"/>
                  <w:textAlignment w:val="bottom"/>
                  <w:rPr>
                    <w:rFonts w:cs="Times New Roman"/>
                    <w:sz w:val="18"/>
                    <w:szCs w:val="18"/>
                  </w:rPr>
                </w:pPr>
                <w:r>
                  <w:rPr>
                    <w:rFonts w:eastAsia="Arial Narrow" w:cs="Times New Roman"/>
                    <w:color w:val="000000"/>
                    <w:sz w:val="18"/>
                    <w:szCs w:val="18"/>
                    <w:lang w:bidi="ar"/>
                  </w:rPr>
                  <w:t>84.64</w:t>
                </w:r>
              </w:p>
            </w:tc>
            <w:tc>
              <w:tcPr>
                <w:tcW w:w="809" w:type="pct"/>
                <w:tcBorders>
                  <w:top w:val="single" w:color="auto" w:sz="4" w:space="0"/>
                  <w:left w:val="single" w:color="auto" w:sz="4" w:space="0"/>
                  <w:bottom w:val="single" w:color="auto" w:sz="4" w:space="0"/>
                  <w:right w:val="single" w:color="auto" w:sz="4" w:space="0"/>
                </w:tcBorders>
                <w:vAlign w:val="center"/>
              </w:tcPr>
              <w:p w14:paraId="1C404365">
                <w:pPr>
                  <w:autoSpaceDE w:val="0"/>
                  <w:autoSpaceDN w:val="0"/>
                  <w:adjustRightInd w:val="0"/>
                  <w:jc w:val="right"/>
                  <w:rPr>
                    <w:rFonts w:cs="Times New Roman"/>
                    <w:sz w:val="18"/>
                    <w:szCs w:val="18"/>
                  </w:rPr>
                </w:pPr>
                <w:r>
                  <w:rPr>
                    <w:rFonts w:cs="Times New Roman"/>
                    <w:sz w:val="18"/>
                    <w:szCs w:val="18"/>
                  </w:rPr>
                  <w:t>446.00</w:t>
                </w:r>
              </w:p>
            </w:tc>
            <w:tc>
              <w:tcPr>
                <w:tcW w:w="678" w:type="pct"/>
                <w:tcBorders>
                  <w:top w:val="single" w:color="auto" w:sz="4" w:space="0"/>
                  <w:left w:val="single" w:color="auto" w:sz="4" w:space="0"/>
                  <w:bottom w:val="single" w:color="auto" w:sz="4" w:space="0"/>
                  <w:right w:val="single" w:color="auto" w:sz="4" w:space="0"/>
                </w:tcBorders>
                <w:vAlign w:val="center"/>
              </w:tcPr>
              <w:p w14:paraId="15E7AE23">
                <w:pPr>
                  <w:autoSpaceDE w:val="0"/>
                  <w:autoSpaceDN w:val="0"/>
                  <w:adjustRightInd w:val="0"/>
                  <w:jc w:val="right"/>
                  <w:rPr>
                    <w:rFonts w:cs="Times New Roman"/>
                    <w:sz w:val="18"/>
                    <w:szCs w:val="18"/>
                  </w:rPr>
                </w:pPr>
                <w:r>
                  <w:rPr>
                    <w:rFonts w:cs="Times New Roman"/>
                    <w:sz w:val="18"/>
                    <w:szCs w:val="18"/>
                  </w:rPr>
                  <w:t>84.64</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78717213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6BF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D950CB3">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03524850">
                <w:pPr>
                  <w:autoSpaceDE w:val="0"/>
                  <w:autoSpaceDN w:val="0"/>
                  <w:adjustRightInd w:val="0"/>
                  <w:rPr>
                    <w:rFonts w:cs="Times New Roman"/>
                    <w:sz w:val="20"/>
                    <w:szCs w:val="20"/>
                  </w:rPr>
                </w:pPr>
                <w:r>
                  <w:rPr>
                    <w:rFonts w:cs="Times New Roman"/>
                    <w:sz w:val="20"/>
                    <w:szCs w:val="20"/>
                  </w:rPr>
                  <w:t>汉川际华三五零九置业有限公司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0D66DC0E">
                <w:pPr>
                  <w:jc w:val="right"/>
                  <w:textAlignment w:val="bottom"/>
                  <w:rPr>
                    <w:rFonts w:cs="Times New Roman"/>
                    <w:sz w:val="18"/>
                    <w:szCs w:val="18"/>
                  </w:rPr>
                </w:pPr>
                <w:r>
                  <w:rPr>
                    <w:rFonts w:eastAsia="Arial Narrow" w:cs="Times New Roman"/>
                    <w:color w:val="000000"/>
                    <w:sz w:val="18"/>
                    <w:szCs w:val="18"/>
                    <w:lang w:bidi="ar"/>
                  </w:rPr>
                  <w:t>308.38</w:t>
                </w:r>
              </w:p>
            </w:tc>
            <w:tc>
              <w:tcPr>
                <w:tcW w:w="724" w:type="pct"/>
                <w:tcBorders>
                  <w:top w:val="single" w:color="auto" w:sz="4" w:space="0"/>
                  <w:left w:val="single" w:color="auto" w:sz="4" w:space="0"/>
                  <w:bottom w:val="single" w:color="auto" w:sz="4" w:space="0"/>
                  <w:right w:val="single" w:color="auto" w:sz="4" w:space="0"/>
                </w:tcBorders>
                <w:vAlign w:val="center"/>
              </w:tcPr>
              <w:p w14:paraId="631BAF51">
                <w:pPr>
                  <w:jc w:val="right"/>
                  <w:textAlignment w:val="bottom"/>
                  <w:rPr>
                    <w:rFonts w:cs="Times New Roman"/>
                    <w:sz w:val="18"/>
                    <w:szCs w:val="18"/>
                  </w:rPr>
                </w:pPr>
                <w:r>
                  <w:rPr>
                    <w:rFonts w:eastAsia="Arial Narrow" w:cs="Times New Roman"/>
                    <w:color w:val="000000"/>
                    <w:sz w:val="18"/>
                    <w:szCs w:val="18"/>
                    <w:lang w:bidi="ar"/>
                  </w:rPr>
                  <w:t>58.52</w:t>
                </w:r>
              </w:p>
            </w:tc>
            <w:tc>
              <w:tcPr>
                <w:tcW w:w="809" w:type="pct"/>
                <w:tcBorders>
                  <w:top w:val="single" w:color="auto" w:sz="4" w:space="0"/>
                  <w:left w:val="single" w:color="auto" w:sz="4" w:space="0"/>
                  <w:bottom w:val="single" w:color="auto" w:sz="4" w:space="0"/>
                  <w:right w:val="single" w:color="auto" w:sz="4" w:space="0"/>
                </w:tcBorders>
                <w:vAlign w:val="center"/>
              </w:tcPr>
              <w:p w14:paraId="13852C52">
                <w:pPr>
                  <w:autoSpaceDE w:val="0"/>
                  <w:autoSpaceDN w:val="0"/>
                  <w:adjustRightInd w:val="0"/>
                  <w:jc w:val="right"/>
                  <w:rPr>
                    <w:rFonts w:cs="Times New Roman"/>
                    <w:sz w:val="18"/>
                    <w:szCs w:val="18"/>
                  </w:rPr>
                </w:pPr>
                <w:r>
                  <w:rPr>
                    <w:rFonts w:cs="Times New Roman"/>
                    <w:sz w:val="18"/>
                    <w:szCs w:val="18"/>
                  </w:rPr>
                  <w:t>308.38</w:t>
                </w:r>
              </w:p>
            </w:tc>
            <w:tc>
              <w:tcPr>
                <w:tcW w:w="678" w:type="pct"/>
                <w:tcBorders>
                  <w:top w:val="single" w:color="auto" w:sz="4" w:space="0"/>
                  <w:left w:val="single" w:color="auto" w:sz="4" w:space="0"/>
                  <w:bottom w:val="single" w:color="auto" w:sz="4" w:space="0"/>
                  <w:right w:val="single" w:color="auto" w:sz="4" w:space="0"/>
                </w:tcBorders>
                <w:vAlign w:val="center"/>
              </w:tcPr>
              <w:p w14:paraId="6F15358E">
                <w:pPr>
                  <w:autoSpaceDE w:val="0"/>
                  <w:autoSpaceDN w:val="0"/>
                  <w:adjustRightInd w:val="0"/>
                  <w:jc w:val="right"/>
                  <w:rPr>
                    <w:rFonts w:cs="Times New Roman"/>
                    <w:sz w:val="18"/>
                    <w:szCs w:val="18"/>
                  </w:rPr>
                </w:pPr>
                <w:r>
                  <w:rPr>
                    <w:rFonts w:cs="Times New Roman"/>
                    <w:sz w:val="18"/>
                    <w:szCs w:val="18"/>
                  </w:rPr>
                  <w:t>58.52</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528305276"/>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0048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6CD65660">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EB6B984">
                <w:pPr>
                  <w:autoSpaceDE w:val="0"/>
                  <w:autoSpaceDN w:val="0"/>
                  <w:adjustRightInd w:val="0"/>
                  <w:rPr>
                    <w:rFonts w:cs="Times New Roman"/>
                    <w:sz w:val="20"/>
                    <w:szCs w:val="20"/>
                  </w:rPr>
                </w:pPr>
                <w:r>
                  <w:rPr>
                    <w:rFonts w:cs="Times New Roman"/>
                    <w:sz w:val="20"/>
                    <w:szCs w:val="20"/>
                  </w:rPr>
                  <w:t>广东新兴铸管有限公司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79510F04">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4BCEF198">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4F49B5AD">
                <w:pPr>
                  <w:autoSpaceDE w:val="0"/>
                  <w:autoSpaceDN w:val="0"/>
                  <w:adjustRightInd w:val="0"/>
                  <w:jc w:val="right"/>
                  <w:rPr>
                    <w:rFonts w:cs="Times New Roman"/>
                    <w:sz w:val="18"/>
                    <w:szCs w:val="18"/>
                  </w:rPr>
                </w:pPr>
                <w:r>
                  <w:rPr>
                    <w:rFonts w:cs="Times New Roman"/>
                    <w:sz w:val="18"/>
                    <w:szCs w:val="18"/>
                  </w:rPr>
                  <w:t>52,440.00</w:t>
                </w:r>
              </w:p>
            </w:tc>
            <w:tc>
              <w:tcPr>
                <w:tcW w:w="678" w:type="pct"/>
                <w:tcBorders>
                  <w:top w:val="single" w:color="auto" w:sz="4" w:space="0"/>
                  <w:left w:val="single" w:color="auto" w:sz="4" w:space="0"/>
                  <w:bottom w:val="single" w:color="auto" w:sz="4" w:space="0"/>
                  <w:right w:val="single" w:color="auto" w:sz="4" w:space="0"/>
                </w:tcBorders>
                <w:vAlign w:val="center"/>
              </w:tcPr>
              <w:p w14:paraId="56BAF471">
                <w:pPr>
                  <w:autoSpaceDE w:val="0"/>
                  <w:autoSpaceDN w:val="0"/>
                  <w:adjustRightInd w:val="0"/>
                  <w:jc w:val="right"/>
                  <w:rPr>
                    <w:rFonts w:cs="Times New Roman"/>
                    <w:sz w:val="18"/>
                    <w:szCs w:val="18"/>
                  </w:rPr>
                </w:pPr>
                <w:r>
                  <w:rPr>
                    <w:rFonts w:cs="Times New Roman"/>
                    <w:sz w:val="18"/>
                    <w:szCs w:val="18"/>
                  </w:rPr>
                  <w:t>9,825.94</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880847384"/>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50DD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1AD29DC5">
                <w:pPr>
                  <w:autoSpaceDE w:val="0"/>
                  <w:autoSpaceDN w:val="0"/>
                  <w:adjustRightInd w:val="0"/>
                  <w:rPr>
                    <w:rFonts w:cs="Times New Roman"/>
                    <w:sz w:val="20"/>
                    <w:szCs w:val="20"/>
                  </w:rPr>
                </w:pPr>
                <w:r>
                  <w:rPr>
                    <w:rFonts w:cs="Times New Roman"/>
                    <w:sz w:val="20"/>
                    <w:szCs w:val="20"/>
                  </w:rPr>
                  <w:t>其他应收款</w:t>
                </w:r>
              </w:p>
            </w:tc>
            <w:tc>
              <w:tcPr>
                <w:tcW w:w="1208" w:type="pct"/>
                <w:tcBorders>
                  <w:top w:val="single" w:color="auto" w:sz="4" w:space="0"/>
                  <w:left w:val="single" w:color="auto" w:sz="4" w:space="0"/>
                  <w:bottom w:val="single" w:color="auto" w:sz="4" w:space="0"/>
                  <w:right w:val="single" w:color="auto" w:sz="4" w:space="0"/>
                </w:tcBorders>
                <w:vAlign w:val="center"/>
              </w:tcPr>
              <w:p w14:paraId="2F66FA17">
                <w:pPr>
                  <w:autoSpaceDE w:val="0"/>
                  <w:autoSpaceDN w:val="0"/>
                  <w:adjustRightInd w:val="0"/>
                  <w:rPr>
                    <w:rFonts w:cs="Times New Roman"/>
                    <w:sz w:val="20"/>
                    <w:szCs w:val="20"/>
                  </w:rPr>
                </w:pPr>
                <w:r>
                  <w:rPr>
                    <w:rFonts w:cs="Times New Roman"/>
                    <w:sz w:val="20"/>
                    <w:szCs w:val="20"/>
                  </w:rPr>
                  <w:t>新兴际华资产经营管理有限公司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AFE69AF">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5E29E0FE">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769CB7AE">
                <w:pPr>
                  <w:autoSpaceDE w:val="0"/>
                  <w:autoSpaceDN w:val="0"/>
                  <w:adjustRightInd w:val="0"/>
                  <w:jc w:val="right"/>
                  <w:rPr>
                    <w:rFonts w:cs="Times New Roman"/>
                    <w:sz w:val="18"/>
                    <w:szCs w:val="18"/>
                  </w:rPr>
                </w:pPr>
                <w:r>
                  <w:rPr>
                    <w:rFonts w:cs="Times New Roman"/>
                    <w:sz w:val="18"/>
                    <w:szCs w:val="18"/>
                  </w:rPr>
                  <w:t>23,940.00</w:t>
                </w:r>
              </w:p>
            </w:tc>
            <w:tc>
              <w:tcPr>
                <w:tcW w:w="678" w:type="pct"/>
                <w:tcBorders>
                  <w:top w:val="single" w:color="auto" w:sz="4" w:space="0"/>
                  <w:left w:val="single" w:color="auto" w:sz="4" w:space="0"/>
                  <w:bottom w:val="single" w:color="auto" w:sz="4" w:space="0"/>
                  <w:right w:val="single" w:color="auto" w:sz="4" w:space="0"/>
                </w:tcBorders>
                <w:vAlign w:val="center"/>
              </w:tcPr>
              <w:p w14:paraId="141C25B0">
                <w:pPr>
                  <w:autoSpaceDE w:val="0"/>
                  <w:autoSpaceDN w:val="0"/>
                  <w:adjustRightInd w:val="0"/>
                  <w:jc w:val="right"/>
                  <w:rPr>
                    <w:rFonts w:cs="Times New Roman"/>
                    <w:sz w:val="18"/>
                    <w:szCs w:val="18"/>
                  </w:rPr>
                </w:pPr>
                <w:r>
                  <w:rPr>
                    <w:rFonts w:cs="Times New Roman"/>
                    <w:sz w:val="18"/>
                    <w:szCs w:val="18"/>
                  </w:rPr>
                  <w:t>4,485.75</w:t>
                </w: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405134432"/>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6AE1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18E41A4">
                <w:pPr>
                  <w:autoSpaceDE w:val="0"/>
                  <w:autoSpaceDN w:val="0"/>
                  <w:adjustRightInd w:val="0"/>
                  <w:rPr>
                    <w:rFonts w:cs="Times New Roman"/>
                    <w:sz w:val="20"/>
                    <w:szCs w:val="20"/>
                  </w:rPr>
                </w:pPr>
                <w:r>
                  <w:rPr>
                    <w:rFonts w:cs="Times New Roman"/>
                    <w:sz w:val="20"/>
                    <w:szCs w:val="20"/>
                  </w:rPr>
                  <w:t>应收股利</w:t>
                </w:r>
              </w:p>
            </w:tc>
            <w:tc>
              <w:tcPr>
                <w:tcW w:w="1208" w:type="pct"/>
                <w:tcBorders>
                  <w:top w:val="single" w:color="auto" w:sz="4" w:space="0"/>
                  <w:left w:val="single" w:color="auto" w:sz="4" w:space="0"/>
                  <w:bottom w:val="single" w:color="auto" w:sz="4" w:space="0"/>
                  <w:right w:val="single" w:color="auto" w:sz="4" w:space="0"/>
                </w:tcBorders>
                <w:vAlign w:val="center"/>
              </w:tcPr>
              <w:p w14:paraId="090F2413">
                <w:pPr>
                  <w:autoSpaceDE w:val="0"/>
                  <w:autoSpaceDN w:val="0"/>
                  <w:adjustRightInd w:val="0"/>
                  <w:rPr>
                    <w:rFonts w:cs="Times New Roman"/>
                    <w:sz w:val="20"/>
                    <w:szCs w:val="20"/>
                  </w:rPr>
                </w:pPr>
              </w:p>
            </w:tc>
            <w:tc>
              <w:tcPr>
                <w:tcW w:w="778" w:type="pct"/>
                <w:tcBorders>
                  <w:top w:val="single" w:color="auto" w:sz="4" w:space="0"/>
                  <w:left w:val="single" w:color="auto" w:sz="4" w:space="0"/>
                  <w:bottom w:val="single" w:color="auto" w:sz="4" w:space="0"/>
                  <w:right w:val="single" w:color="auto" w:sz="4" w:space="0"/>
                </w:tcBorders>
                <w:vAlign w:val="center"/>
              </w:tcPr>
              <w:p w14:paraId="4734A854">
                <w:pPr>
                  <w:autoSpaceDE w:val="0"/>
                  <w:autoSpaceDN w:val="0"/>
                  <w:adjustRightInd w:val="0"/>
                  <w:jc w:val="right"/>
                  <w:rPr>
                    <w:rFonts w:cs="Times New Roman"/>
                    <w:sz w:val="18"/>
                    <w:szCs w:val="18"/>
                  </w:rPr>
                </w:pPr>
              </w:p>
            </w:tc>
            <w:tc>
              <w:tcPr>
                <w:tcW w:w="724" w:type="pct"/>
                <w:tcBorders>
                  <w:top w:val="single" w:color="auto" w:sz="4" w:space="0"/>
                  <w:left w:val="single" w:color="auto" w:sz="4" w:space="0"/>
                  <w:bottom w:val="single" w:color="auto" w:sz="4" w:space="0"/>
                  <w:right w:val="single" w:color="auto" w:sz="4" w:space="0"/>
                </w:tcBorders>
                <w:vAlign w:val="center"/>
              </w:tcPr>
              <w:p w14:paraId="34C52B31">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012BB73B">
                <w:pPr>
                  <w:autoSpaceDE w:val="0"/>
                  <w:autoSpaceDN w:val="0"/>
                  <w:adjustRightInd w:val="0"/>
                  <w:jc w:val="right"/>
                  <w:rPr>
                    <w:rFonts w:cs="Times New Roman"/>
                    <w:sz w:val="18"/>
                    <w:szCs w:val="18"/>
                  </w:rPr>
                </w:pPr>
              </w:p>
            </w:tc>
            <w:tc>
              <w:tcPr>
                <w:tcW w:w="678" w:type="pct"/>
                <w:tcBorders>
                  <w:top w:val="single" w:color="auto" w:sz="4" w:space="0"/>
                  <w:left w:val="single" w:color="auto" w:sz="4" w:space="0"/>
                  <w:bottom w:val="single" w:color="auto" w:sz="4" w:space="0"/>
                  <w:right w:val="single" w:color="auto" w:sz="4" w:space="0"/>
                </w:tcBorders>
                <w:vAlign w:val="center"/>
              </w:tcPr>
              <w:p w14:paraId="760A5D3F">
                <w:pPr>
                  <w:autoSpaceDE w:val="0"/>
                  <w:autoSpaceDN w:val="0"/>
                  <w:adjustRightInd w:val="0"/>
                  <w:jc w:val="right"/>
                  <w:rPr>
                    <w:rFonts w:cs="Times New Roman"/>
                    <w:sz w:val="18"/>
                    <w:szCs w:val="18"/>
                  </w:rPr>
                </w:pPr>
              </w:p>
            </w:tc>
          </w:tr>
        </w:sdtContent>
      </w:sdt>
      <w:sdt>
        <w:sdtPr>
          <w:rPr>
            <w:rFonts w:cs="Times New Roman"/>
            <w:color w:val="000000" w:themeColor="text1"/>
            <w:sz w:val="20"/>
            <w:szCs w:val="20"/>
            <w14:textFill>
              <w14:solidFill>
                <w14:schemeClr w14:val="tx1"/>
              </w14:solidFill>
            </w14:textFill>
          </w:rPr>
          <w:alias w:val="上市公司应收关联方款项明细"/>
          <w:tag w:val="_GBC_203fd12dc6be4a978fe2a9d9f5ad1070"/>
          <w:id w:val="-1524012443"/>
          <w:placeholder>
            <w:docPart w:val="{2103f560-d9c2-456c-b39e-efce37321a20}"/>
          </w:placeholder>
        </w:sdtPr>
        <w:sdtEndPr>
          <w:rPr>
            <w:rFonts w:cs="Times New Roman"/>
            <w:color w:val="000000" w:themeColor="text1"/>
            <w:sz w:val="18"/>
            <w:szCs w:val="18"/>
            <w14:textFill>
              <w14:solidFill>
                <w14:schemeClr w14:val="tx1"/>
              </w14:solidFill>
            </w14:textFill>
          </w:rPr>
        </w:sdtEndPr>
        <w:sdtContent>
          <w:tr w14:paraId="12E1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00" w:type="pct"/>
                <w:tcBorders>
                  <w:top w:val="single" w:color="auto" w:sz="4" w:space="0"/>
                  <w:left w:val="single" w:color="auto" w:sz="4" w:space="0"/>
                  <w:bottom w:val="single" w:color="auto" w:sz="4" w:space="0"/>
                  <w:right w:val="single" w:color="auto" w:sz="4" w:space="0"/>
                </w:tcBorders>
                <w:vAlign w:val="center"/>
              </w:tcPr>
              <w:p w14:paraId="0F80DFF9">
                <w:pPr>
                  <w:autoSpaceDE w:val="0"/>
                  <w:autoSpaceDN w:val="0"/>
                  <w:adjustRightInd w:val="0"/>
                  <w:rPr>
                    <w:rFonts w:cs="Times New Roman"/>
                    <w:sz w:val="20"/>
                    <w:szCs w:val="20"/>
                  </w:rPr>
                </w:pPr>
                <w:r>
                  <w:rPr>
                    <w:rFonts w:cs="Times New Roman"/>
                    <w:sz w:val="20"/>
                    <w:szCs w:val="20"/>
                  </w:rPr>
                  <w:t>应收股利</w:t>
                </w:r>
              </w:p>
            </w:tc>
            <w:tc>
              <w:tcPr>
                <w:tcW w:w="1208" w:type="pct"/>
                <w:tcBorders>
                  <w:top w:val="single" w:color="auto" w:sz="4" w:space="0"/>
                  <w:left w:val="single" w:color="auto" w:sz="4" w:space="0"/>
                  <w:bottom w:val="single" w:color="auto" w:sz="4" w:space="0"/>
                  <w:right w:val="single" w:color="auto" w:sz="4" w:space="0"/>
                </w:tcBorders>
                <w:vAlign w:val="center"/>
              </w:tcPr>
              <w:p w14:paraId="5F061EF4">
                <w:pPr>
                  <w:autoSpaceDE w:val="0"/>
                  <w:autoSpaceDN w:val="0"/>
                  <w:adjustRightInd w:val="0"/>
                  <w:rPr>
                    <w:rFonts w:cs="Times New Roman"/>
                    <w:sz w:val="20"/>
                    <w:szCs w:val="20"/>
                  </w:rPr>
                </w:pPr>
                <w:r>
                  <w:rPr>
                    <w:rFonts w:cs="Times New Roman"/>
                    <w:sz w:val="20"/>
                    <w:szCs w:val="20"/>
                  </w:rPr>
                  <w:t>新兴际华投资有限公司</w:t>
                </w:r>
              </w:p>
            </w:tc>
            <w:tc>
              <w:tcPr>
                <w:tcW w:w="778" w:type="pct"/>
                <w:tcBorders>
                  <w:top w:val="single" w:color="auto" w:sz="4" w:space="0"/>
                  <w:left w:val="single" w:color="auto" w:sz="4" w:space="0"/>
                  <w:bottom w:val="single" w:color="auto" w:sz="4" w:space="0"/>
                  <w:right w:val="single" w:color="auto" w:sz="4" w:space="0"/>
                </w:tcBorders>
                <w:vAlign w:val="center"/>
              </w:tcPr>
              <w:p w14:paraId="2B409A5A">
                <w:pPr>
                  <w:autoSpaceDE w:val="0"/>
                  <w:autoSpaceDN w:val="0"/>
                  <w:adjustRightInd w:val="0"/>
                  <w:jc w:val="right"/>
                  <w:rPr>
                    <w:rFonts w:cs="Times New Roman"/>
                    <w:sz w:val="18"/>
                    <w:szCs w:val="18"/>
                  </w:rPr>
                </w:pPr>
                <w:r>
                  <w:rPr>
                    <w:rFonts w:cs="Times New Roman"/>
                    <w:sz w:val="18"/>
                    <w:szCs w:val="18"/>
                  </w:rPr>
                  <w:t>52,107,547.75</w:t>
                </w:r>
              </w:p>
            </w:tc>
            <w:tc>
              <w:tcPr>
                <w:tcW w:w="724" w:type="pct"/>
                <w:tcBorders>
                  <w:top w:val="single" w:color="auto" w:sz="4" w:space="0"/>
                  <w:left w:val="single" w:color="auto" w:sz="4" w:space="0"/>
                  <w:bottom w:val="single" w:color="auto" w:sz="4" w:space="0"/>
                  <w:right w:val="single" w:color="auto" w:sz="4" w:space="0"/>
                </w:tcBorders>
                <w:vAlign w:val="center"/>
              </w:tcPr>
              <w:p w14:paraId="1961A85A">
                <w:pPr>
                  <w:autoSpaceDE w:val="0"/>
                  <w:autoSpaceDN w:val="0"/>
                  <w:adjustRightInd w:val="0"/>
                  <w:jc w:val="right"/>
                  <w:rPr>
                    <w:rFonts w:cs="Times New Roman"/>
                    <w:sz w:val="18"/>
                    <w:szCs w:val="18"/>
                  </w:rPr>
                </w:pPr>
              </w:p>
            </w:tc>
            <w:tc>
              <w:tcPr>
                <w:tcW w:w="809" w:type="pct"/>
                <w:tcBorders>
                  <w:top w:val="single" w:color="auto" w:sz="4" w:space="0"/>
                  <w:left w:val="single" w:color="auto" w:sz="4" w:space="0"/>
                  <w:bottom w:val="single" w:color="auto" w:sz="4" w:space="0"/>
                  <w:right w:val="single" w:color="auto" w:sz="4" w:space="0"/>
                </w:tcBorders>
                <w:vAlign w:val="center"/>
              </w:tcPr>
              <w:p w14:paraId="60FD12C3">
                <w:pPr>
                  <w:autoSpaceDE w:val="0"/>
                  <w:autoSpaceDN w:val="0"/>
                  <w:adjustRightInd w:val="0"/>
                  <w:jc w:val="right"/>
                  <w:rPr>
                    <w:rFonts w:cs="Times New Roman"/>
                    <w:sz w:val="18"/>
                    <w:szCs w:val="18"/>
                  </w:rPr>
                </w:pPr>
                <w:r>
                  <w:rPr>
                    <w:rFonts w:cs="Times New Roman"/>
                    <w:sz w:val="18"/>
                    <w:szCs w:val="18"/>
                  </w:rPr>
                  <w:t>52,107,547.75</w:t>
                </w:r>
              </w:p>
            </w:tc>
            <w:tc>
              <w:tcPr>
                <w:tcW w:w="678" w:type="pct"/>
                <w:tcBorders>
                  <w:top w:val="single" w:color="auto" w:sz="4" w:space="0"/>
                  <w:left w:val="single" w:color="auto" w:sz="4" w:space="0"/>
                  <w:bottom w:val="single" w:color="auto" w:sz="4" w:space="0"/>
                  <w:right w:val="single" w:color="auto" w:sz="4" w:space="0"/>
                </w:tcBorders>
                <w:vAlign w:val="center"/>
              </w:tcPr>
              <w:p w14:paraId="55F27C43">
                <w:pPr>
                  <w:autoSpaceDE w:val="0"/>
                  <w:autoSpaceDN w:val="0"/>
                  <w:adjustRightInd w:val="0"/>
                  <w:jc w:val="right"/>
                  <w:rPr>
                    <w:rFonts w:cs="Times New Roman"/>
                    <w:sz w:val="18"/>
                    <w:szCs w:val="18"/>
                  </w:rPr>
                </w:pPr>
              </w:p>
            </w:tc>
          </w:tr>
        </w:sdtContent>
      </w:sdt>
    </w:tbl>
    <w:p w14:paraId="126D3FD7">
      <w:pPr>
        <w:rPr>
          <w:color w:val="000000" w:themeColor="text1"/>
          <w14:textFill>
            <w14:solidFill>
              <w14:schemeClr w14:val="tx1"/>
            </w14:solidFill>
          </w14:textFill>
        </w:rPr>
      </w:pPr>
    </w:p>
    <w:p w14:paraId="69E8E0A2">
      <w:pPr>
        <w:pStyle w:val="58"/>
        <w:numPr>
          <w:ilvl w:val="0"/>
          <w:numId w:val="106"/>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应付项目</w:t>
      </w:r>
    </w:p>
    <w:p w14:paraId="016D8391">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应付项目[双击切换]"/>
          <w:tag w:val="_GBC_9dbefb51b716471b878d2e2863524a53"/>
          <w:id w:val="147453171"/>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14:paraId="258B3754">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上市公司应付关联方款项"/>
          <w:tag w:val="_GBC_08d04faee6a64768877db8f6ab14663e"/>
          <w:id w:val="1474620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上市公司应付关联方款项"/>
          <w:tag w:val="_GBC_124ea57c07fc4e23931a125a103e711c"/>
          <w:id w:val="1474582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496"/>
        <w:gridCol w:w="3618"/>
        <w:gridCol w:w="1930"/>
        <w:gridCol w:w="1849"/>
      </w:tblGrid>
      <w:tr w14:paraId="5CD8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rPr>
              <w:rFonts w:cs="Times New Roman"/>
            </w:rPr>
            <w:tag w:val="_PLD_cf838d28f8e94c899328f1b9cd175b08"/>
            <w:id w:val="147453903"/>
          </w:sdtPr>
          <w:sdtEndPr>
            <w:rPr>
              <w:rFonts w:cs="Times New Roman"/>
            </w:rPr>
          </w:sdtEndPr>
          <w:sdtContent>
            <w:tc>
              <w:tcPr>
                <w:tcW w:w="841" w:type="pct"/>
                <w:tcBorders>
                  <w:top w:val="single" w:color="auto" w:sz="4" w:space="0"/>
                  <w:left w:val="single" w:color="auto" w:sz="4" w:space="0"/>
                  <w:right w:val="single" w:color="auto" w:sz="4" w:space="0"/>
                </w:tcBorders>
                <w:vAlign w:val="center"/>
              </w:tcPr>
              <w:p w14:paraId="415D14D5">
                <w:pPr>
                  <w:jc w:val="center"/>
                  <w:rPr>
                    <w:rFonts w:cs="Times New Roman"/>
                    <w:color w:val="000000" w:themeColor="text1"/>
                    <w14:textFill>
                      <w14:solidFill>
                        <w14:schemeClr w14:val="tx1"/>
                      </w14:solidFill>
                    </w14:textFill>
                  </w:rPr>
                </w:pPr>
                <w:bookmarkStart w:id="414" w:name="_Hlk167976682"/>
                <w:r>
                  <w:rPr>
                    <w:rFonts w:cs="Times New Roman"/>
                    <w:color w:val="000000" w:themeColor="text1"/>
                    <w14:textFill>
                      <w14:solidFill>
                        <w14:schemeClr w14:val="tx1"/>
                      </w14:solidFill>
                    </w14:textFill>
                  </w:rPr>
                  <w:t>项目名称</w:t>
                </w:r>
              </w:p>
            </w:tc>
          </w:sdtContent>
        </w:sdt>
        <w:sdt>
          <w:sdtPr>
            <w:rPr>
              <w:rFonts w:cs="Times New Roman"/>
            </w:rPr>
            <w:tag w:val="_PLD_25173a15407f4af6adbf91389dcc2257"/>
            <w:id w:val="147470759"/>
          </w:sdtPr>
          <w:sdtEndPr>
            <w:rPr>
              <w:rFonts w:cs="Times New Roman"/>
            </w:rPr>
          </w:sdtEndPr>
          <w:sdtContent>
            <w:tc>
              <w:tcPr>
                <w:tcW w:w="2034" w:type="pct"/>
                <w:tcBorders>
                  <w:top w:val="single" w:color="auto" w:sz="4" w:space="0"/>
                  <w:left w:val="single" w:color="auto" w:sz="4" w:space="0"/>
                  <w:right w:val="single" w:color="auto" w:sz="4" w:space="0"/>
                </w:tcBorders>
                <w:vAlign w:val="center"/>
              </w:tcPr>
              <w:p w14:paraId="437BE49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关联方</w:t>
                </w:r>
              </w:p>
            </w:tc>
          </w:sdtContent>
        </w:sdt>
        <w:sdt>
          <w:sdtPr>
            <w:rPr>
              <w:rFonts w:cs="Times New Roman"/>
            </w:rPr>
            <w:tag w:val="_PLD_a8551739db0f47cab1b1a6ea0e700367"/>
            <w:id w:val="147456869"/>
          </w:sdtPr>
          <w:sdtEndPr>
            <w:rPr>
              <w:rFonts w:cs="Times New Roman"/>
            </w:rPr>
          </w:sdtEndPr>
          <w:sdtContent>
            <w:tc>
              <w:tcPr>
                <w:tcW w:w="1085" w:type="pct"/>
                <w:tcBorders>
                  <w:top w:val="single" w:color="auto" w:sz="4" w:space="0"/>
                  <w:left w:val="single" w:color="auto" w:sz="4" w:space="0"/>
                  <w:bottom w:val="single" w:color="auto" w:sz="4" w:space="0"/>
                  <w:right w:val="single" w:color="auto" w:sz="4" w:space="0"/>
                </w:tcBorders>
                <w:vAlign w:val="center"/>
              </w:tcPr>
              <w:p w14:paraId="3B67B8A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期末账面余额</w:t>
                </w:r>
              </w:p>
            </w:tc>
          </w:sdtContent>
        </w:sdt>
        <w:sdt>
          <w:sdtPr>
            <w:rPr>
              <w:rFonts w:cs="Times New Roman"/>
            </w:rPr>
            <w:tag w:val="_PLD_83bc027cb7f1401db7a26beffe77ce00"/>
            <w:id w:val="147458698"/>
          </w:sdtPr>
          <w:sdtEndPr>
            <w:rPr>
              <w:rFonts w:cs="Times New Roman"/>
            </w:rPr>
          </w:sdtEndPr>
          <w:sdtContent>
            <w:tc>
              <w:tcPr>
                <w:tcW w:w="1039" w:type="pct"/>
                <w:tcBorders>
                  <w:top w:val="single" w:color="auto" w:sz="4" w:space="0"/>
                  <w:left w:val="single" w:color="auto" w:sz="4" w:space="0"/>
                  <w:bottom w:val="single" w:color="auto" w:sz="4" w:space="0"/>
                  <w:right w:val="single" w:color="auto" w:sz="4" w:space="0"/>
                </w:tcBorders>
                <w:vAlign w:val="center"/>
              </w:tcPr>
              <w:p w14:paraId="3FCE024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期初账面余额</w:t>
                </w:r>
              </w:p>
            </w:tc>
          </w:sdtContent>
        </w:sdt>
      </w:tr>
      <w:tr w14:paraId="2D14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B2402B6">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0CE2C0B4">
            <w:pPr>
              <w:rPr>
                <w:rFonts w:cs="Times New Roman"/>
              </w:rPr>
            </w:pPr>
          </w:p>
        </w:tc>
        <w:tc>
          <w:tcPr>
            <w:tcW w:w="1085" w:type="pct"/>
            <w:tcBorders>
              <w:top w:val="single" w:color="auto" w:sz="4" w:space="0"/>
              <w:left w:val="single" w:color="auto" w:sz="4" w:space="0"/>
              <w:bottom w:val="single" w:color="auto" w:sz="4" w:space="0"/>
              <w:right w:val="single" w:color="auto" w:sz="4" w:space="0"/>
            </w:tcBorders>
            <w:vAlign w:val="center"/>
          </w:tcPr>
          <w:p w14:paraId="0AA5C9F6">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072C2087">
            <w:pPr>
              <w:jc w:val="right"/>
              <w:rPr>
                <w:rFonts w:cs="Times New Roman"/>
              </w:rPr>
            </w:pPr>
          </w:p>
        </w:tc>
      </w:tr>
      <w:tr w14:paraId="6964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96AFDA9">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1758CF82">
            <w:pPr>
              <w:textAlignment w:val="top"/>
              <w:rPr>
                <w:rFonts w:cs="Times New Roman"/>
              </w:rPr>
            </w:pPr>
            <w:r>
              <w:rPr>
                <w:rFonts w:cs="Times New Roman"/>
                <w:color w:val="000000"/>
                <w:lang w:bidi="ar"/>
              </w:rPr>
              <w:t>新兴达美（天津）投资有限公司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1A1B616A">
            <w:pPr>
              <w:jc w:val="right"/>
              <w:textAlignment w:val="bottom"/>
              <w:rPr>
                <w:rFonts w:cs="Times New Roman"/>
              </w:rPr>
            </w:pPr>
            <w:r>
              <w:rPr>
                <w:rFonts w:eastAsia="Arial Narrow" w:cs="Times New Roman"/>
                <w:color w:val="000000"/>
                <w:lang w:bidi="ar"/>
              </w:rPr>
              <w:t>13,260,789.43</w:t>
            </w:r>
          </w:p>
        </w:tc>
        <w:tc>
          <w:tcPr>
            <w:tcW w:w="1039" w:type="pct"/>
            <w:tcBorders>
              <w:top w:val="single" w:color="auto" w:sz="4" w:space="0"/>
              <w:left w:val="single" w:color="auto" w:sz="4" w:space="0"/>
              <w:bottom w:val="single" w:color="auto" w:sz="4" w:space="0"/>
              <w:right w:val="single" w:color="auto" w:sz="4" w:space="0"/>
            </w:tcBorders>
            <w:vAlign w:val="center"/>
          </w:tcPr>
          <w:p w14:paraId="79C761B3">
            <w:pPr>
              <w:jc w:val="right"/>
              <w:textAlignment w:val="bottom"/>
              <w:rPr>
                <w:rFonts w:cs="Times New Roman"/>
              </w:rPr>
            </w:pPr>
            <w:r>
              <w:rPr>
                <w:rFonts w:eastAsia="Arial Narrow" w:cs="Times New Roman"/>
                <w:color w:val="000000"/>
                <w:lang w:bidi="ar"/>
              </w:rPr>
              <w:t>13,260,789.43</w:t>
            </w:r>
          </w:p>
        </w:tc>
      </w:tr>
      <w:tr w14:paraId="032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FAC622D">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4BFE2BD8">
            <w:pPr>
              <w:textAlignment w:val="top"/>
              <w:rPr>
                <w:rFonts w:cs="Times New Roman"/>
              </w:rPr>
            </w:pPr>
            <w:r>
              <w:rPr>
                <w:rFonts w:cs="Times New Roman"/>
                <w:color w:val="000000"/>
                <w:lang w:bidi="ar"/>
              </w:rPr>
              <w:t>湖南中晟高分子新材料有限公司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4AE5796">
            <w:pPr>
              <w:jc w:val="right"/>
              <w:textAlignment w:val="bottom"/>
              <w:rPr>
                <w:rFonts w:cs="Times New Roman"/>
              </w:rPr>
            </w:pPr>
            <w:r>
              <w:rPr>
                <w:rFonts w:eastAsia="Arial Narrow" w:cs="Times New Roman"/>
                <w:color w:val="000000"/>
                <w:lang w:bidi="ar"/>
              </w:rPr>
              <w:t>4,552,841.79</w:t>
            </w:r>
          </w:p>
        </w:tc>
        <w:tc>
          <w:tcPr>
            <w:tcW w:w="1039" w:type="pct"/>
            <w:tcBorders>
              <w:top w:val="single" w:color="auto" w:sz="4" w:space="0"/>
              <w:left w:val="single" w:color="auto" w:sz="4" w:space="0"/>
              <w:bottom w:val="single" w:color="auto" w:sz="4" w:space="0"/>
              <w:right w:val="single" w:color="auto" w:sz="4" w:space="0"/>
            </w:tcBorders>
            <w:vAlign w:val="center"/>
          </w:tcPr>
          <w:p w14:paraId="61E76782">
            <w:pPr>
              <w:jc w:val="right"/>
              <w:textAlignment w:val="bottom"/>
              <w:rPr>
                <w:rFonts w:cs="Times New Roman"/>
              </w:rPr>
            </w:pPr>
            <w:r>
              <w:rPr>
                <w:rFonts w:eastAsia="Arial Narrow" w:cs="Times New Roman"/>
                <w:color w:val="000000"/>
                <w:lang w:bidi="ar"/>
              </w:rPr>
              <w:t>7,278,432.86</w:t>
            </w:r>
          </w:p>
        </w:tc>
      </w:tr>
      <w:tr w14:paraId="3BE6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F1C8C02">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79D8A47E">
            <w:pPr>
              <w:textAlignment w:val="top"/>
              <w:rPr>
                <w:rFonts w:cs="Times New Roman"/>
              </w:rPr>
            </w:pPr>
            <w:r>
              <w:rPr>
                <w:rFonts w:cs="Times New Roman"/>
                <w:color w:val="000000"/>
                <w:lang w:bidi="ar"/>
              </w:rPr>
              <w:t>财富嘉苑（天津）置业有限公司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768C8785">
            <w:pPr>
              <w:jc w:val="right"/>
              <w:textAlignment w:val="bottom"/>
              <w:rPr>
                <w:rFonts w:cs="Times New Roman"/>
              </w:rPr>
            </w:pPr>
            <w:r>
              <w:rPr>
                <w:rFonts w:eastAsia="Arial Narrow" w:cs="Times New Roman"/>
                <w:color w:val="000000"/>
                <w:lang w:bidi="ar"/>
              </w:rPr>
              <w:t>4,492,141.39</w:t>
            </w:r>
          </w:p>
        </w:tc>
        <w:tc>
          <w:tcPr>
            <w:tcW w:w="1039" w:type="pct"/>
            <w:tcBorders>
              <w:top w:val="single" w:color="auto" w:sz="4" w:space="0"/>
              <w:left w:val="single" w:color="auto" w:sz="4" w:space="0"/>
              <w:bottom w:val="single" w:color="auto" w:sz="4" w:space="0"/>
              <w:right w:val="single" w:color="auto" w:sz="4" w:space="0"/>
            </w:tcBorders>
            <w:vAlign w:val="center"/>
          </w:tcPr>
          <w:p w14:paraId="75019624">
            <w:pPr>
              <w:jc w:val="right"/>
              <w:textAlignment w:val="bottom"/>
              <w:rPr>
                <w:rFonts w:cs="Times New Roman"/>
              </w:rPr>
            </w:pPr>
            <w:r>
              <w:rPr>
                <w:rFonts w:eastAsia="Arial Narrow" w:cs="Times New Roman"/>
                <w:color w:val="000000"/>
                <w:lang w:bidi="ar"/>
              </w:rPr>
              <w:t>5,492,141.39</w:t>
            </w:r>
          </w:p>
        </w:tc>
      </w:tr>
      <w:tr w14:paraId="43F3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3C64E524">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39E10A0C">
            <w:pPr>
              <w:textAlignment w:val="top"/>
              <w:rPr>
                <w:rFonts w:cs="Times New Roman"/>
              </w:rPr>
            </w:pPr>
            <w:r>
              <w:rPr>
                <w:rFonts w:cs="Times New Roman"/>
                <w:color w:val="000000"/>
                <w:lang w:bidi="ar"/>
              </w:rPr>
              <w:t>新兴际华（北京）材料技术研究院有限公司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90A83B4">
            <w:pPr>
              <w:jc w:val="right"/>
              <w:textAlignment w:val="bottom"/>
              <w:rPr>
                <w:rFonts w:cs="Times New Roman"/>
              </w:rPr>
            </w:pPr>
            <w:r>
              <w:rPr>
                <w:rFonts w:eastAsia="Arial Narrow" w:cs="Times New Roman"/>
                <w:color w:val="000000"/>
                <w:lang w:bidi="ar"/>
              </w:rPr>
              <w:t>3,659,829.42</w:t>
            </w:r>
          </w:p>
        </w:tc>
        <w:tc>
          <w:tcPr>
            <w:tcW w:w="1039" w:type="pct"/>
            <w:tcBorders>
              <w:top w:val="single" w:color="auto" w:sz="4" w:space="0"/>
              <w:left w:val="single" w:color="auto" w:sz="4" w:space="0"/>
              <w:bottom w:val="single" w:color="auto" w:sz="4" w:space="0"/>
              <w:right w:val="single" w:color="auto" w:sz="4" w:space="0"/>
            </w:tcBorders>
            <w:vAlign w:val="center"/>
          </w:tcPr>
          <w:p w14:paraId="2B78A835">
            <w:pPr>
              <w:jc w:val="right"/>
              <w:textAlignment w:val="bottom"/>
              <w:rPr>
                <w:rFonts w:cs="Times New Roman"/>
              </w:rPr>
            </w:pPr>
            <w:r>
              <w:rPr>
                <w:rFonts w:eastAsia="Arial Narrow" w:cs="Times New Roman"/>
                <w:color w:val="000000"/>
                <w:lang w:bidi="ar"/>
              </w:rPr>
              <w:t>451,430.00</w:t>
            </w:r>
          </w:p>
        </w:tc>
      </w:tr>
      <w:tr w14:paraId="7497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3649EBF3">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1753E2C2">
            <w:pPr>
              <w:textAlignment w:val="top"/>
              <w:rPr>
                <w:rFonts w:cs="Times New Roman"/>
              </w:rPr>
            </w:pPr>
            <w:r>
              <w:rPr>
                <w:rFonts w:cs="Times New Roman"/>
                <w:color w:val="000000"/>
                <w:lang w:bidi="ar"/>
              </w:rPr>
              <w:t>石家庄际华资产管理有限公司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54493A1">
            <w:pPr>
              <w:jc w:val="right"/>
              <w:textAlignment w:val="bottom"/>
              <w:rPr>
                <w:rFonts w:cs="Times New Roman"/>
              </w:rPr>
            </w:pPr>
            <w:r>
              <w:rPr>
                <w:rFonts w:eastAsia="Arial Narrow" w:cs="Times New Roman"/>
                <w:color w:val="000000"/>
                <w:lang w:bidi="ar"/>
              </w:rPr>
              <w:t>2,952,910.63</w:t>
            </w:r>
          </w:p>
        </w:tc>
        <w:tc>
          <w:tcPr>
            <w:tcW w:w="1039" w:type="pct"/>
            <w:tcBorders>
              <w:top w:val="single" w:color="auto" w:sz="4" w:space="0"/>
              <w:left w:val="single" w:color="auto" w:sz="4" w:space="0"/>
              <w:bottom w:val="single" w:color="auto" w:sz="4" w:space="0"/>
              <w:right w:val="single" w:color="auto" w:sz="4" w:space="0"/>
            </w:tcBorders>
            <w:vAlign w:val="center"/>
          </w:tcPr>
          <w:p w14:paraId="295C57D3">
            <w:pPr>
              <w:jc w:val="right"/>
              <w:textAlignment w:val="bottom"/>
              <w:rPr>
                <w:rFonts w:cs="Times New Roman"/>
              </w:rPr>
            </w:pPr>
            <w:r>
              <w:rPr>
                <w:rFonts w:eastAsia="Arial Narrow" w:cs="Times New Roman"/>
                <w:color w:val="000000"/>
                <w:lang w:bidi="ar"/>
              </w:rPr>
              <w:t>5,645,720.38</w:t>
            </w:r>
          </w:p>
        </w:tc>
      </w:tr>
      <w:tr w14:paraId="6160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5098824C">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3B0598DC">
            <w:pPr>
              <w:textAlignment w:val="top"/>
              <w:rPr>
                <w:rFonts w:cs="Times New Roman"/>
              </w:rPr>
            </w:pPr>
            <w:r>
              <w:rPr>
                <w:rFonts w:cs="Times New Roman"/>
                <w:color w:val="000000"/>
                <w:lang w:bidi="ar"/>
              </w:rPr>
              <w:t>荷原置地控股有限公司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A6179DC">
            <w:pPr>
              <w:jc w:val="right"/>
              <w:textAlignment w:val="bottom"/>
              <w:rPr>
                <w:rFonts w:cs="Times New Roman"/>
              </w:rPr>
            </w:pPr>
            <w:r>
              <w:rPr>
                <w:rFonts w:eastAsia="Arial Narrow" w:cs="Times New Roman"/>
                <w:color w:val="000000"/>
                <w:lang w:bidi="ar"/>
              </w:rPr>
              <w:t>1,088,289.36</w:t>
            </w:r>
          </w:p>
        </w:tc>
        <w:tc>
          <w:tcPr>
            <w:tcW w:w="1039" w:type="pct"/>
            <w:tcBorders>
              <w:top w:val="single" w:color="auto" w:sz="4" w:space="0"/>
              <w:left w:val="single" w:color="auto" w:sz="4" w:space="0"/>
              <w:bottom w:val="single" w:color="auto" w:sz="4" w:space="0"/>
              <w:right w:val="single" w:color="auto" w:sz="4" w:space="0"/>
            </w:tcBorders>
            <w:vAlign w:val="center"/>
          </w:tcPr>
          <w:p w14:paraId="63F8CCCF">
            <w:pPr>
              <w:jc w:val="right"/>
              <w:rPr>
                <w:rFonts w:cs="Times New Roman"/>
              </w:rPr>
            </w:pPr>
          </w:p>
        </w:tc>
      </w:tr>
      <w:tr w14:paraId="58D3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AA87499">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0D1C182A">
            <w:pPr>
              <w:textAlignment w:val="top"/>
              <w:rPr>
                <w:rFonts w:cs="Times New Roman"/>
              </w:rPr>
            </w:pPr>
            <w:r>
              <w:rPr>
                <w:rFonts w:cs="Times New Roman"/>
                <w:color w:val="000000"/>
                <w:lang w:bidi="ar"/>
              </w:rPr>
              <w:t>新兴际华（上海）工程科技研究院有限公司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0AFACE80">
            <w:pPr>
              <w:jc w:val="right"/>
              <w:textAlignment w:val="bottom"/>
              <w:rPr>
                <w:rFonts w:cs="Times New Roman"/>
              </w:rPr>
            </w:pPr>
            <w:r>
              <w:rPr>
                <w:rFonts w:eastAsia="Arial Narrow" w:cs="Times New Roman"/>
                <w:color w:val="000000"/>
                <w:lang w:bidi="ar"/>
              </w:rPr>
              <w:t>981,320.75</w:t>
            </w:r>
          </w:p>
        </w:tc>
        <w:tc>
          <w:tcPr>
            <w:tcW w:w="1039" w:type="pct"/>
            <w:tcBorders>
              <w:top w:val="single" w:color="auto" w:sz="4" w:space="0"/>
              <w:left w:val="single" w:color="auto" w:sz="4" w:space="0"/>
              <w:bottom w:val="single" w:color="auto" w:sz="4" w:space="0"/>
              <w:right w:val="single" w:color="auto" w:sz="4" w:space="0"/>
            </w:tcBorders>
            <w:vAlign w:val="center"/>
          </w:tcPr>
          <w:p w14:paraId="38211B88">
            <w:pPr>
              <w:jc w:val="right"/>
              <w:textAlignment w:val="bottom"/>
              <w:rPr>
                <w:rFonts w:cs="Times New Roman"/>
              </w:rPr>
            </w:pPr>
            <w:r>
              <w:rPr>
                <w:rFonts w:eastAsia="Arial Narrow" w:cs="Times New Roman"/>
                <w:color w:val="000000"/>
                <w:lang w:bidi="ar"/>
              </w:rPr>
              <w:t>1,962,641.50</w:t>
            </w:r>
          </w:p>
        </w:tc>
      </w:tr>
      <w:tr w14:paraId="42F0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31CF2B3">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49DA4AA5">
            <w:pPr>
              <w:textAlignment w:val="top"/>
              <w:rPr>
                <w:rFonts w:cs="Times New Roman"/>
              </w:rPr>
            </w:pPr>
            <w:r>
              <w:rPr>
                <w:rFonts w:cs="Times New Roman"/>
                <w:color w:val="000000"/>
                <w:lang w:bidi="ar"/>
              </w:rPr>
              <w:t>南京英斯瑞德高分子材料股份有限公司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8C00D82">
            <w:pPr>
              <w:jc w:val="right"/>
              <w:textAlignment w:val="bottom"/>
              <w:rPr>
                <w:rFonts w:cs="Times New Roman"/>
              </w:rPr>
            </w:pPr>
            <w:r>
              <w:rPr>
                <w:rFonts w:eastAsia="Arial Narrow" w:cs="Times New Roman"/>
                <w:color w:val="000000"/>
                <w:lang w:bidi="ar"/>
              </w:rPr>
              <w:t>738,852.99</w:t>
            </w:r>
          </w:p>
        </w:tc>
        <w:tc>
          <w:tcPr>
            <w:tcW w:w="1039" w:type="pct"/>
            <w:tcBorders>
              <w:top w:val="single" w:color="auto" w:sz="4" w:space="0"/>
              <w:left w:val="single" w:color="auto" w:sz="4" w:space="0"/>
              <w:bottom w:val="single" w:color="auto" w:sz="4" w:space="0"/>
              <w:right w:val="single" w:color="auto" w:sz="4" w:space="0"/>
            </w:tcBorders>
            <w:vAlign w:val="center"/>
          </w:tcPr>
          <w:p w14:paraId="013BB326">
            <w:pPr>
              <w:jc w:val="right"/>
              <w:textAlignment w:val="bottom"/>
              <w:rPr>
                <w:rFonts w:cs="Times New Roman"/>
              </w:rPr>
            </w:pPr>
            <w:r>
              <w:rPr>
                <w:rFonts w:eastAsia="Arial Narrow" w:cs="Times New Roman"/>
                <w:color w:val="000000"/>
                <w:lang w:bidi="ar"/>
              </w:rPr>
              <w:t>3,788,593.77</w:t>
            </w:r>
          </w:p>
        </w:tc>
      </w:tr>
      <w:tr w14:paraId="357C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4D5D675">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4660E66F">
            <w:pPr>
              <w:textAlignment w:val="top"/>
              <w:rPr>
                <w:rFonts w:cs="Times New Roman"/>
              </w:rPr>
            </w:pPr>
            <w:r>
              <w:rPr>
                <w:rFonts w:cs="Times New Roman"/>
                <w:color w:val="000000"/>
                <w:lang w:bidi="ar"/>
              </w:rPr>
              <w:t>辽宁际华三五二三特种装备有限公司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EF7EEC2">
            <w:pPr>
              <w:jc w:val="right"/>
              <w:textAlignment w:val="bottom"/>
              <w:rPr>
                <w:rFonts w:cs="Times New Roman"/>
              </w:rPr>
            </w:pPr>
            <w:r>
              <w:rPr>
                <w:rFonts w:eastAsia="Arial Narrow" w:cs="Times New Roman"/>
                <w:color w:val="000000"/>
                <w:lang w:bidi="ar"/>
              </w:rPr>
              <w:t>648,089.16</w:t>
            </w:r>
          </w:p>
        </w:tc>
        <w:tc>
          <w:tcPr>
            <w:tcW w:w="1039" w:type="pct"/>
            <w:tcBorders>
              <w:top w:val="single" w:color="auto" w:sz="4" w:space="0"/>
              <w:left w:val="single" w:color="auto" w:sz="4" w:space="0"/>
              <w:bottom w:val="single" w:color="auto" w:sz="4" w:space="0"/>
              <w:right w:val="single" w:color="auto" w:sz="4" w:space="0"/>
            </w:tcBorders>
            <w:vAlign w:val="center"/>
          </w:tcPr>
          <w:p w14:paraId="014B1D28">
            <w:pPr>
              <w:jc w:val="right"/>
              <w:textAlignment w:val="bottom"/>
              <w:rPr>
                <w:rFonts w:cs="Times New Roman"/>
              </w:rPr>
            </w:pPr>
            <w:r>
              <w:rPr>
                <w:rFonts w:eastAsia="Arial Narrow" w:cs="Times New Roman"/>
                <w:color w:val="000000"/>
                <w:lang w:bidi="ar"/>
              </w:rPr>
              <w:t>1,238,021.31</w:t>
            </w:r>
          </w:p>
        </w:tc>
      </w:tr>
      <w:tr w14:paraId="3F5B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054B4A9">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4FD10D4C">
            <w:pPr>
              <w:textAlignment w:val="top"/>
              <w:rPr>
                <w:rFonts w:cs="Times New Roman"/>
              </w:rPr>
            </w:pPr>
            <w:r>
              <w:rPr>
                <w:rFonts w:cs="Times New Roman"/>
                <w:color w:val="000000"/>
                <w:lang w:bidi="ar"/>
              </w:rPr>
              <w:t>南京新际资产运营有限公司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0E475C34">
            <w:pPr>
              <w:jc w:val="right"/>
              <w:textAlignment w:val="bottom"/>
              <w:rPr>
                <w:rFonts w:cs="Times New Roman"/>
              </w:rPr>
            </w:pPr>
            <w:r>
              <w:rPr>
                <w:rFonts w:eastAsia="Arial Narrow" w:cs="Times New Roman"/>
                <w:color w:val="000000"/>
                <w:lang w:bidi="ar"/>
              </w:rPr>
              <w:t>483,911.08</w:t>
            </w:r>
          </w:p>
        </w:tc>
        <w:tc>
          <w:tcPr>
            <w:tcW w:w="1039" w:type="pct"/>
            <w:tcBorders>
              <w:top w:val="single" w:color="auto" w:sz="4" w:space="0"/>
              <w:left w:val="single" w:color="auto" w:sz="4" w:space="0"/>
              <w:bottom w:val="single" w:color="auto" w:sz="4" w:space="0"/>
              <w:right w:val="single" w:color="auto" w:sz="4" w:space="0"/>
            </w:tcBorders>
            <w:vAlign w:val="center"/>
          </w:tcPr>
          <w:p w14:paraId="4D635FE4">
            <w:pPr>
              <w:jc w:val="right"/>
              <w:textAlignment w:val="bottom"/>
              <w:rPr>
                <w:rFonts w:cs="Times New Roman"/>
              </w:rPr>
            </w:pPr>
            <w:r>
              <w:rPr>
                <w:rFonts w:eastAsia="Arial Narrow" w:cs="Times New Roman"/>
                <w:color w:val="000000"/>
                <w:lang w:bidi="ar"/>
              </w:rPr>
              <w:t>659,522.82</w:t>
            </w:r>
          </w:p>
        </w:tc>
      </w:tr>
      <w:tr w14:paraId="51E4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B4145CE">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1F6AC0B9">
            <w:pPr>
              <w:textAlignment w:val="top"/>
              <w:rPr>
                <w:rFonts w:cs="Times New Roman"/>
              </w:rPr>
            </w:pPr>
            <w:r>
              <w:rPr>
                <w:rFonts w:cs="Times New Roman"/>
                <w:color w:val="000000"/>
                <w:lang w:bidi="ar"/>
              </w:rPr>
              <w:t>际华五三零三服装有限公司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1720BAB">
            <w:pPr>
              <w:jc w:val="right"/>
              <w:textAlignment w:val="bottom"/>
              <w:rPr>
                <w:rFonts w:cs="Times New Roman"/>
              </w:rPr>
            </w:pPr>
            <w:r>
              <w:rPr>
                <w:rFonts w:eastAsia="Arial Narrow" w:cs="Times New Roman"/>
                <w:color w:val="000000"/>
                <w:lang w:bidi="ar"/>
              </w:rPr>
              <w:t>430,000.00</w:t>
            </w:r>
          </w:p>
        </w:tc>
        <w:tc>
          <w:tcPr>
            <w:tcW w:w="1039" w:type="pct"/>
            <w:tcBorders>
              <w:top w:val="single" w:color="auto" w:sz="4" w:space="0"/>
              <w:left w:val="single" w:color="auto" w:sz="4" w:space="0"/>
              <w:bottom w:val="single" w:color="auto" w:sz="4" w:space="0"/>
              <w:right w:val="single" w:color="auto" w:sz="4" w:space="0"/>
            </w:tcBorders>
            <w:vAlign w:val="center"/>
          </w:tcPr>
          <w:p w14:paraId="3DEF1C99">
            <w:pPr>
              <w:jc w:val="right"/>
              <w:textAlignment w:val="bottom"/>
              <w:rPr>
                <w:rFonts w:cs="Times New Roman"/>
              </w:rPr>
            </w:pPr>
            <w:r>
              <w:rPr>
                <w:rFonts w:eastAsia="Arial Narrow" w:cs="Times New Roman"/>
                <w:color w:val="000000"/>
                <w:lang w:bidi="ar"/>
              </w:rPr>
              <w:t>430,000.00</w:t>
            </w:r>
          </w:p>
        </w:tc>
      </w:tr>
      <w:tr w14:paraId="1F7F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BAFB843">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0E3FBE89">
            <w:pPr>
              <w:textAlignment w:val="top"/>
              <w:rPr>
                <w:rFonts w:cs="Times New Roman"/>
              </w:rPr>
            </w:pPr>
            <w:r>
              <w:rPr>
                <w:rFonts w:cs="Times New Roman"/>
                <w:color w:val="000000"/>
                <w:lang w:bidi="ar"/>
              </w:rPr>
              <w:t>新兴际华投资有限公司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0A40990F">
            <w:pPr>
              <w:jc w:val="right"/>
              <w:textAlignment w:val="bottom"/>
              <w:rPr>
                <w:rFonts w:cs="Times New Roman"/>
              </w:rPr>
            </w:pPr>
            <w:r>
              <w:rPr>
                <w:rFonts w:eastAsia="Arial Narrow" w:cs="Times New Roman"/>
                <w:color w:val="000000"/>
                <w:lang w:bidi="ar"/>
              </w:rPr>
              <w:t>258,345.76</w:t>
            </w:r>
          </w:p>
        </w:tc>
        <w:tc>
          <w:tcPr>
            <w:tcW w:w="1039" w:type="pct"/>
            <w:tcBorders>
              <w:top w:val="single" w:color="auto" w:sz="4" w:space="0"/>
              <w:left w:val="single" w:color="auto" w:sz="4" w:space="0"/>
              <w:bottom w:val="single" w:color="auto" w:sz="4" w:space="0"/>
              <w:right w:val="single" w:color="auto" w:sz="4" w:space="0"/>
            </w:tcBorders>
            <w:vAlign w:val="center"/>
          </w:tcPr>
          <w:p w14:paraId="0B56344E">
            <w:pPr>
              <w:jc w:val="right"/>
              <w:textAlignment w:val="bottom"/>
              <w:rPr>
                <w:rFonts w:cs="Times New Roman"/>
              </w:rPr>
            </w:pPr>
            <w:r>
              <w:rPr>
                <w:rFonts w:eastAsia="Arial Narrow" w:cs="Times New Roman"/>
                <w:color w:val="000000"/>
                <w:lang w:bidi="ar"/>
              </w:rPr>
              <w:t>258,345.76</w:t>
            </w:r>
          </w:p>
        </w:tc>
      </w:tr>
      <w:tr w14:paraId="19CD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029AFFC">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301622F8">
            <w:pPr>
              <w:textAlignment w:val="top"/>
              <w:rPr>
                <w:rFonts w:cs="Times New Roman"/>
              </w:rPr>
            </w:pPr>
            <w:r>
              <w:rPr>
                <w:rFonts w:cs="Times New Roman"/>
                <w:color w:val="000000"/>
                <w:lang w:bidi="ar"/>
              </w:rPr>
              <w:t>上海际华物流有限公司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7031A29">
            <w:pPr>
              <w:jc w:val="right"/>
              <w:textAlignment w:val="bottom"/>
              <w:rPr>
                <w:rFonts w:cs="Times New Roman"/>
              </w:rPr>
            </w:pPr>
            <w:r>
              <w:rPr>
                <w:rFonts w:eastAsia="Arial Narrow" w:cs="Times New Roman"/>
                <w:color w:val="000000"/>
                <w:lang w:bidi="ar"/>
              </w:rPr>
              <w:t>117,685.04</w:t>
            </w:r>
          </w:p>
        </w:tc>
        <w:tc>
          <w:tcPr>
            <w:tcW w:w="1039" w:type="pct"/>
            <w:tcBorders>
              <w:top w:val="single" w:color="auto" w:sz="4" w:space="0"/>
              <w:left w:val="single" w:color="auto" w:sz="4" w:space="0"/>
              <w:bottom w:val="single" w:color="auto" w:sz="4" w:space="0"/>
              <w:right w:val="single" w:color="auto" w:sz="4" w:space="0"/>
            </w:tcBorders>
            <w:vAlign w:val="center"/>
          </w:tcPr>
          <w:p w14:paraId="6ABA7B91">
            <w:pPr>
              <w:jc w:val="right"/>
              <w:textAlignment w:val="bottom"/>
              <w:rPr>
                <w:rFonts w:cs="Times New Roman"/>
              </w:rPr>
            </w:pPr>
            <w:r>
              <w:rPr>
                <w:rFonts w:eastAsia="Arial Narrow" w:cs="Times New Roman"/>
                <w:color w:val="000000"/>
                <w:lang w:bidi="ar"/>
              </w:rPr>
              <w:t>140,616.42</w:t>
            </w:r>
          </w:p>
        </w:tc>
      </w:tr>
      <w:tr w14:paraId="5E44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00FA762">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4EE53F96">
            <w:pPr>
              <w:textAlignment w:val="top"/>
              <w:rPr>
                <w:rFonts w:cs="Times New Roman"/>
              </w:rPr>
            </w:pPr>
            <w:r>
              <w:rPr>
                <w:rFonts w:cs="Times New Roman"/>
                <w:color w:val="000000"/>
                <w:lang w:bidi="ar"/>
              </w:rPr>
              <w:t>际华三五二三特种装备有限公司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11D417A">
            <w:pPr>
              <w:jc w:val="right"/>
              <w:textAlignment w:val="bottom"/>
              <w:rPr>
                <w:rFonts w:cs="Times New Roman"/>
              </w:rPr>
            </w:pPr>
            <w:r>
              <w:rPr>
                <w:rFonts w:eastAsia="Arial Narrow" w:cs="Times New Roman"/>
                <w:color w:val="000000"/>
                <w:lang w:bidi="ar"/>
              </w:rPr>
              <w:t>71,339.40</w:t>
            </w:r>
          </w:p>
        </w:tc>
        <w:tc>
          <w:tcPr>
            <w:tcW w:w="1039" w:type="pct"/>
            <w:tcBorders>
              <w:top w:val="single" w:color="auto" w:sz="4" w:space="0"/>
              <w:left w:val="single" w:color="auto" w:sz="4" w:space="0"/>
              <w:bottom w:val="single" w:color="auto" w:sz="4" w:space="0"/>
              <w:right w:val="single" w:color="auto" w:sz="4" w:space="0"/>
            </w:tcBorders>
            <w:vAlign w:val="center"/>
          </w:tcPr>
          <w:p w14:paraId="6065F089">
            <w:pPr>
              <w:jc w:val="right"/>
              <w:textAlignment w:val="bottom"/>
              <w:rPr>
                <w:rFonts w:cs="Times New Roman"/>
              </w:rPr>
            </w:pPr>
            <w:r>
              <w:rPr>
                <w:rFonts w:eastAsia="Arial Narrow" w:cs="Times New Roman"/>
                <w:color w:val="000000"/>
                <w:lang w:bidi="ar"/>
              </w:rPr>
              <w:t>71,339.40</w:t>
            </w:r>
          </w:p>
        </w:tc>
      </w:tr>
      <w:tr w14:paraId="1140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D418D87">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269DD95C">
            <w:pPr>
              <w:textAlignment w:val="top"/>
              <w:rPr>
                <w:rFonts w:cs="Times New Roman"/>
              </w:rPr>
            </w:pPr>
            <w:r>
              <w:rPr>
                <w:rFonts w:cs="Times New Roman"/>
                <w:color w:val="000000"/>
                <w:lang w:bidi="ar"/>
              </w:rPr>
              <w:t>新兴移山（天津）重工有限公司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1F1D70B">
            <w:pPr>
              <w:jc w:val="right"/>
              <w:textAlignment w:val="bottom"/>
              <w:rPr>
                <w:rFonts w:cs="Times New Roman"/>
              </w:rPr>
            </w:pPr>
            <w:r>
              <w:rPr>
                <w:rFonts w:eastAsia="Arial Narrow" w:cs="Times New Roman"/>
                <w:color w:val="000000"/>
                <w:lang w:bidi="ar"/>
              </w:rPr>
              <w:t>26,100.00</w:t>
            </w:r>
          </w:p>
        </w:tc>
        <w:tc>
          <w:tcPr>
            <w:tcW w:w="1039" w:type="pct"/>
            <w:tcBorders>
              <w:top w:val="single" w:color="auto" w:sz="4" w:space="0"/>
              <w:left w:val="single" w:color="auto" w:sz="4" w:space="0"/>
              <w:bottom w:val="single" w:color="auto" w:sz="4" w:space="0"/>
              <w:right w:val="single" w:color="auto" w:sz="4" w:space="0"/>
            </w:tcBorders>
            <w:vAlign w:val="center"/>
          </w:tcPr>
          <w:p w14:paraId="154B9C53">
            <w:pPr>
              <w:jc w:val="right"/>
              <w:textAlignment w:val="bottom"/>
              <w:rPr>
                <w:rFonts w:cs="Times New Roman"/>
              </w:rPr>
            </w:pPr>
            <w:r>
              <w:rPr>
                <w:rFonts w:eastAsia="Arial Narrow" w:cs="Times New Roman"/>
                <w:color w:val="000000"/>
                <w:lang w:bidi="ar"/>
              </w:rPr>
              <w:t>26,100.00</w:t>
            </w:r>
          </w:p>
        </w:tc>
      </w:tr>
      <w:tr w14:paraId="3330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4D875F3">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51E1F43D">
            <w:pPr>
              <w:textAlignment w:val="top"/>
              <w:rPr>
                <w:rFonts w:cs="Times New Roman"/>
              </w:rPr>
            </w:pPr>
            <w:r>
              <w:rPr>
                <w:rFonts w:cs="Times New Roman"/>
                <w:color w:val="000000"/>
                <w:lang w:bidi="ar"/>
              </w:rPr>
              <w:t>新兴际华物业服务（北京）有限公司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194C4E34">
            <w:pPr>
              <w:jc w:val="right"/>
              <w:textAlignment w:val="bottom"/>
              <w:rPr>
                <w:rFonts w:cs="Times New Roman"/>
              </w:rPr>
            </w:pPr>
            <w:r>
              <w:rPr>
                <w:rFonts w:eastAsia="Arial Narrow" w:cs="Times New Roman"/>
                <w:color w:val="000000"/>
                <w:lang w:bidi="ar"/>
              </w:rPr>
              <w:t>12,460.70</w:t>
            </w:r>
          </w:p>
        </w:tc>
        <w:tc>
          <w:tcPr>
            <w:tcW w:w="1039" w:type="pct"/>
            <w:tcBorders>
              <w:top w:val="single" w:color="auto" w:sz="4" w:space="0"/>
              <w:left w:val="single" w:color="auto" w:sz="4" w:space="0"/>
              <w:bottom w:val="single" w:color="auto" w:sz="4" w:space="0"/>
              <w:right w:val="single" w:color="auto" w:sz="4" w:space="0"/>
            </w:tcBorders>
            <w:vAlign w:val="center"/>
          </w:tcPr>
          <w:p w14:paraId="119C6245">
            <w:pPr>
              <w:jc w:val="right"/>
              <w:textAlignment w:val="bottom"/>
              <w:rPr>
                <w:rFonts w:cs="Times New Roman"/>
              </w:rPr>
            </w:pPr>
            <w:r>
              <w:rPr>
                <w:rFonts w:eastAsia="Arial Narrow" w:cs="Times New Roman"/>
                <w:color w:val="000000"/>
                <w:lang w:bidi="ar"/>
              </w:rPr>
              <w:t>751,354.76</w:t>
            </w:r>
          </w:p>
        </w:tc>
      </w:tr>
      <w:tr w14:paraId="78AD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6F45C5A">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36BE22CC">
            <w:pPr>
              <w:textAlignment w:val="top"/>
              <w:rPr>
                <w:rFonts w:cs="Times New Roman"/>
              </w:rPr>
            </w:pPr>
            <w:r>
              <w:rPr>
                <w:rFonts w:cs="Times New Roman"/>
                <w:color w:val="000000"/>
                <w:lang w:bidi="ar"/>
              </w:rPr>
              <w:t>新兴际华检验检测（北京）有限公司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142D721E">
            <w:pPr>
              <w:jc w:val="right"/>
              <w:textAlignment w:val="bottom"/>
              <w:rPr>
                <w:rFonts w:cs="Times New Roman"/>
              </w:rPr>
            </w:pPr>
            <w:r>
              <w:rPr>
                <w:rFonts w:eastAsia="Arial Narrow" w:cs="Times New Roman"/>
                <w:color w:val="000000"/>
                <w:lang w:bidi="ar"/>
              </w:rPr>
              <w:t>3,430.00</w:t>
            </w:r>
          </w:p>
        </w:tc>
        <w:tc>
          <w:tcPr>
            <w:tcW w:w="1039" w:type="pct"/>
            <w:tcBorders>
              <w:top w:val="single" w:color="auto" w:sz="4" w:space="0"/>
              <w:left w:val="single" w:color="auto" w:sz="4" w:space="0"/>
              <w:bottom w:val="single" w:color="auto" w:sz="4" w:space="0"/>
              <w:right w:val="single" w:color="auto" w:sz="4" w:space="0"/>
            </w:tcBorders>
            <w:vAlign w:val="center"/>
          </w:tcPr>
          <w:p w14:paraId="2FD69BA3">
            <w:pPr>
              <w:jc w:val="right"/>
              <w:rPr>
                <w:rFonts w:cs="Times New Roman"/>
              </w:rPr>
            </w:pPr>
          </w:p>
        </w:tc>
      </w:tr>
      <w:tr w14:paraId="304D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0AEA3C0">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0FB16AB0">
            <w:pPr>
              <w:textAlignment w:val="top"/>
              <w:rPr>
                <w:rFonts w:cs="Times New Roman"/>
              </w:rPr>
            </w:pPr>
            <w:r>
              <w:rPr>
                <w:rFonts w:cs="Times New Roman"/>
                <w:color w:val="000000"/>
                <w:lang w:bidi="ar"/>
              </w:rPr>
              <w:t>际华军研（北京）特种装备科技有限公司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1E406FCF">
            <w:pPr>
              <w:jc w:val="right"/>
              <w:textAlignment w:val="bottom"/>
              <w:rPr>
                <w:rFonts w:cs="Times New Roman"/>
              </w:rPr>
            </w:pPr>
            <w:r>
              <w:rPr>
                <w:rFonts w:eastAsia="Arial Narrow" w:cs="Times New Roman"/>
                <w:color w:val="000000"/>
                <w:lang w:bidi="ar"/>
              </w:rPr>
              <w:t>3,237.00</w:t>
            </w:r>
          </w:p>
        </w:tc>
        <w:tc>
          <w:tcPr>
            <w:tcW w:w="1039" w:type="pct"/>
            <w:tcBorders>
              <w:top w:val="single" w:color="auto" w:sz="4" w:space="0"/>
              <w:left w:val="single" w:color="auto" w:sz="4" w:space="0"/>
              <w:bottom w:val="single" w:color="auto" w:sz="4" w:space="0"/>
              <w:right w:val="single" w:color="auto" w:sz="4" w:space="0"/>
            </w:tcBorders>
            <w:vAlign w:val="center"/>
          </w:tcPr>
          <w:p w14:paraId="292248C5">
            <w:pPr>
              <w:jc w:val="right"/>
              <w:textAlignment w:val="bottom"/>
              <w:rPr>
                <w:rFonts w:cs="Times New Roman"/>
              </w:rPr>
            </w:pPr>
            <w:r>
              <w:rPr>
                <w:rFonts w:eastAsia="Arial Narrow" w:cs="Times New Roman"/>
                <w:color w:val="000000"/>
                <w:lang w:bidi="ar"/>
              </w:rPr>
              <w:t>3,237.00</w:t>
            </w:r>
          </w:p>
        </w:tc>
      </w:tr>
      <w:tr w14:paraId="4E76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53EF435">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6E2F15F6">
            <w:pPr>
              <w:textAlignment w:val="top"/>
              <w:rPr>
                <w:rFonts w:cs="Times New Roman"/>
              </w:rPr>
            </w:pPr>
            <w:r>
              <w:rPr>
                <w:rFonts w:cs="Times New Roman"/>
                <w:color w:val="000000"/>
                <w:lang w:bidi="ar"/>
              </w:rPr>
              <w:t>济南泰山鞋厂</w:t>
            </w:r>
          </w:p>
        </w:tc>
        <w:tc>
          <w:tcPr>
            <w:tcW w:w="1085" w:type="pct"/>
            <w:tcBorders>
              <w:top w:val="single" w:color="auto" w:sz="4" w:space="0"/>
              <w:left w:val="single" w:color="auto" w:sz="4" w:space="0"/>
              <w:bottom w:val="single" w:color="auto" w:sz="4" w:space="0"/>
              <w:right w:val="single" w:color="auto" w:sz="4" w:space="0"/>
            </w:tcBorders>
            <w:vAlign w:val="center"/>
          </w:tcPr>
          <w:p w14:paraId="56D18171">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42B94F5D">
            <w:pPr>
              <w:jc w:val="right"/>
              <w:textAlignment w:val="bottom"/>
              <w:rPr>
                <w:rFonts w:cs="Times New Roman"/>
              </w:rPr>
            </w:pPr>
            <w:r>
              <w:rPr>
                <w:rFonts w:eastAsia="Arial Narrow" w:cs="Times New Roman"/>
                <w:color w:val="000000"/>
                <w:lang w:bidi="ar"/>
              </w:rPr>
              <w:t>9,810.19</w:t>
            </w:r>
          </w:p>
        </w:tc>
      </w:tr>
      <w:tr w14:paraId="4F9A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59D5D811">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473F7B1A">
            <w:pPr>
              <w:textAlignment w:val="top"/>
              <w:rPr>
                <w:rFonts w:cs="Times New Roman"/>
              </w:rPr>
            </w:pPr>
            <w:r>
              <w:rPr>
                <w:rFonts w:cs="Times New Roman"/>
                <w:color w:val="000000"/>
                <w:lang w:bidi="ar"/>
              </w:rPr>
              <w:t>新兴际华应急装备技术有限公司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DA8B3D1">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7A38689F">
            <w:pPr>
              <w:jc w:val="right"/>
              <w:textAlignment w:val="bottom"/>
              <w:rPr>
                <w:rFonts w:cs="Times New Roman"/>
              </w:rPr>
            </w:pPr>
            <w:r>
              <w:rPr>
                <w:rFonts w:eastAsia="Arial Narrow" w:cs="Times New Roman"/>
                <w:color w:val="000000"/>
                <w:lang w:bidi="ar"/>
              </w:rPr>
              <w:t>69,312.00</w:t>
            </w:r>
          </w:p>
        </w:tc>
      </w:tr>
      <w:tr w14:paraId="6F06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3DA075F">
            <w:pPr>
              <w:textAlignment w:val="bottom"/>
              <w:rPr>
                <w:rFonts w:cs="Times New Roman"/>
              </w:rPr>
            </w:pPr>
            <w:r>
              <w:rPr>
                <w:rFonts w:cs="Times New Roman"/>
                <w:color w:val="000000"/>
                <w:lang w:bidi="ar"/>
              </w:rPr>
              <w:t>应付账款</w:t>
            </w:r>
          </w:p>
        </w:tc>
        <w:tc>
          <w:tcPr>
            <w:tcW w:w="2034" w:type="pct"/>
            <w:tcBorders>
              <w:top w:val="single" w:color="auto" w:sz="4" w:space="0"/>
              <w:left w:val="single" w:color="auto" w:sz="4" w:space="0"/>
              <w:bottom w:val="single" w:color="auto" w:sz="4" w:space="0"/>
              <w:right w:val="single" w:color="auto" w:sz="4" w:space="0"/>
            </w:tcBorders>
            <w:vAlign w:val="center"/>
          </w:tcPr>
          <w:p w14:paraId="3DAD12A6">
            <w:pPr>
              <w:textAlignment w:val="top"/>
              <w:rPr>
                <w:rFonts w:cs="Times New Roman"/>
              </w:rPr>
            </w:pPr>
            <w:r>
              <w:rPr>
                <w:rFonts w:cs="Times New Roman"/>
                <w:color w:val="000000"/>
                <w:lang w:bidi="ar"/>
              </w:rPr>
              <w:t>河北玄德智能科技发展股份有限公司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92DF81F">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3E70461D">
            <w:pPr>
              <w:jc w:val="right"/>
              <w:textAlignment w:val="bottom"/>
              <w:rPr>
                <w:rFonts w:cs="Times New Roman"/>
              </w:rPr>
            </w:pPr>
            <w:r>
              <w:rPr>
                <w:rFonts w:eastAsia="Arial Narrow" w:cs="Times New Roman"/>
                <w:color w:val="000000"/>
                <w:lang w:bidi="ar"/>
              </w:rPr>
              <w:t>50,000.00</w:t>
            </w:r>
          </w:p>
        </w:tc>
      </w:tr>
      <w:tr w14:paraId="71AE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AE2CEF2">
            <w:pPr>
              <w:textAlignment w:val="bottom"/>
              <w:rPr>
                <w:rFonts w:cs="Times New Roman"/>
              </w:rPr>
            </w:pPr>
            <w:r>
              <w:rPr>
                <w:rFonts w:cs="Times New Roman"/>
                <w:color w:val="000000"/>
                <w:lang w:bidi="ar"/>
              </w:rPr>
              <w:t>应付票据</w:t>
            </w:r>
          </w:p>
        </w:tc>
        <w:tc>
          <w:tcPr>
            <w:tcW w:w="2034" w:type="pct"/>
            <w:tcBorders>
              <w:top w:val="single" w:color="auto" w:sz="4" w:space="0"/>
              <w:left w:val="single" w:color="auto" w:sz="4" w:space="0"/>
              <w:bottom w:val="single" w:color="auto" w:sz="4" w:space="0"/>
              <w:right w:val="single" w:color="auto" w:sz="4" w:space="0"/>
            </w:tcBorders>
            <w:vAlign w:val="center"/>
          </w:tcPr>
          <w:p w14:paraId="0503FE74">
            <w:pPr>
              <w:rPr>
                <w:rFonts w:cs="Times New Roman"/>
              </w:rPr>
            </w:pPr>
          </w:p>
        </w:tc>
        <w:tc>
          <w:tcPr>
            <w:tcW w:w="1085" w:type="pct"/>
            <w:tcBorders>
              <w:top w:val="single" w:color="auto" w:sz="4" w:space="0"/>
              <w:left w:val="single" w:color="auto" w:sz="4" w:space="0"/>
              <w:bottom w:val="single" w:color="auto" w:sz="4" w:space="0"/>
              <w:right w:val="single" w:color="auto" w:sz="4" w:space="0"/>
            </w:tcBorders>
            <w:vAlign w:val="center"/>
          </w:tcPr>
          <w:p w14:paraId="1262836B">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6DB388D1">
            <w:pPr>
              <w:jc w:val="right"/>
              <w:rPr>
                <w:rFonts w:cs="Times New Roman"/>
              </w:rPr>
            </w:pPr>
          </w:p>
        </w:tc>
      </w:tr>
      <w:tr w14:paraId="01F6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EC0DDEA">
            <w:pPr>
              <w:textAlignment w:val="bottom"/>
              <w:rPr>
                <w:rFonts w:cs="Times New Roman"/>
              </w:rPr>
            </w:pPr>
            <w:r>
              <w:rPr>
                <w:rFonts w:cs="Times New Roman"/>
                <w:color w:val="000000"/>
                <w:lang w:bidi="ar"/>
              </w:rPr>
              <w:t>应付票据</w:t>
            </w:r>
          </w:p>
        </w:tc>
        <w:tc>
          <w:tcPr>
            <w:tcW w:w="2034" w:type="pct"/>
            <w:tcBorders>
              <w:top w:val="single" w:color="auto" w:sz="4" w:space="0"/>
              <w:left w:val="single" w:color="auto" w:sz="4" w:space="0"/>
              <w:bottom w:val="single" w:color="auto" w:sz="4" w:space="0"/>
              <w:right w:val="single" w:color="auto" w:sz="4" w:space="0"/>
            </w:tcBorders>
            <w:vAlign w:val="center"/>
          </w:tcPr>
          <w:p w14:paraId="643BF14B">
            <w:pPr>
              <w:textAlignment w:val="top"/>
              <w:rPr>
                <w:rFonts w:cs="Times New Roman"/>
              </w:rPr>
            </w:pPr>
            <w:r>
              <w:rPr>
                <w:rFonts w:cs="Times New Roman"/>
                <w:color w:val="000000"/>
                <w:lang w:bidi="ar"/>
              </w:rPr>
              <w:t>石家庄际华资产管理有限公司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07EB997">
            <w:pPr>
              <w:jc w:val="right"/>
              <w:textAlignment w:val="bottom"/>
              <w:rPr>
                <w:rFonts w:cs="Times New Roman"/>
              </w:rPr>
            </w:pPr>
            <w:r>
              <w:rPr>
                <w:rFonts w:eastAsia="Arial Narrow" w:cs="Times New Roman"/>
                <w:color w:val="000000"/>
                <w:lang w:bidi="ar"/>
              </w:rPr>
              <w:t>8,000,000.00</w:t>
            </w:r>
          </w:p>
        </w:tc>
        <w:tc>
          <w:tcPr>
            <w:tcW w:w="1039" w:type="pct"/>
            <w:tcBorders>
              <w:top w:val="single" w:color="auto" w:sz="4" w:space="0"/>
              <w:left w:val="single" w:color="auto" w:sz="4" w:space="0"/>
              <w:bottom w:val="single" w:color="auto" w:sz="4" w:space="0"/>
              <w:right w:val="single" w:color="auto" w:sz="4" w:space="0"/>
            </w:tcBorders>
            <w:vAlign w:val="center"/>
          </w:tcPr>
          <w:p w14:paraId="3D0A67C5">
            <w:pPr>
              <w:jc w:val="right"/>
              <w:textAlignment w:val="bottom"/>
              <w:rPr>
                <w:rFonts w:cs="Times New Roman"/>
              </w:rPr>
            </w:pPr>
            <w:r>
              <w:rPr>
                <w:rFonts w:eastAsia="Arial Narrow" w:cs="Times New Roman"/>
                <w:color w:val="000000"/>
                <w:lang w:bidi="ar"/>
              </w:rPr>
              <w:t>12,470,000.00</w:t>
            </w:r>
          </w:p>
        </w:tc>
      </w:tr>
      <w:tr w14:paraId="7082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5048726">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25FFC99F">
            <w:pPr>
              <w:rPr>
                <w:rFonts w:cs="Times New Roman"/>
              </w:rPr>
            </w:pPr>
          </w:p>
        </w:tc>
        <w:tc>
          <w:tcPr>
            <w:tcW w:w="1085" w:type="pct"/>
            <w:tcBorders>
              <w:top w:val="single" w:color="auto" w:sz="4" w:space="0"/>
              <w:left w:val="single" w:color="auto" w:sz="4" w:space="0"/>
              <w:bottom w:val="single" w:color="auto" w:sz="4" w:space="0"/>
              <w:right w:val="single" w:color="auto" w:sz="4" w:space="0"/>
            </w:tcBorders>
            <w:vAlign w:val="center"/>
          </w:tcPr>
          <w:p w14:paraId="7BCEF5A3">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6CAAAC3A">
            <w:pPr>
              <w:jc w:val="right"/>
              <w:rPr>
                <w:rFonts w:cs="Times New Roman"/>
              </w:rPr>
            </w:pPr>
          </w:p>
        </w:tc>
      </w:tr>
      <w:tr w14:paraId="4060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13D76CBF">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4250175D">
            <w:pPr>
              <w:textAlignment w:val="top"/>
              <w:rPr>
                <w:rFonts w:cs="Times New Roman"/>
              </w:rPr>
            </w:pPr>
            <w:r>
              <w:rPr>
                <w:rFonts w:cs="Times New Roman"/>
                <w:color w:val="000000"/>
                <w:lang w:bidi="ar"/>
              </w:rPr>
              <w:t>荷原置地控股有限公司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42D9A233">
            <w:pPr>
              <w:jc w:val="right"/>
              <w:textAlignment w:val="bottom"/>
              <w:rPr>
                <w:rFonts w:cs="Times New Roman"/>
              </w:rPr>
            </w:pPr>
            <w:r>
              <w:rPr>
                <w:rFonts w:eastAsia="Arial Narrow" w:cs="Times New Roman"/>
                <w:color w:val="000000"/>
                <w:lang w:bidi="ar"/>
              </w:rPr>
              <w:t>122,669,233.33</w:t>
            </w:r>
          </w:p>
        </w:tc>
        <w:tc>
          <w:tcPr>
            <w:tcW w:w="1039" w:type="pct"/>
            <w:tcBorders>
              <w:top w:val="single" w:color="auto" w:sz="4" w:space="0"/>
              <w:left w:val="single" w:color="auto" w:sz="4" w:space="0"/>
              <w:bottom w:val="single" w:color="auto" w:sz="4" w:space="0"/>
              <w:right w:val="single" w:color="auto" w:sz="4" w:space="0"/>
            </w:tcBorders>
            <w:vAlign w:val="center"/>
          </w:tcPr>
          <w:p w14:paraId="23714644">
            <w:pPr>
              <w:jc w:val="right"/>
              <w:textAlignment w:val="bottom"/>
              <w:rPr>
                <w:rFonts w:cs="Times New Roman"/>
              </w:rPr>
            </w:pPr>
            <w:r>
              <w:rPr>
                <w:rFonts w:eastAsia="Arial Narrow" w:cs="Times New Roman"/>
                <w:color w:val="000000"/>
                <w:lang w:bidi="ar"/>
              </w:rPr>
              <w:t>120,536,500.00</w:t>
            </w:r>
          </w:p>
        </w:tc>
      </w:tr>
      <w:tr w14:paraId="4475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82AD988">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0E865F4B">
            <w:pPr>
              <w:textAlignment w:val="top"/>
              <w:rPr>
                <w:rFonts w:cs="Times New Roman"/>
              </w:rPr>
            </w:pPr>
            <w:r>
              <w:rPr>
                <w:rFonts w:cs="Times New Roman"/>
                <w:color w:val="000000"/>
                <w:lang w:bidi="ar"/>
              </w:rPr>
              <w:t>新兴际华投资有限公司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A7D276F">
            <w:pPr>
              <w:jc w:val="right"/>
              <w:textAlignment w:val="bottom"/>
              <w:rPr>
                <w:rFonts w:cs="Times New Roman"/>
              </w:rPr>
            </w:pPr>
            <w:r>
              <w:rPr>
                <w:rFonts w:eastAsia="Arial Narrow" w:cs="Times New Roman"/>
                <w:color w:val="000000"/>
                <w:lang w:bidi="ar"/>
              </w:rPr>
              <w:t>99,298,743.86</w:t>
            </w:r>
          </w:p>
        </w:tc>
        <w:tc>
          <w:tcPr>
            <w:tcW w:w="1039" w:type="pct"/>
            <w:tcBorders>
              <w:top w:val="single" w:color="auto" w:sz="4" w:space="0"/>
              <w:left w:val="single" w:color="auto" w:sz="4" w:space="0"/>
              <w:bottom w:val="single" w:color="auto" w:sz="4" w:space="0"/>
              <w:right w:val="single" w:color="auto" w:sz="4" w:space="0"/>
            </w:tcBorders>
            <w:vAlign w:val="center"/>
          </w:tcPr>
          <w:p w14:paraId="427141F0">
            <w:pPr>
              <w:jc w:val="right"/>
              <w:textAlignment w:val="bottom"/>
              <w:rPr>
                <w:rFonts w:cs="Times New Roman"/>
              </w:rPr>
            </w:pPr>
            <w:r>
              <w:rPr>
                <w:rFonts w:eastAsia="Arial Narrow" w:cs="Times New Roman"/>
                <w:color w:val="000000"/>
                <w:lang w:bidi="ar"/>
              </w:rPr>
              <w:t>100,643,638.62</w:t>
            </w:r>
          </w:p>
        </w:tc>
      </w:tr>
      <w:tr w14:paraId="4509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3BAEC2D0">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2D0F5543">
            <w:pPr>
              <w:textAlignment w:val="top"/>
              <w:rPr>
                <w:rFonts w:cs="Times New Roman"/>
              </w:rPr>
            </w:pPr>
            <w:r>
              <w:rPr>
                <w:rFonts w:cs="Times New Roman"/>
                <w:color w:val="000000"/>
                <w:lang w:bidi="ar"/>
              </w:rPr>
              <w:t>天津华津制药有限公司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703D5FD8">
            <w:pPr>
              <w:jc w:val="right"/>
              <w:textAlignment w:val="bottom"/>
              <w:rPr>
                <w:rFonts w:cs="Times New Roman"/>
              </w:rPr>
            </w:pPr>
            <w:r>
              <w:rPr>
                <w:rFonts w:eastAsia="Arial Narrow" w:cs="Times New Roman"/>
                <w:color w:val="000000"/>
                <w:lang w:bidi="ar"/>
              </w:rPr>
              <w:t>29,443,211.37</w:t>
            </w:r>
          </w:p>
        </w:tc>
        <w:tc>
          <w:tcPr>
            <w:tcW w:w="1039" w:type="pct"/>
            <w:tcBorders>
              <w:top w:val="single" w:color="auto" w:sz="4" w:space="0"/>
              <w:left w:val="single" w:color="auto" w:sz="4" w:space="0"/>
              <w:bottom w:val="single" w:color="auto" w:sz="4" w:space="0"/>
              <w:right w:val="single" w:color="auto" w:sz="4" w:space="0"/>
            </w:tcBorders>
            <w:vAlign w:val="center"/>
          </w:tcPr>
          <w:p w14:paraId="656B2A1D">
            <w:pPr>
              <w:jc w:val="right"/>
              <w:textAlignment w:val="bottom"/>
              <w:rPr>
                <w:rFonts w:cs="Times New Roman"/>
              </w:rPr>
            </w:pPr>
            <w:r>
              <w:rPr>
                <w:rFonts w:eastAsia="Arial Narrow" w:cs="Times New Roman"/>
                <w:color w:val="000000"/>
                <w:lang w:bidi="ar"/>
              </w:rPr>
              <w:t>25,971,509.03</w:t>
            </w:r>
          </w:p>
        </w:tc>
      </w:tr>
      <w:tr w14:paraId="5DF2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A5961B1">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29DB8FA9">
            <w:pPr>
              <w:textAlignment w:val="top"/>
              <w:rPr>
                <w:rFonts w:cs="Times New Roman"/>
              </w:rPr>
            </w:pPr>
            <w:r>
              <w:rPr>
                <w:rFonts w:cs="Times New Roman"/>
                <w:color w:val="000000"/>
                <w:lang w:bidi="ar"/>
              </w:rPr>
              <w:t>新兴际华资产经营管理有限公司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65FDCDE">
            <w:pPr>
              <w:jc w:val="right"/>
              <w:textAlignment w:val="bottom"/>
              <w:rPr>
                <w:rFonts w:cs="Times New Roman"/>
              </w:rPr>
            </w:pPr>
            <w:r>
              <w:rPr>
                <w:rFonts w:eastAsia="Arial Narrow" w:cs="Times New Roman"/>
                <w:color w:val="000000"/>
                <w:lang w:bidi="ar"/>
              </w:rPr>
              <w:t>21,300,964.36</w:t>
            </w:r>
          </w:p>
        </w:tc>
        <w:tc>
          <w:tcPr>
            <w:tcW w:w="1039" w:type="pct"/>
            <w:tcBorders>
              <w:top w:val="single" w:color="auto" w:sz="4" w:space="0"/>
              <w:left w:val="single" w:color="auto" w:sz="4" w:space="0"/>
              <w:bottom w:val="single" w:color="auto" w:sz="4" w:space="0"/>
              <w:right w:val="single" w:color="auto" w:sz="4" w:space="0"/>
            </w:tcBorders>
            <w:vAlign w:val="center"/>
          </w:tcPr>
          <w:p w14:paraId="0387D38C">
            <w:pPr>
              <w:jc w:val="right"/>
              <w:textAlignment w:val="bottom"/>
              <w:rPr>
                <w:rFonts w:cs="Times New Roman"/>
              </w:rPr>
            </w:pPr>
            <w:r>
              <w:rPr>
                <w:rFonts w:eastAsia="Arial Narrow" w:cs="Times New Roman"/>
                <w:color w:val="000000"/>
                <w:lang w:bidi="ar"/>
              </w:rPr>
              <w:t>15,468,619.15</w:t>
            </w:r>
          </w:p>
        </w:tc>
      </w:tr>
      <w:tr w14:paraId="5A92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1849430">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25D9B009">
            <w:pPr>
              <w:textAlignment w:val="top"/>
              <w:rPr>
                <w:rFonts w:cs="Times New Roman"/>
              </w:rPr>
            </w:pPr>
            <w:r>
              <w:rPr>
                <w:rFonts w:cs="Times New Roman"/>
                <w:color w:val="000000"/>
                <w:lang w:bidi="ar"/>
              </w:rPr>
              <w:t>武汉汉江资产运营有限公司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00DD3CB3">
            <w:pPr>
              <w:jc w:val="right"/>
              <w:textAlignment w:val="bottom"/>
              <w:rPr>
                <w:rFonts w:cs="Times New Roman"/>
              </w:rPr>
            </w:pPr>
            <w:r>
              <w:rPr>
                <w:rFonts w:eastAsia="Arial Narrow" w:cs="Times New Roman"/>
                <w:color w:val="000000"/>
                <w:lang w:bidi="ar"/>
              </w:rPr>
              <w:t>15,209,819.27</w:t>
            </w:r>
          </w:p>
        </w:tc>
        <w:tc>
          <w:tcPr>
            <w:tcW w:w="1039" w:type="pct"/>
            <w:tcBorders>
              <w:top w:val="single" w:color="auto" w:sz="4" w:space="0"/>
              <w:left w:val="single" w:color="auto" w:sz="4" w:space="0"/>
              <w:bottom w:val="single" w:color="auto" w:sz="4" w:space="0"/>
              <w:right w:val="single" w:color="auto" w:sz="4" w:space="0"/>
            </w:tcBorders>
            <w:vAlign w:val="center"/>
          </w:tcPr>
          <w:p w14:paraId="4624CEB9">
            <w:pPr>
              <w:jc w:val="right"/>
              <w:textAlignment w:val="bottom"/>
              <w:rPr>
                <w:rFonts w:cs="Times New Roman"/>
              </w:rPr>
            </w:pPr>
            <w:r>
              <w:rPr>
                <w:rFonts w:eastAsia="Arial Narrow" w:cs="Times New Roman"/>
                <w:color w:val="000000"/>
                <w:lang w:bidi="ar"/>
              </w:rPr>
              <w:t>8,939,819.27</w:t>
            </w:r>
          </w:p>
        </w:tc>
      </w:tr>
      <w:tr w14:paraId="25F7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10C8382">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0AE61B1B">
            <w:pPr>
              <w:textAlignment w:val="top"/>
              <w:rPr>
                <w:rFonts w:cs="Times New Roman"/>
              </w:rPr>
            </w:pPr>
            <w:r>
              <w:rPr>
                <w:rFonts w:cs="Times New Roman"/>
                <w:color w:val="000000"/>
                <w:lang w:bidi="ar"/>
              </w:rPr>
              <w:t>新兴际华（岳阳）投资发展有限公司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F384857">
            <w:pPr>
              <w:jc w:val="right"/>
              <w:textAlignment w:val="bottom"/>
              <w:rPr>
                <w:rFonts w:cs="Times New Roman"/>
              </w:rPr>
            </w:pPr>
            <w:r>
              <w:rPr>
                <w:rFonts w:eastAsia="Arial Narrow" w:cs="Times New Roman"/>
                <w:color w:val="000000"/>
                <w:lang w:bidi="ar"/>
              </w:rPr>
              <w:t>8,000,000.00</w:t>
            </w:r>
          </w:p>
        </w:tc>
        <w:tc>
          <w:tcPr>
            <w:tcW w:w="1039" w:type="pct"/>
            <w:tcBorders>
              <w:top w:val="single" w:color="auto" w:sz="4" w:space="0"/>
              <w:left w:val="single" w:color="auto" w:sz="4" w:space="0"/>
              <w:bottom w:val="single" w:color="auto" w:sz="4" w:space="0"/>
              <w:right w:val="single" w:color="auto" w:sz="4" w:space="0"/>
            </w:tcBorders>
            <w:vAlign w:val="center"/>
          </w:tcPr>
          <w:p w14:paraId="6943BAB9">
            <w:pPr>
              <w:jc w:val="right"/>
              <w:rPr>
                <w:rFonts w:cs="Times New Roman"/>
              </w:rPr>
            </w:pPr>
          </w:p>
        </w:tc>
      </w:tr>
      <w:tr w14:paraId="3C07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77155BB">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107F2F2A">
            <w:pPr>
              <w:textAlignment w:val="top"/>
              <w:rPr>
                <w:rFonts w:cs="Times New Roman"/>
              </w:rPr>
            </w:pPr>
            <w:r>
              <w:rPr>
                <w:rFonts w:cs="Times New Roman"/>
                <w:color w:val="000000"/>
                <w:lang w:bidi="ar"/>
              </w:rPr>
              <w:t>咸阳际华投资发展有限公司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6BB93507">
            <w:pPr>
              <w:jc w:val="right"/>
              <w:textAlignment w:val="bottom"/>
              <w:rPr>
                <w:rFonts w:cs="Times New Roman"/>
              </w:rPr>
            </w:pPr>
            <w:r>
              <w:rPr>
                <w:rFonts w:eastAsia="Arial Narrow" w:cs="Times New Roman"/>
                <w:color w:val="000000"/>
                <w:lang w:bidi="ar"/>
              </w:rPr>
              <w:t>7,772,474.36</w:t>
            </w:r>
          </w:p>
        </w:tc>
        <w:tc>
          <w:tcPr>
            <w:tcW w:w="1039" w:type="pct"/>
            <w:tcBorders>
              <w:top w:val="single" w:color="auto" w:sz="4" w:space="0"/>
              <w:left w:val="single" w:color="auto" w:sz="4" w:space="0"/>
              <w:bottom w:val="single" w:color="auto" w:sz="4" w:space="0"/>
              <w:right w:val="single" w:color="auto" w:sz="4" w:space="0"/>
            </w:tcBorders>
            <w:vAlign w:val="center"/>
          </w:tcPr>
          <w:p w14:paraId="2E86AF19">
            <w:pPr>
              <w:jc w:val="right"/>
              <w:textAlignment w:val="bottom"/>
              <w:rPr>
                <w:rFonts w:cs="Times New Roman"/>
              </w:rPr>
            </w:pPr>
            <w:r>
              <w:rPr>
                <w:rFonts w:eastAsia="Arial Narrow" w:cs="Times New Roman"/>
                <w:color w:val="000000"/>
                <w:lang w:bidi="ar"/>
              </w:rPr>
              <w:t>8,013,656.19</w:t>
            </w:r>
          </w:p>
        </w:tc>
      </w:tr>
      <w:tr w14:paraId="6BE0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7398DDA">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12E35FDE">
            <w:pPr>
              <w:textAlignment w:val="top"/>
              <w:rPr>
                <w:rFonts w:cs="Times New Roman"/>
              </w:rPr>
            </w:pPr>
            <w:r>
              <w:rPr>
                <w:rFonts w:cs="Times New Roman"/>
                <w:color w:val="000000"/>
                <w:lang w:bidi="ar"/>
              </w:rPr>
              <w:t>新兴际华集团有限公司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63EBB17">
            <w:pPr>
              <w:jc w:val="right"/>
              <w:textAlignment w:val="bottom"/>
              <w:rPr>
                <w:rFonts w:cs="Times New Roman"/>
              </w:rPr>
            </w:pPr>
            <w:r>
              <w:rPr>
                <w:rFonts w:eastAsia="Arial Narrow" w:cs="Times New Roman"/>
                <w:color w:val="000000"/>
                <w:lang w:bidi="ar"/>
              </w:rPr>
              <w:t>2,228,443.57</w:t>
            </w:r>
          </w:p>
        </w:tc>
        <w:tc>
          <w:tcPr>
            <w:tcW w:w="1039" w:type="pct"/>
            <w:tcBorders>
              <w:top w:val="single" w:color="auto" w:sz="4" w:space="0"/>
              <w:left w:val="single" w:color="auto" w:sz="4" w:space="0"/>
              <w:bottom w:val="single" w:color="auto" w:sz="4" w:space="0"/>
              <w:right w:val="single" w:color="auto" w:sz="4" w:space="0"/>
            </w:tcBorders>
            <w:vAlign w:val="center"/>
          </w:tcPr>
          <w:p w14:paraId="330355BB">
            <w:pPr>
              <w:jc w:val="right"/>
              <w:textAlignment w:val="bottom"/>
              <w:rPr>
                <w:rFonts w:cs="Times New Roman"/>
              </w:rPr>
            </w:pPr>
            <w:r>
              <w:rPr>
                <w:rFonts w:eastAsia="Arial Narrow" w:cs="Times New Roman"/>
                <w:color w:val="000000"/>
                <w:lang w:bidi="ar"/>
              </w:rPr>
              <w:t>565,946.87</w:t>
            </w:r>
          </w:p>
        </w:tc>
      </w:tr>
      <w:tr w14:paraId="558E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C3D76F0">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3C57F612">
            <w:pPr>
              <w:textAlignment w:val="top"/>
              <w:rPr>
                <w:rFonts w:cs="Times New Roman"/>
              </w:rPr>
            </w:pPr>
            <w:r>
              <w:rPr>
                <w:rFonts w:cs="Times New Roman"/>
                <w:color w:val="000000"/>
                <w:lang w:bidi="ar"/>
              </w:rPr>
              <w:t>新兴际华（北京）材料技术研究院有限公司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4149E6F5">
            <w:pPr>
              <w:jc w:val="right"/>
              <w:textAlignment w:val="bottom"/>
              <w:rPr>
                <w:rFonts w:cs="Times New Roman"/>
              </w:rPr>
            </w:pPr>
            <w:r>
              <w:rPr>
                <w:rFonts w:eastAsia="Arial Narrow" w:cs="Times New Roman"/>
                <w:color w:val="000000"/>
                <w:lang w:bidi="ar"/>
              </w:rPr>
              <w:t>1,290,000.00</w:t>
            </w:r>
          </w:p>
        </w:tc>
        <w:tc>
          <w:tcPr>
            <w:tcW w:w="1039" w:type="pct"/>
            <w:tcBorders>
              <w:top w:val="single" w:color="auto" w:sz="4" w:space="0"/>
              <w:left w:val="single" w:color="auto" w:sz="4" w:space="0"/>
              <w:bottom w:val="single" w:color="auto" w:sz="4" w:space="0"/>
              <w:right w:val="single" w:color="auto" w:sz="4" w:space="0"/>
            </w:tcBorders>
            <w:vAlign w:val="center"/>
          </w:tcPr>
          <w:p w14:paraId="29E13F77">
            <w:pPr>
              <w:jc w:val="right"/>
              <w:rPr>
                <w:rFonts w:cs="Times New Roman"/>
              </w:rPr>
            </w:pPr>
          </w:p>
        </w:tc>
      </w:tr>
      <w:tr w14:paraId="0532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456148F">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3342AD60">
            <w:pPr>
              <w:textAlignment w:val="top"/>
              <w:rPr>
                <w:rFonts w:cs="Times New Roman"/>
              </w:rPr>
            </w:pPr>
            <w:r>
              <w:rPr>
                <w:rFonts w:cs="Times New Roman"/>
                <w:color w:val="000000"/>
                <w:lang w:bidi="ar"/>
              </w:rPr>
              <w:t>新兴际华（上海）工程科技研究院有限公司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1E3677EE">
            <w:pPr>
              <w:jc w:val="right"/>
              <w:textAlignment w:val="bottom"/>
              <w:rPr>
                <w:rFonts w:cs="Times New Roman"/>
              </w:rPr>
            </w:pPr>
            <w:r>
              <w:rPr>
                <w:rFonts w:eastAsia="Arial Narrow" w:cs="Times New Roman"/>
                <w:color w:val="000000"/>
                <w:lang w:bidi="ar"/>
              </w:rPr>
              <w:t>991,320.75</w:t>
            </w:r>
          </w:p>
        </w:tc>
        <w:tc>
          <w:tcPr>
            <w:tcW w:w="1039" w:type="pct"/>
            <w:tcBorders>
              <w:top w:val="single" w:color="auto" w:sz="4" w:space="0"/>
              <w:left w:val="single" w:color="auto" w:sz="4" w:space="0"/>
              <w:bottom w:val="single" w:color="auto" w:sz="4" w:space="0"/>
              <w:right w:val="single" w:color="auto" w:sz="4" w:space="0"/>
            </w:tcBorders>
            <w:vAlign w:val="center"/>
          </w:tcPr>
          <w:p w14:paraId="78F34D04">
            <w:pPr>
              <w:jc w:val="right"/>
              <w:rPr>
                <w:rFonts w:cs="Times New Roman"/>
              </w:rPr>
            </w:pPr>
          </w:p>
        </w:tc>
      </w:tr>
      <w:tr w14:paraId="5B14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711B634">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66E06985">
            <w:pPr>
              <w:textAlignment w:val="top"/>
              <w:rPr>
                <w:rFonts w:cs="Times New Roman"/>
              </w:rPr>
            </w:pPr>
            <w:r>
              <w:rPr>
                <w:rFonts w:cs="Times New Roman"/>
                <w:color w:val="000000"/>
                <w:lang w:bidi="ar"/>
              </w:rPr>
              <w:t>新兴重工集团有限公司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6B36CFF9">
            <w:pPr>
              <w:jc w:val="right"/>
              <w:textAlignment w:val="bottom"/>
              <w:rPr>
                <w:rFonts w:cs="Times New Roman"/>
              </w:rPr>
            </w:pPr>
            <w:r>
              <w:rPr>
                <w:rFonts w:eastAsia="Arial Narrow" w:cs="Times New Roman"/>
                <w:color w:val="000000"/>
                <w:lang w:bidi="ar"/>
              </w:rPr>
              <w:t>650,000.00</w:t>
            </w:r>
          </w:p>
        </w:tc>
        <w:tc>
          <w:tcPr>
            <w:tcW w:w="1039" w:type="pct"/>
            <w:tcBorders>
              <w:top w:val="single" w:color="auto" w:sz="4" w:space="0"/>
              <w:left w:val="single" w:color="auto" w:sz="4" w:space="0"/>
              <w:bottom w:val="single" w:color="auto" w:sz="4" w:space="0"/>
              <w:right w:val="single" w:color="auto" w:sz="4" w:space="0"/>
            </w:tcBorders>
            <w:vAlign w:val="center"/>
          </w:tcPr>
          <w:p w14:paraId="7142E783">
            <w:pPr>
              <w:jc w:val="right"/>
              <w:textAlignment w:val="bottom"/>
              <w:rPr>
                <w:rFonts w:cs="Times New Roman"/>
              </w:rPr>
            </w:pPr>
            <w:r>
              <w:rPr>
                <w:rFonts w:eastAsia="Arial Narrow" w:cs="Times New Roman"/>
                <w:color w:val="000000"/>
                <w:lang w:bidi="ar"/>
              </w:rPr>
              <w:t>650,000.00</w:t>
            </w:r>
          </w:p>
        </w:tc>
      </w:tr>
      <w:tr w14:paraId="5D36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30CFDE6">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594780BA">
            <w:pPr>
              <w:textAlignment w:val="top"/>
              <w:rPr>
                <w:rFonts w:cs="Times New Roman"/>
              </w:rPr>
            </w:pPr>
            <w:r>
              <w:rPr>
                <w:rFonts w:cs="Times New Roman"/>
                <w:color w:val="000000"/>
                <w:lang w:bidi="ar"/>
              </w:rPr>
              <w:t>新兴际华集团财务有限公司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244CF6A">
            <w:pPr>
              <w:jc w:val="right"/>
              <w:textAlignment w:val="bottom"/>
              <w:rPr>
                <w:rFonts w:cs="Times New Roman"/>
              </w:rPr>
            </w:pPr>
            <w:r>
              <w:rPr>
                <w:rFonts w:eastAsia="Arial Narrow" w:cs="Times New Roman"/>
                <w:color w:val="000000"/>
                <w:lang w:bidi="ar"/>
              </w:rPr>
              <w:t>287,755.55</w:t>
            </w:r>
          </w:p>
        </w:tc>
        <w:tc>
          <w:tcPr>
            <w:tcW w:w="1039" w:type="pct"/>
            <w:tcBorders>
              <w:top w:val="single" w:color="auto" w:sz="4" w:space="0"/>
              <w:left w:val="single" w:color="auto" w:sz="4" w:space="0"/>
              <w:bottom w:val="single" w:color="auto" w:sz="4" w:space="0"/>
              <w:right w:val="single" w:color="auto" w:sz="4" w:space="0"/>
            </w:tcBorders>
            <w:vAlign w:val="center"/>
          </w:tcPr>
          <w:p w14:paraId="68207AC5">
            <w:pPr>
              <w:jc w:val="right"/>
              <w:rPr>
                <w:rFonts w:cs="Times New Roman"/>
              </w:rPr>
            </w:pPr>
          </w:p>
        </w:tc>
      </w:tr>
      <w:tr w14:paraId="1752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1BBA5A81">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523506D8">
            <w:pPr>
              <w:textAlignment w:val="top"/>
              <w:rPr>
                <w:rFonts w:cs="Times New Roman"/>
              </w:rPr>
            </w:pPr>
            <w:r>
              <w:rPr>
                <w:rFonts w:cs="Times New Roman"/>
                <w:color w:val="000000"/>
                <w:lang w:bidi="ar"/>
              </w:rPr>
              <w:t>秦皇岛际华三五四四鞋业有限公司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6AA5B0F2">
            <w:pPr>
              <w:jc w:val="right"/>
              <w:textAlignment w:val="bottom"/>
              <w:rPr>
                <w:rFonts w:cs="Times New Roman"/>
              </w:rPr>
            </w:pPr>
            <w:r>
              <w:rPr>
                <w:rFonts w:eastAsia="Arial Narrow" w:cs="Times New Roman"/>
                <w:color w:val="000000"/>
                <w:lang w:bidi="ar"/>
              </w:rPr>
              <w:t>260,761.00</w:t>
            </w:r>
          </w:p>
        </w:tc>
        <w:tc>
          <w:tcPr>
            <w:tcW w:w="1039" w:type="pct"/>
            <w:tcBorders>
              <w:top w:val="single" w:color="auto" w:sz="4" w:space="0"/>
              <w:left w:val="single" w:color="auto" w:sz="4" w:space="0"/>
              <w:bottom w:val="single" w:color="auto" w:sz="4" w:space="0"/>
              <w:right w:val="single" w:color="auto" w:sz="4" w:space="0"/>
            </w:tcBorders>
            <w:vAlign w:val="center"/>
          </w:tcPr>
          <w:p w14:paraId="18C7559B">
            <w:pPr>
              <w:jc w:val="right"/>
              <w:textAlignment w:val="bottom"/>
              <w:rPr>
                <w:rFonts w:cs="Times New Roman"/>
              </w:rPr>
            </w:pPr>
            <w:r>
              <w:rPr>
                <w:rFonts w:eastAsia="Arial Narrow" w:cs="Times New Roman"/>
                <w:color w:val="000000"/>
                <w:lang w:bidi="ar"/>
              </w:rPr>
              <w:t>260,761.00</w:t>
            </w:r>
          </w:p>
        </w:tc>
      </w:tr>
      <w:tr w14:paraId="5F48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58FC74F2">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50396FB6">
            <w:pPr>
              <w:textAlignment w:val="top"/>
              <w:rPr>
                <w:rFonts w:cs="Times New Roman"/>
              </w:rPr>
            </w:pPr>
            <w:r>
              <w:rPr>
                <w:rFonts w:cs="Times New Roman"/>
                <w:color w:val="000000"/>
                <w:lang w:bidi="ar"/>
              </w:rPr>
              <w:t>济南泰山鞋厂</w:t>
            </w:r>
          </w:p>
        </w:tc>
        <w:tc>
          <w:tcPr>
            <w:tcW w:w="1085" w:type="pct"/>
            <w:tcBorders>
              <w:top w:val="single" w:color="auto" w:sz="4" w:space="0"/>
              <w:left w:val="single" w:color="auto" w:sz="4" w:space="0"/>
              <w:bottom w:val="single" w:color="auto" w:sz="4" w:space="0"/>
              <w:right w:val="single" w:color="auto" w:sz="4" w:space="0"/>
            </w:tcBorders>
            <w:vAlign w:val="center"/>
          </w:tcPr>
          <w:p w14:paraId="699B620C">
            <w:pPr>
              <w:jc w:val="right"/>
              <w:textAlignment w:val="bottom"/>
              <w:rPr>
                <w:rFonts w:cs="Times New Roman"/>
              </w:rPr>
            </w:pPr>
            <w:r>
              <w:rPr>
                <w:rFonts w:eastAsia="Arial Narrow" w:cs="Times New Roman"/>
                <w:color w:val="000000"/>
                <w:lang w:bidi="ar"/>
              </w:rPr>
              <w:t>160,000.00</w:t>
            </w:r>
          </w:p>
        </w:tc>
        <w:tc>
          <w:tcPr>
            <w:tcW w:w="1039" w:type="pct"/>
            <w:tcBorders>
              <w:top w:val="single" w:color="auto" w:sz="4" w:space="0"/>
              <w:left w:val="single" w:color="auto" w:sz="4" w:space="0"/>
              <w:bottom w:val="single" w:color="auto" w:sz="4" w:space="0"/>
              <w:right w:val="single" w:color="auto" w:sz="4" w:space="0"/>
            </w:tcBorders>
            <w:vAlign w:val="center"/>
          </w:tcPr>
          <w:p w14:paraId="6E61E8FF">
            <w:pPr>
              <w:jc w:val="right"/>
              <w:textAlignment w:val="bottom"/>
              <w:rPr>
                <w:rFonts w:cs="Times New Roman"/>
              </w:rPr>
            </w:pPr>
            <w:r>
              <w:rPr>
                <w:rFonts w:eastAsia="Arial Narrow" w:cs="Times New Roman"/>
                <w:color w:val="000000"/>
                <w:lang w:bidi="ar"/>
              </w:rPr>
              <w:t>160,000.00</w:t>
            </w:r>
          </w:p>
        </w:tc>
      </w:tr>
      <w:tr w14:paraId="4E60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E890B26">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09AE6261">
            <w:pPr>
              <w:textAlignment w:val="top"/>
              <w:rPr>
                <w:rFonts w:cs="Times New Roman"/>
              </w:rPr>
            </w:pPr>
            <w:r>
              <w:rPr>
                <w:rFonts w:cs="Times New Roman"/>
                <w:color w:val="000000"/>
                <w:lang w:bidi="ar"/>
              </w:rPr>
              <w:t>南京际华五三零二科技发展有限公司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7A149E51">
            <w:pPr>
              <w:jc w:val="right"/>
              <w:textAlignment w:val="bottom"/>
              <w:rPr>
                <w:rFonts w:cs="Times New Roman"/>
              </w:rPr>
            </w:pPr>
            <w:r>
              <w:rPr>
                <w:rFonts w:eastAsia="Arial Narrow" w:cs="Times New Roman"/>
                <w:color w:val="000000"/>
                <w:lang w:bidi="ar"/>
              </w:rPr>
              <w:t>85,714.26</w:t>
            </w:r>
          </w:p>
        </w:tc>
        <w:tc>
          <w:tcPr>
            <w:tcW w:w="1039" w:type="pct"/>
            <w:tcBorders>
              <w:top w:val="single" w:color="auto" w:sz="4" w:space="0"/>
              <w:left w:val="single" w:color="auto" w:sz="4" w:space="0"/>
              <w:bottom w:val="single" w:color="auto" w:sz="4" w:space="0"/>
              <w:right w:val="single" w:color="auto" w:sz="4" w:space="0"/>
            </w:tcBorders>
            <w:vAlign w:val="center"/>
          </w:tcPr>
          <w:p w14:paraId="5283288E">
            <w:pPr>
              <w:jc w:val="right"/>
              <w:textAlignment w:val="bottom"/>
              <w:rPr>
                <w:rFonts w:cs="Times New Roman"/>
              </w:rPr>
            </w:pPr>
            <w:r>
              <w:rPr>
                <w:rFonts w:eastAsia="Arial Narrow" w:cs="Times New Roman"/>
                <w:color w:val="000000"/>
                <w:lang w:bidi="ar"/>
              </w:rPr>
              <w:t>85,714.26</w:t>
            </w:r>
          </w:p>
        </w:tc>
      </w:tr>
      <w:tr w14:paraId="0E98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582DDD7D">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0735DDD7">
            <w:pPr>
              <w:textAlignment w:val="top"/>
              <w:rPr>
                <w:rFonts w:cs="Times New Roman"/>
              </w:rPr>
            </w:pPr>
            <w:r>
              <w:rPr>
                <w:rFonts w:cs="Times New Roman"/>
                <w:color w:val="000000"/>
                <w:lang w:bidi="ar"/>
              </w:rPr>
              <w:t>贵州际华三五三五商贸有限公司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DEBD6F8">
            <w:pPr>
              <w:jc w:val="right"/>
              <w:textAlignment w:val="bottom"/>
              <w:rPr>
                <w:rFonts w:cs="Times New Roman"/>
              </w:rPr>
            </w:pPr>
            <w:r>
              <w:rPr>
                <w:rFonts w:eastAsia="Arial Narrow" w:cs="Times New Roman"/>
                <w:color w:val="000000"/>
                <w:lang w:bidi="ar"/>
              </w:rPr>
              <w:t>41,323.94</w:t>
            </w:r>
          </w:p>
        </w:tc>
        <w:tc>
          <w:tcPr>
            <w:tcW w:w="1039" w:type="pct"/>
            <w:tcBorders>
              <w:top w:val="single" w:color="auto" w:sz="4" w:space="0"/>
              <w:left w:val="single" w:color="auto" w:sz="4" w:space="0"/>
              <w:bottom w:val="single" w:color="auto" w:sz="4" w:space="0"/>
              <w:right w:val="single" w:color="auto" w:sz="4" w:space="0"/>
            </w:tcBorders>
            <w:vAlign w:val="center"/>
          </w:tcPr>
          <w:p w14:paraId="30B45F53">
            <w:pPr>
              <w:jc w:val="right"/>
              <w:textAlignment w:val="bottom"/>
              <w:rPr>
                <w:rFonts w:cs="Times New Roman"/>
              </w:rPr>
            </w:pPr>
            <w:r>
              <w:rPr>
                <w:rFonts w:eastAsia="Arial Narrow" w:cs="Times New Roman"/>
                <w:color w:val="000000"/>
                <w:lang w:bidi="ar"/>
              </w:rPr>
              <w:t>41,323.94</w:t>
            </w:r>
          </w:p>
        </w:tc>
      </w:tr>
      <w:tr w14:paraId="410F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3F2734F5">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040EC845">
            <w:pPr>
              <w:textAlignment w:val="top"/>
              <w:rPr>
                <w:rFonts w:cs="Times New Roman"/>
              </w:rPr>
            </w:pPr>
            <w:r>
              <w:rPr>
                <w:rFonts w:cs="Times New Roman"/>
                <w:color w:val="000000"/>
                <w:lang w:bidi="ar"/>
              </w:rPr>
              <w:t>新兴际华检验检测（北京）有限公司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1684D153">
            <w:pPr>
              <w:jc w:val="right"/>
              <w:textAlignment w:val="bottom"/>
              <w:rPr>
                <w:rFonts w:cs="Times New Roman"/>
              </w:rPr>
            </w:pPr>
            <w:r>
              <w:rPr>
                <w:rFonts w:eastAsia="Arial Narrow" w:cs="Times New Roman"/>
                <w:color w:val="000000"/>
                <w:lang w:bidi="ar"/>
              </w:rPr>
              <w:t>34,367.00</w:t>
            </w:r>
          </w:p>
        </w:tc>
        <w:tc>
          <w:tcPr>
            <w:tcW w:w="1039" w:type="pct"/>
            <w:tcBorders>
              <w:top w:val="single" w:color="auto" w:sz="4" w:space="0"/>
              <w:left w:val="single" w:color="auto" w:sz="4" w:space="0"/>
              <w:bottom w:val="single" w:color="auto" w:sz="4" w:space="0"/>
              <w:right w:val="single" w:color="auto" w:sz="4" w:space="0"/>
            </w:tcBorders>
            <w:vAlign w:val="center"/>
          </w:tcPr>
          <w:p w14:paraId="57F694C2">
            <w:pPr>
              <w:jc w:val="right"/>
              <w:textAlignment w:val="bottom"/>
              <w:rPr>
                <w:rFonts w:cs="Times New Roman"/>
              </w:rPr>
            </w:pPr>
            <w:r>
              <w:rPr>
                <w:rFonts w:eastAsia="Arial Narrow" w:cs="Times New Roman"/>
                <w:color w:val="000000"/>
                <w:lang w:bidi="ar"/>
              </w:rPr>
              <w:t>8,515.50</w:t>
            </w:r>
          </w:p>
        </w:tc>
      </w:tr>
      <w:tr w14:paraId="30D9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C923489">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2C0E9309">
            <w:pPr>
              <w:textAlignment w:val="top"/>
              <w:rPr>
                <w:rFonts w:cs="Times New Roman"/>
              </w:rPr>
            </w:pPr>
            <w:r>
              <w:rPr>
                <w:rFonts w:cs="Times New Roman"/>
                <w:color w:val="000000"/>
                <w:lang w:bidi="ar"/>
              </w:rPr>
              <w:t>新兴际华伊犁农牧科技发展有限公司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0B7086F8">
            <w:pPr>
              <w:jc w:val="right"/>
              <w:textAlignment w:val="bottom"/>
              <w:rPr>
                <w:rFonts w:cs="Times New Roman"/>
              </w:rPr>
            </w:pPr>
            <w:r>
              <w:rPr>
                <w:rFonts w:eastAsia="Arial Narrow" w:cs="Times New Roman"/>
                <w:color w:val="000000"/>
                <w:lang w:bidi="ar"/>
              </w:rPr>
              <w:t>18,732.00</w:t>
            </w:r>
          </w:p>
        </w:tc>
        <w:tc>
          <w:tcPr>
            <w:tcW w:w="1039" w:type="pct"/>
            <w:tcBorders>
              <w:top w:val="single" w:color="auto" w:sz="4" w:space="0"/>
              <w:left w:val="single" w:color="auto" w:sz="4" w:space="0"/>
              <w:bottom w:val="single" w:color="auto" w:sz="4" w:space="0"/>
              <w:right w:val="single" w:color="auto" w:sz="4" w:space="0"/>
            </w:tcBorders>
            <w:vAlign w:val="center"/>
          </w:tcPr>
          <w:p w14:paraId="09D97AB7">
            <w:pPr>
              <w:jc w:val="right"/>
              <w:textAlignment w:val="bottom"/>
              <w:rPr>
                <w:rFonts w:cs="Times New Roman"/>
              </w:rPr>
            </w:pPr>
            <w:r>
              <w:rPr>
                <w:rFonts w:eastAsia="Arial Narrow" w:cs="Times New Roman"/>
                <w:color w:val="000000"/>
                <w:lang w:bidi="ar"/>
              </w:rPr>
              <w:t>18,732.00</w:t>
            </w:r>
          </w:p>
        </w:tc>
      </w:tr>
      <w:tr w14:paraId="33B2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3F44815D">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765AFB16">
            <w:pPr>
              <w:textAlignment w:val="top"/>
              <w:rPr>
                <w:rFonts w:cs="Times New Roman"/>
              </w:rPr>
            </w:pPr>
            <w:r>
              <w:rPr>
                <w:rFonts w:cs="Times New Roman"/>
                <w:color w:val="000000"/>
                <w:lang w:bidi="ar"/>
              </w:rPr>
              <w:t>上海际华物流有限公司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7F669497">
            <w:pPr>
              <w:jc w:val="right"/>
              <w:textAlignment w:val="bottom"/>
              <w:rPr>
                <w:rFonts w:cs="Times New Roman"/>
              </w:rPr>
            </w:pPr>
            <w:r>
              <w:rPr>
                <w:rFonts w:eastAsia="Arial Narrow" w:cs="Times New Roman"/>
                <w:color w:val="000000"/>
                <w:lang w:bidi="ar"/>
              </w:rPr>
              <w:t>1,500.00</w:t>
            </w:r>
          </w:p>
        </w:tc>
        <w:tc>
          <w:tcPr>
            <w:tcW w:w="1039" w:type="pct"/>
            <w:tcBorders>
              <w:top w:val="single" w:color="auto" w:sz="4" w:space="0"/>
              <w:left w:val="single" w:color="auto" w:sz="4" w:space="0"/>
              <w:bottom w:val="single" w:color="auto" w:sz="4" w:space="0"/>
              <w:right w:val="single" w:color="auto" w:sz="4" w:space="0"/>
            </w:tcBorders>
            <w:vAlign w:val="center"/>
          </w:tcPr>
          <w:p w14:paraId="1AEAE068">
            <w:pPr>
              <w:jc w:val="right"/>
              <w:textAlignment w:val="bottom"/>
              <w:rPr>
                <w:rFonts w:cs="Times New Roman"/>
              </w:rPr>
            </w:pPr>
            <w:r>
              <w:rPr>
                <w:rFonts w:eastAsia="Arial Narrow" w:cs="Times New Roman"/>
                <w:color w:val="000000"/>
                <w:lang w:bidi="ar"/>
              </w:rPr>
              <w:t>1,500.00</w:t>
            </w:r>
          </w:p>
        </w:tc>
      </w:tr>
      <w:tr w14:paraId="1327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27EB91D">
            <w:pPr>
              <w:textAlignment w:val="bottom"/>
              <w:rPr>
                <w:rFonts w:cs="Times New Roman"/>
              </w:rPr>
            </w:pPr>
            <w:r>
              <w:rPr>
                <w:rFonts w:cs="Times New Roman"/>
                <w:color w:val="000000"/>
                <w:lang w:bidi="ar"/>
              </w:rPr>
              <w:t>其他应付款</w:t>
            </w:r>
          </w:p>
        </w:tc>
        <w:tc>
          <w:tcPr>
            <w:tcW w:w="2034" w:type="pct"/>
            <w:tcBorders>
              <w:top w:val="single" w:color="auto" w:sz="4" w:space="0"/>
              <w:left w:val="single" w:color="auto" w:sz="4" w:space="0"/>
              <w:bottom w:val="single" w:color="auto" w:sz="4" w:space="0"/>
              <w:right w:val="single" w:color="auto" w:sz="4" w:space="0"/>
            </w:tcBorders>
            <w:vAlign w:val="center"/>
          </w:tcPr>
          <w:p w14:paraId="781A9759">
            <w:pPr>
              <w:textAlignment w:val="top"/>
              <w:rPr>
                <w:rFonts w:cs="Times New Roman"/>
              </w:rPr>
            </w:pPr>
            <w:r>
              <w:rPr>
                <w:rFonts w:cs="Times New Roman"/>
                <w:color w:val="000000"/>
                <w:lang w:bidi="ar"/>
              </w:rPr>
              <w:t>新兴铸管股份有限公司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6F4D8C21">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0E296B83">
            <w:pPr>
              <w:jc w:val="right"/>
              <w:textAlignment w:val="bottom"/>
              <w:rPr>
                <w:rFonts w:cs="Times New Roman"/>
              </w:rPr>
            </w:pPr>
            <w:r>
              <w:rPr>
                <w:rFonts w:eastAsia="Arial Narrow" w:cs="Times New Roman"/>
                <w:color w:val="000000"/>
                <w:lang w:bidi="ar"/>
              </w:rPr>
              <w:t>57,245.84</w:t>
            </w:r>
          </w:p>
        </w:tc>
      </w:tr>
      <w:tr w14:paraId="0A5D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3720007E">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60330D6A">
            <w:pPr>
              <w:rPr>
                <w:rFonts w:cs="Times New Roman"/>
              </w:rPr>
            </w:pPr>
          </w:p>
        </w:tc>
        <w:tc>
          <w:tcPr>
            <w:tcW w:w="1085" w:type="pct"/>
            <w:tcBorders>
              <w:top w:val="single" w:color="auto" w:sz="4" w:space="0"/>
              <w:left w:val="single" w:color="auto" w:sz="4" w:space="0"/>
              <w:bottom w:val="single" w:color="auto" w:sz="4" w:space="0"/>
              <w:right w:val="single" w:color="auto" w:sz="4" w:space="0"/>
            </w:tcBorders>
            <w:vAlign w:val="center"/>
          </w:tcPr>
          <w:p w14:paraId="11F0F65B">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0100675D">
            <w:pPr>
              <w:jc w:val="right"/>
              <w:rPr>
                <w:rFonts w:cs="Times New Roman"/>
              </w:rPr>
            </w:pPr>
          </w:p>
        </w:tc>
      </w:tr>
      <w:tr w14:paraId="6CED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A51CAE2">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3EFCC8F2">
            <w:pPr>
              <w:textAlignment w:val="top"/>
              <w:rPr>
                <w:rFonts w:cs="Times New Roman"/>
              </w:rPr>
            </w:pPr>
            <w:r>
              <w:rPr>
                <w:rFonts w:cs="Times New Roman"/>
                <w:color w:val="000000"/>
                <w:lang w:bidi="ar"/>
              </w:rPr>
              <w:t>新兴际华集团有限公司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4B9E637">
            <w:pPr>
              <w:jc w:val="right"/>
              <w:textAlignment w:val="bottom"/>
              <w:rPr>
                <w:rFonts w:cs="Times New Roman"/>
              </w:rPr>
            </w:pPr>
            <w:r>
              <w:rPr>
                <w:rFonts w:eastAsia="Arial Narrow" w:cs="Times New Roman"/>
                <w:color w:val="000000"/>
                <w:lang w:bidi="ar"/>
              </w:rPr>
              <w:t>29,380.00</w:t>
            </w:r>
          </w:p>
        </w:tc>
        <w:tc>
          <w:tcPr>
            <w:tcW w:w="1039" w:type="pct"/>
            <w:tcBorders>
              <w:top w:val="single" w:color="auto" w:sz="4" w:space="0"/>
              <w:left w:val="single" w:color="auto" w:sz="4" w:space="0"/>
              <w:bottom w:val="single" w:color="auto" w:sz="4" w:space="0"/>
              <w:right w:val="single" w:color="auto" w:sz="4" w:space="0"/>
            </w:tcBorders>
            <w:vAlign w:val="center"/>
          </w:tcPr>
          <w:p w14:paraId="2DE0A811">
            <w:pPr>
              <w:jc w:val="right"/>
              <w:rPr>
                <w:rFonts w:cs="Times New Roman"/>
              </w:rPr>
            </w:pPr>
          </w:p>
        </w:tc>
      </w:tr>
      <w:tr w14:paraId="146F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5058E6F">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17AB32B0">
            <w:pPr>
              <w:textAlignment w:val="top"/>
              <w:rPr>
                <w:rFonts w:cs="Times New Roman"/>
              </w:rPr>
            </w:pPr>
            <w:r>
              <w:rPr>
                <w:rFonts w:cs="Times New Roman"/>
                <w:color w:val="000000"/>
                <w:lang w:bidi="ar"/>
              </w:rPr>
              <w:t>新兴际华物业服务（北京）有限公司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46141C23">
            <w:pPr>
              <w:jc w:val="right"/>
              <w:textAlignment w:val="bottom"/>
              <w:rPr>
                <w:rFonts w:cs="Times New Roman"/>
              </w:rPr>
            </w:pPr>
            <w:r>
              <w:rPr>
                <w:rFonts w:eastAsia="Arial Narrow" w:cs="Times New Roman"/>
                <w:color w:val="000000"/>
                <w:lang w:bidi="ar"/>
              </w:rPr>
              <w:t>28,700.00</w:t>
            </w:r>
          </w:p>
        </w:tc>
        <w:tc>
          <w:tcPr>
            <w:tcW w:w="1039" w:type="pct"/>
            <w:tcBorders>
              <w:top w:val="single" w:color="auto" w:sz="4" w:space="0"/>
              <w:left w:val="single" w:color="auto" w:sz="4" w:space="0"/>
              <w:bottom w:val="single" w:color="auto" w:sz="4" w:space="0"/>
              <w:right w:val="single" w:color="auto" w:sz="4" w:space="0"/>
            </w:tcBorders>
            <w:vAlign w:val="center"/>
          </w:tcPr>
          <w:p w14:paraId="26EDB0FA">
            <w:pPr>
              <w:jc w:val="right"/>
              <w:textAlignment w:val="bottom"/>
              <w:rPr>
                <w:rFonts w:cs="Times New Roman"/>
              </w:rPr>
            </w:pPr>
            <w:r>
              <w:rPr>
                <w:rFonts w:eastAsia="Arial Narrow" w:cs="Times New Roman"/>
                <w:color w:val="000000"/>
                <w:lang w:bidi="ar"/>
              </w:rPr>
              <w:t>28,700.00</w:t>
            </w:r>
          </w:p>
        </w:tc>
      </w:tr>
      <w:tr w14:paraId="3388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5324D52B">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5FB2800E">
            <w:pPr>
              <w:textAlignment w:val="top"/>
              <w:rPr>
                <w:rFonts w:cs="Times New Roman"/>
              </w:rPr>
            </w:pPr>
            <w:r>
              <w:rPr>
                <w:rFonts w:cs="Times New Roman"/>
                <w:color w:val="000000"/>
                <w:lang w:bidi="ar"/>
              </w:rPr>
              <w:t>荷原商业管理（北京）有限公司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29365A93">
            <w:pPr>
              <w:jc w:val="right"/>
              <w:textAlignment w:val="bottom"/>
              <w:rPr>
                <w:rFonts w:cs="Times New Roman"/>
              </w:rPr>
            </w:pPr>
            <w:r>
              <w:rPr>
                <w:rFonts w:eastAsia="Arial Narrow" w:cs="Times New Roman"/>
                <w:color w:val="000000"/>
                <w:lang w:bidi="ar"/>
              </w:rPr>
              <w:t>25,790.00</w:t>
            </w:r>
          </w:p>
        </w:tc>
        <w:tc>
          <w:tcPr>
            <w:tcW w:w="1039" w:type="pct"/>
            <w:tcBorders>
              <w:top w:val="single" w:color="auto" w:sz="4" w:space="0"/>
              <w:left w:val="single" w:color="auto" w:sz="4" w:space="0"/>
              <w:bottom w:val="single" w:color="auto" w:sz="4" w:space="0"/>
              <w:right w:val="single" w:color="auto" w:sz="4" w:space="0"/>
            </w:tcBorders>
            <w:vAlign w:val="center"/>
          </w:tcPr>
          <w:p w14:paraId="0B4D806A">
            <w:pPr>
              <w:jc w:val="right"/>
              <w:textAlignment w:val="bottom"/>
              <w:rPr>
                <w:rFonts w:cs="Times New Roman"/>
              </w:rPr>
            </w:pPr>
            <w:r>
              <w:rPr>
                <w:rFonts w:eastAsia="Arial Narrow" w:cs="Times New Roman"/>
                <w:color w:val="000000"/>
                <w:lang w:bidi="ar"/>
              </w:rPr>
              <w:t>25,790.00</w:t>
            </w:r>
          </w:p>
        </w:tc>
      </w:tr>
      <w:tr w14:paraId="4882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F0A758A">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4E1307F3">
            <w:pPr>
              <w:textAlignment w:val="top"/>
              <w:rPr>
                <w:rFonts w:cs="Times New Roman"/>
              </w:rPr>
            </w:pPr>
            <w:r>
              <w:rPr>
                <w:rFonts w:cs="Times New Roman"/>
                <w:color w:val="000000"/>
                <w:lang w:bidi="ar"/>
              </w:rPr>
              <w:t>新兴际华（北京）智能装备技术研究院有限公司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443ED0E2">
            <w:pPr>
              <w:jc w:val="right"/>
              <w:textAlignment w:val="bottom"/>
              <w:rPr>
                <w:rFonts w:cs="Times New Roman"/>
              </w:rPr>
            </w:pPr>
            <w:r>
              <w:rPr>
                <w:rFonts w:eastAsia="Arial Narrow" w:cs="Times New Roman"/>
                <w:color w:val="000000"/>
                <w:lang w:bidi="ar"/>
              </w:rPr>
              <w:t>1,802.00</w:t>
            </w:r>
          </w:p>
        </w:tc>
        <w:tc>
          <w:tcPr>
            <w:tcW w:w="1039" w:type="pct"/>
            <w:tcBorders>
              <w:top w:val="single" w:color="auto" w:sz="4" w:space="0"/>
              <w:left w:val="single" w:color="auto" w:sz="4" w:space="0"/>
              <w:bottom w:val="single" w:color="auto" w:sz="4" w:space="0"/>
              <w:right w:val="single" w:color="auto" w:sz="4" w:space="0"/>
            </w:tcBorders>
            <w:vAlign w:val="center"/>
          </w:tcPr>
          <w:p w14:paraId="0F8D1951">
            <w:pPr>
              <w:jc w:val="right"/>
              <w:rPr>
                <w:rFonts w:cs="Times New Roman"/>
              </w:rPr>
            </w:pPr>
          </w:p>
        </w:tc>
      </w:tr>
      <w:tr w14:paraId="38A5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0FAC616D">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351D9298">
            <w:pPr>
              <w:textAlignment w:val="top"/>
              <w:rPr>
                <w:rFonts w:cs="Times New Roman"/>
              </w:rPr>
            </w:pPr>
            <w:r>
              <w:rPr>
                <w:rFonts w:cs="Times New Roman"/>
                <w:color w:val="000000"/>
                <w:lang w:bidi="ar"/>
              </w:rPr>
              <w:t>陕西际华园开发建设有限公司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7B3D8398">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4C057007">
            <w:pPr>
              <w:jc w:val="right"/>
              <w:textAlignment w:val="bottom"/>
              <w:rPr>
                <w:rFonts w:cs="Times New Roman"/>
              </w:rPr>
            </w:pPr>
            <w:r>
              <w:rPr>
                <w:rFonts w:eastAsia="Arial Narrow" w:cs="Times New Roman"/>
                <w:color w:val="000000"/>
                <w:lang w:bidi="ar"/>
              </w:rPr>
              <w:t>156,800.00</w:t>
            </w:r>
          </w:p>
        </w:tc>
      </w:tr>
      <w:tr w14:paraId="1F19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65C89A8D">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182FC682">
            <w:pPr>
              <w:textAlignment w:val="top"/>
              <w:rPr>
                <w:rFonts w:cs="Times New Roman"/>
              </w:rPr>
            </w:pPr>
            <w:r>
              <w:rPr>
                <w:rFonts w:cs="Times New Roman"/>
                <w:color w:val="000000"/>
                <w:lang w:bidi="ar"/>
              </w:rPr>
              <w:t>新兴铸管（上海）金属资源有限公司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574AF761">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621D8845">
            <w:pPr>
              <w:jc w:val="right"/>
              <w:textAlignment w:val="bottom"/>
              <w:rPr>
                <w:rFonts w:cs="Times New Roman"/>
              </w:rPr>
            </w:pPr>
            <w:r>
              <w:rPr>
                <w:rFonts w:eastAsia="Arial Narrow" w:cs="Times New Roman"/>
                <w:color w:val="000000"/>
                <w:lang w:bidi="ar"/>
              </w:rPr>
              <w:t>440.00</w:t>
            </w:r>
          </w:p>
        </w:tc>
      </w:tr>
      <w:tr w14:paraId="7F8D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1EAFF799">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0A553151">
            <w:pPr>
              <w:textAlignment w:val="top"/>
              <w:rPr>
                <w:rFonts w:cs="Times New Roman"/>
              </w:rPr>
            </w:pPr>
            <w:r>
              <w:rPr>
                <w:rFonts w:cs="Times New Roman"/>
                <w:color w:val="000000"/>
                <w:lang w:bidi="ar"/>
              </w:rPr>
              <w:t>新兴铸管国际发展有限公司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547ACF0">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29C02E2B">
            <w:pPr>
              <w:jc w:val="right"/>
              <w:textAlignment w:val="bottom"/>
              <w:rPr>
                <w:rFonts w:cs="Times New Roman"/>
              </w:rPr>
            </w:pPr>
            <w:r>
              <w:rPr>
                <w:rFonts w:eastAsia="Arial Narrow" w:cs="Times New Roman"/>
                <w:color w:val="000000"/>
                <w:lang w:bidi="ar"/>
              </w:rPr>
              <w:t>1.00</w:t>
            </w:r>
          </w:p>
        </w:tc>
      </w:tr>
      <w:tr w14:paraId="0541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4E4ECDFF">
            <w:pPr>
              <w:textAlignment w:val="bottom"/>
              <w:rPr>
                <w:rFonts w:cs="Times New Roman"/>
              </w:rPr>
            </w:pPr>
            <w:r>
              <w:rPr>
                <w:rFonts w:cs="Times New Roman"/>
                <w:color w:val="000000"/>
                <w:lang w:bidi="ar"/>
              </w:rPr>
              <w:t>预收款项</w:t>
            </w:r>
          </w:p>
        </w:tc>
        <w:tc>
          <w:tcPr>
            <w:tcW w:w="2034" w:type="pct"/>
            <w:tcBorders>
              <w:top w:val="single" w:color="auto" w:sz="4" w:space="0"/>
              <w:left w:val="single" w:color="auto" w:sz="4" w:space="0"/>
              <w:bottom w:val="single" w:color="auto" w:sz="4" w:space="0"/>
              <w:right w:val="single" w:color="auto" w:sz="4" w:space="0"/>
            </w:tcBorders>
            <w:vAlign w:val="center"/>
          </w:tcPr>
          <w:p w14:paraId="5B45815C">
            <w:pPr>
              <w:textAlignment w:val="top"/>
              <w:rPr>
                <w:rFonts w:cs="Times New Roman"/>
              </w:rPr>
            </w:pPr>
            <w:r>
              <w:rPr>
                <w:rFonts w:cs="Times New Roman"/>
                <w:color w:val="000000"/>
                <w:lang w:bidi="ar"/>
              </w:rPr>
              <w:t>新兴铸管股份有限公司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66B75D89">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047429AE">
            <w:pPr>
              <w:jc w:val="right"/>
              <w:textAlignment w:val="bottom"/>
              <w:rPr>
                <w:rFonts w:cs="Times New Roman"/>
              </w:rPr>
            </w:pPr>
            <w:r>
              <w:rPr>
                <w:rFonts w:eastAsia="Arial Narrow" w:cs="Times New Roman"/>
                <w:color w:val="000000"/>
                <w:lang w:bidi="ar"/>
              </w:rPr>
              <w:t>0.19</w:t>
            </w:r>
          </w:p>
        </w:tc>
      </w:tr>
      <w:tr w14:paraId="748B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7AACC88C">
            <w:pPr>
              <w:textAlignment w:val="bottom"/>
              <w:rPr>
                <w:rFonts w:cs="Times New Roman"/>
              </w:rPr>
            </w:pPr>
            <w:r>
              <w:rPr>
                <w:rFonts w:cs="Times New Roman"/>
                <w:color w:val="000000"/>
                <w:lang w:bidi="ar"/>
              </w:rPr>
              <w:t>其他流动负债</w:t>
            </w:r>
          </w:p>
        </w:tc>
        <w:tc>
          <w:tcPr>
            <w:tcW w:w="2034" w:type="pct"/>
            <w:tcBorders>
              <w:top w:val="single" w:color="auto" w:sz="4" w:space="0"/>
              <w:left w:val="single" w:color="auto" w:sz="4" w:space="0"/>
              <w:bottom w:val="single" w:color="auto" w:sz="4" w:space="0"/>
              <w:right w:val="single" w:color="auto" w:sz="4" w:space="0"/>
            </w:tcBorders>
            <w:vAlign w:val="center"/>
          </w:tcPr>
          <w:p w14:paraId="16BA2EA9">
            <w:pPr>
              <w:rPr>
                <w:rFonts w:cs="Times New Roman"/>
              </w:rPr>
            </w:pPr>
          </w:p>
        </w:tc>
        <w:tc>
          <w:tcPr>
            <w:tcW w:w="1085" w:type="pct"/>
            <w:tcBorders>
              <w:top w:val="single" w:color="auto" w:sz="4" w:space="0"/>
              <w:left w:val="single" w:color="auto" w:sz="4" w:space="0"/>
              <w:bottom w:val="single" w:color="auto" w:sz="4" w:space="0"/>
              <w:right w:val="single" w:color="auto" w:sz="4" w:space="0"/>
            </w:tcBorders>
            <w:vAlign w:val="center"/>
          </w:tcPr>
          <w:p w14:paraId="1AAA558B">
            <w:pPr>
              <w:jc w:val="right"/>
              <w:rPr>
                <w:rFonts w:cs="Times New Roman"/>
              </w:rPr>
            </w:pPr>
          </w:p>
        </w:tc>
        <w:tc>
          <w:tcPr>
            <w:tcW w:w="1039" w:type="pct"/>
            <w:tcBorders>
              <w:top w:val="single" w:color="auto" w:sz="4" w:space="0"/>
              <w:left w:val="single" w:color="auto" w:sz="4" w:space="0"/>
              <w:bottom w:val="single" w:color="auto" w:sz="4" w:space="0"/>
              <w:right w:val="single" w:color="auto" w:sz="4" w:space="0"/>
            </w:tcBorders>
            <w:vAlign w:val="center"/>
          </w:tcPr>
          <w:p w14:paraId="6DE1FD85">
            <w:pPr>
              <w:jc w:val="right"/>
              <w:rPr>
                <w:rFonts w:cs="Times New Roman"/>
              </w:rPr>
            </w:pPr>
          </w:p>
        </w:tc>
      </w:tr>
      <w:tr w14:paraId="3934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41" w:type="pct"/>
            <w:tcBorders>
              <w:top w:val="single" w:color="auto" w:sz="4" w:space="0"/>
              <w:left w:val="single" w:color="auto" w:sz="4" w:space="0"/>
              <w:bottom w:val="single" w:color="auto" w:sz="4" w:space="0"/>
              <w:right w:val="single" w:color="auto" w:sz="4" w:space="0"/>
            </w:tcBorders>
            <w:vAlign w:val="center"/>
          </w:tcPr>
          <w:p w14:paraId="22EB6E30">
            <w:pPr>
              <w:textAlignment w:val="bottom"/>
              <w:rPr>
                <w:rFonts w:cs="Times New Roman"/>
              </w:rPr>
            </w:pPr>
            <w:r>
              <w:rPr>
                <w:rFonts w:cs="Times New Roman"/>
                <w:color w:val="000000"/>
                <w:lang w:bidi="ar"/>
              </w:rPr>
              <w:t>其他流动负债</w:t>
            </w:r>
          </w:p>
        </w:tc>
        <w:tc>
          <w:tcPr>
            <w:tcW w:w="2034" w:type="pct"/>
            <w:tcBorders>
              <w:top w:val="single" w:color="auto" w:sz="4" w:space="0"/>
              <w:left w:val="single" w:color="auto" w:sz="4" w:space="0"/>
              <w:bottom w:val="single" w:color="auto" w:sz="4" w:space="0"/>
              <w:right w:val="single" w:color="auto" w:sz="4" w:space="0"/>
            </w:tcBorders>
            <w:vAlign w:val="center"/>
          </w:tcPr>
          <w:p w14:paraId="443C4692">
            <w:pPr>
              <w:textAlignment w:val="top"/>
              <w:rPr>
                <w:rFonts w:cs="Times New Roman"/>
              </w:rPr>
            </w:pPr>
            <w:r>
              <w:rPr>
                <w:rFonts w:cs="Times New Roman"/>
                <w:color w:val="000000"/>
                <w:lang w:bidi="ar"/>
              </w:rPr>
              <w:t>新兴际华集团有限公司</w:t>
            </w:r>
          </w:p>
        </w:tc>
        <w:tc>
          <w:tcPr>
            <w:tcW w:w="1085" w:type="pct"/>
            <w:tcBorders>
              <w:top w:val="single" w:color="auto" w:sz="4" w:space="0"/>
              <w:left w:val="single" w:color="auto" w:sz="4" w:space="0"/>
              <w:bottom w:val="single" w:color="auto" w:sz="4" w:space="0"/>
              <w:right w:val="single" w:color="auto" w:sz="4" w:space="0"/>
            </w:tcBorders>
            <w:vAlign w:val="center"/>
          </w:tcPr>
          <w:p w14:paraId="37FAC863">
            <w:pPr>
              <w:jc w:val="right"/>
              <w:textAlignment w:val="bottom"/>
              <w:rPr>
                <w:rFonts w:cs="Times New Roman"/>
              </w:rPr>
            </w:pPr>
            <w:r>
              <w:rPr>
                <w:rFonts w:eastAsia="Arial Narrow" w:cs="Times New Roman"/>
                <w:color w:val="000000"/>
                <w:lang w:bidi="ar"/>
              </w:rPr>
              <w:t>215,085,500.00</w:t>
            </w:r>
          </w:p>
        </w:tc>
        <w:tc>
          <w:tcPr>
            <w:tcW w:w="1039" w:type="pct"/>
            <w:tcBorders>
              <w:top w:val="single" w:color="auto" w:sz="4" w:space="0"/>
              <w:left w:val="single" w:color="auto" w:sz="4" w:space="0"/>
              <w:bottom w:val="single" w:color="auto" w:sz="4" w:space="0"/>
              <w:right w:val="single" w:color="auto" w:sz="4" w:space="0"/>
            </w:tcBorders>
            <w:vAlign w:val="center"/>
          </w:tcPr>
          <w:p w14:paraId="5E6F6FAF">
            <w:pPr>
              <w:jc w:val="right"/>
              <w:textAlignment w:val="bottom"/>
              <w:rPr>
                <w:rFonts w:cs="Times New Roman"/>
              </w:rPr>
            </w:pPr>
            <w:r>
              <w:rPr>
                <w:rFonts w:eastAsia="Arial Narrow" w:cs="Times New Roman"/>
                <w:color w:val="000000"/>
                <w:lang w:bidi="ar"/>
              </w:rPr>
              <w:t>215,000,000.00</w:t>
            </w:r>
          </w:p>
        </w:tc>
      </w:tr>
    </w:tbl>
    <w:p w14:paraId="24C14F76"/>
    <w:p w14:paraId="11656CB8">
      <w:pPr>
        <w:pStyle w:val="58"/>
        <w:numPr>
          <w:ilvl w:val="0"/>
          <w:numId w:val="106"/>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其他项目</w:t>
      </w:r>
    </w:p>
    <w:sdt>
      <w:sdtPr>
        <w:rPr>
          <w:color w:val="000000" w:themeColor="text1"/>
          <w14:textFill>
            <w14:solidFill>
              <w14:schemeClr w14:val="tx1"/>
            </w14:solidFill>
          </w14:textFill>
        </w:rPr>
        <w:alias w:val="是否适用：关联方其他未结算项目情况[双击切换]"/>
        <w:tag w:val="_GBC_459b27789b354473a02699da087a3b51"/>
        <w:id w:val="147473216"/>
        <w:placeholder>
          <w:docPart w:val="GBC22222222222222222222222222222"/>
        </w:placeholder>
      </w:sdtPr>
      <w:sdtEndPr>
        <w:rPr>
          <w:color w:val="000000" w:themeColor="text1"/>
          <w14:textFill>
            <w14:solidFill>
              <w14:schemeClr w14:val="tx1"/>
            </w14:solidFill>
          </w14:textFill>
        </w:rPr>
      </w:sdtEndPr>
      <w:sdtContent>
        <w:p w14:paraId="7701C5B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40CAC5A">
      <w:pPr>
        <w:rPr>
          <w:color w:val="000000" w:themeColor="text1"/>
          <w14:textFill>
            <w14:solidFill>
              <w14:schemeClr w14:val="tx1"/>
            </w14:solidFill>
          </w14:textFill>
        </w:rPr>
      </w:pPr>
    </w:p>
    <w:bookmarkEnd w:id="414"/>
    <w:p w14:paraId="4BB8A9E4">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关联方承诺</w:t>
      </w:r>
    </w:p>
    <w:sdt>
      <w:sdtPr>
        <w:rPr>
          <w:color w:val="000000" w:themeColor="text1"/>
          <w14:textFill>
            <w14:solidFill>
              <w14:schemeClr w14:val="tx1"/>
            </w14:solidFill>
          </w14:textFill>
        </w:rPr>
        <w:alias w:val="是否适用：关联方承诺[双击切换]"/>
        <w:tag w:val="_GBC_b906cacab2e94825966fa70e345656b5"/>
        <w:id w:val="147473407"/>
        <w:placeholder>
          <w:docPart w:val="GBC22222222222222222222222222222"/>
        </w:placeholder>
      </w:sdtPr>
      <w:sdtEndPr>
        <w:rPr>
          <w:color w:val="000000" w:themeColor="text1"/>
          <w14:textFill>
            <w14:solidFill>
              <w14:schemeClr w14:val="tx1"/>
            </w14:solidFill>
          </w14:textFill>
        </w:rPr>
      </w:sdtEndPr>
      <w:sdtContent>
        <w:p w14:paraId="41D3591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60734EF">
      <w:pPr>
        <w:tabs>
          <w:tab w:val="left" w:pos="1134"/>
        </w:tabs>
        <w:rPr>
          <w:rFonts w:cs="Cambria"/>
          <w:color w:val="000000" w:themeColor="text1"/>
          <w:sz w:val="20"/>
          <w:szCs w:val="20"/>
          <w14:textFill>
            <w14:solidFill>
              <w14:schemeClr w14:val="tx1"/>
            </w14:solidFill>
          </w14:textFill>
        </w:rPr>
      </w:pPr>
    </w:p>
    <w:p w14:paraId="02062252">
      <w:pPr>
        <w:pStyle w:val="57"/>
        <w:numPr>
          <w:ilvl w:val="0"/>
          <w:numId w:val="104"/>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关联方及关联情况的其他说明[双击切换]"/>
        <w:tag w:val="_GBC_87161343db8b4a0b9e041c62c0df5e87"/>
        <w:id w:val="147472689"/>
        <w:placeholder>
          <w:docPart w:val="GBC22222222222222222222222222222"/>
        </w:placeholder>
      </w:sdtPr>
      <w:sdtEndPr>
        <w:rPr>
          <w:color w:val="000000" w:themeColor="text1"/>
          <w14:textFill>
            <w14:solidFill>
              <w14:schemeClr w14:val="tx1"/>
            </w14:solidFill>
          </w14:textFill>
        </w:rPr>
      </w:sdtEndPr>
      <w:sdtContent>
        <w:p w14:paraId="1BD6CC1A">
          <w:pPr>
            <w:tabs>
              <w:tab w:val="left" w:pos="1134"/>
            </w:tabs>
            <w:rPr>
              <w:rFonts w:cs="Cambria"/>
              <w:color w:val="000000" w:themeColor="text1"/>
              <w:sz w:val="20"/>
              <w:szCs w:val="20"/>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E3BE9E3">
      <w:pPr>
        <w:tabs>
          <w:tab w:val="left" w:pos="1134"/>
        </w:tabs>
        <w:rPr>
          <w:rFonts w:cs="Cambria"/>
          <w:b/>
          <w:color w:val="000000" w:themeColor="text1"/>
          <w:sz w:val="20"/>
          <w:szCs w:val="20"/>
          <w14:textFill>
            <w14:solidFill>
              <w14:schemeClr w14:val="tx1"/>
            </w14:solidFill>
          </w14:textFill>
        </w:rPr>
      </w:pPr>
    </w:p>
    <w:p w14:paraId="39E15897">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股份支付</w:t>
      </w:r>
    </w:p>
    <w:p w14:paraId="6569FC99">
      <w:pPr>
        <w:pStyle w:val="57"/>
        <w:numPr>
          <w:ilvl w:val="0"/>
          <w:numId w:val="107"/>
        </w:numPr>
        <w:ind w:left="420" w:hanging="420"/>
        <w:rPr>
          <w:rFonts w:ascii="宋体" w:hAnsi="宋体" w:cs="宋体"/>
          <w:color w:val="000000" w:themeColor="text1"/>
          <w:kern w:val="0"/>
          <w:szCs w:val="24"/>
          <w14:textFill>
            <w14:solidFill>
              <w14:schemeClr w14:val="tx1"/>
            </w14:solidFill>
          </w14:textFill>
        </w:rPr>
      </w:pPr>
      <w:bookmarkStart w:id="415" w:name="_Hlk168492989"/>
      <w:r>
        <w:rPr>
          <w:rFonts w:hint="eastAsia" w:ascii="宋体" w:hAnsi="宋体" w:cs="宋体"/>
          <w:color w:val="000000" w:themeColor="text1"/>
          <w:kern w:val="0"/>
          <w:szCs w:val="24"/>
          <w14:textFill>
            <w14:solidFill>
              <w14:schemeClr w14:val="tx1"/>
            </w14:solidFill>
          </w14:textFill>
        </w:rPr>
        <w:t>各项权益工具</w:t>
      </w:r>
    </w:p>
    <w:p w14:paraId="6771F62C">
      <w:pPr>
        <w:pStyle w:val="58"/>
        <w:numPr>
          <w:ilvl w:val="0"/>
          <w:numId w:val="108"/>
        </w:numPr>
      </w:pPr>
      <w:r>
        <w:rPr>
          <w:rFonts w:hint="eastAsia"/>
        </w:rPr>
        <w:t>明细情况</w:t>
      </w:r>
    </w:p>
    <w:sdt>
      <w:sdtPr>
        <w:rPr>
          <w:color w:val="000000" w:themeColor="text1"/>
          <w14:textFill>
            <w14:solidFill>
              <w14:schemeClr w14:val="tx1"/>
            </w14:solidFill>
          </w14:textFill>
        </w:rPr>
        <w:alias w:val="是否适用：各项权益工具[双击切换]"/>
        <w:tag w:val="_GBC_65abee0b78064363a3f4a058a40176bf"/>
        <w:id w:val="147455037"/>
        <w:placeholder>
          <w:docPart w:val="GBC22222222222222222222222222222"/>
        </w:placeholder>
      </w:sdtPr>
      <w:sdtEndPr>
        <w:rPr>
          <w:color w:val="000000" w:themeColor="text1"/>
          <w14:textFill>
            <w14:solidFill>
              <w14:schemeClr w14:val="tx1"/>
            </w14:solidFill>
          </w14:textFill>
        </w:rPr>
      </w:sdtEndPr>
      <w:sdtContent>
        <w:p w14:paraId="64938DC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15"/>
    <w:p w14:paraId="696ED20C">
      <w:pPr>
        <w:rPr>
          <w:color w:val="000000" w:themeColor="text1"/>
          <w14:textFill>
            <w14:solidFill>
              <w14:schemeClr w14:val="tx1"/>
            </w14:solidFill>
          </w14:textFill>
        </w:rPr>
      </w:pPr>
      <w:bookmarkStart w:id="416" w:name="_Hlk168478628"/>
      <w:bookmarkStart w:id="417" w:name="_Hlk167977283"/>
      <w:bookmarkStart w:id="418" w:name="_Hlk40787153"/>
    </w:p>
    <w:p w14:paraId="0A038505">
      <w:pPr>
        <w:pStyle w:val="58"/>
        <w:numPr>
          <w:ilvl w:val="0"/>
          <w:numId w:val="108"/>
        </w:numPr>
      </w:pPr>
      <w:r>
        <w:rPr>
          <w:rFonts w:hint="eastAsia"/>
        </w:rPr>
        <w:t>期末发行在外的股票期权或其他权益工具</w:t>
      </w:r>
    </w:p>
    <w:sdt>
      <w:sdtPr>
        <w:rPr>
          <w:color w:val="000000" w:themeColor="text1"/>
          <w14:textFill>
            <w14:solidFill>
              <w14:schemeClr w14:val="tx1"/>
            </w14:solidFill>
          </w14:textFill>
        </w:rPr>
        <w:alias w:val="是否适用：期末发行在外的股票期权或其他权益工具[双击切换]"/>
        <w:tag w:val="_GBC_f17c034d860345b98ee280169a254e4a"/>
        <w:id w:val="147459950"/>
        <w:placeholder>
          <w:docPart w:val="GBC22222222222222222222222222222"/>
        </w:placeholder>
      </w:sdtPr>
      <w:sdtEndPr>
        <w:rPr>
          <w:color w:val="000000" w:themeColor="text1"/>
          <w14:textFill>
            <w14:solidFill>
              <w14:schemeClr w14:val="tx1"/>
            </w14:solidFill>
          </w14:textFill>
        </w:rPr>
      </w:sdtEndPr>
      <w:sdtContent>
        <w:p w14:paraId="20D5AACC">
          <w:pPr>
            <w:rPr>
              <w:color w:val="000000" w:themeColor="text1"/>
              <w14:textFill>
                <w14:solidFill>
                  <w14:schemeClr w14:val="tx1"/>
                </w14:solidFill>
              </w14:textFill>
            </w:rPr>
          </w:pPr>
          <w:bookmarkStart w:id="419" w:name="_Hlk168493917"/>
          <w:bookmarkStart w:id="420" w:name="_Hlk168493896"/>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16"/>
    <w:bookmarkEnd w:id="419"/>
    <w:bookmarkEnd w:id="420"/>
    <w:p w14:paraId="3A73E03C">
      <w:pPr>
        <w:rPr>
          <w:color w:val="000000" w:themeColor="text1"/>
          <w14:textFill>
            <w14:solidFill>
              <w14:schemeClr w14:val="tx1"/>
            </w14:solidFill>
          </w14:textFill>
        </w:rPr>
      </w:pPr>
      <w:bookmarkStart w:id="421" w:name="_Hlk168487614"/>
    </w:p>
    <w:bookmarkEnd w:id="417"/>
    <w:bookmarkEnd w:id="418"/>
    <w:bookmarkEnd w:id="421"/>
    <w:p w14:paraId="3E9CD974">
      <w:pPr>
        <w:pStyle w:val="57"/>
        <w:numPr>
          <w:ilvl w:val="0"/>
          <w:numId w:val="107"/>
        </w:numPr>
        <w:ind w:left="420" w:hanging="420"/>
        <w:rPr>
          <w:rFonts w:ascii="宋体" w:hAnsi="宋体" w:cs="宋体"/>
          <w:color w:val="000000" w:themeColor="text1"/>
          <w:kern w:val="0"/>
          <w:szCs w:val="24"/>
          <w14:textFill>
            <w14:solidFill>
              <w14:schemeClr w14:val="tx1"/>
            </w14:solidFill>
          </w14:textFill>
        </w:rPr>
      </w:pPr>
      <w:bookmarkStart w:id="422" w:name="_Hlk167977424"/>
      <w:bookmarkStart w:id="423" w:name="_Hlk40787299"/>
      <w:bookmarkStart w:id="424" w:name="_Hlk40787204"/>
      <w:r>
        <w:rPr>
          <w:rFonts w:hint="eastAsia" w:ascii="宋体" w:hAnsi="宋体" w:cs="宋体"/>
          <w:color w:val="000000" w:themeColor="text1"/>
          <w:kern w:val="0"/>
          <w:szCs w:val="24"/>
          <w14:textFill>
            <w14:solidFill>
              <w14:schemeClr w14:val="tx1"/>
            </w14:solidFill>
          </w14:textFill>
        </w:rPr>
        <w:t>以权益结算的股份支付情况</w:t>
      </w:r>
    </w:p>
    <w:sdt>
      <w:sdtPr>
        <w:rPr>
          <w:color w:val="000000" w:themeColor="text1"/>
          <w14:textFill>
            <w14:solidFill>
              <w14:schemeClr w14:val="tx1"/>
            </w14:solidFill>
          </w14:textFill>
        </w:rPr>
        <w:alias w:val="是否适用：以权益结算的股份支付情况[双击切换]"/>
        <w:tag w:val="_GBC_6dde9ffab03943229cd0918c8621502d"/>
        <w:id w:val="147459039"/>
        <w:placeholder>
          <w:docPart w:val="GBC22222222222222222222222222222"/>
        </w:placeholder>
      </w:sdtPr>
      <w:sdtEndPr>
        <w:rPr>
          <w:color w:val="000000" w:themeColor="text1"/>
          <w14:textFill>
            <w14:solidFill>
              <w14:schemeClr w14:val="tx1"/>
            </w14:solidFill>
          </w14:textFill>
        </w:rPr>
      </w:sdtEndPr>
      <w:sdtContent>
        <w:p w14:paraId="4A6EB11D">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22"/>
    <w:bookmarkEnd w:id="423"/>
    <w:p w14:paraId="1E08C7EC">
      <w:pPr>
        <w:rPr>
          <w:color w:val="000000" w:themeColor="text1"/>
          <w14:textFill>
            <w14:solidFill>
              <w14:schemeClr w14:val="tx1"/>
            </w14:solidFill>
          </w14:textFill>
        </w:rPr>
      </w:pPr>
    </w:p>
    <w:bookmarkEnd w:id="424"/>
    <w:p w14:paraId="2FB2601D">
      <w:pPr>
        <w:pStyle w:val="57"/>
        <w:numPr>
          <w:ilvl w:val="0"/>
          <w:numId w:val="107"/>
        </w:numPr>
        <w:ind w:left="420" w:hanging="420"/>
        <w:rPr>
          <w:rFonts w:ascii="宋体" w:hAnsi="宋体" w:cs="宋体"/>
          <w:color w:val="000000" w:themeColor="text1"/>
          <w:kern w:val="0"/>
          <w:szCs w:val="24"/>
          <w14:textFill>
            <w14:solidFill>
              <w14:schemeClr w14:val="tx1"/>
            </w14:solidFill>
          </w14:textFill>
        </w:rPr>
      </w:pPr>
      <w:bookmarkStart w:id="425" w:name="_Hlk167977563"/>
      <w:r>
        <w:rPr>
          <w:rFonts w:hint="eastAsia" w:ascii="宋体" w:hAnsi="宋体" w:cs="宋体"/>
          <w:color w:val="000000" w:themeColor="text1"/>
          <w:kern w:val="0"/>
          <w:szCs w:val="24"/>
          <w14:textFill>
            <w14:solidFill>
              <w14:schemeClr w14:val="tx1"/>
            </w14:solidFill>
          </w14:textFill>
        </w:rPr>
        <w:t>以现金结算的股份支付情况</w:t>
      </w:r>
    </w:p>
    <w:sdt>
      <w:sdtPr>
        <w:rPr>
          <w:color w:val="000000" w:themeColor="text1"/>
          <w14:textFill>
            <w14:solidFill>
              <w14:schemeClr w14:val="tx1"/>
            </w14:solidFill>
          </w14:textFill>
        </w:rPr>
        <w:alias w:val="是否适用：以现金结算的股份支付情况[双击切换]"/>
        <w:tag w:val="_GBC_2a6bb5b9d8a04286865cd607e7260a60"/>
        <w:id w:val="147469198"/>
        <w:placeholder>
          <w:docPart w:val="GBC22222222222222222222222222222"/>
        </w:placeholder>
      </w:sdtPr>
      <w:sdtEndPr>
        <w:rPr>
          <w:color w:val="000000" w:themeColor="text1"/>
          <w14:textFill>
            <w14:solidFill>
              <w14:schemeClr w14:val="tx1"/>
            </w14:solidFill>
          </w14:textFill>
        </w:rPr>
      </w:sdtEndPr>
      <w:sdtContent>
        <w:p w14:paraId="07676F0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2C08299">
      <w:pPr>
        <w:rPr>
          <w:color w:val="000000" w:themeColor="text1"/>
          <w14:textFill>
            <w14:solidFill>
              <w14:schemeClr w14:val="tx1"/>
            </w14:solidFill>
          </w14:textFill>
        </w:rPr>
      </w:pPr>
    </w:p>
    <w:p w14:paraId="7E48C992">
      <w:pPr>
        <w:pStyle w:val="57"/>
        <w:numPr>
          <w:ilvl w:val="0"/>
          <w:numId w:val="107"/>
        </w:numPr>
        <w:ind w:left="420" w:hanging="420"/>
        <w:rPr>
          <w:rFonts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本期股份支付费用</w:t>
      </w:r>
    </w:p>
    <w:sdt>
      <w:sdtPr>
        <w:rPr>
          <w:color w:val="000000" w:themeColor="text1"/>
          <w14:textFill>
            <w14:solidFill>
              <w14:schemeClr w14:val="tx1"/>
            </w14:solidFill>
          </w14:textFill>
        </w:rPr>
        <w:alias w:val="是否适用：股份支付费用[双击切换]"/>
        <w:tag w:val="_GBC_5b0304a006c7437ca2961c2d2bdf142a"/>
        <w:id w:val="147482699"/>
        <w:placeholder>
          <w:docPart w:val="GBC22222222222222222222222222222"/>
        </w:placeholder>
      </w:sdtPr>
      <w:sdtEndPr>
        <w:rPr>
          <w:color w:val="000000" w:themeColor="text1"/>
          <w14:textFill>
            <w14:solidFill>
              <w14:schemeClr w14:val="tx1"/>
            </w14:solidFill>
          </w14:textFill>
        </w:rPr>
      </w:sdtEndPr>
      <w:sdtContent>
        <w:p w14:paraId="5D744AEC">
          <w:pPr>
            <w:rPr>
              <w:color w:val="000000" w:themeColor="text1"/>
              <w14:textFill>
                <w14:solidFill>
                  <w14:schemeClr w14:val="tx1"/>
                </w14:solidFill>
              </w14:textFill>
            </w:rPr>
          </w:pPr>
          <w:bookmarkStart w:id="426" w:name="_Hlk168494235"/>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25"/>
    <w:bookmarkEnd w:id="426"/>
    <w:p w14:paraId="7A9A6CB2">
      <w:pPr>
        <w:rPr>
          <w:color w:val="000000" w:themeColor="text1"/>
          <w14:textFill>
            <w14:solidFill>
              <w14:schemeClr w14:val="tx1"/>
            </w14:solidFill>
          </w14:textFill>
        </w:rPr>
      </w:pPr>
      <w:bookmarkStart w:id="427" w:name="_Hlk168494436"/>
    </w:p>
    <w:bookmarkEnd w:id="427"/>
    <w:p w14:paraId="3EA07246">
      <w:pPr>
        <w:pStyle w:val="57"/>
        <w:numPr>
          <w:ilvl w:val="0"/>
          <w:numId w:val="107"/>
        </w:numPr>
        <w:ind w:left="420" w:hanging="420"/>
        <w:rPr>
          <w:rFonts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股份支付的修改、终止情况</w:t>
      </w:r>
    </w:p>
    <w:sdt>
      <w:sdtPr>
        <w:rPr>
          <w:color w:val="000000" w:themeColor="text1"/>
          <w14:textFill>
            <w14:solidFill>
              <w14:schemeClr w14:val="tx1"/>
            </w14:solidFill>
          </w14:textFill>
        </w:rPr>
        <w:alias w:val="是否适用：股份支付的修改、终止情况[双击切换]"/>
        <w:tag w:val="_GBC_794cdee9be3b4b478fa83b914d22ea66"/>
        <w:id w:val="147455561"/>
        <w:placeholder>
          <w:docPart w:val="GBC22222222222222222222222222222"/>
        </w:placeholder>
      </w:sdtPr>
      <w:sdtEndPr>
        <w:rPr>
          <w:color w:val="000000" w:themeColor="text1"/>
          <w14:textFill>
            <w14:solidFill>
              <w14:schemeClr w14:val="tx1"/>
            </w14:solidFill>
          </w14:textFill>
        </w:rPr>
      </w:sdtEndPr>
      <w:sdtContent>
        <w:p w14:paraId="358CFED1">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735583A">
      <w:pPr>
        <w:ind w:firstLine="210" w:firstLineChars="100"/>
        <w:rPr>
          <w:color w:val="000000" w:themeColor="text1"/>
          <w14:textFill>
            <w14:solidFill>
              <w14:schemeClr w14:val="tx1"/>
            </w14:solidFill>
          </w14:textFill>
        </w:rPr>
      </w:pPr>
    </w:p>
    <w:p w14:paraId="0018C0A5">
      <w:pPr>
        <w:pStyle w:val="57"/>
        <w:numPr>
          <w:ilvl w:val="0"/>
          <w:numId w:val="107"/>
        </w:numPr>
        <w:ind w:left="420" w:hanging="420"/>
        <w:rPr>
          <w:rFonts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其他</w:t>
      </w:r>
    </w:p>
    <w:sdt>
      <w:sdtPr>
        <w:rPr>
          <w:color w:val="000000" w:themeColor="text1"/>
          <w14:textFill>
            <w14:solidFill>
              <w14:schemeClr w14:val="tx1"/>
            </w14:solidFill>
          </w14:textFill>
        </w:rPr>
        <w:alias w:val="是否适用：股份支付的其他情况说明[双击切换]"/>
        <w:tag w:val="_GBC_b8be1a19715949cab94dc673580d61a2"/>
        <w:id w:val="147470589"/>
        <w:placeholder>
          <w:docPart w:val="GBC22222222222222222222222222222"/>
        </w:placeholder>
      </w:sdtPr>
      <w:sdtEndPr>
        <w:rPr>
          <w:color w:val="000000" w:themeColor="text1"/>
          <w14:textFill>
            <w14:solidFill>
              <w14:schemeClr w14:val="tx1"/>
            </w14:solidFill>
          </w14:textFill>
        </w:rPr>
      </w:sdtEndPr>
      <w:sdtContent>
        <w:p w14:paraId="52666D8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F9DA7B9">
      <w:pPr>
        <w:rPr>
          <w:color w:val="000000" w:themeColor="text1"/>
          <w14:textFill>
            <w14:solidFill>
              <w14:schemeClr w14:val="tx1"/>
            </w14:solidFill>
          </w14:textFill>
        </w:rPr>
      </w:pPr>
    </w:p>
    <w:p w14:paraId="431B581A">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承诺及或有事项</w:t>
      </w:r>
    </w:p>
    <w:p w14:paraId="702049C5">
      <w:pPr>
        <w:pStyle w:val="57"/>
        <w:numPr>
          <w:ilvl w:val="0"/>
          <w:numId w:val="10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重要承诺事项</w:t>
      </w:r>
    </w:p>
    <w:sdt>
      <w:sdtPr>
        <w:rPr>
          <w:color w:val="000000" w:themeColor="text1"/>
          <w14:textFill>
            <w14:solidFill>
              <w14:schemeClr w14:val="tx1"/>
            </w14:solidFill>
          </w14:textFill>
        </w:rPr>
        <w:alias w:val="是否适用：重要承诺事项[双击切换]"/>
        <w:tag w:val="_GBC_3ee02d2bff5e4dd69f75cc6148bdda8f"/>
        <w:id w:val="147477537"/>
        <w:placeholder>
          <w:docPart w:val="GBC22222222222222222222222222222"/>
        </w:placeholder>
      </w:sdtPr>
      <w:sdtEndPr>
        <w:rPr>
          <w:color w:val="000000" w:themeColor="text1"/>
          <w14:textFill>
            <w14:solidFill>
              <w14:schemeClr w14:val="tx1"/>
            </w14:solidFill>
          </w14:textFill>
        </w:rPr>
      </w:sdtEndPr>
      <w:sdtContent>
        <w:p w14:paraId="424409E0">
          <w:pPr>
            <w:rPr>
              <w:rFonts w:cs="Cambria"/>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3D8C22">
      <w:pPr>
        <w:rPr>
          <w:color w:val="000000" w:themeColor="text1"/>
          <w14:textFill>
            <w14:solidFill>
              <w14:schemeClr w14:val="tx1"/>
            </w14:solidFill>
          </w14:textFill>
        </w:rPr>
      </w:pPr>
    </w:p>
    <w:p w14:paraId="763D18EB">
      <w:pPr>
        <w:pStyle w:val="57"/>
        <w:numPr>
          <w:ilvl w:val="0"/>
          <w:numId w:val="10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或有事项</w:t>
      </w:r>
    </w:p>
    <w:p w14:paraId="136B5C51">
      <w:pPr>
        <w:pStyle w:val="58"/>
        <w:numPr>
          <w:ilvl w:val="0"/>
          <w:numId w:val="11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资产负债表日存在的重要或有事项</w:t>
      </w:r>
    </w:p>
    <w:sdt>
      <w:sdtPr>
        <w:rPr>
          <w:color w:val="000000" w:themeColor="text1"/>
          <w14:textFill>
            <w14:solidFill>
              <w14:schemeClr w14:val="tx1"/>
            </w14:solidFill>
          </w14:textFill>
        </w:rPr>
        <w:alias w:val="是否适用：资产负债表日存在的重要或有事项[双击切换]"/>
        <w:tag w:val="_GBC_dea854a30b4642f6b78351afe6791c32"/>
        <w:id w:val="147452962"/>
        <w:placeholder>
          <w:docPart w:val="GBC22222222222222222222222222222"/>
        </w:placeholder>
      </w:sdtPr>
      <w:sdtEndPr>
        <w:rPr>
          <w:color w:val="000000" w:themeColor="text1"/>
          <w14:textFill>
            <w14:solidFill>
              <w14:schemeClr w14:val="tx1"/>
            </w14:solidFill>
          </w14:textFill>
        </w:rPr>
      </w:sdtEndPr>
      <w:sdtContent>
        <w:p w14:paraId="10875D3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D7235A">
      <w:pPr>
        <w:rPr>
          <w:color w:val="000000" w:themeColor="text1"/>
          <w14:textFill>
            <w14:solidFill>
              <w14:schemeClr w14:val="tx1"/>
            </w14:solidFill>
          </w14:textFill>
        </w:rPr>
      </w:pPr>
    </w:p>
    <w:p w14:paraId="34495FEE">
      <w:pPr>
        <w:pStyle w:val="58"/>
        <w:numPr>
          <w:ilvl w:val="0"/>
          <w:numId w:val="110"/>
        </w:numPr>
        <w:tabs>
          <w:tab w:val="left" w:pos="616"/>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公司没有需要披露的重要或有事项，也应予以说明：</w:t>
      </w:r>
    </w:p>
    <w:sdt>
      <w:sdtPr>
        <w:rPr>
          <w:color w:val="000000" w:themeColor="text1"/>
          <w14:textFill>
            <w14:solidFill>
              <w14:schemeClr w14:val="tx1"/>
            </w14:solidFill>
          </w14:textFill>
        </w:rPr>
        <w:alias w:val="是否适用：公司没有需要披露的重要或有事项，也应予以说明[双击切换]"/>
        <w:tag w:val="_GBC_a0545390a9694adcaaee8509e290303c"/>
        <w:id w:val="147480460"/>
        <w:placeholder>
          <w:docPart w:val="GBC22222222222222222222222222222"/>
        </w:placeholder>
      </w:sdtPr>
      <w:sdtEndPr>
        <w:rPr>
          <w:color w:val="000000" w:themeColor="text1"/>
          <w14:textFill>
            <w14:solidFill>
              <w14:schemeClr w14:val="tx1"/>
            </w14:solidFill>
          </w14:textFill>
        </w:rPr>
      </w:sdtEndPr>
      <w:sdtContent>
        <w:p w14:paraId="13636B4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CDB8622">
      <w:pPr>
        <w:rPr>
          <w:rFonts w:cstheme="minorBidi"/>
          <w:color w:val="000000" w:themeColor="text1"/>
          <w14:textFill>
            <w14:solidFill>
              <w14:schemeClr w14:val="tx1"/>
            </w14:solidFill>
          </w14:textFill>
        </w:rPr>
      </w:pPr>
    </w:p>
    <w:p w14:paraId="1D5538C6">
      <w:pPr>
        <w:pStyle w:val="57"/>
        <w:numPr>
          <w:ilvl w:val="0"/>
          <w:numId w:val="109"/>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承诺及或有事项的其他情况说明[双击切换]"/>
        <w:tag w:val="_GBC_ff33b21a56eb4d3291f2b4875be5a2b2"/>
        <w:id w:val="147465278"/>
        <w:placeholder>
          <w:docPart w:val="GBC22222222222222222222222222222"/>
        </w:placeholder>
      </w:sdtPr>
      <w:sdtEndPr>
        <w:rPr>
          <w:color w:val="000000" w:themeColor="text1"/>
          <w14:textFill>
            <w14:solidFill>
              <w14:schemeClr w14:val="tx1"/>
            </w14:solidFill>
          </w14:textFill>
        </w:rPr>
      </w:sdtEndPr>
      <w:sdtContent>
        <w:p w14:paraId="56EE754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DF5AA56">
      <w:pPr>
        <w:rPr>
          <w:color w:val="000000" w:themeColor="text1"/>
          <w14:textFill>
            <w14:solidFill>
              <w14:schemeClr w14:val="tx1"/>
            </w14:solidFill>
          </w14:textFill>
        </w:rPr>
      </w:pPr>
    </w:p>
    <w:p w14:paraId="4D4FBE30">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资产负债表日后事项</w:t>
      </w:r>
    </w:p>
    <w:p w14:paraId="721F9A8B">
      <w:pPr>
        <w:pStyle w:val="57"/>
        <w:numPr>
          <w:ilvl w:val="0"/>
          <w:numId w:val="11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重要的非调整事项</w:t>
      </w:r>
    </w:p>
    <w:sdt>
      <w:sdtPr>
        <w:rPr>
          <w:color w:val="000000" w:themeColor="text1"/>
          <w14:textFill>
            <w14:solidFill>
              <w14:schemeClr w14:val="tx1"/>
            </w14:solidFill>
          </w14:textFill>
        </w:rPr>
        <w:alias w:val="是否适用：重要的非调整事项[双击切换]"/>
        <w:tag w:val="_GBC_ab366a8fb12748d6aa2a8401b360857c"/>
        <w:id w:val="147471408"/>
        <w:placeholder>
          <w:docPart w:val="GBC22222222222222222222222222222"/>
        </w:placeholder>
      </w:sdtPr>
      <w:sdtEndPr>
        <w:rPr>
          <w:color w:val="000000" w:themeColor="text1"/>
          <w14:textFill>
            <w14:solidFill>
              <w14:schemeClr w14:val="tx1"/>
            </w14:solidFill>
          </w14:textFill>
        </w:rPr>
      </w:sdtEndPr>
      <w:sdtContent>
        <w:p w14:paraId="383C20E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9ECF59">
      <w:pPr>
        <w:rPr>
          <w:color w:val="000000" w:themeColor="text1"/>
          <w14:textFill>
            <w14:solidFill>
              <w14:schemeClr w14:val="tx1"/>
            </w14:solidFill>
          </w14:textFill>
        </w:rPr>
      </w:pPr>
    </w:p>
    <w:p w14:paraId="126502C6">
      <w:pPr>
        <w:pStyle w:val="57"/>
        <w:numPr>
          <w:ilvl w:val="0"/>
          <w:numId w:val="11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利润分配情况</w:t>
      </w:r>
    </w:p>
    <w:sdt>
      <w:sdtPr>
        <w:rPr>
          <w:color w:val="000000" w:themeColor="text1"/>
          <w14:textFill>
            <w14:solidFill>
              <w14:schemeClr w14:val="tx1"/>
            </w14:solidFill>
          </w14:textFill>
        </w:rPr>
        <w:alias w:val="是否适用：利润分配情况[双击切换]"/>
        <w:tag w:val="_GBC_a2ea8cd0604f474db0e7e62eb7fc0435"/>
        <w:id w:val="147476312"/>
        <w:placeholder>
          <w:docPart w:val="GBC22222222222222222222222222222"/>
        </w:placeholder>
      </w:sdtPr>
      <w:sdtEndPr>
        <w:rPr>
          <w:color w:val="000000" w:themeColor="text1"/>
          <w14:textFill>
            <w14:solidFill>
              <w14:schemeClr w14:val="tx1"/>
            </w14:solidFill>
          </w14:textFill>
        </w:rPr>
      </w:sdtEndPr>
      <w:sdtContent>
        <w:p w14:paraId="1306270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B60A427">
      <w:pPr>
        <w:rPr>
          <w:color w:val="000000" w:themeColor="text1"/>
          <w14:textFill>
            <w14:solidFill>
              <w14:schemeClr w14:val="tx1"/>
            </w14:solidFill>
          </w14:textFill>
        </w:rPr>
      </w:pPr>
    </w:p>
    <w:p w14:paraId="740C4050">
      <w:pPr>
        <w:pStyle w:val="57"/>
        <w:numPr>
          <w:ilvl w:val="0"/>
          <w:numId w:val="111"/>
        </w:numPr>
        <w:rPr>
          <w:rFonts w:ascii="宋体" w:hAnsi="宋体"/>
          <w:color w:val="000000" w:themeColor="text1"/>
          <w14:textFill>
            <w14:solidFill>
              <w14:schemeClr w14:val="tx1"/>
            </w14:solidFill>
          </w14:textFill>
        </w:rPr>
      </w:pPr>
      <w:bookmarkStart w:id="428" w:name="_Toc241636515"/>
      <w:r>
        <w:rPr>
          <w:rFonts w:hint="eastAsia" w:ascii="宋体" w:hAnsi="宋体"/>
          <w:color w:val="000000" w:themeColor="text1"/>
          <w14:textFill>
            <w14:solidFill>
              <w14:schemeClr w14:val="tx1"/>
            </w14:solidFill>
          </w14:textFill>
        </w:rPr>
        <w:t>销售退回</w:t>
      </w:r>
    </w:p>
    <w:sdt>
      <w:sdtPr>
        <w:rPr>
          <w:color w:val="000000" w:themeColor="text1"/>
          <w14:textFill>
            <w14:solidFill>
              <w14:schemeClr w14:val="tx1"/>
            </w14:solidFill>
          </w14:textFill>
        </w:rPr>
        <w:alias w:val="是否适用：销售退回[双击切换]"/>
        <w:tag w:val="_GBC_4175c0e820fa43cd98dd2d05c0dea8a8"/>
        <w:id w:val="147473049"/>
        <w:placeholder>
          <w:docPart w:val="GBC22222222222222222222222222222"/>
        </w:placeholder>
      </w:sdtPr>
      <w:sdtEndPr>
        <w:rPr>
          <w:color w:val="000000" w:themeColor="text1"/>
          <w14:textFill>
            <w14:solidFill>
              <w14:schemeClr w14:val="tx1"/>
            </w14:solidFill>
          </w14:textFill>
        </w:rPr>
      </w:sdtEndPr>
      <w:sdtContent>
        <w:p w14:paraId="61F0D33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1FE3B19">
      <w:pPr>
        <w:rPr>
          <w:color w:val="000000" w:themeColor="text1"/>
          <w14:textFill>
            <w14:solidFill>
              <w14:schemeClr w14:val="tx1"/>
            </w14:solidFill>
          </w14:textFill>
        </w:rPr>
      </w:pPr>
    </w:p>
    <w:p w14:paraId="42C5FCEF">
      <w:pPr>
        <w:pStyle w:val="57"/>
        <w:numPr>
          <w:ilvl w:val="0"/>
          <w:numId w:val="11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其他资产负债表日后事项说明</w:t>
      </w:r>
      <w:bookmarkEnd w:id="428"/>
    </w:p>
    <w:sdt>
      <w:sdtPr>
        <w:rPr>
          <w:color w:val="000000" w:themeColor="text1"/>
          <w14:textFill>
            <w14:solidFill>
              <w14:schemeClr w14:val="tx1"/>
            </w14:solidFill>
          </w14:textFill>
        </w:rPr>
        <w:alias w:val="是否适用：其他资产负债表日后事项说明[双击切换]"/>
        <w:tag w:val="_GBC_3da0e7092a0048ed9e147e2e860785f5"/>
        <w:id w:val="147475127"/>
        <w:placeholder>
          <w:docPart w:val="GBC22222222222222222222222222222"/>
        </w:placeholder>
      </w:sdtPr>
      <w:sdtEndPr>
        <w:rPr>
          <w:color w:val="000000" w:themeColor="text1"/>
          <w14:textFill>
            <w14:solidFill>
              <w14:schemeClr w14:val="tx1"/>
            </w14:solidFill>
          </w14:textFill>
        </w:rPr>
      </w:sdtEndPr>
      <w:sdtContent>
        <w:p w14:paraId="6D1CA38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AE85343">
      <w:pPr>
        <w:rPr>
          <w:color w:val="000000" w:themeColor="text1"/>
          <w14:textFill>
            <w14:solidFill>
              <w14:schemeClr w14:val="tx1"/>
            </w14:solidFill>
          </w14:textFill>
        </w:rPr>
      </w:pPr>
    </w:p>
    <w:p w14:paraId="2BC23468">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其他重要事项</w:t>
      </w:r>
    </w:p>
    <w:p w14:paraId="563447EE">
      <w:pPr>
        <w:pStyle w:val="57"/>
        <w:numPr>
          <w:ilvl w:val="0"/>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前期会计差错更正</w:t>
      </w:r>
    </w:p>
    <w:p w14:paraId="5B03222A">
      <w:pPr>
        <w:pStyle w:val="58"/>
        <w:numPr>
          <w:ilvl w:val="0"/>
          <w:numId w:val="113"/>
        </w:numPr>
        <w:tabs>
          <w:tab w:val="left" w:pos="60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追溯重述法</w:t>
      </w:r>
    </w:p>
    <w:sdt>
      <w:sdtPr>
        <w:rPr>
          <w:rFonts w:hint="eastAsia"/>
          <w:color w:val="000000" w:themeColor="text1"/>
          <w14:textFill>
            <w14:solidFill>
              <w14:schemeClr w14:val="tx1"/>
            </w14:solidFill>
          </w14:textFill>
        </w:rPr>
        <w:alias w:val="是否适用：追溯重述法[双击切换]"/>
        <w:tag w:val="_GBC_9d59987ec8f64e568cc0874cd76bb5ce"/>
        <w:id w:val="147465133"/>
        <w:placeholder>
          <w:docPart w:val="GBC22222222222222222222222222222"/>
        </w:placeholder>
      </w:sdtPr>
      <w:sdtEndPr>
        <w:rPr>
          <w:rFonts w:hint="eastAsia"/>
          <w:color w:val="000000" w:themeColor="text1"/>
          <w14:textFill>
            <w14:solidFill>
              <w14:schemeClr w14:val="tx1"/>
            </w14:solidFill>
          </w14:textFill>
        </w:rPr>
      </w:sdtEndPr>
      <w:sdtContent>
        <w:p w14:paraId="4976983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D4C9242">
      <w:pPr>
        <w:rPr>
          <w:color w:val="000000" w:themeColor="text1"/>
          <w14:textFill>
            <w14:solidFill>
              <w14:schemeClr w14:val="tx1"/>
            </w14:solidFill>
          </w14:textFill>
        </w:rPr>
      </w:pPr>
    </w:p>
    <w:p w14:paraId="2D4DEE78">
      <w:pPr>
        <w:pStyle w:val="58"/>
        <w:numPr>
          <w:ilvl w:val="0"/>
          <w:numId w:val="113"/>
        </w:numPr>
        <w:tabs>
          <w:tab w:val="left" w:pos="602"/>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未来适用法</w:t>
      </w:r>
    </w:p>
    <w:sdt>
      <w:sdtPr>
        <w:rPr>
          <w:color w:val="000000" w:themeColor="text1"/>
          <w14:textFill>
            <w14:solidFill>
              <w14:schemeClr w14:val="tx1"/>
            </w14:solidFill>
          </w14:textFill>
        </w:rPr>
        <w:alias w:val="是否适用：未来适用法[双击切换]"/>
        <w:tag w:val="_GBC_add0977272ee43e7938e3e96c6aaa92d"/>
        <w:id w:val="147469319"/>
        <w:placeholder>
          <w:docPart w:val="GBC22222222222222222222222222222"/>
        </w:placeholder>
      </w:sdtPr>
      <w:sdtEndPr>
        <w:rPr>
          <w:color w:val="000000" w:themeColor="text1"/>
          <w14:textFill>
            <w14:solidFill>
              <w14:schemeClr w14:val="tx1"/>
            </w14:solidFill>
          </w14:textFill>
        </w:rPr>
      </w:sdtEndPr>
      <w:sdtContent>
        <w:p w14:paraId="2EE6414F">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2110F95">
      <w:pPr>
        <w:rPr>
          <w:color w:val="000000" w:themeColor="text1"/>
          <w14:textFill>
            <w14:solidFill>
              <w14:schemeClr w14:val="tx1"/>
            </w14:solidFill>
          </w14:textFill>
        </w:rPr>
      </w:pPr>
    </w:p>
    <w:p w14:paraId="22D4CA05">
      <w:pPr>
        <w:pStyle w:val="57"/>
        <w:numPr>
          <w:ilvl w:val="0"/>
          <w:numId w:val="112"/>
        </w:numPr>
        <w:rPr>
          <w:rFonts w:ascii="宋体" w:hAnsi="宋体"/>
          <w:color w:val="000000" w:themeColor="text1"/>
          <w14:textFill>
            <w14:solidFill>
              <w14:schemeClr w14:val="tx1"/>
            </w14:solidFill>
          </w14:textFill>
        </w:rPr>
      </w:pPr>
      <w:bookmarkStart w:id="429" w:name="_Hlk167977672"/>
      <w:r>
        <w:rPr>
          <w:rFonts w:hint="eastAsia" w:ascii="宋体" w:hAnsi="宋体"/>
          <w:color w:val="000000" w:themeColor="text1"/>
          <w14:textFill>
            <w14:solidFill>
              <w14:schemeClr w14:val="tx1"/>
            </w14:solidFill>
          </w14:textFill>
        </w:rPr>
        <w:t>重要债务重组</w:t>
      </w:r>
    </w:p>
    <w:sdt>
      <w:sdtPr>
        <w:rPr>
          <w:color w:val="000000" w:themeColor="text1"/>
          <w14:textFill>
            <w14:solidFill>
              <w14:schemeClr w14:val="tx1"/>
            </w14:solidFill>
          </w14:textFill>
        </w:rPr>
        <w:alias w:val="是否适用：重要债务重组[双击切换]"/>
        <w:tag w:val="_GBC_14f62373def24b6b994f6cfe645fabcb"/>
        <w:id w:val="147478652"/>
        <w:placeholder>
          <w:docPart w:val="GBC22222222222222222222222222222"/>
        </w:placeholder>
      </w:sdtPr>
      <w:sdtEndPr>
        <w:rPr>
          <w:color w:val="000000" w:themeColor="text1"/>
          <w14:textFill>
            <w14:solidFill>
              <w14:schemeClr w14:val="tx1"/>
            </w14:solidFill>
          </w14:textFill>
        </w:rPr>
      </w:sdtEndPr>
      <w:sdtContent>
        <w:p w14:paraId="71511C53">
          <w:pPr>
            <w:spacing w:line="360" w:lineRule="exact"/>
            <w:ind w:right="5"/>
            <w:rPr>
              <w:rFonts w:asciiTheme="minorHAnsi" w:hAnsiTheme="minorHAnsi" w:eastAsiaTheme="minorEastAsia"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29"/>
    <w:p w14:paraId="5981E4B7">
      <w:pPr>
        <w:rPr>
          <w:color w:val="000000" w:themeColor="text1"/>
          <w14:textFill>
            <w14:solidFill>
              <w14:schemeClr w14:val="tx1"/>
            </w14:solidFill>
          </w14:textFill>
        </w:rPr>
      </w:pPr>
    </w:p>
    <w:p w14:paraId="31C62309">
      <w:pPr>
        <w:pStyle w:val="57"/>
        <w:numPr>
          <w:ilvl w:val="0"/>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资产置换</w:t>
      </w:r>
    </w:p>
    <w:p w14:paraId="6BCC8D7B">
      <w:pPr>
        <w:pStyle w:val="58"/>
        <w:numPr>
          <w:ilvl w:val="0"/>
          <w:numId w:val="114"/>
        </w:numPr>
        <w:tabs>
          <w:tab w:val="left" w:pos="644"/>
        </w:tabs>
        <w:rPr>
          <w:rFonts w:ascii="宋体" w:hAnsi="宋体"/>
          <w:color w:val="000000" w:themeColor="text1"/>
          <w14:textFill>
            <w14:solidFill>
              <w14:schemeClr w14:val="tx1"/>
            </w14:solidFill>
          </w14:textFill>
        </w:rPr>
      </w:pPr>
      <w:bookmarkStart w:id="430" w:name="_Toc241636517"/>
      <w:bookmarkStart w:id="431" w:name="_Toc161412438"/>
      <w:r>
        <w:rPr>
          <w:rFonts w:hint="eastAsia" w:ascii="宋体" w:hAnsi="宋体"/>
          <w:color w:val="000000" w:themeColor="text1"/>
          <w14:textFill>
            <w14:solidFill>
              <w14:schemeClr w14:val="tx1"/>
            </w14:solidFill>
          </w14:textFill>
        </w:rPr>
        <w:t>非货币性资产交换</w:t>
      </w:r>
      <w:bookmarkEnd w:id="430"/>
      <w:bookmarkEnd w:id="431"/>
    </w:p>
    <w:sdt>
      <w:sdtPr>
        <w:rPr>
          <w:color w:val="000000" w:themeColor="text1"/>
          <w14:textFill>
            <w14:solidFill>
              <w14:schemeClr w14:val="tx1"/>
            </w14:solidFill>
          </w14:textFill>
        </w:rPr>
        <w:alias w:val="是否适用：非货币性资产交换[双击切换]"/>
        <w:tag w:val="_GBC_1e8378570c9a4db08ad001118944af2e"/>
        <w:id w:val="147461203"/>
        <w:placeholder>
          <w:docPart w:val="GBC22222222222222222222222222222"/>
        </w:placeholder>
      </w:sdtPr>
      <w:sdtEndPr>
        <w:rPr>
          <w:color w:val="000000" w:themeColor="text1"/>
          <w14:textFill>
            <w14:solidFill>
              <w14:schemeClr w14:val="tx1"/>
            </w14:solidFill>
          </w14:textFill>
        </w:rPr>
      </w:sdtEndPr>
      <w:sdtContent>
        <w:p w14:paraId="1408400E">
          <w:pPr>
            <w:spacing w:line="360" w:lineRule="exact"/>
            <w:ind w:right="5"/>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D1A16BB">
      <w:pPr>
        <w:rPr>
          <w:color w:val="000000" w:themeColor="text1"/>
          <w14:textFill>
            <w14:solidFill>
              <w14:schemeClr w14:val="tx1"/>
            </w14:solidFill>
          </w14:textFill>
        </w:rPr>
      </w:pPr>
    </w:p>
    <w:p w14:paraId="6E5618CF">
      <w:pPr>
        <w:pStyle w:val="58"/>
        <w:numPr>
          <w:ilvl w:val="0"/>
          <w:numId w:val="114"/>
        </w:numPr>
        <w:tabs>
          <w:tab w:val="left" w:pos="644"/>
        </w:tabs>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其他资产置换</w:t>
      </w:r>
    </w:p>
    <w:sdt>
      <w:sdtPr>
        <w:rPr>
          <w:color w:val="000000" w:themeColor="text1"/>
          <w14:textFill>
            <w14:solidFill>
              <w14:schemeClr w14:val="tx1"/>
            </w14:solidFill>
          </w14:textFill>
        </w:rPr>
        <w:alias w:val="是否适用：其他资产置换[双击切换]"/>
        <w:tag w:val="_GBC_e20be5fc12b94f43a4090c14cc3aec63"/>
        <w:id w:val="147470365"/>
        <w:placeholder>
          <w:docPart w:val="GBC22222222222222222222222222222"/>
        </w:placeholder>
      </w:sdtPr>
      <w:sdtEndPr>
        <w:rPr>
          <w:color w:val="000000" w:themeColor="text1"/>
          <w14:textFill>
            <w14:solidFill>
              <w14:schemeClr w14:val="tx1"/>
            </w14:solidFill>
          </w14:textFill>
        </w:rPr>
      </w:sdtEndPr>
      <w:sdtContent>
        <w:p w14:paraId="48559397">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A0264D">
      <w:pPr>
        <w:rPr>
          <w:color w:val="000000" w:themeColor="text1"/>
          <w14:textFill>
            <w14:solidFill>
              <w14:schemeClr w14:val="tx1"/>
            </w14:solidFill>
          </w14:textFill>
        </w:rPr>
      </w:pPr>
    </w:p>
    <w:p w14:paraId="16E2281E">
      <w:pPr>
        <w:pStyle w:val="57"/>
        <w:numPr>
          <w:ilvl w:val="0"/>
          <w:numId w:val="112"/>
        </w:numPr>
        <w:rPr>
          <w:rFonts w:ascii="宋体" w:hAnsi="宋体"/>
          <w:color w:val="000000" w:themeColor="text1"/>
          <w14:textFill>
            <w14:solidFill>
              <w14:schemeClr w14:val="tx1"/>
            </w14:solidFill>
          </w14:textFill>
        </w:rPr>
      </w:pPr>
      <w:bookmarkStart w:id="432" w:name="_Toc247371936"/>
      <w:r>
        <w:rPr>
          <w:rFonts w:hint="eastAsia" w:ascii="宋体" w:hAnsi="宋体"/>
          <w:color w:val="000000" w:themeColor="text1"/>
          <w14:textFill>
            <w14:solidFill>
              <w14:schemeClr w14:val="tx1"/>
            </w14:solidFill>
          </w14:textFill>
        </w:rPr>
        <w:t>年金计划</w:t>
      </w:r>
      <w:bookmarkEnd w:id="432"/>
    </w:p>
    <w:sdt>
      <w:sdtPr>
        <w:rPr>
          <w:color w:val="000000" w:themeColor="text1"/>
          <w14:textFill>
            <w14:solidFill>
              <w14:schemeClr w14:val="tx1"/>
            </w14:solidFill>
          </w14:textFill>
        </w:rPr>
        <w:alias w:val="是否适用：年金计划[双击切换]"/>
        <w:tag w:val="_GBC_f69a163f78f74a54a6443aaa7388f0dd"/>
        <w:id w:val="147469249"/>
        <w:placeholder>
          <w:docPart w:val="GBC22222222222222222222222222222"/>
        </w:placeholder>
      </w:sdtPr>
      <w:sdtEndPr>
        <w:rPr>
          <w:color w:val="000000" w:themeColor="text1"/>
          <w14:textFill>
            <w14:solidFill>
              <w14:schemeClr w14:val="tx1"/>
            </w14:solidFill>
          </w14:textFill>
        </w:rPr>
      </w:sdtEndPr>
      <w:sdtContent>
        <w:p w14:paraId="61FE924C">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9BBCEB7">
      <w:pPr>
        <w:rPr>
          <w:color w:val="000000" w:themeColor="text1"/>
          <w14:textFill>
            <w14:solidFill>
              <w14:schemeClr w14:val="tx1"/>
            </w14:solidFill>
          </w14:textFill>
        </w:rPr>
      </w:pPr>
    </w:p>
    <w:p w14:paraId="33A97DF2">
      <w:pPr>
        <w:pStyle w:val="57"/>
        <w:numPr>
          <w:ilvl w:val="0"/>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终止经营</w:t>
      </w:r>
    </w:p>
    <w:sdt>
      <w:sdtPr>
        <w:rPr>
          <w:color w:val="000000" w:themeColor="text1"/>
          <w14:textFill>
            <w14:solidFill>
              <w14:schemeClr w14:val="tx1"/>
            </w14:solidFill>
          </w14:textFill>
        </w:rPr>
        <w:alias w:val="是否适用：终止经营[双击切换]"/>
        <w:tag w:val="_GBC_8e88002e405543f593111633f63e4d8b"/>
        <w:id w:val="147462838"/>
        <w:placeholder>
          <w:docPart w:val="GBC22222222222222222222222222222"/>
        </w:placeholder>
      </w:sdtPr>
      <w:sdtEndPr>
        <w:rPr>
          <w:color w:val="000000" w:themeColor="text1"/>
          <w14:textFill>
            <w14:solidFill>
              <w14:schemeClr w14:val="tx1"/>
            </w14:solidFill>
          </w14:textFill>
        </w:rPr>
      </w:sdtEndPr>
      <w:sdtContent>
        <w:p w14:paraId="29F17C95">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9C4AB8D">
      <w:pPr>
        <w:rPr>
          <w:color w:val="000000" w:themeColor="text1"/>
          <w14:textFill>
            <w14:solidFill>
              <w14:schemeClr w14:val="tx1"/>
            </w14:solidFill>
          </w14:textFill>
        </w:rPr>
      </w:pPr>
    </w:p>
    <w:p w14:paraId="143D93F9">
      <w:pPr>
        <w:pStyle w:val="57"/>
        <w:numPr>
          <w:ilvl w:val="0"/>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分部信息</w:t>
      </w:r>
    </w:p>
    <w:p w14:paraId="6A051EF7">
      <w:pPr>
        <w:pStyle w:val="58"/>
        <w:numPr>
          <w:ilvl w:val="1"/>
          <w:numId w:val="115"/>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报告分部的确定依据与会计政策</w:t>
      </w:r>
    </w:p>
    <w:sdt>
      <w:sdtPr>
        <w:rPr>
          <w:color w:val="000000" w:themeColor="text1"/>
          <w14:textFill>
            <w14:solidFill>
              <w14:schemeClr w14:val="tx1"/>
            </w14:solidFill>
          </w14:textFill>
        </w:rPr>
        <w:alias w:val="是否适用：报告分部的确定依据与会计政策[双击切换]"/>
        <w:tag w:val="_GBC_3684a11ce06644529eba619783a75583"/>
        <w:id w:val="147478970"/>
        <w:placeholder>
          <w:docPart w:val="GBC22222222222222222222222222222"/>
        </w:placeholder>
      </w:sdtPr>
      <w:sdtEndPr>
        <w:rPr>
          <w:color w:val="000000" w:themeColor="text1"/>
          <w14:textFill>
            <w14:solidFill>
              <w14:schemeClr w14:val="tx1"/>
            </w14:solidFill>
          </w14:textFill>
        </w:rPr>
      </w:sdtEndPr>
      <w:sdtContent>
        <w:p w14:paraId="2B1DD02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报告分部的确定依据与会计政策"/>
        <w:tag w:val="_GBC_025e15951a494fa2845d296cf8db1fdb"/>
        <w:id w:val="-240486800"/>
        <w:placeholder>
          <w:docPart w:val="{5601263c-6b11-4e3b-af45-e668d5c2c93a}"/>
        </w:placeholder>
      </w:sdtPr>
      <w:sdtEndPr>
        <w:rPr>
          <w:color w:val="000000" w:themeColor="text1"/>
          <w14:textFill>
            <w14:solidFill>
              <w14:schemeClr w14:val="tx1"/>
            </w14:solidFill>
          </w14:textFill>
        </w:rPr>
      </w:sdtEndPr>
      <w:sdtContent>
        <w:p w14:paraId="525ADBF1">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根据公司内部组织结构和经营管理要求，按照行业划分成两个业务板块，分为制造业、贸易及其他。</w:t>
          </w:r>
        </w:p>
      </w:sdtContent>
    </w:sdt>
    <w:p w14:paraId="5D8F1648">
      <w:pPr>
        <w:rPr>
          <w:color w:val="000000" w:themeColor="text1"/>
          <w14:textFill>
            <w14:solidFill>
              <w14:schemeClr w14:val="tx1"/>
            </w14:solidFill>
          </w14:textFill>
        </w:rPr>
      </w:pPr>
    </w:p>
    <w:p w14:paraId="28458F97">
      <w:pPr>
        <w:pStyle w:val="58"/>
        <w:numPr>
          <w:ilvl w:val="1"/>
          <w:numId w:val="115"/>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报告分部的财务信息</w:t>
      </w:r>
    </w:p>
    <w:sdt>
      <w:sdtPr>
        <w:rPr>
          <w:color w:val="000000" w:themeColor="text1"/>
          <w14:textFill>
            <w14:solidFill>
              <w14:schemeClr w14:val="tx1"/>
            </w14:solidFill>
          </w14:textFill>
        </w:rPr>
        <w:alias w:val="是否适用：报告分部的财务信息[双击切换]"/>
        <w:tag w:val="_GBC_25e6ee3686524d959ae273bb5aaa9cfb"/>
        <w:id w:val="147473894"/>
        <w:placeholder>
          <w:docPart w:val="GBC22222222222222222222222222222"/>
        </w:placeholder>
      </w:sdtPr>
      <w:sdtEndPr>
        <w:rPr>
          <w:color w:val="000000" w:themeColor="text1"/>
          <w14:textFill>
            <w14:solidFill>
              <w14:schemeClr w14:val="tx1"/>
            </w14:solidFill>
          </w14:textFill>
        </w:rPr>
      </w:sdtEndPr>
      <w:sdtContent>
        <w:p w14:paraId="0D450B5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FD1F11">
      <w:pPr>
        <w:pStyle w:val="50"/>
        <w:wordWrap w:val="0"/>
        <w:ind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报告分部的财务信息"/>
          <w:tag w:val="_GBC_bed196c2a65649e69e8eda77c9168933"/>
          <w:id w:val="147475946"/>
          <w:placeholder>
            <w:docPart w:val="85AE56D4083A439B8E436FDA6AB447BB"/>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万元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报告分部的财务信息"/>
          <w:tag w:val="_GBC_22cbe62652b3461e90f84a6c3cef03c1"/>
          <w:id w:val="147474010"/>
          <w:placeholder>
            <w:docPart w:val="85AE56D4083A439B8E436FDA6AB447B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6"/>
        <w:gridCol w:w="1727"/>
        <w:gridCol w:w="1727"/>
        <w:gridCol w:w="1714"/>
        <w:gridCol w:w="1725"/>
      </w:tblGrid>
      <w:tr w14:paraId="015D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2124bd1595e9432ab250a15c084078c3"/>
            <w:id w:val="147458403"/>
          </w:sdtPr>
          <w:sdtEndPr>
            <w:rPr>
              <w:rFonts w:cs="Times New Roman"/>
            </w:rPr>
          </w:sdtEndPr>
          <w:sdtContent>
            <w:tc>
              <w:tcPr>
                <w:tcW w:w="1192" w:type="pct"/>
                <w:tcBorders>
                  <w:top w:val="single" w:color="auto" w:sz="4" w:space="0"/>
                  <w:left w:val="single" w:color="auto" w:sz="4" w:space="0"/>
                  <w:bottom w:val="single" w:color="auto" w:sz="4" w:space="0"/>
                  <w:right w:val="single" w:color="auto" w:sz="4" w:space="0"/>
                </w:tcBorders>
              </w:tcPr>
              <w:p w14:paraId="65A92A7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tc>
          <w:tcPr>
            <w:tcW w:w="954" w:type="pct"/>
            <w:tcBorders>
              <w:top w:val="single" w:color="auto" w:sz="4" w:space="0"/>
              <w:left w:val="single" w:color="auto" w:sz="4" w:space="0"/>
              <w:bottom w:val="single" w:color="auto" w:sz="4" w:space="0"/>
              <w:right w:val="single" w:color="auto" w:sz="4" w:space="0"/>
            </w:tcBorders>
            <w:vAlign w:val="center"/>
          </w:tcPr>
          <w:p w14:paraId="520604BE">
            <w:pPr>
              <w:jc w:val="center"/>
              <w:rPr>
                <w:rFonts w:cs="Times New Roman"/>
                <w:color w:val="000000" w:themeColor="text1"/>
                <w14:textFill>
                  <w14:solidFill>
                    <w14:schemeClr w14:val="tx1"/>
                  </w14:solidFill>
                </w14:textFill>
              </w:rPr>
            </w:pPr>
            <w:r>
              <w:rPr>
                <w:rFonts w:cs="Times New Roman"/>
              </w:rPr>
              <w:t>制造业</w:t>
            </w:r>
          </w:p>
        </w:tc>
        <w:sdt>
          <w:sdtPr>
            <w:rPr>
              <w:rFonts w:cs="Times New Roman"/>
              <w:color w:val="000000" w:themeColor="text1"/>
              <w14:textFill>
                <w14:solidFill>
                  <w14:schemeClr w14:val="tx1"/>
                </w14:solidFill>
              </w14:textFill>
            </w:rPr>
            <w:alias w:val="分部报告科目名称"/>
            <w:tag w:val="_GBC_24843a4914494260b42de1b13e529c2d"/>
            <w:id w:val="147481039"/>
          </w:sdtPr>
          <w:sdtEndPr>
            <w:rPr>
              <w:rFonts w:cs="Times New Roman"/>
              <w:color w:val="000000" w:themeColor="text1"/>
              <w14:textFill>
                <w14:solidFill>
                  <w14:schemeClr w14:val="tx1"/>
                </w14:solidFill>
              </w14:textFill>
            </w:rPr>
          </w:sdtEndPr>
          <w:sdtContent>
            <w:tc>
              <w:tcPr>
                <w:tcW w:w="954" w:type="pct"/>
                <w:tcBorders>
                  <w:top w:val="single" w:color="auto" w:sz="4" w:space="0"/>
                  <w:left w:val="single" w:color="auto" w:sz="4" w:space="0"/>
                  <w:bottom w:val="single" w:color="auto" w:sz="4" w:space="0"/>
                  <w:right w:val="single" w:color="auto" w:sz="4" w:space="0"/>
                </w:tcBorders>
              </w:tcPr>
              <w:p w14:paraId="232BF1C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贸易及其他</w:t>
                </w:r>
              </w:p>
            </w:tc>
          </w:sdtContent>
        </w:sdt>
        <w:sdt>
          <w:sdtPr>
            <w:rPr>
              <w:rFonts w:cs="Times New Roman"/>
            </w:rPr>
            <w:tag w:val="_PLD_bbb5338509514804b5ec1d4ec145b14b"/>
            <w:id w:val="147472454"/>
          </w:sdtPr>
          <w:sdtEndPr>
            <w:rPr>
              <w:rFonts w:cs="Times New Roman"/>
            </w:rPr>
          </w:sdtEndPr>
          <w:sdtContent>
            <w:tc>
              <w:tcPr>
                <w:tcW w:w="947" w:type="pct"/>
                <w:tcBorders>
                  <w:top w:val="single" w:color="auto" w:sz="4" w:space="0"/>
                  <w:left w:val="single" w:color="auto" w:sz="4" w:space="0"/>
                  <w:bottom w:val="single" w:color="auto" w:sz="4" w:space="0"/>
                  <w:right w:val="single" w:color="auto" w:sz="4" w:space="0"/>
                </w:tcBorders>
              </w:tcPr>
              <w:p w14:paraId="16FAA3B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分部间抵销</w:t>
                </w:r>
              </w:p>
            </w:tc>
          </w:sdtContent>
        </w:sdt>
        <w:sdt>
          <w:sdtPr>
            <w:rPr>
              <w:rFonts w:cs="Times New Roman"/>
            </w:rPr>
            <w:tag w:val="_PLD_fa3be9e49ff54f5f94b69f487029a441"/>
            <w:id w:val="147474622"/>
          </w:sdtPr>
          <w:sdtEndPr>
            <w:rPr>
              <w:rFonts w:cs="Times New Roman"/>
            </w:rPr>
          </w:sdtEndPr>
          <w:sdtContent>
            <w:tc>
              <w:tcPr>
                <w:tcW w:w="953" w:type="pct"/>
                <w:tcBorders>
                  <w:top w:val="single" w:color="auto" w:sz="4" w:space="0"/>
                  <w:left w:val="single" w:color="auto" w:sz="4" w:space="0"/>
                  <w:bottom w:val="single" w:color="auto" w:sz="4" w:space="0"/>
                  <w:right w:val="single" w:color="auto" w:sz="4" w:space="0"/>
                </w:tcBorders>
              </w:tcPr>
              <w:p w14:paraId="3AEAD29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r>
      <w:tr w14:paraId="7D23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6C663D73">
            <w:pPr>
              <w:rPr>
                <w:rFonts w:cs="Times New Roman"/>
              </w:rPr>
            </w:pPr>
            <w:r>
              <w:rPr>
                <w:rFonts w:cs="Times New Roman"/>
              </w:rPr>
              <w:t>2025年上半年</w:t>
            </w:r>
          </w:p>
        </w:tc>
        <w:tc>
          <w:tcPr>
            <w:tcW w:w="954" w:type="pct"/>
            <w:tcBorders>
              <w:top w:val="single" w:color="auto" w:sz="4" w:space="0"/>
              <w:left w:val="single" w:color="auto" w:sz="4" w:space="0"/>
              <w:bottom w:val="single" w:color="auto" w:sz="4" w:space="0"/>
              <w:right w:val="single" w:color="auto" w:sz="4" w:space="0"/>
            </w:tcBorders>
            <w:vAlign w:val="center"/>
          </w:tcPr>
          <w:p w14:paraId="3BA04593">
            <w:pPr>
              <w:jc w:val="right"/>
              <w:rPr>
                <w:rFonts w:cs="Times New Roman"/>
              </w:rPr>
            </w:pPr>
          </w:p>
        </w:tc>
        <w:tc>
          <w:tcPr>
            <w:tcW w:w="954" w:type="pct"/>
            <w:tcBorders>
              <w:top w:val="single" w:color="auto" w:sz="4" w:space="0"/>
              <w:left w:val="single" w:color="auto" w:sz="4" w:space="0"/>
              <w:bottom w:val="single" w:color="auto" w:sz="4" w:space="0"/>
              <w:right w:val="single" w:color="auto" w:sz="4" w:space="0"/>
            </w:tcBorders>
            <w:vAlign w:val="center"/>
          </w:tcPr>
          <w:p w14:paraId="1A71D003">
            <w:pPr>
              <w:jc w:val="right"/>
              <w:rPr>
                <w:rFonts w:cs="Times New Roman"/>
              </w:rPr>
            </w:pPr>
          </w:p>
        </w:tc>
        <w:tc>
          <w:tcPr>
            <w:tcW w:w="947" w:type="pct"/>
            <w:tcBorders>
              <w:top w:val="single" w:color="auto" w:sz="4" w:space="0"/>
              <w:left w:val="single" w:color="auto" w:sz="4" w:space="0"/>
              <w:bottom w:val="single" w:color="auto" w:sz="4" w:space="0"/>
              <w:right w:val="single" w:color="auto" w:sz="4" w:space="0"/>
            </w:tcBorders>
            <w:vAlign w:val="center"/>
          </w:tcPr>
          <w:p w14:paraId="0E299429">
            <w:pPr>
              <w:jc w:val="right"/>
              <w:rPr>
                <w:rFonts w:cs="Times New Roman"/>
              </w:rPr>
            </w:pPr>
          </w:p>
        </w:tc>
        <w:tc>
          <w:tcPr>
            <w:tcW w:w="953" w:type="pct"/>
            <w:tcBorders>
              <w:top w:val="single" w:color="auto" w:sz="4" w:space="0"/>
              <w:left w:val="single" w:color="auto" w:sz="4" w:space="0"/>
              <w:bottom w:val="single" w:color="auto" w:sz="4" w:space="0"/>
              <w:right w:val="single" w:color="auto" w:sz="4" w:space="0"/>
            </w:tcBorders>
            <w:vAlign w:val="center"/>
          </w:tcPr>
          <w:p w14:paraId="0E92C0D6">
            <w:pPr>
              <w:jc w:val="right"/>
              <w:rPr>
                <w:rFonts w:cs="Times New Roman"/>
              </w:rPr>
            </w:pPr>
          </w:p>
        </w:tc>
      </w:tr>
      <w:tr w14:paraId="7540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7A6A8F4C">
            <w:pPr>
              <w:rPr>
                <w:rFonts w:cs="Times New Roman"/>
              </w:rPr>
            </w:pPr>
            <w:r>
              <w:rPr>
                <w:rFonts w:cs="Times New Roman"/>
                <w:color w:val="000000"/>
              </w:rPr>
              <w:t>主营业务收入</w:t>
            </w:r>
          </w:p>
        </w:tc>
        <w:tc>
          <w:tcPr>
            <w:tcW w:w="1683" w:type="dxa"/>
            <w:tcBorders>
              <w:top w:val="single" w:color="auto" w:sz="4" w:space="0"/>
              <w:left w:val="single" w:color="auto" w:sz="4" w:space="0"/>
              <w:bottom w:val="single" w:color="auto" w:sz="4" w:space="0"/>
              <w:right w:val="single" w:color="auto" w:sz="4" w:space="0"/>
            </w:tcBorders>
            <w:vAlign w:val="center"/>
          </w:tcPr>
          <w:p w14:paraId="637ADC5F">
            <w:pPr>
              <w:jc w:val="right"/>
              <w:textAlignment w:val="center"/>
              <w:rPr>
                <w:rFonts w:cs="Times New Roman"/>
              </w:rPr>
            </w:pPr>
            <w:r>
              <w:rPr>
                <w:rFonts w:eastAsia="Arial Narrow" w:cs="Times New Roman"/>
                <w:color w:val="000000"/>
                <w:lang w:bidi="ar"/>
              </w:rPr>
              <w:t>311,285.78</w:t>
            </w:r>
          </w:p>
        </w:tc>
        <w:tc>
          <w:tcPr>
            <w:tcW w:w="1683" w:type="dxa"/>
            <w:tcBorders>
              <w:top w:val="single" w:color="auto" w:sz="4" w:space="0"/>
              <w:left w:val="single" w:color="auto" w:sz="4" w:space="0"/>
              <w:bottom w:val="single" w:color="auto" w:sz="4" w:space="0"/>
              <w:right w:val="single" w:color="auto" w:sz="4" w:space="0"/>
            </w:tcBorders>
            <w:vAlign w:val="center"/>
          </w:tcPr>
          <w:p w14:paraId="0703ACFE">
            <w:pPr>
              <w:jc w:val="right"/>
              <w:textAlignment w:val="center"/>
              <w:rPr>
                <w:rFonts w:cs="Times New Roman"/>
              </w:rPr>
            </w:pPr>
            <w:r>
              <w:rPr>
                <w:rFonts w:eastAsia="Arial Narrow" w:cs="Times New Roman"/>
                <w:color w:val="000000"/>
                <w:lang w:bidi="ar"/>
              </w:rPr>
              <w:t>13,050.35</w:t>
            </w:r>
          </w:p>
        </w:tc>
        <w:tc>
          <w:tcPr>
            <w:tcW w:w="1671" w:type="dxa"/>
            <w:tcBorders>
              <w:top w:val="single" w:color="auto" w:sz="4" w:space="0"/>
              <w:left w:val="single" w:color="auto" w:sz="4" w:space="0"/>
              <w:bottom w:val="single" w:color="auto" w:sz="4" w:space="0"/>
              <w:right w:val="single" w:color="auto" w:sz="4" w:space="0"/>
            </w:tcBorders>
            <w:vAlign w:val="center"/>
          </w:tcPr>
          <w:p w14:paraId="46B2C3CA">
            <w:pPr>
              <w:jc w:val="right"/>
              <w:textAlignment w:val="center"/>
              <w:rPr>
                <w:rFonts w:cs="Times New Roman"/>
              </w:rPr>
            </w:pPr>
            <w:r>
              <w:rPr>
                <w:rFonts w:eastAsia="Arial Narrow" w:cs="Times New Roman"/>
                <w:color w:val="000000"/>
                <w:lang w:bidi="ar"/>
              </w:rPr>
              <w:t>17,679.34</w:t>
            </w:r>
          </w:p>
        </w:tc>
        <w:tc>
          <w:tcPr>
            <w:tcW w:w="1682" w:type="dxa"/>
            <w:tcBorders>
              <w:top w:val="single" w:color="auto" w:sz="4" w:space="0"/>
              <w:left w:val="single" w:color="auto" w:sz="4" w:space="0"/>
              <w:bottom w:val="single" w:color="auto" w:sz="4" w:space="0"/>
              <w:right w:val="single" w:color="auto" w:sz="4" w:space="0"/>
            </w:tcBorders>
            <w:vAlign w:val="center"/>
          </w:tcPr>
          <w:p w14:paraId="02FD0C93">
            <w:pPr>
              <w:jc w:val="right"/>
              <w:textAlignment w:val="center"/>
              <w:rPr>
                <w:rFonts w:cs="Times New Roman"/>
              </w:rPr>
            </w:pPr>
            <w:r>
              <w:rPr>
                <w:rFonts w:eastAsia="Arial Narrow" w:cs="Times New Roman"/>
                <w:color w:val="000000"/>
                <w:lang w:bidi="ar"/>
              </w:rPr>
              <w:t>306,656.79</w:t>
            </w:r>
          </w:p>
        </w:tc>
      </w:tr>
      <w:tr w14:paraId="042B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7244FFDD">
            <w:pPr>
              <w:rPr>
                <w:rFonts w:cs="Times New Roman"/>
              </w:rPr>
            </w:pPr>
            <w:r>
              <w:rPr>
                <w:rFonts w:cs="Times New Roman"/>
                <w:color w:val="000000"/>
              </w:rPr>
              <w:t>主营业务成本</w:t>
            </w:r>
          </w:p>
        </w:tc>
        <w:tc>
          <w:tcPr>
            <w:tcW w:w="1683" w:type="dxa"/>
            <w:tcBorders>
              <w:top w:val="single" w:color="auto" w:sz="4" w:space="0"/>
              <w:left w:val="single" w:color="auto" w:sz="4" w:space="0"/>
              <w:bottom w:val="single" w:color="auto" w:sz="4" w:space="0"/>
              <w:right w:val="single" w:color="auto" w:sz="4" w:space="0"/>
            </w:tcBorders>
            <w:vAlign w:val="center"/>
          </w:tcPr>
          <w:p w14:paraId="644D9B71">
            <w:pPr>
              <w:jc w:val="right"/>
              <w:textAlignment w:val="center"/>
              <w:rPr>
                <w:rFonts w:cs="Times New Roman"/>
              </w:rPr>
            </w:pPr>
            <w:r>
              <w:rPr>
                <w:rFonts w:eastAsia="Arial Narrow" w:cs="Times New Roman"/>
                <w:color w:val="000000"/>
                <w:lang w:bidi="ar"/>
              </w:rPr>
              <w:t>277,464.78</w:t>
            </w:r>
          </w:p>
        </w:tc>
        <w:tc>
          <w:tcPr>
            <w:tcW w:w="1683" w:type="dxa"/>
            <w:tcBorders>
              <w:top w:val="single" w:color="auto" w:sz="4" w:space="0"/>
              <w:left w:val="single" w:color="auto" w:sz="4" w:space="0"/>
              <w:bottom w:val="single" w:color="auto" w:sz="4" w:space="0"/>
              <w:right w:val="single" w:color="auto" w:sz="4" w:space="0"/>
            </w:tcBorders>
            <w:vAlign w:val="center"/>
          </w:tcPr>
          <w:p w14:paraId="6396F8F2">
            <w:pPr>
              <w:jc w:val="right"/>
              <w:textAlignment w:val="center"/>
              <w:rPr>
                <w:rFonts w:cs="Times New Roman"/>
              </w:rPr>
            </w:pPr>
            <w:r>
              <w:rPr>
                <w:rFonts w:eastAsia="Arial Narrow" w:cs="Times New Roman"/>
                <w:color w:val="000000"/>
                <w:lang w:bidi="ar"/>
              </w:rPr>
              <w:t>9,217.85</w:t>
            </w:r>
          </w:p>
        </w:tc>
        <w:tc>
          <w:tcPr>
            <w:tcW w:w="1671" w:type="dxa"/>
            <w:tcBorders>
              <w:top w:val="single" w:color="auto" w:sz="4" w:space="0"/>
              <w:left w:val="single" w:color="auto" w:sz="4" w:space="0"/>
              <w:bottom w:val="single" w:color="auto" w:sz="4" w:space="0"/>
              <w:right w:val="single" w:color="auto" w:sz="4" w:space="0"/>
            </w:tcBorders>
            <w:vAlign w:val="center"/>
          </w:tcPr>
          <w:p w14:paraId="194D69C4">
            <w:pPr>
              <w:jc w:val="right"/>
              <w:textAlignment w:val="center"/>
              <w:rPr>
                <w:rFonts w:cs="Times New Roman"/>
              </w:rPr>
            </w:pPr>
            <w:r>
              <w:rPr>
                <w:rFonts w:eastAsia="Arial Narrow" w:cs="Times New Roman"/>
                <w:color w:val="000000"/>
                <w:lang w:bidi="ar"/>
              </w:rPr>
              <w:t>18,604.46</w:t>
            </w:r>
          </w:p>
        </w:tc>
        <w:tc>
          <w:tcPr>
            <w:tcW w:w="1682" w:type="dxa"/>
            <w:tcBorders>
              <w:top w:val="single" w:color="auto" w:sz="4" w:space="0"/>
              <w:left w:val="single" w:color="auto" w:sz="4" w:space="0"/>
              <w:bottom w:val="single" w:color="auto" w:sz="4" w:space="0"/>
              <w:right w:val="single" w:color="auto" w:sz="4" w:space="0"/>
            </w:tcBorders>
            <w:vAlign w:val="center"/>
          </w:tcPr>
          <w:p w14:paraId="3E869514">
            <w:pPr>
              <w:jc w:val="right"/>
              <w:textAlignment w:val="center"/>
              <w:rPr>
                <w:rFonts w:cs="Times New Roman"/>
              </w:rPr>
            </w:pPr>
            <w:r>
              <w:rPr>
                <w:rFonts w:eastAsia="Arial Narrow" w:cs="Times New Roman"/>
                <w:color w:val="000000"/>
                <w:lang w:bidi="ar"/>
              </w:rPr>
              <w:t>268,078.17</w:t>
            </w:r>
          </w:p>
        </w:tc>
      </w:tr>
      <w:tr w14:paraId="51D5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523CDC52">
            <w:pPr>
              <w:rPr>
                <w:rFonts w:cs="Times New Roman"/>
              </w:rPr>
            </w:pPr>
            <w:r>
              <w:rPr>
                <w:rFonts w:cs="Times New Roman"/>
                <w:color w:val="000000"/>
              </w:rPr>
              <w:t>负债总额</w:t>
            </w:r>
          </w:p>
        </w:tc>
        <w:tc>
          <w:tcPr>
            <w:tcW w:w="1683" w:type="dxa"/>
            <w:tcBorders>
              <w:top w:val="single" w:color="auto" w:sz="4" w:space="0"/>
              <w:left w:val="single" w:color="auto" w:sz="4" w:space="0"/>
              <w:bottom w:val="single" w:color="auto" w:sz="4" w:space="0"/>
              <w:right w:val="single" w:color="auto" w:sz="4" w:space="0"/>
            </w:tcBorders>
            <w:vAlign w:val="center"/>
          </w:tcPr>
          <w:p w14:paraId="2737C70E">
            <w:pPr>
              <w:jc w:val="right"/>
              <w:textAlignment w:val="center"/>
              <w:rPr>
                <w:rFonts w:cs="Times New Roman"/>
              </w:rPr>
            </w:pPr>
            <w:r>
              <w:rPr>
                <w:rFonts w:eastAsia="Arial Narrow" w:cs="Times New Roman"/>
                <w:color w:val="000000"/>
                <w:lang w:bidi="ar"/>
              </w:rPr>
              <w:t>883,149.79</w:t>
            </w:r>
          </w:p>
        </w:tc>
        <w:tc>
          <w:tcPr>
            <w:tcW w:w="1683" w:type="dxa"/>
            <w:tcBorders>
              <w:top w:val="single" w:color="auto" w:sz="4" w:space="0"/>
              <w:left w:val="single" w:color="auto" w:sz="4" w:space="0"/>
              <w:bottom w:val="single" w:color="auto" w:sz="4" w:space="0"/>
              <w:right w:val="single" w:color="auto" w:sz="4" w:space="0"/>
            </w:tcBorders>
            <w:vAlign w:val="center"/>
          </w:tcPr>
          <w:p w14:paraId="41767714">
            <w:pPr>
              <w:jc w:val="right"/>
              <w:textAlignment w:val="center"/>
              <w:rPr>
                <w:rFonts w:cs="Times New Roman"/>
              </w:rPr>
            </w:pPr>
            <w:r>
              <w:rPr>
                <w:rFonts w:eastAsia="Arial Narrow" w:cs="Times New Roman"/>
                <w:color w:val="000000"/>
                <w:lang w:bidi="ar"/>
              </w:rPr>
              <w:t>1,094,707.37</w:t>
            </w:r>
          </w:p>
        </w:tc>
        <w:tc>
          <w:tcPr>
            <w:tcW w:w="1671" w:type="dxa"/>
            <w:tcBorders>
              <w:top w:val="single" w:color="auto" w:sz="4" w:space="0"/>
              <w:left w:val="single" w:color="auto" w:sz="4" w:space="0"/>
              <w:bottom w:val="single" w:color="auto" w:sz="4" w:space="0"/>
              <w:right w:val="single" w:color="auto" w:sz="4" w:space="0"/>
            </w:tcBorders>
            <w:vAlign w:val="center"/>
          </w:tcPr>
          <w:p w14:paraId="22DA5E77">
            <w:pPr>
              <w:jc w:val="right"/>
              <w:textAlignment w:val="center"/>
              <w:rPr>
                <w:rFonts w:cs="Times New Roman"/>
              </w:rPr>
            </w:pPr>
            <w:r>
              <w:rPr>
                <w:rFonts w:eastAsia="Arial Narrow" w:cs="Times New Roman"/>
                <w:color w:val="000000"/>
                <w:lang w:bidi="ar"/>
              </w:rPr>
              <w:t>1,050,941.75</w:t>
            </w:r>
          </w:p>
        </w:tc>
        <w:tc>
          <w:tcPr>
            <w:tcW w:w="1682" w:type="dxa"/>
            <w:tcBorders>
              <w:top w:val="single" w:color="auto" w:sz="4" w:space="0"/>
              <w:left w:val="single" w:color="auto" w:sz="4" w:space="0"/>
              <w:bottom w:val="single" w:color="auto" w:sz="4" w:space="0"/>
              <w:right w:val="single" w:color="auto" w:sz="4" w:space="0"/>
            </w:tcBorders>
            <w:vAlign w:val="center"/>
          </w:tcPr>
          <w:p w14:paraId="106094DE">
            <w:pPr>
              <w:jc w:val="right"/>
              <w:textAlignment w:val="center"/>
              <w:rPr>
                <w:rFonts w:cs="Times New Roman"/>
              </w:rPr>
            </w:pPr>
            <w:r>
              <w:rPr>
                <w:rFonts w:eastAsia="Arial Narrow" w:cs="Times New Roman"/>
                <w:color w:val="000000"/>
                <w:lang w:bidi="ar"/>
              </w:rPr>
              <w:t>926,915.41</w:t>
            </w:r>
          </w:p>
        </w:tc>
      </w:tr>
      <w:tr w14:paraId="4DF5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2DD99831">
            <w:pPr>
              <w:rPr>
                <w:rFonts w:cs="Times New Roman"/>
              </w:rPr>
            </w:pPr>
            <w:r>
              <w:rPr>
                <w:rFonts w:cs="Times New Roman"/>
                <w:color w:val="000000"/>
              </w:rPr>
              <w:t>资产总额</w:t>
            </w:r>
          </w:p>
        </w:tc>
        <w:tc>
          <w:tcPr>
            <w:tcW w:w="1683" w:type="dxa"/>
            <w:tcBorders>
              <w:top w:val="single" w:color="auto" w:sz="4" w:space="0"/>
              <w:left w:val="single" w:color="auto" w:sz="4" w:space="0"/>
              <w:bottom w:val="single" w:color="auto" w:sz="4" w:space="0"/>
              <w:right w:val="single" w:color="auto" w:sz="4" w:space="0"/>
            </w:tcBorders>
            <w:vAlign w:val="center"/>
          </w:tcPr>
          <w:p w14:paraId="26C6401E">
            <w:pPr>
              <w:jc w:val="right"/>
              <w:textAlignment w:val="center"/>
              <w:rPr>
                <w:rFonts w:cs="Times New Roman"/>
              </w:rPr>
            </w:pPr>
            <w:r>
              <w:rPr>
                <w:rFonts w:eastAsia="Arial Narrow" w:cs="Times New Roman"/>
                <w:color w:val="000000"/>
                <w:lang w:bidi="ar"/>
              </w:rPr>
              <w:t>1,777,851.80</w:t>
            </w:r>
          </w:p>
        </w:tc>
        <w:tc>
          <w:tcPr>
            <w:tcW w:w="1683" w:type="dxa"/>
            <w:tcBorders>
              <w:top w:val="single" w:color="auto" w:sz="4" w:space="0"/>
              <w:left w:val="single" w:color="auto" w:sz="4" w:space="0"/>
              <w:bottom w:val="single" w:color="auto" w:sz="4" w:space="0"/>
              <w:right w:val="single" w:color="auto" w:sz="4" w:space="0"/>
            </w:tcBorders>
            <w:vAlign w:val="center"/>
          </w:tcPr>
          <w:p w14:paraId="4D1CCA3C">
            <w:pPr>
              <w:jc w:val="right"/>
              <w:textAlignment w:val="center"/>
              <w:rPr>
                <w:rFonts w:cs="Times New Roman"/>
              </w:rPr>
            </w:pPr>
            <w:r>
              <w:rPr>
                <w:rFonts w:eastAsia="Arial Narrow" w:cs="Times New Roman"/>
                <w:color w:val="000000"/>
                <w:lang w:bidi="ar"/>
              </w:rPr>
              <w:t>2,098,518.40</w:t>
            </w:r>
          </w:p>
        </w:tc>
        <w:tc>
          <w:tcPr>
            <w:tcW w:w="1671" w:type="dxa"/>
            <w:tcBorders>
              <w:top w:val="single" w:color="auto" w:sz="4" w:space="0"/>
              <w:left w:val="single" w:color="auto" w:sz="4" w:space="0"/>
              <w:bottom w:val="single" w:color="auto" w:sz="4" w:space="0"/>
              <w:right w:val="single" w:color="auto" w:sz="4" w:space="0"/>
            </w:tcBorders>
            <w:vAlign w:val="center"/>
          </w:tcPr>
          <w:p w14:paraId="0461BBD4">
            <w:pPr>
              <w:jc w:val="right"/>
              <w:textAlignment w:val="center"/>
              <w:rPr>
                <w:rFonts w:cs="Times New Roman"/>
              </w:rPr>
            </w:pPr>
            <w:r>
              <w:rPr>
                <w:rFonts w:eastAsia="Arial Narrow" w:cs="Times New Roman"/>
                <w:color w:val="000000"/>
                <w:lang w:bidi="ar"/>
              </w:rPr>
              <w:t>1,709,983.52</w:t>
            </w:r>
          </w:p>
        </w:tc>
        <w:tc>
          <w:tcPr>
            <w:tcW w:w="1682" w:type="dxa"/>
            <w:tcBorders>
              <w:top w:val="single" w:color="auto" w:sz="4" w:space="0"/>
              <w:left w:val="single" w:color="auto" w:sz="4" w:space="0"/>
              <w:bottom w:val="single" w:color="auto" w:sz="4" w:space="0"/>
              <w:right w:val="single" w:color="auto" w:sz="4" w:space="0"/>
            </w:tcBorders>
            <w:vAlign w:val="center"/>
          </w:tcPr>
          <w:p w14:paraId="32D8FC72">
            <w:pPr>
              <w:jc w:val="right"/>
              <w:textAlignment w:val="center"/>
              <w:rPr>
                <w:rFonts w:cs="Times New Roman"/>
              </w:rPr>
            </w:pPr>
            <w:r>
              <w:rPr>
                <w:rFonts w:eastAsia="Arial Narrow" w:cs="Times New Roman"/>
                <w:color w:val="000000"/>
                <w:lang w:bidi="ar"/>
              </w:rPr>
              <w:t>2,166,386.68</w:t>
            </w:r>
          </w:p>
        </w:tc>
      </w:tr>
      <w:tr w14:paraId="30DF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1B0B0AAA">
            <w:pPr>
              <w:rPr>
                <w:rFonts w:cs="Times New Roman"/>
              </w:rPr>
            </w:pPr>
            <w:r>
              <w:rPr>
                <w:rFonts w:cs="Times New Roman"/>
              </w:rPr>
              <w:t>2024年上半年</w:t>
            </w:r>
          </w:p>
        </w:tc>
        <w:tc>
          <w:tcPr>
            <w:tcW w:w="1683" w:type="dxa"/>
            <w:tcBorders>
              <w:top w:val="single" w:color="auto" w:sz="4" w:space="0"/>
              <w:left w:val="single" w:color="auto" w:sz="4" w:space="0"/>
              <w:bottom w:val="single" w:color="auto" w:sz="4" w:space="0"/>
              <w:right w:val="single" w:color="auto" w:sz="4" w:space="0"/>
            </w:tcBorders>
            <w:vAlign w:val="center"/>
          </w:tcPr>
          <w:p w14:paraId="74093B7F">
            <w:pPr>
              <w:jc w:val="right"/>
              <w:rPr>
                <w:rFonts w:cs="Times New Roman"/>
              </w:rPr>
            </w:pPr>
          </w:p>
        </w:tc>
        <w:tc>
          <w:tcPr>
            <w:tcW w:w="1683" w:type="dxa"/>
            <w:tcBorders>
              <w:top w:val="single" w:color="auto" w:sz="4" w:space="0"/>
              <w:left w:val="single" w:color="auto" w:sz="4" w:space="0"/>
              <w:bottom w:val="single" w:color="auto" w:sz="4" w:space="0"/>
              <w:right w:val="single" w:color="auto" w:sz="4" w:space="0"/>
            </w:tcBorders>
            <w:vAlign w:val="center"/>
          </w:tcPr>
          <w:p w14:paraId="4535C829">
            <w:pPr>
              <w:jc w:val="right"/>
              <w:rPr>
                <w:rFonts w:cs="Times New Roman"/>
              </w:rPr>
            </w:pPr>
          </w:p>
        </w:tc>
        <w:tc>
          <w:tcPr>
            <w:tcW w:w="1671" w:type="dxa"/>
            <w:tcBorders>
              <w:top w:val="single" w:color="auto" w:sz="4" w:space="0"/>
              <w:left w:val="single" w:color="auto" w:sz="4" w:space="0"/>
              <w:bottom w:val="single" w:color="auto" w:sz="4" w:space="0"/>
              <w:right w:val="single" w:color="auto" w:sz="4" w:space="0"/>
            </w:tcBorders>
            <w:vAlign w:val="center"/>
          </w:tcPr>
          <w:p w14:paraId="28AA5F4B">
            <w:pPr>
              <w:jc w:val="right"/>
              <w:rPr>
                <w:rFonts w:cs="Times New Roman"/>
              </w:rPr>
            </w:pPr>
          </w:p>
        </w:tc>
        <w:tc>
          <w:tcPr>
            <w:tcW w:w="1682" w:type="dxa"/>
            <w:tcBorders>
              <w:top w:val="single" w:color="auto" w:sz="4" w:space="0"/>
              <w:left w:val="single" w:color="auto" w:sz="4" w:space="0"/>
              <w:bottom w:val="single" w:color="auto" w:sz="4" w:space="0"/>
              <w:right w:val="single" w:color="auto" w:sz="4" w:space="0"/>
            </w:tcBorders>
            <w:vAlign w:val="center"/>
          </w:tcPr>
          <w:p w14:paraId="4062616D">
            <w:pPr>
              <w:jc w:val="right"/>
              <w:rPr>
                <w:rFonts w:cs="Times New Roman"/>
              </w:rPr>
            </w:pPr>
          </w:p>
        </w:tc>
      </w:tr>
      <w:tr w14:paraId="1519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02DDB2B0">
            <w:pPr>
              <w:rPr>
                <w:rFonts w:cs="Times New Roman"/>
              </w:rPr>
            </w:pPr>
            <w:r>
              <w:rPr>
                <w:rFonts w:cs="Times New Roman"/>
                <w:color w:val="000000"/>
              </w:rPr>
              <w:t>主营业务收入</w:t>
            </w:r>
          </w:p>
        </w:tc>
        <w:tc>
          <w:tcPr>
            <w:tcW w:w="1683" w:type="dxa"/>
            <w:tcBorders>
              <w:top w:val="single" w:color="auto" w:sz="4" w:space="0"/>
              <w:left w:val="single" w:color="auto" w:sz="4" w:space="0"/>
              <w:bottom w:val="single" w:color="auto" w:sz="4" w:space="0"/>
              <w:right w:val="single" w:color="auto" w:sz="4" w:space="0"/>
            </w:tcBorders>
            <w:vAlign w:val="center"/>
          </w:tcPr>
          <w:p w14:paraId="1CBD87DC">
            <w:pPr>
              <w:jc w:val="right"/>
              <w:textAlignment w:val="center"/>
              <w:rPr>
                <w:rFonts w:cs="Times New Roman"/>
              </w:rPr>
            </w:pPr>
            <w:r>
              <w:rPr>
                <w:rFonts w:eastAsia="Arial Narrow" w:cs="Times New Roman"/>
                <w:color w:val="000000"/>
                <w:lang w:bidi="ar"/>
              </w:rPr>
              <w:t>516,724.20</w:t>
            </w:r>
          </w:p>
        </w:tc>
        <w:tc>
          <w:tcPr>
            <w:tcW w:w="1683" w:type="dxa"/>
            <w:tcBorders>
              <w:top w:val="single" w:color="auto" w:sz="4" w:space="0"/>
              <w:left w:val="single" w:color="auto" w:sz="4" w:space="0"/>
              <w:bottom w:val="single" w:color="auto" w:sz="4" w:space="0"/>
              <w:right w:val="single" w:color="auto" w:sz="4" w:space="0"/>
            </w:tcBorders>
            <w:vAlign w:val="center"/>
          </w:tcPr>
          <w:p w14:paraId="45C1D0B3">
            <w:pPr>
              <w:jc w:val="right"/>
              <w:textAlignment w:val="center"/>
              <w:rPr>
                <w:rFonts w:cs="Times New Roman"/>
              </w:rPr>
            </w:pPr>
            <w:r>
              <w:rPr>
                <w:rFonts w:eastAsia="Arial Narrow" w:cs="Times New Roman"/>
                <w:color w:val="000000"/>
                <w:lang w:bidi="ar"/>
              </w:rPr>
              <w:t>20,848.89</w:t>
            </w:r>
          </w:p>
        </w:tc>
        <w:tc>
          <w:tcPr>
            <w:tcW w:w="1671" w:type="dxa"/>
            <w:tcBorders>
              <w:top w:val="single" w:color="auto" w:sz="4" w:space="0"/>
              <w:left w:val="single" w:color="auto" w:sz="4" w:space="0"/>
              <w:bottom w:val="single" w:color="auto" w:sz="4" w:space="0"/>
              <w:right w:val="single" w:color="auto" w:sz="4" w:space="0"/>
            </w:tcBorders>
            <w:vAlign w:val="center"/>
          </w:tcPr>
          <w:p w14:paraId="1B9F5700">
            <w:pPr>
              <w:jc w:val="right"/>
              <w:textAlignment w:val="center"/>
              <w:rPr>
                <w:rFonts w:cs="Times New Roman"/>
              </w:rPr>
            </w:pPr>
            <w:r>
              <w:rPr>
                <w:rFonts w:eastAsia="Arial Narrow" w:cs="Times New Roman"/>
                <w:color w:val="000000"/>
                <w:lang w:bidi="ar"/>
              </w:rPr>
              <w:t>29,803.20</w:t>
            </w:r>
          </w:p>
        </w:tc>
        <w:tc>
          <w:tcPr>
            <w:tcW w:w="1682" w:type="dxa"/>
            <w:tcBorders>
              <w:top w:val="single" w:color="auto" w:sz="4" w:space="0"/>
              <w:left w:val="single" w:color="auto" w:sz="4" w:space="0"/>
              <w:bottom w:val="single" w:color="auto" w:sz="4" w:space="0"/>
              <w:right w:val="single" w:color="auto" w:sz="4" w:space="0"/>
            </w:tcBorders>
            <w:vAlign w:val="center"/>
          </w:tcPr>
          <w:p w14:paraId="12210241">
            <w:pPr>
              <w:jc w:val="right"/>
              <w:textAlignment w:val="center"/>
              <w:rPr>
                <w:rFonts w:cs="Times New Roman"/>
              </w:rPr>
            </w:pPr>
            <w:r>
              <w:rPr>
                <w:rFonts w:eastAsia="Arial Narrow" w:cs="Times New Roman"/>
                <w:color w:val="000000"/>
                <w:lang w:bidi="ar"/>
              </w:rPr>
              <w:t>507,769.89</w:t>
            </w:r>
          </w:p>
        </w:tc>
      </w:tr>
      <w:tr w14:paraId="559C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52F50348">
            <w:pPr>
              <w:rPr>
                <w:rFonts w:cs="Times New Roman"/>
              </w:rPr>
            </w:pPr>
            <w:r>
              <w:rPr>
                <w:rFonts w:cs="Times New Roman"/>
                <w:color w:val="000000"/>
              </w:rPr>
              <w:t>主营业务成本</w:t>
            </w:r>
          </w:p>
        </w:tc>
        <w:tc>
          <w:tcPr>
            <w:tcW w:w="1683" w:type="dxa"/>
            <w:tcBorders>
              <w:top w:val="single" w:color="auto" w:sz="4" w:space="0"/>
              <w:left w:val="single" w:color="auto" w:sz="4" w:space="0"/>
              <w:bottom w:val="single" w:color="auto" w:sz="4" w:space="0"/>
              <w:right w:val="single" w:color="auto" w:sz="4" w:space="0"/>
            </w:tcBorders>
            <w:vAlign w:val="center"/>
          </w:tcPr>
          <w:p w14:paraId="5390CEA3">
            <w:pPr>
              <w:jc w:val="right"/>
              <w:textAlignment w:val="center"/>
              <w:rPr>
                <w:rFonts w:cs="Times New Roman"/>
              </w:rPr>
            </w:pPr>
            <w:r>
              <w:rPr>
                <w:rFonts w:eastAsia="Arial Narrow" w:cs="Times New Roman"/>
                <w:color w:val="000000"/>
                <w:lang w:bidi="ar"/>
              </w:rPr>
              <w:t>455,909.43</w:t>
            </w:r>
          </w:p>
        </w:tc>
        <w:tc>
          <w:tcPr>
            <w:tcW w:w="1683" w:type="dxa"/>
            <w:tcBorders>
              <w:top w:val="single" w:color="auto" w:sz="4" w:space="0"/>
              <w:left w:val="single" w:color="auto" w:sz="4" w:space="0"/>
              <w:bottom w:val="single" w:color="auto" w:sz="4" w:space="0"/>
              <w:right w:val="single" w:color="auto" w:sz="4" w:space="0"/>
            </w:tcBorders>
            <w:vAlign w:val="center"/>
          </w:tcPr>
          <w:p w14:paraId="643F609F">
            <w:pPr>
              <w:jc w:val="right"/>
              <w:textAlignment w:val="center"/>
              <w:rPr>
                <w:rFonts w:cs="Times New Roman"/>
              </w:rPr>
            </w:pPr>
            <w:r>
              <w:rPr>
                <w:rFonts w:eastAsia="Arial Narrow" w:cs="Times New Roman"/>
                <w:color w:val="000000"/>
                <w:lang w:bidi="ar"/>
              </w:rPr>
              <w:t>17,483.25</w:t>
            </w:r>
          </w:p>
        </w:tc>
        <w:tc>
          <w:tcPr>
            <w:tcW w:w="1671" w:type="dxa"/>
            <w:tcBorders>
              <w:top w:val="single" w:color="auto" w:sz="4" w:space="0"/>
              <w:left w:val="single" w:color="auto" w:sz="4" w:space="0"/>
              <w:bottom w:val="single" w:color="auto" w:sz="4" w:space="0"/>
              <w:right w:val="single" w:color="auto" w:sz="4" w:space="0"/>
            </w:tcBorders>
            <w:vAlign w:val="center"/>
          </w:tcPr>
          <w:p w14:paraId="101B1A0A">
            <w:pPr>
              <w:jc w:val="right"/>
              <w:textAlignment w:val="center"/>
              <w:rPr>
                <w:rFonts w:cs="Times New Roman"/>
              </w:rPr>
            </w:pPr>
            <w:r>
              <w:rPr>
                <w:rFonts w:eastAsia="Arial Narrow" w:cs="Times New Roman"/>
                <w:color w:val="000000"/>
                <w:lang w:bidi="ar"/>
              </w:rPr>
              <w:t>29,371.28</w:t>
            </w:r>
          </w:p>
        </w:tc>
        <w:tc>
          <w:tcPr>
            <w:tcW w:w="1682" w:type="dxa"/>
            <w:tcBorders>
              <w:top w:val="single" w:color="auto" w:sz="4" w:space="0"/>
              <w:left w:val="single" w:color="auto" w:sz="4" w:space="0"/>
              <w:bottom w:val="single" w:color="auto" w:sz="4" w:space="0"/>
              <w:right w:val="single" w:color="auto" w:sz="4" w:space="0"/>
            </w:tcBorders>
            <w:vAlign w:val="center"/>
          </w:tcPr>
          <w:p w14:paraId="28EDCD61">
            <w:pPr>
              <w:jc w:val="right"/>
              <w:textAlignment w:val="center"/>
              <w:rPr>
                <w:rFonts w:cs="Times New Roman"/>
              </w:rPr>
            </w:pPr>
            <w:r>
              <w:rPr>
                <w:rFonts w:eastAsia="Arial Narrow" w:cs="Times New Roman"/>
                <w:color w:val="000000"/>
                <w:lang w:bidi="ar"/>
              </w:rPr>
              <w:t>444,021.40</w:t>
            </w:r>
          </w:p>
        </w:tc>
      </w:tr>
      <w:tr w14:paraId="17D9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55C02714">
            <w:pPr>
              <w:rPr>
                <w:rFonts w:cs="Times New Roman"/>
              </w:rPr>
            </w:pPr>
            <w:r>
              <w:rPr>
                <w:rFonts w:cs="Times New Roman"/>
                <w:color w:val="000000"/>
              </w:rPr>
              <w:t>负债总额</w:t>
            </w:r>
          </w:p>
        </w:tc>
        <w:tc>
          <w:tcPr>
            <w:tcW w:w="1683" w:type="dxa"/>
            <w:tcBorders>
              <w:top w:val="single" w:color="auto" w:sz="4" w:space="0"/>
              <w:left w:val="single" w:color="auto" w:sz="4" w:space="0"/>
              <w:bottom w:val="single" w:color="auto" w:sz="4" w:space="0"/>
              <w:right w:val="single" w:color="auto" w:sz="4" w:space="0"/>
            </w:tcBorders>
            <w:vAlign w:val="center"/>
          </w:tcPr>
          <w:p w14:paraId="2630F958">
            <w:pPr>
              <w:jc w:val="right"/>
              <w:textAlignment w:val="center"/>
              <w:rPr>
                <w:rFonts w:cs="Times New Roman"/>
              </w:rPr>
            </w:pPr>
            <w:r>
              <w:rPr>
                <w:rFonts w:eastAsia="Arial Narrow" w:cs="Times New Roman"/>
                <w:color w:val="000000"/>
                <w:lang w:bidi="ar"/>
              </w:rPr>
              <w:t>922,117.54</w:t>
            </w:r>
          </w:p>
        </w:tc>
        <w:tc>
          <w:tcPr>
            <w:tcW w:w="1683" w:type="dxa"/>
            <w:tcBorders>
              <w:top w:val="single" w:color="auto" w:sz="4" w:space="0"/>
              <w:left w:val="single" w:color="auto" w:sz="4" w:space="0"/>
              <w:bottom w:val="single" w:color="auto" w:sz="4" w:space="0"/>
              <w:right w:val="single" w:color="auto" w:sz="4" w:space="0"/>
            </w:tcBorders>
            <w:vAlign w:val="center"/>
          </w:tcPr>
          <w:p w14:paraId="6236C37C">
            <w:pPr>
              <w:jc w:val="right"/>
              <w:textAlignment w:val="center"/>
              <w:rPr>
                <w:rFonts w:cs="Times New Roman"/>
              </w:rPr>
            </w:pPr>
            <w:r>
              <w:rPr>
                <w:rFonts w:eastAsia="Arial Narrow" w:cs="Times New Roman"/>
                <w:color w:val="000000"/>
                <w:lang w:bidi="ar"/>
              </w:rPr>
              <w:t>943,555.84</w:t>
            </w:r>
          </w:p>
        </w:tc>
        <w:tc>
          <w:tcPr>
            <w:tcW w:w="1671" w:type="dxa"/>
            <w:tcBorders>
              <w:top w:val="single" w:color="auto" w:sz="4" w:space="0"/>
              <w:left w:val="single" w:color="auto" w:sz="4" w:space="0"/>
              <w:bottom w:val="single" w:color="auto" w:sz="4" w:space="0"/>
              <w:right w:val="single" w:color="auto" w:sz="4" w:space="0"/>
            </w:tcBorders>
            <w:vAlign w:val="center"/>
          </w:tcPr>
          <w:p w14:paraId="19609278">
            <w:pPr>
              <w:jc w:val="right"/>
              <w:textAlignment w:val="center"/>
              <w:rPr>
                <w:rFonts w:cs="Times New Roman"/>
              </w:rPr>
            </w:pPr>
            <w:r>
              <w:rPr>
                <w:rFonts w:eastAsia="Arial Narrow" w:cs="Times New Roman"/>
                <w:color w:val="000000"/>
                <w:lang w:bidi="ar"/>
              </w:rPr>
              <w:t>1,037,879.04</w:t>
            </w:r>
          </w:p>
        </w:tc>
        <w:tc>
          <w:tcPr>
            <w:tcW w:w="1682" w:type="dxa"/>
            <w:tcBorders>
              <w:top w:val="single" w:color="auto" w:sz="4" w:space="0"/>
              <w:left w:val="single" w:color="auto" w:sz="4" w:space="0"/>
              <w:bottom w:val="single" w:color="auto" w:sz="4" w:space="0"/>
              <w:right w:val="single" w:color="auto" w:sz="4" w:space="0"/>
            </w:tcBorders>
            <w:vAlign w:val="center"/>
          </w:tcPr>
          <w:p w14:paraId="52711297">
            <w:pPr>
              <w:jc w:val="right"/>
              <w:textAlignment w:val="center"/>
              <w:rPr>
                <w:rFonts w:cs="Times New Roman"/>
              </w:rPr>
            </w:pPr>
            <w:r>
              <w:rPr>
                <w:rFonts w:eastAsia="Arial Narrow" w:cs="Times New Roman"/>
                <w:color w:val="000000"/>
                <w:lang w:bidi="ar"/>
              </w:rPr>
              <w:t>827,794.34</w:t>
            </w:r>
          </w:p>
        </w:tc>
      </w:tr>
      <w:tr w14:paraId="2729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pct"/>
            <w:tcBorders>
              <w:top w:val="single" w:color="auto" w:sz="4" w:space="0"/>
              <w:left w:val="single" w:color="auto" w:sz="4" w:space="0"/>
              <w:bottom w:val="single" w:color="auto" w:sz="4" w:space="0"/>
              <w:right w:val="single" w:color="auto" w:sz="4" w:space="0"/>
            </w:tcBorders>
          </w:tcPr>
          <w:p w14:paraId="66F9E0B6">
            <w:pPr>
              <w:rPr>
                <w:rFonts w:cs="Times New Roman"/>
              </w:rPr>
            </w:pPr>
            <w:r>
              <w:rPr>
                <w:rFonts w:cs="Times New Roman"/>
                <w:color w:val="000000"/>
              </w:rPr>
              <w:t>资产总额</w:t>
            </w:r>
          </w:p>
        </w:tc>
        <w:tc>
          <w:tcPr>
            <w:tcW w:w="1683" w:type="dxa"/>
            <w:tcBorders>
              <w:top w:val="single" w:color="auto" w:sz="4" w:space="0"/>
              <w:left w:val="single" w:color="auto" w:sz="4" w:space="0"/>
              <w:bottom w:val="single" w:color="auto" w:sz="4" w:space="0"/>
              <w:right w:val="single" w:color="auto" w:sz="4" w:space="0"/>
            </w:tcBorders>
            <w:vAlign w:val="center"/>
          </w:tcPr>
          <w:p w14:paraId="00B30396">
            <w:pPr>
              <w:jc w:val="right"/>
              <w:textAlignment w:val="center"/>
              <w:rPr>
                <w:rFonts w:cs="Times New Roman"/>
              </w:rPr>
            </w:pPr>
            <w:r>
              <w:rPr>
                <w:rFonts w:eastAsia="Arial Narrow" w:cs="Times New Roman"/>
                <w:color w:val="000000"/>
                <w:lang w:bidi="ar"/>
              </w:rPr>
              <w:t>2,016,413.67</w:t>
            </w:r>
          </w:p>
        </w:tc>
        <w:tc>
          <w:tcPr>
            <w:tcW w:w="1683" w:type="dxa"/>
            <w:tcBorders>
              <w:top w:val="single" w:color="auto" w:sz="4" w:space="0"/>
              <w:left w:val="single" w:color="auto" w:sz="4" w:space="0"/>
              <w:bottom w:val="single" w:color="auto" w:sz="4" w:space="0"/>
              <w:right w:val="single" w:color="auto" w:sz="4" w:space="0"/>
            </w:tcBorders>
            <w:vAlign w:val="center"/>
          </w:tcPr>
          <w:p w14:paraId="7919F54D">
            <w:pPr>
              <w:jc w:val="right"/>
              <w:textAlignment w:val="center"/>
              <w:rPr>
                <w:rFonts w:cs="Times New Roman"/>
              </w:rPr>
            </w:pPr>
            <w:r>
              <w:rPr>
                <w:rFonts w:eastAsia="Arial Narrow" w:cs="Times New Roman"/>
                <w:color w:val="000000"/>
                <w:lang w:bidi="ar"/>
              </w:rPr>
              <w:t>2,132,484.20</w:t>
            </w:r>
          </w:p>
        </w:tc>
        <w:tc>
          <w:tcPr>
            <w:tcW w:w="1671" w:type="dxa"/>
            <w:tcBorders>
              <w:top w:val="single" w:color="auto" w:sz="4" w:space="0"/>
              <w:left w:val="single" w:color="auto" w:sz="4" w:space="0"/>
              <w:bottom w:val="single" w:color="auto" w:sz="4" w:space="0"/>
              <w:right w:val="single" w:color="auto" w:sz="4" w:space="0"/>
            </w:tcBorders>
            <w:vAlign w:val="center"/>
          </w:tcPr>
          <w:p w14:paraId="0E4FBA2F">
            <w:pPr>
              <w:jc w:val="right"/>
              <w:textAlignment w:val="center"/>
              <w:rPr>
                <w:rFonts w:cs="Times New Roman"/>
              </w:rPr>
            </w:pPr>
            <w:r>
              <w:rPr>
                <w:rFonts w:eastAsia="Arial Narrow" w:cs="Times New Roman"/>
                <w:color w:val="000000"/>
                <w:lang w:bidi="ar"/>
              </w:rPr>
              <w:t>1,635,418.68</w:t>
            </w:r>
          </w:p>
        </w:tc>
        <w:tc>
          <w:tcPr>
            <w:tcW w:w="1682" w:type="dxa"/>
            <w:tcBorders>
              <w:top w:val="single" w:color="auto" w:sz="4" w:space="0"/>
              <w:left w:val="single" w:color="auto" w:sz="4" w:space="0"/>
              <w:bottom w:val="single" w:color="auto" w:sz="4" w:space="0"/>
              <w:right w:val="single" w:color="auto" w:sz="4" w:space="0"/>
            </w:tcBorders>
            <w:vAlign w:val="center"/>
          </w:tcPr>
          <w:p w14:paraId="19D4CA01">
            <w:pPr>
              <w:jc w:val="right"/>
              <w:textAlignment w:val="center"/>
              <w:rPr>
                <w:rFonts w:cs="Times New Roman"/>
              </w:rPr>
            </w:pPr>
            <w:r>
              <w:rPr>
                <w:rFonts w:eastAsia="Arial Narrow" w:cs="Times New Roman"/>
                <w:color w:val="000000"/>
                <w:lang w:bidi="ar"/>
              </w:rPr>
              <w:t>2,513,479.19</w:t>
            </w:r>
          </w:p>
        </w:tc>
      </w:tr>
    </w:tbl>
    <w:p w14:paraId="650FBCC3"/>
    <w:p w14:paraId="27AAC396">
      <w:pPr>
        <w:rPr>
          <w:color w:val="000000" w:themeColor="text1"/>
          <w14:textFill>
            <w14:solidFill>
              <w14:schemeClr w14:val="tx1"/>
            </w14:solidFill>
          </w14:textFill>
        </w:rPr>
      </w:pPr>
    </w:p>
    <w:p w14:paraId="2C04AB47">
      <w:pPr>
        <w:pStyle w:val="58"/>
        <w:numPr>
          <w:ilvl w:val="1"/>
          <w:numId w:val="115"/>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公司无报告分部的，或者不能披露各报告分部的资产总额和负债总额的，应说明原因</w:t>
      </w:r>
    </w:p>
    <w:sdt>
      <w:sdtPr>
        <w:rPr>
          <w:rFonts w:hint="eastAsia"/>
          <w:color w:val="000000" w:themeColor="text1"/>
          <w14:textFill>
            <w14:solidFill>
              <w14:schemeClr w14:val="tx1"/>
            </w14:solidFill>
          </w14:textFill>
        </w:rPr>
        <w:alias w:val="是否适用：公司无报告分部的，或者不能披露各报告分部的资产总额和负债总额的，应说明原因[双击切换]"/>
        <w:tag w:val="_GBC_de327191b263431db97d3ba75838aba8"/>
        <w:id w:val="147452559"/>
        <w:placeholder>
          <w:docPart w:val="GBC22222222222222222222222222222"/>
        </w:placeholder>
      </w:sdtPr>
      <w:sdtEndPr>
        <w:rPr>
          <w:rFonts w:hint="eastAsia"/>
          <w:color w:val="000000" w:themeColor="text1"/>
          <w14:textFill>
            <w14:solidFill>
              <w14:schemeClr w14:val="tx1"/>
            </w14:solidFill>
          </w14:textFill>
        </w:rPr>
      </w:sdtEndPr>
      <w:sdtContent>
        <w:p w14:paraId="2286BDB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811FE9A">
      <w:pPr>
        <w:rPr>
          <w:color w:val="000000" w:themeColor="text1"/>
          <w14:textFill>
            <w14:solidFill>
              <w14:schemeClr w14:val="tx1"/>
            </w14:solidFill>
          </w14:textFill>
        </w:rPr>
      </w:pPr>
    </w:p>
    <w:p w14:paraId="79A5CEF3">
      <w:pPr>
        <w:pStyle w:val="58"/>
        <w:numPr>
          <w:ilvl w:val="1"/>
          <w:numId w:val="115"/>
        </w:numPr>
        <w:tabs>
          <w:tab w:val="left" w:pos="644"/>
        </w:tabs>
        <w:ind w:left="42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其他说明</w:t>
      </w:r>
    </w:p>
    <w:sdt>
      <w:sdtPr>
        <w:rPr>
          <w:color w:val="000000" w:themeColor="text1"/>
          <w14:textFill>
            <w14:solidFill>
              <w14:schemeClr w14:val="tx1"/>
            </w14:solidFill>
          </w14:textFill>
        </w:rPr>
        <w:alias w:val="是否适用：分部信息的其他说明[双击切换]"/>
        <w:tag w:val="_GBC_d4186588d0fd49e5b2642a9422c2353f"/>
        <w:id w:val="147480325"/>
        <w:placeholder>
          <w:docPart w:val="GBC22222222222222222222222222222"/>
        </w:placeholder>
      </w:sdtPr>
      <w:sdtEndPr>
        <w:rPr>
          <w:color w:val="000000" w:themeColor="text1"/>
          <w14:textFill>
            <w14:solidFill>
              <w14:schemeClr w14:val="tx1"/>
            </w14:solidFill>
          </w14:textFill>
        </w:rPr>
      </w:sdtEndPr>
      <w:sdtContent>
        <w:p w14:paraId="78CABCE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C5F99D7">
      <w:pPr>
        <w:rPr>
          <w:color w:val="000000" w:themeColor="text1"/>
          <w14:textFill>
            <w14:solidFill>
              <w14:schemeClr w14:val="tx1"/>
            </w14:solidFill>
          </w14:textFill>
        </w:rPr>
      </w:pPr>
    </w:p>
    <w:p w14:paraId="3E67941D">
      <w:pPr>
        <w:pStyle w:val="57"/>
        <w:numPr>
          <w:ilvl w:val="0"/>
          <w:numId w:val="112"/>
        </w:numPr>
        <w:rPr>
          <w:rFonts w:ascii="宋体" w:hAnsi="宋体"/>
          <w:color w:val="000000" w:themeColor="text1"/>
          <w14:textFill>
            <w14:solidFill>
              <w14:schemeClr w14:val="tx1"/>
            </w14:solidFill>
          </w14:textFill>
        </w:rPr>
      </w:pPr>
      <w:bookmarkStart w:id="433" w:name="_Toc241636520"/>
      <w:bookmarkEnd w:id="433"/>
      <w:r>
        <w:rPr>
          <w:rFonts w:hint="eastAsia" w:ascii="宋体" w:hAnsi="宋体"/>
          <w:color w:val="000000" w:themeColor="text1"/>
          <w14:textFill>
            <w14:solidFill>
              <w14:schemeClr w14:val="tx1"/>
            </w14:solidFill>
          </w14:textFill>
        </w:rPr>
        <w:t>其他对投资者决策有影响的重要交易和事项</w:t>
      </w:r>
    </w:p>
    <w:sdt>
      <w:sdtPr>
        <w:rPr>
          <w:color w:val="000000" w:themeColor="text1"/>
          <w14:textFill>
            <w14:solidFill>
              <w14:schemeClr w14:val="tx1"/>
            </w14:solidFill>
          </w14:textFill>
        </w:rPr>
        <w:alias w:val="是否适用：其他对投资者决策有影响的重要交易和事项[双击切换]"/>
        <w:tag w:val="_GBC_6bb0ea1e73f644b99b2bccc9d2ea19e9"/>
        <w:id w:val="147456312"/>
        <w:placeholder>
          <w:docPart w:val="GBC22222222222222222222222222222"/>
        </w:placeholder>
      </w:sdtPr>
      <w:sdtEndPr>
        <w:rPr>
          <w:color w:val="000000" w:themeColor="text1"/>
          <w14:textFill>
            <w14:solidFill>
              <w14:schemeClr w14:val="tx1"/>
            </w14:solidFill>
          </w14:textFill>
        </w:rPr>
      </w:sdtEndPr>
      <w:sdtContent>
        <w:p w14:paraId="1DAF4553">
          <w:pPr>
            <w:spacing w:line="360" w:lineRule="exact"/>
            <w:ind w:firstLine="420" w:firstLineChars="20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198CD38">
      <w:pPr>
        <w:rPr>
          <w:color w:val="000000" w:themeColor="text1"/>
          <w14:textFill>
            <w14:solidFill>
              <w14:schemeClr w14:val="tx1"/>
            </w14:solidFill>
          </w14:textFill>
        </w:rPr>
      </w:pPr>
    </w:p>
    <w:p w14:paraId="50701567">
      <w:pPr>
        <w:pStyle w:val="57"/>
        <w:numPr>
          <w:ilvl w:val="0"/>
          <w:numId w:val="112"/>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其他重要事项的说明[双击切换]"/>
        <w:tag w:val="_GBC_518cb9b615c44ff597f57c3bba95c7fa"/>
        <w:id w:val="147464101"/>
        <w:placeholder>
          <w:docPart w:val="GBC22222222222222222222222222222"/>
        </w:placeholder>
      </w:sdtPr>
      <w:sdtEndPr>
        <w:rPr>
          <w:color w:val="000000" w:themeColor="text1"/>
          <w14:textFill>
            <w14:solidFill>
              <w14:schemeClr w14:val="tx1"/>
            </w14:solidFill>
          </w14:textFill>
        </w:rPr>
      </w:sdtEndPr>
      <w:sdtContent>
        <w:p w14:paraId="1589DB1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36A2AFE">
      <w:pPr>
        <w:rPr>
          <w:color w:val="000000" w:themeColor="text1"/>
          <w14:textFill>
            <w14:solidFill>
              <w14:schemeClr w14:val="tx1"/>
            </w14:solidFill>
          </w14:textFill>
        </w:rPr>
      </w:pPr>
    </w:p>
    <w:p w14:paraId="1BFFAA8C">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母公司财务报表主要项目注释</w:t>
      </w:r>
    </w:p>
    <w:p w14:paraId="5C31DB0C">
      <w:pPr>
        <w:pStyle w:val="57"/>
        <w:numPr>
          <w:ilvl w:val="0"/>
          <w:numId w:val="11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应收账款</w:t>
      </w:r>
    </w:p>
    <w:p w14:paraId="4313E552">
      <w:pPr>
        <w:pStyle w:val="58"/>
        <w:numPr>
          <w:ilvl w:val="3"/>
          <w:numId w:val="117"/>
        </w:numPr>
        <w:ind w:left="406" w:hanging="406" w:hangingChars="202"/>
        <w:rPr>
          <w:color w:val="000000" w:themeColor="text1"/>
          <w14:textFill>
            <w14:solidFill>
              <w14:schemeClr w14:val="tx1"/>
            </w14:solidFill>
          </w14:textFill>
        </w:rPr>
      </w:pPr>
      <w:bookmarkStart w:id="434" w:name="_Hlk167980323"/>
      <w:bookmarkStart w:id="435" w:name="_Hlk533796665"/>
      <w:r>
        <w:rPr>
          <w:rFonts w:hint="eastAsia"/>
          <w:color w:val="000000" w:themeColor="text1"/>
          <w14:textFill>
            <w14:solidFill>
              <w14:schemeClr w14:val="tx1"/>
            </w14:solidFill>
          </w14:textFill>
        </w:rPr>
        <w:t>按账龄披露</w:t>
      </w:r>
    </w:p>
    <w:sdt>
      <w:sdtPr>
        <w:rPr>
          <w:color w:val="000000" w:themeColor="text1"/>
          <w14:textFill>
            <w14:solidFill>
              <w14:schemeClr w14:val="tx1"/>
            </w14:solidFill>
          </w14:textFill>
        </w:rPr>
        <w:alias w:val="是否适用：母公司应收账款按账龄披露[双击切换]"/>
        <w:tag w:val="_GBC_801584c2698f4c75b9eab05c08a26afd"/>
        <w:id w:val="170378240"/>
      </w:sdtPr>
      <w:sdtEndPr>
        <w:rPr>
          <w:color w:val="000000" w:themeColor="text1"/>
          <w14:textFill>
            <w14:solidFill>
              <w14:schemeClr w14:val="tx1"/>
            </w14:solidFill>
          </w14:textFill>
        </w:rPr>
      </w:sdtEndPr>
      <w:sdtContent>
        <w:p w14:paraId="1DA6DFC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F2E1F4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账款按账龄披露"/>
          <w:tag w:val="_GBC_308a90728c1f4859ad3f446cb4ef9717"/>
          <w:id w:val="-1965032292"/>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账款按账龄披露"/>
          <w:tag w:val="_GBC_777a884d0a3b4955b2e9309a1049a937"/>
          <w:id w:val="139700530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5"/>
        <w:gridCol w:w="3051"/>
        <w:gridCol w:w="3053"/>
      </w:tblGrid>
      <w:tr w14:paraId="2838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cce686fc6c1f4a00a0687060595ff873"/>
            <w:id w:val="1384061187"/>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vAlign w:val="center"/>
              </w:tcPr>
              <w:p w14:paraId="6115C0A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账龄</w:t>
                </w:r>
              </w:p>
            </w:tc>
          </w:sdtContent>
        </w:sdt>
        <w:sdt>
          <w:sdtPr>
            <w:rPr>
              <w:rFonts w:cs="Times New Roman"/>
            </w:rPr>
            <w:tag w:val="_PLD_9fa8767136b3432ba1d3bea327b3af33"/>
            <w:id w:val="-579057251"/>
          </w:sdtPr>
          <w:sdtEndPr>
            <w:rPr>
              <w:rFonts w:cs="Times New Roman"/>
            </w:rPr>
          </w:sdtEndPr>
          <w:sdtContent>
            <w:tc>
              <w:tcPr>
                <w:tcW w:w="1685" w:type="pct"/>
                <w:tcBorders>
                  <w:top w:val="single" w:color="auto" w:sz="4" w:space="0"/>
                  <w:left w:val="single" w:color="auto" w:sz="4" w:space="0"/>
                  <w:bottom w:val="single" w:color="auto" w:sz="4" w:space="0"/>
                  <w:right w:val="single" w:color="auto" w:sz="4" w:space="0"/>
                </w:tcBorders>
                <w:vAlign w:val="center"/>
              </w:tcPr>
              <w:p w14:paraId="3DE34B6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期末账面余额</w:t>
                </w:r>
              </w:p>
            </w:tc>
          </w:sdtContent>
        </w:sdt>
        <w:sdt>
          <w:sdtPr>
            <w:rPr>
              <w:rFonts w:cs="Times New Roman"/>
            </w:rPr>
            <w:tag w:val="_PLD_4053bba84d8a45f8a51648bc15113d5d"/>
            <w:id w:val="1831486532"/>
          </w:sdtPr>
          <w:sdtEndPr>
            <w:rPr>
              <w:rFonts w:cs="Times New Roman"/>
            </w:rPr>
          </w:sdtEndPr>
          <w:sdtContent>
            <w:tc>
              <w:tcPr>
                <w:tcW w:w="1686" w:type="pct"/>
                <w:tcBorders>
                  <w:top w:val="single" w:color="auto" w:sz="4" w:space="0"/>
                  <w:left w:val="single" w:color="auto" w:sz="4" w:space="0"/>
                  <w:bottom w:val="single" w:color="auto" w:sz="4" w:space="0"/>
                  <w:right w:val="single" w:color="auto" w:sz="4" w:space="0"/>
                </w:tcBorders>
              </w:tcPr>
              <w:p w14:paraId="32AD52E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期初账面余额</w:t>
                </w:r>
              </w:p>
            </w:tc>
          </w:sdtContent>
        </w:sdt>
      </w:tr>
      <w:tr w14:paraId="5F08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5113e4e3df284601b74cf55777639325"/>
            <w:id w:val="1094512228"/>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2CB8C8D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1年以内（含1年）</w:t>
                </w:r>
              </w:p>
            </w:tc>
          </w:sdtContent>
        </w:sdt>
        <w:tc>
          <w:tcPr>
            <w:tcW w:w="1685" w:type="pct"/>
            <w:tcBorders>
              <w:top w:val="single" w:color="auto" w:sz="4" w:space="0"/>
              <w:left w:val="single" w:color="auto" w:sz="4" w:space="0"/>
              <w:bottom w:val="single" w:color="auto" w:sz="4" w:space="0"/>
              <w:right w:val="single" w:color="auto" w:sz="4" w:space="0"/>
            </w:tcBorders>
          </w:tcPr>
          <w:p w14:paraId="61C40C92">
            <w:pPr>
              <w:jc w:val="right"/>
              <w:rPr>
                <w:rFonts w:cs="Times New Roman"/>
              </w:rPr>
            </w:pPr>
          </w:p>
        </w:tc>
        <w:tc>
          <w:tcPr>
            <w:tcW w:w="1686" w:type="pct"/>
            <w:tcBorders>
              <w:top w:val="single" w:color="auto" w:sz="4" w:space="0"/>
              <w:left w:val="single" w:color="auto" w:sz="4" w:space="0"/>
              <w:bottom w:val="single" w:color="auto" w:sz="4" w:space="0"/>
              <w:right w:val="single" w:color="auto" w:sz="4" w:space="0"/>
            </w:tcBorders>
          </w:tcPr>
          <w:p w14:paraId="7B0653F0">
            <w:pPr>
              <w:jc w:val="right"/>
              <w:rPr>
                <w:rFonts w:cs="Times New Roman"/>
              </w:rPr>
            </w:pPr>
          </w:p>
        </w:tc>
      </w:tr>
      <w:sdt>
        <w:sdtPr>
          <w:rPr>
            <w:rFonts w:cs="Times New Roman"/>
            <w:color w:val="000000" w:themeColor="text1"/>
            <w14:textFill>
              <w14:solidFill>
                <w14:schemeClr w14:val="tx1"/>
              </w14:solidFill>
            </w14:textFill>
          </w:rPr>
          <w:alias w:val="一年以内应收账款金额明细"/>
          <w:tag w:val="_TUP_d18f54085a004c79a0bf918e7a64fc8c"/>
          <w:id w:val="-467283965"/>
          <w:placeholder>
            <w:docPart w:val="{ff5088b6-2712-4a83-8e82-feb0ff073f7e}"/>
          </w:placeholder>
        </w:sdtPr>
        <w:sdtEndPr>
          <w:rPr>
            <w:rFonts w:cs="Times New Roman"/>
            <w:color w:val="000000" w:themeColor="text1"/>
            <w14:textFill>
              <w14:solidFill>
                <w14:schemeClr w14:val="tx1"/>
              </w14:solidFill>
            </w14:textFill>
          </w:rPr>
        </w:sdtEndPr>
        <w:sdtContent>
          <w:tr w14:paraId="0D28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7" w:type="pct"/>
                <w:tcBorders>
                  <w:top w:val="single" w:color="auto" w:sz="4" w:space="0"/>
                  <w:left w:val="single" w:color="auto" w:sz="4" w:space="0"/>
                  <w:bottom w:val="single" w:color="auto" w:sz="4" w:space="0"/>
                  <w:right w:val="single" w:color="auto" w:sz="4" w:space="0"/>
                </w:tcBorders>
              </w:tcPr>
              <w:p w14:paraId="7286007D">
                <w:pPr>
                  <w:rPr>
                    <w:rFonts w:cs="Times New Roman"/>
                  </w:rPr>
                </w:pPr>
                <w:r>
                  <w:rPr>
                    <w:rFonts w:cs="Times New Roman"/>
                  </w:rPr>
                  <w:t>1年以内小计</w:t>
                </w:r>
              </w:p>
            </w:tc>
            <w:tc>
              <w:tcPr>
                <w:tcW w:w="1685" w:type="pct"/>
                <w:tcBorders>
                  <w:top w:val="single" w:color="auto" w:sz="4" w:space="0"/>
                  <w:left w:val="single" w:color="auto" w:sz="4" w:space="0"/>
                  <w:bottom w:val="single" w:color="auto" w:sz="4" w:space="0"/>
                  <w:right w:val="single" w:color="auto" w:sz="4" w:space="0"/>
                </w:tcBorders>
              </w:tcPr>
              <w:p w14:paraId="3AA8FF9C">
                <w:pPr>
                  <w:jc w:val="right"/>
                  <w:rPr>
                    <w:rFonts w:cs="Times New Roman"/>
                  </w:rPr>
                </w:pPr>
              </w:p>
            </w:tc>
            <w:tc>
              <w:tcPr>
                <w:tcW w:w="1686" w:type="pct"/>
                <w:tcBorders>
                  <w:top w:val="single" w:color="auto" w:sz="4" w:space="0"/>
                  <w:left w:val="single" w:color="auto" w:sz="4" w:space="0"/>
                  <w:bottom w:val="single" w:color="auto" w:sz="4" w:space="0"/>
                  <w:right w:val="single" w:color="auto" w:sz="4" w:space="0"/>
                </w:tcBorders>
              </w:tcPr>
              <w:p w14:paraId="6293E5CA">
                <w:pPr>
                  <w:jc w:val="right"/>
                  <w:rPr>
                    <w:rFonts w:cs="Times New Roman"/>
                  </w:rPr>
                </w:pPr>
              </w:p>
            </w:tc>
          </w:tr>
        </w:sdtContent>
      </w:sdt>
      <w:sdt>
        <w:sdtPr>
          <w:rPr>
            <w:rFonts w:cs="Times New Roman"/>
          </w:rPr>
          <w:alias w:val="一年以内应收账款金额明细"/>
          <w:tag w:val="_TUP_d18f54085a004c79a0bf918e7a64fc8c"/>
          <w:id w:val="920069742"/>
          <w:placeholder>
            <w:docPart w:val="{ff5088b6-2712-4a83-8e82-feb0ff073f7e}"/>
          </w:placeholder>
        </w:sdtPr>
        <w:sdtEndPr>
          <w:rPr>
            <w:rFonts w:cs="Times New Roman"/>
          </w:rPr>
        </w:sdtEndPr>
        <w:sdtContent>
          <w:tr w14:paraId="5A60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280b956ed47a4a6a80e813259ef9c090"/>
                <w:id w:val="2121328590"/>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3F547AC8">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1至2年</w:t>
                    </w:r>
                  </w:p>
                </w:tc>
              </w:sdtContent>
            </w:sdt>
            <w:tc>
              <w:tcPr>
                <w:tcW w:w="1685" w:type="pct"/>
                <w:tcBorders>
                  <w:top w:val="single" w:color="auto" w:sz="4" w:space="0"/>
                  <w:left w:val="single" w:color="auto" w:sz="4" w:space="0"/>
                  <w:bottom w:val="single" w:color="auto" w:sz="4" w:space="0"/>
                  <w:right w:val="single" w:color="auto" w:sz="4" w:space="0"/>
                </w:tcBorders>
              </w:tcPr>
              <w:p w14:paraId="0B77A427">
                <w:pPr>
                  <w:jc w:val="right"/>
                  <w:rPr>
                    <w:rFonts w:cs="Times New Roman"/>
                  </w:rPr>
                </w:pPr>
              </w:p>
            </w:tc>
            <w:tc>
              <w:tcPr>
                <w:tcW w:w="1686" w:type="pct"/>
                <w:tcBorders>
                  <w:top w:val="single" w:color="auto" w:sz="4" w:space="0"/>
                  <w:left w:val="single" w:color="auto" w:sz="4" w:space="0"/>
                  <w:bottom w:val="single" w:color="auto" w:sz="4" w:space="0"/>
                  <w:right w:val="single" w:color="auto" w:sz="4" w:space="0"/>
                </w:tcBorders>
              </w:tcPr>
              <w:p w14:paraId="74155DBA">
                <w:pPr>
                  <w:jc w:val="right"/>
                  <w:rPr>
                    <w:rFonts w:cs="Times New Roman"/>
                  </w:rPr>
                </w:pPr>
              </w:p>
            </w:tc>
          </w:tr>
        </w:sdtContent>
      </w:sdt>
      <w:tr w14:paraId="3A4C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367e769c4e79420a9c2771eae6ee23ce"/>
            <w:id w:val="-2029089734"/>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2F44EDB6">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2至3年</w:t>
                </w:r>
              </w:p>
            </w:tc>
          </w:sdtContent>
        </w:sdt>
        <w:tc>
          <w:tcPr>
            <w:tcW w:w="1685" w:type="pct"/>
            <w:tcBorders>
              <w:top w:val="single" w:color="auto" w:sz="4" w:space="0"/>
              <w:left w:val="single" w:color="auto" w:sz="4" w:space="0"/>
              <w:bottom w:val="single" w:color="auto" w:sz="4" w:space="0"/>
              <w:right w:val="single" w:color="auto" w:sz="4" w:space="0"/>
            </w:tcBorders>
            <w:vAlign w:val="center"/>
          </w:tcPr>
          <w:p w14:paraId="09BB4204">
            <w:pPr>
              <w:jc w:val="right"/>
              <w:rPr>
                <w:rFonts w:cs="Times New Roman"/>
              </w:rPr>
            </w:pPr>
            <w:r>
              <w:rPr>
                <w:rFonts w:cs="Times New Roman"/>
              </w:rPr>
              <w:t>2,485,732.72</w:t>
            </w:r>
          </w:p>
        </w:tc>
        <w:tc>
          <w:tcPr>
            <w:tcW w:w="1686" w:type="pct"/>
            <w:tcBorders>
              <w:top w:val="single" w:color="auto" w:sz="4" w:space="0"/>
              <w:left w:val="single" w:color="auto" w:sz="4" w:space="0"/>
              <w:bottom w:val="single" w:color="auto" w:sz="4" w:space="0"/>
              <w:right w:val="single" w:color="auto" w:sz="4" w:space="0"/>
            </w:tcBorders>
            <w:vAlign w:val="center"/>
          </w:tcPr>
          <w:p w14:paraId="1A0BDA58">
            <w:pPr>
              <w:jc w:val="right"/>
              <w:rPr>
                <w:rFonts w:cs="Times New Roman"/>
              </w:rPr>
            </w:pPr>
            <w:r>
              <w:rPr>
                <w:rFonts w:cs="Times New Roman"/>
              </w:rPr>
              <w:t>2,485,732.72</w:t>
            </w:r>
          </w:p>
        </w:tc>
      </w:tr>
      <w:tr w14:paraId="2EC9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c1948af0b708496a845aa441dedfdf1d"/>
            <w:id w:val="-574737710"/>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759DE92C">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3至4年</w:t>
                </w:r>
              </w:p>
            </w:tc>
          </w:sdtContent>
        </w:sdt>
        <w:tc>
          <w:tcPr>
            <w:tcW w:w="1685" w:type="pct"/>
            <w:tcBorders>
              <w:top w:val="single" w:color="auto" w:sz="4" w:space="0"/>
              <w:left w:val="single" w:color="auto" w:sz="4" w:space="0"/>
              <w:bottom w:val="single" w:color="auto" w:sz="4" w:space="0"/>
              <w:right w:val="single" w:color="auto" w:sz="4" w:space="0"/>
            </w:tcBorders>
            <w:vAlign w:val="center"/>
          </w:tcPr>
          <w:p w14:paraId="2B506707">
            <w:pPr>
              <w:jc w:val="right"/>
              <w:rPr>
                <w:rFonts w:cs="Times New Roman"/>
              </w:rPr>
            </w:pPr>
            <w:r>
              <w:rPr>
                <w:rFonts w:cs="Times New Roman"/>
              </w:rPr>
              <w:t>144,844.32</w:t>
            </w:r>
          </w:p>
        </w:tc>
        <w:tc>
          <w:tcPr>
            <w:tcW w:w="1686" w:type="pct"/>
            <w:tcBorders>
              <w:top w:val="single" w:color="auto" w:sz="4" w:space="0"/>
              <w:left w:val="single" w:color="auto" w:sz="4" w:space="0"/>
              <w:bottom w:val="single" w:color="auto" w:sz="4" w:space="0"/>
              <w:right w:val="single" w:color="auto" w:sz="4" w:space="0"/>
            </w:tcBorders>
            <w:vAlign w:val="center"/>
          </w:tcPr>
          <w:p w14:paraId="296CB80C">
            <w:pPr>
              <w:jc w:val="right"/>
              <w:rPr>
                <w:rFonts w:cs="Times New Roman"/>
              </w:rPr>
            </w:pPr>
            <w:r>
              <w:rPr>
                <w:rFonts w:cs="Times New Roman"/>
              </w:rPr>
              <w:t>144,844.32</w:t>
            </w:r>
          </w:p>
        </w:tc>
      </w:tr>
      <w:tr w14:paraId="5E93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a16fbc201dd649deb1a8d1463377fcdf"/>
            <w:id w:val="52901971"/>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7CD88E33">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4至5年</w:t>
                </w:r>
              </w:p>
            </w:tc>
          </w:sdtContent>
        </w:sdt>
        <w:tc>
          <w:tcPr>
            <w:tcW w:w="1685" w:type="pct"/>
            <w:tcBorders>
              <w:top w:val="single" w:color="auto" w:sz="4" w:space="0"/>
              <w:left w:val="single" w:color="auto" w:sz="4" w:space="0"/>
              <w:bottom w:val="single" w:color="auto" w:sz="4" w:space="0"/>
              <w:right w:val="single" w:color="auto" w:sz="4" w:space="0"/>
            </w:tcBorders>
            <w:vAlign w:val="center"/>
          </w:tcPr>
          <w:p w14:paraId="2ADF535D">
            <w:pPr>
              <w:jc w:val="right"/>
              <w:rPr>
                <w:rFonts w:cs="Times New Roman"/>
              </w:rPr>
            </w:pPr>
            <w:r>
              <w:rPr>
                <w:rFonts w:cs="Times New Roman"/>
              </w:rPr>
              <w:t>1,903,677.13</w:t>
            </w:r>
          </w:p>
        </w:tc>
        <w:tc>
          <w:tcPr>
            <w:tcW w:w="1686" w:type="pct"/>
            <w:tcBorders>
              <w:top w:val="single" w:color="auto" w:sz="4" w:space="0"/>
              <w:left w:val="single" w:color="auto" w:sz="4" w:space="0"/>
              <w:bottom w:val="single" w:color="auto" w:sz="4" w:space="0"/>
              <w:right w:val="single" w:color="auto" w:sz="4" w:space="0"/>
            </w:tcBorders>
            <w:vAlign w:val="center"/>
          </w:tcPr>
          <w:p w14:paraId="40955A28">
            <w:pPr>
              <w:jc w:val="right"/>
              <w:rPr>
                <w:rFonts w:cs="Times New Roman"/>
              </w:rPr>
            </w:pPr>
            <w:r>
              <w:rPr>
                <w:rFonts w:cs="Times New Roman"/>
              </w:rPr>
              <w:t>1,903,677.13</w:t>
            </w:r>
          </w:p>
        </w:tc>
      </w:tr>
      <w:tr w14:paraId="661F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d8b5464e22d94736b47c842f42fa1004"/>
            <w:id w:val="548424201"/>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tcPr>
              <w:p w14:paraId="0DD9B44F">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5年以上</w:t>
                </w:r>
              </w:p>
            </w:tc>
          </w:sdtContent>
        </w:sdt>
        <w:tc>
          <w:tcPr>
            <w:tcW w:w="1685" w:type="pct"/>
            <w:tcBorders>
              <w:top w:val="single" w:color="auto" w:sz="4" w:space="0"/>
              <w:left w:val="single" w:color="auto" w:sz="4" w:space="0"/>
              <w:bottom w:val="single" w:color="auto" w:sz="4" w:space="0"/>
              <w:right w:val="single" w:color="auto" w:sz="4" w:space="0"/>
            </w:tcBorders>
            <w:vAlign w:val="center"/>
          </w:tcPr>
          <w:p w14:paraId="1B9BF7CE">
            <w:pPr>
              <w:jc w:val="right"/>
              <w:rPr>
                <w:rFonts w:cs="Times New Roman"/>
              </w:rPr>
            </w:pPr>
            <w:r>
              <w:rPr>
                <w:rFonts w:cs="Times New Roman"/>
              </w:rPr>
              <w:t>31,048,158.57</w:t>
            </w:r>
          </w:p>
        </w:tc>
        <w:tc>
          <w:tcPr>
            <w:tcW w:w="1686" w:type="pct"/>
            <w:tcBorders>
              <w:top w:val="single" w:color="auto" w:sz="4" w:space="0"/>
              <w:left w:val="single" w:color="auto" w:sz="4" w:space="0"/>
              <w:bottom w:val="single" w:color="auto" w:sz="4" w:space="0"/>
              <w:right w:val="single" w:color="auto" w:sz="4" w:space="0"/>
            </w:tcBorders>
            <w:vAlign w:val="center"/>
          </w:tcPr>
          <w:p w14:paraId="6E837292">
            <w:pPr>
              <w:jc w:val="right"/>
              <w:rPr>
                <w:rFonts w:cs="Times New Roman"/>
              </w:rPr>
            </w:pPr>
            <w:r>
              <w:rPr>
                <w:rFonts w:cs="Times New Roman"/>
              </w:rPr>
              <w:t>31,454,004.43</w:t>
            </w:r>
          </w:p>
        </w:tc>
      </w:tr>
      <w:sdt>
        <w:sdtPr>
          <w:rPr>
            <w:rFonts w:cs="Times New Roman"/>
          </w:rPr>
          <w:alias w:val="按账龄分析法计提坏账准备的应收账款明细"/>
          <w:tag w:val="_TUP_531e158d2e574144af07aa777362eda6"/>
          <w:id w:val="949363864"/>
          <w:placeholder>
            <w:docPart w:val="{ff5088b6-2712-4a83-8e82-feb0ff073f7e}"/>
          </w:placeholder>
        </w:sdtPr>
        <w:sdtEndPr>
          <w:rPr>
            <w:rFonts w:cs="Times New Roman"/>
          </w:rPr>
        </w:sdtEndPr>
        <w:sdtContent>
          <w:sdt>
            <w:sdtPr>
              <w:rPr>
                <w:rFonts w:cs="Times New Roman"/>
              </w:rPr>
              <w:alias w:val="按账龄分析法计提坏账准备的应收账款明细"/>
              <w:tag w:val="_TUP_531e158d2e574144af07aa777362eda6"/>
              <w:id w:val="-1502741049"/>
              <w:placeholder>
                <w:docPart w:val="{ff5088b6-2712-4a83-8e82-feb0ff073f7e}"/>
              </w:placeholder>
            </w:sdtPr>
            <w:sdtEndPr>
              <w:rPr>
                <w:rFonts w:cs="Times New Roman"/>
              </w:rPr>
            </w:sdtEndPr>
            <w:sdtContent>
              <w:tr w14:paraId="1F14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e09fc70fe39d4d028e534734619cf05d"/>
                    <w:id w:val="-1577430538"/>
                  </w:sdtPr>
                  <w:sdtEndPr>
                    <w:rPr>
                      <w:rFonts w:cs="Times New Roman"/>
                    </w:rPr>
                  </w:sdtEndPr>
                  <w:sdtContent>
                    <w:tc>
                      <w:tcPr>
                        <w:tcW w:w="1627" w:type="pct"/>
                        <w:tcBorders>
                          <w:top w:val="single" w:color="auto" w:sz="4" w:space="0"/>
                          <w:left w:val="single" w:color="auto" w:sz="4" w:space="0"/>
                          <w:bottom w:val="single" w:color="auto" w:sz="4" w:space="0"/>
                          <w:right w:val="single" w:color="auto" w:sz="4" w:space="0"/>
                        </w:tcBorders>
                        <w:vAlign w:val="center"/>
                      </w:tcPr>
                      <w:p w14:paraId="29F1C5F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85" w:type="pct"/>
                    <w:tcBorders>
                      <w:top w:val="single" w:color="auto" w:sz="4" w:space="0"/>
                      <w:left w:val="single" w:color="auto" w:sz="4" w:space="0"/>
                      <w:bottom w:val="single" w:color="auto" w:sz="4" w:space="0"/>
                      <w:right w:val="single" w:color="auto" w:sz="4" w:space="0"/>
                    </w:tcBorders>
                    <w:vAlign w:val="center"/>
                  </w:tcPr>
                  <w:p w14:paraId="6BDF5617">
                    <w:pPr>
                      <w:jc w:val="right"/>
                      <w:rPr>
                        <w:rFonts w:cs="Times New Roman"/>
                      </w:rPr>
                    </w:pPr>
                    <w:r>
                      <w:rPr>
                        <w:rFonts w:cs="Times New Roman"/>
                      </w:rPr>
                      <w:t>35,582,412.74</w:t>
                    </w:r>
                  </w:p>
                </w:tc>
                <w:tc>
                  <w:tcPr>
                    <w:tcW w:w="1686" w:type="pct"/>
                    <w:tcBorders>
                      <w:top w:val="single" w:color="auto" w:sz="4" w:space="0"/>
                      <w:left w:val="single" w:color="auto" w:sz="4" w:space="0"/>
                      <w:bottom w:val="single" w:color="auto" w:sz="4" w:space="0"/>
                      <w:right w:val="single" w:color="auto" w:sz="4" w:space="0"/>
                    </w:tcBorders>
                    <w:vAlign w:val="center"/>
                  </w:tcPr>
                  <w:p w14:paraId="3E484CAB">
                    <w:pPr>
                      <w:jc w:val="right"/>
                      <w:rPr>
                        <w:rFonts w:cs="Times New Roman"/>
                      </w:rPr>
                    </w:pPr>
                    <w:r>
                      <w:rPr>
                        <w:rFonts w:cs="Times New Roman"/>
                      </w:rPr>
                      <w:t>35,988,258.60</w:t>
                    </w:r>
                  </w:p>
                </w:tc>
              </w:tr>
            </w:sdtContent>
          </w:sdt>
        </w:sdtContent>
      </w:sdt>
    </w:tbl>
    <w:p w14:paraId="689068C8"/>
    <w:p w14:paraId="494F3068">
      <w:pPr>
        <w:rPr>
          <w:color w:val="000000" w:themeColor="text1"/>
          <w14:textFill>
            <w14:solidFill>
              <w14:schemeClr w14:val="tx1"/>
            </w14:solidFill>
          </w14:textFill>
        </w:rPr>
      </w:pPr>
    </w:p>
    <w:p w14:paraId="076BC491">
      <w:pPr>
        <w:pStyle w:val="55"/>
      </w:pPr>
    </w:p>
    <w:p w14:paraId="4E223042">
      <w:pPr>
        <w:pStyle w:val="55"/>
      </w:pPr>
    </w:p>
    <w:p w14:paraId="757C8077">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0FD7302E">
      <w:pPr>
        <w:rPr>
          <w:color w:val="000000" w:themeColor="text1"/>
          <w14:textFill>
            <w14:solidFill>
              <w14:schemeClr w14:val="tx1"/>
            </w14:solidFill>
          </w14:textFill>
        </w:rPr>
      </w:pPr>
    </w:p>
    <w:bookmarkEnd w:id="434"/>
    <w:bookmarkEnd w:id="435"/>
    <w:p w14:paraId="5C96DFB8">
      <w:pPr>
        <w:pStyle w:val="58"/>
        <w:numPr>
          <w:ilvl w:val="3"/>
          <w:numId w:val="117"/>
        </w:numPr>
        <w:ind w:left="406" w:hanging="406" w:hangingChars="202"/>
        <w:rPr>
          <w:color w:val="000000" w:themeColor="text1"/>
          <w14:textFill>
            <w14:solidFill>
              <w14:schemeClr w14:val="tx1"/>
            </w14:solidFill>
          </w14:textFill>
        </w:rPr>
      </w:pPr>
      <w:bookmarkStart w:id="436" w:name="_Hlk10540024"/>
      <w:r>
        <w:rPr>
          <w:rFonts w:hint="eastAsia"/>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母公司应收账款按坏账计提方法分类披露[双击切换]"/>
        <w:tag w:val="_GBC_bd7fb52eb7f647d5aa6c10677b261ee1"/>
        <w:id w:val="147458401"/>
        <w:lock w:val="contentLocked"/>
        <w:placeholder>
          <w:docPart w:val="GBC22222222222222222222222222222"/>
        </w:placeholder>
      </w:sdtPr>
      <w:sdtEndPr>
        <w:rPr>
          <w:color w:val="000000" w:themeColor="text1"/>
          <w14:textFill>
            <w14:solidFill>
              <w14:schemeClr w14:val="tx1"/>
            </w14:solidFill>
          </w14:textFill>
        </w:rPr>
      </w:sdtEndPr>
      <w:sdtContent>
        <w:p w14:paraId="2D46C9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E26F9E">
      <w:pPr>
        <w:pStyle w:val="63"/>
        <w:autoSpaceDE w:val="0"/>
        <w:autoSpaceDN w:val="0"/>
        <w:adjustRightInd w:val="0"/>
        <w:ind w:left="425" w:right="10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母公司应收账款按坏账计提方法分类披露"/>
          <w:tag w:val="_GBC_03786e76a9b246d5a93eac5a8936de3a"/>
          <w:id w:val="1474539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母公司应收账款按坏账计提方法分类披露"/>
          <w:tag w:val="_GBC_1360c31492654a38991cae4cf45e7b4a"/>
          <w:id w:val="1474543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343"/>
        <w:gridCol w:w="1170"/>
        <w:gridCol w:w="969"/>
        <w:gridCol w:w="1143"/>
        <w:gridCol w:w="1182"/>
        <w:gridCol w:w="1171"/>
        <w:gridCol w:w="1210"/>
        <w:gridCol w:w="1182"/>
        <w:gridCol w:w="1193"/>
        <w:gridCol w:w="1204"/>
        <w:gridCol w:w="1168"/>
      </w:tblGrid>
      <w:tr w14:paraId="227E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rPr>
              <w:rFonts w:cs="Times New Roman"/>
            </w:rPr>
            <w:tag w:val="_PLD_2f021e03341f49af95f8857da6272a92"/>
            <w:id w:val="147452489"/>
          </w:sdtPr>
          <w:sdtEndPr>
            <w:rPr>
              <w:rFonts w:cs="Times New Roman"/>
            </w:rPr>
          </w:sdtEndPr>
          <w:sdtContent>
            <w:tc>
              <w:tcPr>
                <w:tcW w:w="841" w:type="pct"/>
                <w:vMerge w:val="restart"/>
                <w:tcBorders>
                  <w:top w:val="single" w:color="auto" w:sz="4" w:space="0"/>
                  <w:left w:val="single" w:color="auto" w:sz="4" w:space="0"/>
                  <w:right w:val="single" w:color="auto" w:sz="4" w:space="0"/>
                </w:tcBorders>
                <w:vAlign w:val="center"/>
              </w:tcPr>
              <w:p w14:paraId="4ABE617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sdtContent>
        </w:sdt>
        <w:sdt>
          <w:sdtPr>
            <w:rPr>
              <w:rFonts w:cs="Times New Roman"/>
            </w:rPr>
            <w:tag w:val="_PLD_468e18ccdf48449f8e43799e7c3f622e"/>
            <w:id w:val="147464655"/>
          </w:sdtPr>
          <w:sdtEndPr>
            <w:rPr>
              <w:rFonts w:cs="Times New Roman"/>
            </w:rPr>
          </w:sdtEndPr>
          <w:sdtContent>
            <w:tc>
              <w:tcPr>
                <w:tcW w:w="2021" w:type="pct"/>
                <w:gridSpan w:val="5"/>
                <w:tcBorders>
                  <w:top w:val="single" w:color="auto" w:sz="4" w:space="0"/>
                  <w:left w:val="single" w:color="auto" w:sz="4" w:space="0"/>
                  <w:right w:val="single" w:color="auto" w:sz="4" w:space="0"/>
                </w:tcBorders>
                <w:vAlign w:val="center"/>
              </w:tcPr>
              <w:p w14:paraId="6949E77F">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e387c0f70bd6484cafb1ada234d075bd"/>
            <w:id w:val="147475904"/>
          </w:sdtPr>
          <w:sdtEndPr>
            <w:rPr>
              <w:rFonts w:cs="Times New Roman"/>
            </w:rPr>
          </w:sdtEndPr>
          <w:sdtContent>
            <w:tc>
              <w:tcPr>
                <w:tcW w:w="2138" w:type="pct"/>
                <w:gridSpan w:val="5"/>
                <w:tcBorders>
                  <w:top w:val="single" w:color="auto" w:sz="4" w:space="0"/>
                  <w:left w:val="single" w:color="auto" w:sz="4" w:space="0"/>
                  <w:right w:val="single" w:color="auto" w:sz="4" w:space="0"/>
                </w:tcBorders>
                <w:vAlign w:val="center"/>
              </w:tcPr>
              <w:p w14:paraId="40AF6611">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403D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841" w:type="pct"/>
            <w:vMerge w:val="continue"/>
            <w:tcBorders>
              <w:left w:val="single" w:color="auto" w:sz="4" w:space="0"/>
              <w:right w:val="single" w:color="auto" w:sz="4" w:space="0"/>
            </w:tcBorders>
            <w:vAlign w:val="center"/>
          </w:tcPr>
          <w:p w14:paraId="551D7911">
            <w:pPr>
              <w:rPr>
                <w:rFonts w:cs="Times New Roman"/>
                <w:color w:val="000000" w:themeColor="text1"/>
                <w14:textFill>
                  <w14:solidFill>
                    <w14:schemeClr w14:val="tx1"/>
                  </w14:solidFill>
                </w14:textFill>
              </w:rPr>
            </w:pPr>
          </w:p>
        </w:tc>
        <w:sdt>
          <w:sdtPr>
            <w:rPr>
              <w:rFonts w:cs="Times New Roman"/>
            </w:rPr>
            <w:tag w:val="_PLD_73365edbfe354cb683cc42de4c1c9f49"/>
            <w:id w:val="147472178"/>
          </w:sdtPr>
          <w:sdtEndPr>
            <w:rPr>
              <w:rFonts w:cs="Times New Roman"/>
            </w:rPr>
          </w:sdtEndPr>
          <w:sdtContent>
            <w:tc>
              <w:tcPr>
                <w:tcW w:w="768" w:type="pct"/>
                <w:gridSpan w:val="2"/>
                <w:tcBorders>
                  <w:top w:val="single" w:color="auto" w:sz="4" w:space="0"/>
                  <w:left w:val="single" w:color="auto" w:sz="4" w:space="0"/>
                  <w:bottom w:val="single" w:color="auto" w:sz="4" w:space="0"/>
                  <w:right w:val="single" w:color="auto" w:sz="4" w:space="0"/>
                </w:tcBorders>
                <w:vAlign w:val="center"/>
              </w:tcPr>
              <w:p w14:paraId="02BDC1C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11f34c9ee2d5429280d0d85b2c50756a"/>
            <w:id w:val="147479703"/>
          </w:sdtPr>
          <w:sdtEndPr>
            <w:rPr>
              <w:rFonts w:cs="Times New Roman"/>
            </w:rPr>
          </w:sdtEndPr>
          <w:sdtContent>
            <w:tc>
              <w:tcPr>
                <w:tcW w:w="834" w:type="pct"/>
                <w:gridSpan w:val="2"/>
                <w:tcBorders>
                  <w:top w:val="single" w:color="auto" w:sz="4" w:space="0"/>
                  <w:left w:val="single" w:color="auto" w:sz="4" w:space="0"/>
                  <w:bottom w:val="single" w:color="auto" w:sz="4" w:space="0"/>
                  <w:right w:val="single" w:color="auto" w:sz="4" w:space="0"/>
                </w:tcBorders>
                <w:vAlign w:val="center"/>
              </w:tcPr>
              <w:p w14:paraId="3501B61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6ade046afd0c47c0aae9506cc9d47486"/>
            <w:id w:val="147454601"/>
          </w:sdtPr>
          <w:sdtEndPr>
            <w:rPr>
              <w:rFonts w:cs="Times New Roman"/>
            </w:rPr>
          </w:sdtEndPr>
          <w:sdtContent>
            <w:tc>
              <w:tcPr>
                <w:tcW w:w="420" w:type="pct"/>
                <w:vMerge w:val="restart"/>
                <w:tcBorders>
                  <w:top w:val="single" w:color="auto" w:sz="4" w:space="0"/>
                  <w:left w:val="single" w:color="auto" w:sz="4" w:space="0"/>
                  <w:right w:val="single" w:color="auto" w:sz="4" w:space="0"/>
                </w:tcBorders>
                <w:vAlign w:val="center"/>
              </w:tcPr>
              <w:p w14:paraId="0F8CD0B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w:t>
                </w:r>
              </w:p>
              <w:p w14:paraId="7967FDF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价值</w:t>
                </w:r>
              </w:p>
            </w:tc>
          </w:sdtContent>
        </w:sdt>
        <w:sdt>
          <w:sdtPr>
            <w:rPr>
              <w:rFonts w:cs="Times New Roman"/>
            </w:rPr>
            <w:tag w:val="_PLD_abd9bd4831b9473aabae7411a299a204"/>
            <w:id w:val="147463267"/>
          </w:sdtPr>
          <w:sdtEndPr>
            <w:rPr>
              <w:rFonts w:cs="Times New Roman"/>
            </w:rPr>
          </w:sdtEndPr>
          <w:sdtContent>
            <w:tc>
              <w:tcPr>
                <w:tcW w:w="858" w:type="pct"/>
                <w:gridSpan w:val="2"/>
                <w:tcBorders>
                  <w:top w:val="single" w:color="auto" w:sz="4" w:space="0"/>
                  <w:left w:val="single" w:color="auto" w:sz="4" w:space="0"/>
                  <w:right w:val="single" w:color="auto" w:sz="4" w:space="0"/>
                </w:tcBorders>
                <w:vAlign w:val="center"/>
              </w:tcPr>
              <w:p w14:paraId="70361AA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76d8f3a48cba41949b5870f6cbb124af"/>
            <w:id w:val="147483030"/>
          </w:sdtPr>
          <w:sdtEndPr>
            <w:rPr>
              <w:rFonts w:cs="Times New Roman"/>
            </w:rPr>
          </w:sdtEndPr>
          <w:sdtContent>
            <w:tc>
              <w:tcPr>
                <w:tcW w:w="860" w:type="pct"/>
                <w:gridSpan w:val="2"/>
                <w:tcBorders>
                  <w:top w:val="single" w:color="auto" w:sz="4" w:space="0"/>
                  <w:left w:val="single" w:color="auto" w:sz="4" w:space="0"/>
                  <w:right w:val="single" w:color="auto" w:sz="4" w:space="0"/>
                </w:tcBorders>
                <w:vAlign w:val="center"/>
              </w:tcPr>
              <w:p w14:paraId="5802898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5062ab8e678b49c0bba488dc029ff27b"/>
            <w:id w:val="147470406"/>
          </w:sdtPr>
          <w:sdtEndPr>
            <w:rPr>
              <w:rFonts w:cs="Times New Roman"/>
            </w:rPr>
          </w:sdtEndPr>
          <w:sdtContent>
            <w:tc>
              <w:tcPr>
                <w:tcW w:w="420" w:type="pct"/>
                <w:vMerge w:val="restart"/>
                <w:tcBorders>
                  <w:top w:val="single" w:color="auto" w:sz="4" w:space="0"/>
                  <w:left w:val="single" w:color="auto" w:sz="4" w:space="0"/>
                  <w:right w:val="single" w:color="auto" w:sz="4" w:space="0"/>
                </w:tcBorders>
                <w:vAlign w:val="center"/>
              </w:tcPr>
              <w:p w14:paraId="0AE60A1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w:t>
                </w:r>
              </w:p>
              <w:p w14:paraId="2718299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价值</w:t>
                </w:r>
              </w:p>
            </w:tc>
          </w:sdtContent>
        </w:sdt>
      </w:tr>
      <w:tr w14:paraId="37F5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841" w:type="pct"/>
            <w:vMerge w:val="continue"/>
            <w:tcBorders>
              <w:left w:val="single" w:color="auto" w:sz="4" w:space="0"/>
              <w:bottom w:val="single" w:color="auto" w:sz="4" w:space="0"/>
              <w:right w:val="single" w:color="auto" w:sz="4" w:space="0"/>
            </w:tcBorders>
            <w:vAlign w:val="center"/>
          </w:tcPr>
          <w:p w14:paraId="59266C03">
            <w:pPr>
              <w:rPr>
                <w:rFonts w:cs="Times New Roman"/>
                <w:color w:val="000000" w:themeColor="text1"/>
                <w14:textFill>
                  <w14:solidFill>
                    <w14:schemeClr w14:val="tx1"/>
                  </w14:solidFill>
                </w14:textFill>
              </w:rPr>
            </w:pPr>
          </w:p>
        </w:tc>
        <w:sdt>
          <w:sdtPr>
            <w:rPr>
              <w:rFonts w:cs="Times New Roman"/>
            </w:rPr>
            <w:tag w:val="_PLD_f6bdd572740240b5a7a2e643c29db5eb"/>
            <w:id w:val="147455405"/>
          </w:sdtPr>
          <w:sdtEndPr>
            <w:rPr>
              <w:rFonts w:cs="Times New Roman"/>
            </w:rPr>
          </w:sdtEndPr>
          <w:sdtContent>
            <w:tc>
              <w:tcPr>
                <w:tcW w:w="420" w:type="pct"/>
                <w:tcBorders>
                  <w:left w:val="single" w:color="auto" w:sz="4" w:space="0"/>
                  <w:bottom w:val="single" w:color="auto" w:sz="4" w:space="0"/>
                  <w:right w:val="single" w:color="auto" w:sz="4" w:space="0"/>
                </w:tcBorders>
                <w:vAlign w:val="center"/>
              </w:tcPr>
              <w:p w14:paraId="294954E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0a09779b6e354e32b6df9b1e891e1509"/>
            <w:id w:val="147479589"/>
          </w:sdtPr>
          <w:sdtEndPr>
            <w:rPr>
              <w:rFonts w:cs="Times New Roman"/>
            </w:rPr>
          </w:sdtEndPr>
          <w:sdtContent>
            <w:tc>
              <w:tcPr>
                <w:tcW w:w="348" w:type="pct"/>
                <w:tcBorders>
                  <w:left w:val="single" w:color="auto" w:sz="4" w:space="0"/>
                  <w:bottom w:val="single" w:color="auto" w:sz="4" w:space="0"/>
                  <w:right w:val="single" w:color="auto" w:sz="4" w:space="0"/>
                </w:tcBorders>
                <w:vAlign w:val="center"/>
              </w:tcPr>
              <w:p w14:paraId="34B674D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比例(%)</w:t>
                </w:r>
              </w:p>
            </w:tc>
          </w:sdtContent>
        </w:sdt>
        <w:sdt>
          <w:sdtPr>
            <w:rPr>
              <w:rFonts w:cs="Times New Roman"/>
            </w:rPr>
            <w:tag w:val="_PLD_dd9c9061f11b453c8775ca1a11382d92"/>
            <w:id w:val="147467135"/>
          </w:sdtPr>
          <w:sdtEndPr>
            <w:rPr>
              <w:rFonts w:cs="Times New Roman"/>
            </w:rPr>
          </w:sdtEndPr>
          <w:sdtContent>
            <w:tc>
              <w:tcPr>
                <w:tcW w:w="410" w:type="pct"/>
                <w:tcBorders>
                  <w:left w:val="single" w:color="auto" w:sz="4" w:space="0"/>
                  <w:bottom w:val="single" w:color="auto" w:sz="4" w:space="0"/>
                  <w:right w:val="single" w:color="auto" w:sz="4" w:space="0"/>
                </w:tcBorders>
                <w:vAlign w:val="center"/>
              </w:tcPr>
              <w:p w14:paraId="0DBC8474">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988b69362ac14c0e94c26191e76b1e3a"/>
            <w:id w:val="147478716"/>
          </w:sdtPr>
          <w:sdtEndPr>
            <w:rPr>
              <w:rFonts w:cs="Times New Roman"/>
            </w:rPr>
          </w:sdtEndPr>
          <w:sdtContent>
            <w:tc>
              <w:tcPr>
                <w:tcW w:w="424" w:type="pct"/>
                <w:tcBorders>
                  <w:left w:val="single" w:color="auto" w:sz="4" w:space="0"/>
                  <w:bottom w:val="single" w:color="auto" w:sz="4" w:space="0"/>
                  <w:right w:val="single" w:color="auto" w:sz="4" w:space="0"/>
                </w:tcBorders>
                <w:vAlign w:val="center"/>
              </w:tcPr>
              <w:p w14:paraId="1F689BF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c>
          <w:tcPr>
            <w:tcW w:w="420" w:type="pct"/>
            <w:vMerge w:val="continue"/>
            <w:tcBorders>
              <w:left w:val="single" w:color="auto" w:sz="4" w:space="0"/>
              <w:bottom w:val="single" w:color="auto" w:sz="4" w:space="0"/>
              <w:right w:val="single" w:color="auto" w:sz="4" w:space="0"/>
            </w:tcBorders>
            <w:vAlign w:val="center"/>
          </w:tcPr>
          <w:p w14:paraId="2A074942">
            <w:pPr>
              <w:jc w:val="center"/>
              <w:rPr>
                <w:rFonts w:cs="Times New Roman"/>
                <w:color w:val="000000" w:themeColor="text1"/>
                <w14:textFill>
                  <w14:solidFill>
                    <w14:schemeClr w14:val="tx1"/>
                  </w14:solidFill>
                </w14:textFill>
              </w:rPr>
            </w:pPr>
          </w:p>
        </w:tc>
        <w:sdt>
          <w:sdtPr>
            <w:rPr>
              <w:rFonts w:cs="Times New Roman"/>
            </w:rPr>
            <w:tag w:val="_PLD_a5c1af5c86d545b993971c3da029159d"/>
            <w:id w:val="147467380"/>
          </w:sdtPr>
          <w:sdtEndPr>
            <w:rPr>
              <w:rFonts w:cs="Times New Roman"/>
            </w:rPr>
          </w:sdtEndPr>
          <w:sdtContent>
            <w:tc>
              <w:tcPr>
                <w:tcW w:w="434" w:type="pct"/>
                <w:tcBorders>
                  <w:left w:val="single" w:color="auto" w:sz="4" w:space="0"/>
                  <w:bottom w:val="single" w:color="auto" w:sz="4" w:space="0"/>
                  <w:right w:val="single" w:color="auto" w:sz="4" w:space="0"/>
                </w:tcBorders>
                <w:vAlign w:val="center"/>
              </w:tcPr>
              <w:p w14:paraId="6E38F21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fd80073c74724a799d0de2171d95f241"/>
            <w:id w:val="147478288"/>
          </w:sdtPr>
          <w:sdtEndPr>
            <w:rPr>
              <w:rFonts w:cs="Times New Roman"/>
            </w:rPr>
          </w:sdtEndPr>
          <w:sdtContent>
            <w:tc>
              <w:tcPr>
                <w:tcW w:w="424" w:type="pct"/>
                <w:tcBorders>
                  <w:left w:val="single" w:color="auto" w:sz="4" w:space="0"/>
                  <w:bottom w:val="single" w:color="auto" w:sz="4" w:space="0"/>
                  <w:right w:val="single" w:color="auto" w:sz="4" w:space="0"/>
                </w:tcBorders>
                <w:vAlign w:val="center"/>
              </w:tcPr>
              <w:p w14:paraId="42C1093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比例(%)</w:t>
                </w:r>
              </w:p>
            </w:tc>
          </w:sdtContent>
        </w:sdt>
        <w:sdt>
          <w:sdtPr>
            <w:rPr>
              <w:rFonts w:cs="Times New Roman"/>
            </w:rPr>
            <w:tag w:val="_PLD_917059b3ee7f4b52afe8c3fa58f3e369"/>
            <w:id w:val="147455426"/>
          </w:sdtPr>
          <w:sdtEndPr>
            <w:rPr>
              <w:rFonts w:cs="Times New Roman"/>
            </w:rPr>
          </w:sdtEndPr>
          <w:sdtContent>
            <w:tc>
              <w:tcPr>
                <w:tcW w:w="428" w:type="pct"/>
                <w:tcBorders>
                  <w:left w:val="single" w:color="auto" w:sz="4" w:space="0"/>
                  <w:bottom w:val="single" w:color="auto" w:sz="4" w:space="0"/>
                  <w:right w:val="single" w:color="auto" w:sz="4" w:space="0"/>
                </w:tcBorders>
                <w:vAlign w:val="center"/>
              </w:tcPr>
              <w:p w14:paraId="506C868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金额</w:t>
                </w:r>
              </w:p>
            </w:tc>
          </w:sdtContent>
        </w:sdt>
        <w:sdt>
          <w:sdtPr>
            <w:rPr>
              <w:rFonts w:cs="Times New Roman"/>
            </w:rPr>
            <w:tag w:val="_PLD_ea90ccc029834397956c79bbe869d343"/>
            <w:id w:val="147459756"/>
          </w:sdtPr>
          <w:sdtEndPr>
            <w:rPr>
              <w:rFonts w:cs="Times New Roman"/>
            </w:rPr>
          </w:sdtEndPr>
          <w:sdtContent>
            <w:tc>
              <w:tcPr>
                <w:tcW w:w="432" w:type="pct"/>
                <w:tcBorders>
                  <w:left w:val="single" w:color="auto" w:sz="4" w:space="0"/>
                  <w:bottom w:val="single" w:color="auto" w:sz="4" w:space="0"/>
                  <w:right w:val="single" w:color="auto" w:sz="4" w:space="0"/>
                </w:tcBorders>
                <w:vAlign w:val="center"/>
              </w:tcPr>
              <w:p w14:paraId="586941F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c>
          <w:tcPr>
            <w:tcW w:w="420" w:type="pct"/>
            <w:vMerge w:val="continue"/>
            <w:tcBorders>
              <w:left w:val="single" w:color="auto" w:sz="4" w:space="0"/>
              <w:bottom w:val="single" w:color="auto" w:sz="4" w:space="0"/>
              <w:right w:val="single" w:color="auto" w:sz="4" w:space="0"/>
            </w:tcBorders>
          </w:tcPr>
          <w:p w14:paraId="255251AB">
            <w:pPr>
              <w:jc w:val="center"/>
              <w:rPr>
                <w:rFonts w:cs="Times New Roman"/>
                <w:color w:val="000000" w:themeColor="text1"/>
                <w14:textFill>
                  <w14:solidFill>
                    <w14:schemeClr w14:val="tx1"/>
                  </w14:solidFill>
                </w14:textFill>
              </w:rPr>
            </w:pPr>
          </w:p>
        </w:tc>
      </w:tr>
      <w:tr w14:paraId="6E43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1" w:type="pct"/>
            <w:tcBorders>
              <w:top w:val="single" w:color="auto" w:sz="4" w:space="0"/>
              <w:left w:val="single" w:color="auto" w:sz="4" w:space="0"/>
              <w:bottom w:val="single" w:color="auto" w:sz="4" w:space="0"/>
              <w:right w:val="single" w:color="auto" w:sz="4" w:space="0"/>
            </w:tcBorders>
            <w:vAlign w:val="center"/>
          </w:tcPr>
          <w:p w14:paraId="3A393EEB">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按组合计提坏账准备</w:t>
            </w:r>
          </w:p>
        </w:tc>
        <w:tc>
          <w:tcPr>
            <w:tcW w:w="420" w:type="pct"/>
            <w:tcBorders>
              <w:top w:val="single" w:color="auto" w:sz="4" w:space="0"/>
              <w:left w:val="single" w:color="auto" w:sz="4" w:space="0"/>
              <w:bottom w:val="single" w:color="auto" w:sz="4" w:space="0"/>
              <w:right w:val="single" w:color="auto" w:sz="4" w:space="0"/>
            </w:tcBorders>
            <w:vAlign w:val="center"/>
          </w:tcPr>
          <w:p w14:paraId="32848866">
            <w:pPr>
              <w:jc w:val="right"/>
              <w:textAlignment w:val="center"/>
              <w:rPr>
                <w:rFonts w:cs="Times New Roman"/>
                <w:sz w:val="18"/>
                <w:szCs w:val="18"/>
              </w:rPr>
            </w:pPr>
            <w:r>
              <w:rPr>
                <w:rFonts w:cs="Times New Roman"/>
                <w:color w:val="000000"/>
                <w:sz w:val="18"/>
                <w:szCs w:val="18"/>
              </w:rPr>
              <w:t>35,582,412.74</w:t>
            </w:r>
          </w:p>
        </w:tc>
        <w:tc>
          <w:tcPr>
            <w:tcW w:w="348" w:type="pct"/>
            <w:tcBorders>
              <w:top w:val="single" w:color="auto" w:sz="4" w:space="0"/>
              <w:left w:val="single" w:color="auto" w:sz="4" w:space="0"/>
              <w:bottom w:val="single" w:color="auto" w:sz="4" w:space="0"/>
              <w:right w:val="single" w:color="auto" w:sz="4" w:space="0"/>
            </w:tcBorders>
            <w:vAlign w:val="center"/>
          </w:tcPr>
          <w:p w14:paraId="690B5675">
            <w:pPr>
              <w:jc w:val="right"/>
              <w:textAlignment w:val="center"/>
              <w:rPr>
                <w:rFonts w:cs="Times New Roman"/>
                <w:sz w:val="18"/>
                <w:szCs w:val="18"/>
              </w:rPr>
            </w:pPr>
            <w:r>
              <w:rPr>
                <w:rFonts w:cs="Times New Roman"/>
                <w:color w:val="000000"/>
                <w:sz w:val="18"/>
                <w:szCs w:val="18"/>
              </w:rPr>
              <w:t>100.00</w:t>
            </w:r>
          </w:p>
        </w:tc>
        <w:tc>
          <w:tcPr>
            <w:tcW w:w="410" w:type="pct"/>
            <w:tcBorders>
              <w:top w:val="single" w:color="auto" w:sz="4" w:space="0"/>
              <w:left w:val="single" w:color="auto" w:sz="4" w:space="0"/>
              <w:bottom w:val="single" w:color="auto" w:sz="4" w:space="0"/>
              <w:right w:val="single" w:color="auto" w:sz="4" w:space="0"/>
            </w:tcBorders>
            <w:vAlign w:val="center"/>
          </w:tcPr>
          <w:p w14:paraId="4187D084">
            <w:pPr>
              <w:jc w:val="right"/>
              <w:textAlignment w:val="center"/>
              <w:rPr>
                <w:rFonts w:cs="Times New Roman"/>
                <w:sz w:val="18"/>
                <w:szCs w:val="18"/>
              </w:rPr>
            </w:pPr>
            <w:r>
              <w:rPr>
                <w:rFonts w:cs="Times New Roman"/>
                <w:color w:val="000000"/>
                <w:sz w:val="18"/>
                <w:szCs w:val="18"/>
              </w:rPr>
              <w:t>1,309,843.27</w:t>
            </w:r>
          </w:p>
        </w:tc>
        <w:tc>
          <w:tcPr>
            <w:tcW w:w="424" w:type="pct"/>
            <w:tcBorders>
              <w:top w:val="single" w:color="auto" w:sz="4" w:space="0"/>
              <w:left w:val="single" w:color="auto" w:sz="4" w:space="0"/>
              <w:bottom w:val="single" w:color="auto" w:sz="4" w:space="0"/>
              <w:right w:val="single" w:color="auto" w:sz="4" w:space="0"/>
            </w:tcBorders>
            <w:vAlign w:val="center"/>
          </w:tcPr>
          <w:p w14:paraId="02066B25">
            <w:pPr>
              <w:jc w:val="right"/>
              <w:textAlignment w:val="center"/>
              <w:rPr>
                <w:rFonts w:cs="Times New Roman"/>
                <w:sz w:val="18"/>
                <w:szCs w:val="18"/>
              </w:rPr>
            </w:pPr>
            <w:r>
              <w:rPr>
                <w:rFonts w:cs="Times New Roman"/>
                <w:color w:val="000000"/>
                <w:sz w:val="18"/>
                <w:szCs w:val="18"/>
              </w:rPr>
              <w:t>3.68</w:t>
            </w:r>
          </w:p>
        </w:tc>
        <w:tc>
          <w:tcPr>
            <w:tcW w:w="420" w:type="pct"/>
            <w:tcBorders>
              <w:top w:val="single" w:color="auto" w:sz="4" w:space="0"/>
              <w:left w:val="single" w:color="auto" w:sz="4" w:space="0"/>
              <w:bottom w:val="single" w:color="auto" w:sz="4" w:space="0"/>
              <w:right w:val="single" w:color="auto" w:sz="4" w:space="0"/>
            </w:tcBorders>
            <w:vAlign w:val="center"/>
          </w:tcPr>
          <w:p w14:paraId="06198238">
            <w:pPr>
              <w:jc w:val="right"/>
              <w:textAlignment w:val="center"/>
              <w:rPr>
                <w:rFonts w:cs="Times New Roman"/>
                <w:sz w:val="18"/>
                <w:szCs w:val="18"/>
              </w:rPr>
            </w:pPr>
            <w:r>
              <w:rPr>
                <w:rFonts w:cs="Times New Roman"/>
                <w:color w:val="000000"/>
                <w:sz w:val="18"/>
                <w:szCs w:val="18"/>
              </w:rPr>
              <w:t>34,272,569.47</w:t>
            </w:r>
          </w:p>
        </w:tc>
        <w:tc>
          <w:tcPr>
            <w:tcW w:w="434" w:type="pct"/>
            <w:tcBorders>
              <w:top w:val="single" w:color="auto" w:sz="4" w:space="0"/>
              <w:left w:val="single" w:color="auto" w:sz="4" w:space="0"/>
              <w:bottom w:val="single" w:color="auto" w:sz="4" w:space="0"/>
              <w:right w:val="single" w:color="auto" w:sz="4" w:space="0"/>
            </w:tcBorders>
            <w:vAlign w:val="center"/>
          </w:tcPr>
          <w:p w14:paraId="7903075B">
            <w:pPr>
              <w:jc w:val="right"/>
              <w:textAlignment w:val="center"/>
              <w:rPr>
                <w:rFonts w:cs="Times New Roman"/>
                <w:sz w:val="18"/>
                <w:szCs w:val="18"/>
              </w:rPr>
            </w:pPr>
            <w:r>
              <w:rPr>
                <w:rFonts w:cs="Times New Roman"/>
                <w:color w:val="000000"/>
                <w:sz w:val="18"/>
                <w:szCs w:val="18"/>
              </w:rPr>
              <w:t>35,988,258.60</w:t>
            </w:r>
          </w:p>
        </w:tc>
        <w:tc>
          <w:tcPr>
            <w:tcW w:w="424" w:type="pct"/>
            <w:tcBorders>
              <w:top w:val="single" w:color="auto" w:sz="4" w:space="0"/>
              <w:left w:val="single" w:color="auto" w:sz="4" w:space="0"/>
              <w:bottom w:val="single" w:color="auto" w:sz="4" w:space="0"/>
              <w:right w:val="single" w:color="auto" w:sz="4" w:space="0"/>
            </w:tcBorders>
            <w:vAlign w:val="center"/>
          </w:tcPr>
          <w:p w14:paraId="6ED7880D">
            <w:pPr>
              <w:jc w:val="right"/>
              <w:textAlignment w:val="center"/>
              <w:rPr>
                <w:rFonts w:cs="Times New Roman"/>
                <w:sz w:val="18"/>
                <w:szCs w:val="18"/>
              </w:rPr>
            </w:pPr>
            <w:r>
              <w:rPr>
                <w:rFonts w:cs="Times New Roman"/>
                <w:color w:val="000000"/>
                <w:sz w:val="18"/>
                <w:szCs w:val="18"/>
              </w:rPr>
              <w:t>100.00</w:t>
            </w:r>
          </w:p>
        </w:tc>
        <w:tc>
          <w:tcPr>
            <w:tcW w:w="428" w:type="pct"/>
            <w:tcBorders>
              <w:top w:val="single" w:color="auto" w:sz="4" w:space="0"/>
              <w:left w:val="single" w:color="auto" w:sz="4" w:space="0"/>
              <w:bottom w:val="single" w:color="auto" w:sz="4" w:space="0"/>
              <w:right w:val="single" w:color="auto" w:sz="4" w:space="0"/>
            </w:tcBorders>
            <w:vAlign w:val="center"/>
          </w:tcPr>
          <w:p w14:paraId="04ABF1AD">
            <w:pPr>
              <w:jc w:val="right"/>
              <w:textAlignment w:val="center"/>
              <w:rPr>
                <w:rFonts w:cs="Times New Roman"/>
                <w:sz w:val="18"/>
                <w:szCs w:val="18"/>
              </w:rPr>
            </w:pPr>
            <w:r>
              <w:rPr>
                <w:rFonts w:cs="Times New Roman"/>
                <w:color w:val="000000"/>
                <w:sz w:val="18"/>
                <w:szCs w:val="18"/>
              </w:rPr>
              <w:t>1,309,843.27</w:t>
            </w:r>
          </w:p>
        </w:tc>
        <w:tc>
          <w:tcPr>
            <w:tcW w:w="432" w:type="pct"/>
            <w:tcBorders>
              <w:top w:val="single" w:color="auto" w:sz="4" w:space="0"/>
              <w:left w:val="single" w:color="auto" w:sz="4" w:space="0"/>
              <w:bottom w:val="single" w:color="auto" w:sz="4" w:space="0"/>
              <w:right w:val="single" w:color="auto" w:sz="4" w:space="0"/>
            </w:tcBorders>
            <w:vAlign w:val="center"/>
          </w:tcPr>
          <w:p w14:paraId="7F890B9A">
            <w:pPr>
              <w:jc w:val="right"/>
              <w:textAlignment w:val="center"/>
              <w:rPr>
                <w:rFonts w:cs="Times New Roman"/>
                <w:sz w:val="18"/>
                <w:szCs w:val="18"/>
              </w:rPr>
            </w:pPr>
            <w:r>
              <w:rPr>
                <w:rFonts w:cs="Times New Roman"/>
                <w:color w:val="000000"/>
                <w:sz w:val="18"/>
                <w:szCs w:val="18"/>
              </w:rPr>
              <w:t>3.64</w:t>
            </w:r>
          </w:p>
        </w:tc>
        <w:tc>
          <w:tcPr>
            <w:tcW w:w="420" w:type="pct"/>
            <w:tcBorders>
              <w:top w:val="single" w:color="auto" w:sz="4" w:space="0"/>
              <w:left w:val="single" w:color="auto" w:sz="4" w:space="0"/>
              <w:bottom w:val="single" w:color="auto" w:sz="4" w:space="0"/>
              <w:right w:val="single" w:color="auto" w:sz="4" w:space="0"/>
            </w:tcBorders>
            <w:vAlign w:val="center"/>
          </w:tcPr>
          <w:p w14:paraId="5CF73EFA">
            <w:pPr>
              <w:jc w:val="right"/>
              <w:textAlignment w:val="center"/>
              <w:rPr>
                <w:rFonts w:cs="Times New Roman"/>
                <w:sz w:val="18"/>
                <w:szCs w:val="18"/>
              </w:rPr>
            </w:pPr>
            <w:r>
              <w:rPr>
                <w:rFonts w:cs="Times New Roman"/>
                <w:color w:val="000000"/>
                <w:sz w:val="18"/>
                <w:szCs w:val="18"/>
              </w:rPr>
              <w:t>34,678,415.33</w:t>
            </w:r>
          </w:p>
        </w:tc>
      </w:tr>
      <w:tr w14:paraId="5779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bd68cdc38a0e426ea1ec99be844140b3"/>
            <w:id w:val="147465019"/>
          </w:sdtPr>
          <w:sdtEndPr>
            <w:rPr>
              <w:rFonts w:cs="Times New Roman"/>
            </w:rPr>
          </w:sdtEndPr>
          <w:sdtContent>
            <w:tc>
              <w:tcPr>
                <w:tcW w:w="5000" w:type="pct"/>
                <w:gridSpan w:val="11"/>
                <w:tcBorders>
                  <w:top w:val="single" w:color="auto" w:sz="4" w:space="0"/>
                  <w:left w:val="single" w:color="auto" w:sz="4" w:space="0"/>
                  <w:bottom w:val="single" w:color="auto" w:sz="4" w:space="0"/>
                  <w:right w:val="single" w:color="auto" w:sz="4" w:space="0"/>
                </w:tcBorders>
              </w:tcPr>
              <w:p w14:paraId="23ED6E6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其中：</w:t>
                </w:r>
              </w:p>
            </w:tc>
          </w:sdtContent>
        </w:sdt>
      </w:tr>
      <w:tr w14:paraId="1D4D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color w:val="000000" w:themeColor="text1"/>
              <w14:textFill>
                <w14:solidFill>
                  <w14:schemeClr w14:val="tx1"/>
                </w14:solidFill>
              </w14:textFill>
            </w:rPr>
            <w:alias w:val="按组合计提坏账准备的应收账款明细-组合名称"/>
            <w:tag w:val="_GBC_1d1150cff5254d829cba03da56c2e941"/>
            <w:id w:val="147475642"/>
          </w:sdtPr>
          <w:sdtEndPr>
            <w:rPr>
              <w:rFonts w:cs="Times New Roman"/>
              <w:color w:val="000000" w:themeColor="text1"/>
              <w14:textFill>
                <w14:solidFill>
                  <w14:schemeClr w14:val="tx1"/>
                </w14:solidFill>
              </w14:textFill>
            </w:rPr>
          </w:sdtEndPr>
          <w:sdtContent>
            <w:tc>
              <w:tcPr>
                <w:tcW w:w="841" w:type="pct"/>
                <w:tcBorders>
                  <w:top w:val="single" w:color="auto" w:sz="4" w:space="0"/>
                  <w:left w:val="single" w:color="auto" w:sz="4" w:space="0"/>
                  <w:bottom w:val="single" w:color="auto" w:sz="4" w:space="0"/>
                  <w:right w:val="single" w:color="auto" w:sz="4" w:space="0"/>
                </w:tcBorders>
              </w:tcPr>
              <w:p w14:paraId="0978C049">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组合1军方、警方、政府职能部门等高信用水平单位应收账款组合</w:t>
                </w:r>
              </w:p>
            </w:tc>
          </w:sdtContent>
        </w:sdt>
        <w:tc>
          <w:tcPr>
            <w:tcW w:w="420" w:type="pct"/>
            <w:tcBorders>
              <w:top w:val="single" w:color="auto" w:sz="4" w:space="0"/>
              <w:left w:val="single" w:color="auto" w:sz="4" w:space="0"/>
              <w:bottom w:val="single" w:color="auto" w:sz="4" w:space="0"/>
              <w:right w:val="single" w:color="auto" w:sz="4" w:space="0"/>
            </w:tcBorders>
          </w:tcPr>
          <w:p w14:paraId="1E69323E">
            <w:pPr>
              <w:jc w:val="right"/>
              <w:rPr>
                <w:rFonts w:cs="Times New Roman"/>
                <w:sz w:val="18"/>
                <w:szCs w:val="18"/>
              </w:rPr>
            </w:pPr>
          </w:p>
        </w:tc>
        <w:tc>
          <w:tcPr>
            <w:tcW w:w="348" w:type="pct"/>
            <w:tcBorders>
              <w:top w:val="single" w:color="auto" w:sz="4" w:space="0"/>
              <w:left w:val="single" w:color="auto" w:sz="4" w:space="0"/>
              <w:bottom w:val="single" w:color="auto" w:sz="4" w:space="0"/>
              <w:right w:val="single" w:color="auto" w:sz="4" w:space="0"/>
            </w:tcBorders>
          </w:tcPr>
          <w:p w14:paraId="63F1A100">
            <w:pPr>
              <w:jc w:val="right"/>
              <w:rPr>
                <w:rFonts w:cs="Times New Roman"/>
                <w:sz w:val="18"/>
                <w:szCs w:val="18"/>
              </w:rPr>
            </w:pPr>
          </w:p>
        </w:tc>
        <w:tc>
          <w:tcPr>
            <w:tcW w:w="410" w:type="pct"/>
            <w:tcBorders>
              <w:top w:val="single" w:color="auto" w:sz="4" w:space="0"/>
              <w:left w:val="single" w:color="auto" w:sz="4" w:space="0"/>
              <w:bottom w:val="single" w:color="auto" w:sz="4" w:space="0"/>
              <w:right w:val="single" w:color="auto" w:sz="4" w:space="0"/>
            </w:tcBorders>
          </w:tcPr>
          <w:p w14:paraId="68C1E479">
            <w:pPr>
              <w:jc w:val="right"/>
              <w:rPr>
                <w:rFonts w:cs="Times New Roman"/>
                <w:sz w:val="18"/>
                <w:szCs w:val="18"/>
              </w:rPr>
            </w:pPr>
          </w:p>
        </w:tc>
        <w:tc>
          <w:tcPr>
            <w:tcW w:w="424" w:type="pct"/>
            <w:tcBorders>
              <w:top w:val="single" w:color="auto" w:sz="4" w:space="0"/>
              <w:left w:val="single" w:color="auto" w:sz="4" w:space="0"/>
              <w:bottom w:val="single" w:color="auto" w:sz="4" w:space="0"/>
              <w:right w:val="single" w:color="auto" w:sz="4" w:space="0"/>
            </w:tcBorders>
          </w:tcPr>
          <w:p w14:paraId="46C9B48F">
            <w:pPr>
              <w:jc w:val="right"/>
              <w:rPr>
                <w:rFonts w:cs="Times New Roman"/>
                <w:sz w:val="18"/>
                <w:szCs w:val="18"/>
              </w:rPr>
            </w:pPr>
          </w:p>
        </w:tc>
        <w:tc>
          <w:tcPr>
            <w:tcW w:w="420" w:type="pct"/>
            <w:tcBorders>
              <w:top w:val="single" w:color="auto" w:sz="4" w:space="0"/>
              <w:left w:val="single" w:color="auto" w:sz="4" w:space="0"/>
              <w:bottom w:val="single" w:color="auto" w:sz="4" w:space="0"/>
              <w:right w:val="single" w:color="auto" w:sz="4" w:space="0"/>
            </w:tcBorders>
          </w:tcPr>
          <w:p w14:paraId="3FD0D9E4">
            <w:pPr>
              <w:jc w:val="right"/>
              <w:rPr>
                <w:rFonts w:cs="Times New Roman"/>
                <w:sz w:val="18"/>
                <w:szCs w:val="18"/>
              </w:rPr>
            </w:pPr>
          </w:p>
        </w:tc>
        <w:tc>
          <w:tcPr>
            <w:tcW w:w="434" w:type="pct"/>
            <w:tcBorders>
              <w:top w:val="single" w:color="auto" w:sz="4" w:space="0"/>
              <w:left w:val="single" w:color="auto" w:sz="4" w:space="0"/>
              <w:bottom w:val="single" w:color="auto" w:sz="4" w:space="0"/>
              <w:right w:val="single" w:color="auto" w:sz="4" w:space="0"/>
            </w:tcBorders>
          </w:tcPr>
          <w:p w14:paraId="5D855FD7">
            <w:pPr>
              <w:jc w:val="right"/>
              <w:rPr>
                <w:rFonts w:cs="Times New Roman"/>
                <w:sz w:val="18"/>
                <w:szCs w:val="18"/>
              </w:rPr>
            </w:pPr>
          </w:p>
        </w:tc>
        <w:tc>
          <w:tcPr>
            <w:tcW w:w="424" w:type="pct"/>
            <w:tcBorders>
              <w:top w:val="single" w:color="auto" w:sz="4" w:space="0"/>
              <w:left w:val="single" w:color="auto" w:sz="4" w:space="0"/>
              <w:bottom w:val="single" w:color="auto" w:sz="4" w:space="0"/>
              <w:right w:val="single" w:color="auto" w:sz="4" w:space="0"/>
            </w:tcBorders>
          </w:tcPr>
          <w:p w14:paraId="5DF8D15F">
            <w:pPr>
              <w:jc w:val="right"/>
              <w:rPr>
                <w:rFonts w:cs="Times New Roman"/>
                <w:sz w:val="18"/>
                <w:szCs w:val="18"/>
              </w:rPr>
            </w:pPr>
          </w:p>
        </w:tc>
        <w:tc>
          <w:tcPr>
            <w:tcW w:w="428" w:type="pct"/>
            <w:tcBorders>
              <w:top w:val="single" w:color="auto" w:sz="4" w:space="0"/>
              <w:left w:val="single" w:color="auto" w:sz="4" w:space="0"/>
              <w:bottom w:val="single" w:color="auto" w:sz="4" w:space="0"/>
              <w:right w:val="single" w:color="auto" w:sz="4" w:space="0"/>
            </w:tcBorders>
          </w:tcPr>
          <w:p w14:paraId="3134C239">
            <w:pPr>
              <w:jc w:val="right"/>
              <w:rPr>
                <w:rFonts w:cs="Times New Roman"/>
                <w:sz w:val="18"/>
                <w:szCs w:val="18"/>
              </w:rPr>
            </w:pPr>
          </w:p>
        </w:tc>
        <w:tc>
          <w:tcPr>
            <w:tcW w:w="432" w:type="pct"/>
            <w:tcBorders>
              <w:top w:val="single" w:color="auto" w:sz="4" w:space="0"/>
              <w:left w:val="single" w:color="auto" w:sz="4" w:space="0"/>
              <w:bottom w:val="single" w:color="auto" w:sz="4" w:space="0"/>
              <w:right w:val="single" w:color="auto" w:sz="4" w:space="0"/>
            </w:tcBorders>
          </w:tcPr>
          <w:p w14:paraId="67803F95">
            <w:pPr>
              <w:jc w:val="right"/>
              <w:rPr>
                <w:rFonts w:cs="Times New Roman"/>
                <w:sz w:val="18"/>
                <w:szCs w:val="18"/>
              </w:rPr>
            </w:pPr>
          </w:p>
        </w:tc>
        <w:tc>
          <w:tcPr>
            <w:tcW w:w="420" w:type="pct"/>
            <w:tcBorders>
              <w:top w:val="single" w:color="auto" w:sz="4" w:space="0"/>
              <w:left w:val="single" w:color="auto" w:sz="4" w:space="0"/>
              <w:bottom w:val="single" w:color="auto" w:sz="4" w:space="0"/>
              <w:right w:val="single" w:color="auto" w:sz="4" w:space="0"/>
            </w:tcBorders>
          </w:tcPr>
          <w:p w14:paraId="38493709">
            <w:pPr>
              <w:jc w:val="right"/>
              <w:rPr>
                <w:rFonts w:cs="Times New Roman"/>
                <w:sz w:val="18"/>
                <w:szCs w:val="18"/>
              </w:rPr>
            </w:pPr>
          </w:p>
        </w:tc>
      </w:tr>
      <w:tr w14:paraId="2813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color w:val="000000" w:themeColor="text1"/>
              <w14:textFill>
                <w14:solidFill>
                  <w14:schemeClr w14:val="tx1"/>
                </w14:solidFill>
              </w14:textFill>
            </w:rPr>
            <w:alias w:val="按组合计提坏账准备的应收账款明细-组合名称"/>
            <w:tag w:val="_GBC_1d1150cff5254d829cba03da56c2e941"/>
            <w:id w:val="147465096"/>
            <w:placeholder>
              <w:docPart w:val="293C4F5161224371B220A7EC35459B32"/>
            </w:placeholder>
          </w:sdtPr>
          <w:sdtEndPr>
            <w:rPr>
              <w:rFonts w:cs="Times New Roman"/>
              <w:color w:val="000000" w:themeColor="text1"/>
              <w14:textFill>
                <w14:solidFill>
                  <w14:schemeClr w14:val="tx1"/>
                </w14:solidFill>
              </w14:textFill>
            </w:rPr>
          </w:sdtEndPr>
          <w:sdtContent>
            <w:tc>
              <w:tcPr>
                <w:tcW w:w="841" w:type="pct"/>
                <w:tcBorders>
                  <w:top w:val="single" w:color="auto" w:sz="4" w:space="0"/>
                  <w:left w:val="single" w:color="auto" w:sz="4" w:space="0"/>
                  <w:bottom w:val="single" w:color="auto" w:sz="4" w:space="0"/>
                  <w:right w:val="single" w:color="auto" w:sz="4" w:space="0"/>
                </w:tcBorders>
              </w:tcPr>
              <w:p w14:paraId="2D12565A">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组合2关联方组合</w:t>
                </w:r>
              </w:p>
            </w:tc>
          </w:sdtContent>
        </w:sdt>
        <w:tc>
          <w:tcPr>
            <w:tcW w:w="420" w:type="pct"/>
            <w:tcBorders>
              <w:top w:val="single" w:color="auto" w:sz="4" w:space="0"/>
              <w:left w:val="single" w:color="auto" w:sz="4" w:space="0"/>
              <w:bottom w:val="single" w:color="auto" w:sz="4" w:space="0"/>
              <w:right w:val="single" w:color="auto" w:sz="4" w:space="0"/>
            </w:tcBorders>
            <w:vAlign w:val="center"/>
          </w:tcPr>
          <w:p w14:paraId="57C6A48B">
            <w:pPr>
              <w:jc w:val="right"/>
              <w:textAlignment w:val="center"/>
              <w:rPr>
                <w:rFonts w:cs="Times New Roman"/>
                <w:sz w:val="18"/>
                <w:szCs w:val="18"/>
              </w:rPr>
            </w:pPr>
            <w:r>
              <w:rPr>
                <w:rFonts w:cs="Times New Roman"/>
                <w:color w:val="000000"/>
                <w:sz w:val="18"/>
                <w:szCs w:val="18"/>
              </w:rPr>
              <w:t>34,194,779.81</w:t>
            </w:r>
          </w:p>
        </w:tc>
        <w:tc>
          <w:tcPr>
            <w:tcW w:w="348" w:type="pct"/>
            <w:tcBorders>
              <w:top w:val="single" w:color="auto" w:sz="4" w:space="0"/>
              <w:left w:val="single" w:color="auto" w:sz="4" w:space="0"/>
              <w:bottom w:val="single" w:color="auto" w:sz="4" w:space="0"/>
              <w:right w:val="single" w:color="auto" w:sz="4" w:space="0"/>
            </w:tcBorders>
            <w:vAlign w:val="center"/>
          </w:tcPr>
          <w:p w14:paraId="3144DCEB">
            <w:pPr>
              <w:jc w:val="right"/>
              <w:textAlignment w:val="center"/>
              <w:rPr>
                <w:rFonts w:cs="Times New Roman"/>
                <w:sz w:val="18"/>
                <w:szCs w:val="18"/>
              </w:rPr>
            </w:pPr>
            <w:r>
              <w:rPr>
                <w:rFonts w:cs="Times New Roman"/>
                <w:color w:val="000000"/>
                <w:sz w:val="18"/>
                <w:szCs w:val="18"/>
              </w:rPr>
              <w:t>96.10</w:t>
            </w:r>
          </w:p>
        </w:tc>
        <w:tc>
          <w:tcPr>
            <w:tcW w:w="410" w:type="pct"/>
            <w:tcBorders>
              <w:top w:val="single" w:color="auto" w:sz="4" w:space="0"/>
              <w:left w:val="single" w:color="auto" w:sz="4" w:space="0"/>
              <w:bottom w:val="single" w:color="auto" w:sz="4" w:space="0"/>
              <w:right w:val="single" w:color="auto" w:sz="4" w:space="0"/>
            </w:tcBorders>
            <w:vAlign w:val="center"/>
          </w:tcPr>
          <w:p w14:paraId="4A924E2D">
            <w:pPr>
              <w:jc w:val="right"/>
              <w:rPr>
                <w:rFonts w:cs="Times New Roman"/>
                <w:sz w:val="18"/>
                <w:szCs w:val="18"/>
              </w:rPr>
            </w:pPr>
          </w:p>
        </w:tc>
        <w:tc>
          <w:tcPr>
            <w:tcW w:w="424" w:type="pct"/>
            <w:tcBorders>
              <w:top w:val="single" w:color="auto" w:sz="4" w:space="0"/>
              <w:left w:val="single" w:color="auto" w:sz="4" w:space="0"/>
              <w:bottom w:val="single" w:color="auto" w:sz="4" w:space="0"/>
              <w:right w:val="single" w:color="auto" w:sz="4" w:space="0"/>
            </w:tcBorders>
            <w:vAlign w:val="center"/>
          </w:tcPr>
          <w:p w14:paraId="4398ECA2">
            <w:pPr>
              <w:jc w:val="right"/>
              <w:rPr>
                <w:rFonts w:cs="Times New Roman"/>
                <w:sz w:val="18"/>
                <w:szCs w:val="18"/>
              </w:rPr>
            </w:pPr>
          </w:p>
        </w:tc>
        <w:tc>
          <w:tcPr>
            <w:tcW w:w="420" w:type="pct"/>
            <w:tcBorders>
              <w:top w:val="single" w:color="auto" w:sz="4" w:space="0"/>
              <w:left w:val="single" w:color="auto" w:sz="4" w:space="0"/>
              <w:bottom w:val="single" w:color="auto" w:sz="4" w:space="0"/>
              <w:right w:val="single" w:color="auto" w:sz="4" w:space="0"/>
            </w:tcBorders>
            <w:vAlign w:val="center"/>
          </w:tcPr>
          <w:p w14:paraId="07F2AD70">
            <w:pPr>
              <w:jc w:val="right"/>
              <w:textAlignment w:val="center"/>
              <w:rPr>
                <w:rFonts w:cs="Times New Roman"/>
                <w:sz w:val="18"/>
                <w:szCs w:val="18"/>
              </w:rPr>
            </w:pPr>
            <w:r>
              <w:rPr>
                <w:rFonts w:cs="Times New Roman"/>
                <w:color w:val="000000"/>
                <w:sz w:val="18"/>
                <w:szCs w:val="18"/>
              </w:rPr>
              <w:t>34,194,779.81</w:t>
            </w:r>
          </w:p>
        </w:tc>
        <w:tc>
          <w:tcPr>
            <w:tcW w:w="434" w:type="pct"/>
            <w:tcBorders>
              <w:top w:val="single" w:color="auto" w:sz="4" w:space="0"/>
              <w:left w:val="single" w:color="auto" w:sz="4" w:space="0"/>
              <w:bottom w:val="single" w:color="auto" w:sz="4" w:space="0"/>
              <w:right w:val="single" w:color="auto" w:sz="4" w:space="0"/>
            </w:tcBorders>
            <w:vAlign w:val="center"/>
          </w:tcPr>
          <w:p w14:paraId="505B40B9">
            <w:pPr>
              <w:jc w:val="right"/>
              <w:textAlignment w:val="center"/>
              <w:rPr>
                <w:rFonts w:cs="Times New Roman"/>
                <w:sz w:val="18"/>
                <w:szCs w:val="18"/>
              </w:rPr>
            </w:pPr>
            <w:r>
              <w:rPr>
                <w:rFonts w:cs="Times New Roman"/>
                <w:color w:val="000000"/>
                <w:sz w:val="18"/>
                <w:szCs w:val="18"/>
              </w:rPr>
              <w:t>34,600,625.67</w:t>
            </w:r>
          </w:p>
        </w:tc>
        <w:tc>
          <w:tcPr>
            <w:tcW w:w="424" w:type="pct"/>
            <w:tcBorders>
              <w:top w:val="single" w:color="auto" w:sz="4" w:space="0"/>
              <w:left w:val="single" w:color="auto" w:sz="4" w:space="0"/>
              <w:bottom w:val="single" w:color="auto" w:sz="4" w:space="0"/>
              <w:right w:val="single" w:color="auto" w:sz="4" w:space="0"/>
            </w:tcBorders>
            <w:vAlign w:val="center"/>
          </w:tcPr>
          <w:p w14:paraId="4683D1C3">
            <w:pPr>
              <w:jc w:val="right"/>
              <w:textAlignment w:val="center"/>
              <w:rPr>
                <w:rFonts w:cs="Times New Roman"/>
                <w:sz w:val="18"/>
                <w:szCs w:val="18"/>
              </w:rPr>
            </w:pPr>
            <w:r>
              <w:rPr>
                <w:rFonts w:cs="Times New Roman"/>
                <w:color w:val="000000"/>
                <w:sz w:val="18"/>
                <w:szCs w:val="18"/>
              </w:rPr>
              <w:t>96.14</w:t>
            </w:r>
          </w:p>
        </w:tc>
        <w:tc>
          <w:tcPr>
            <w:tcW w:w="428" w:type="pct"/>
            <w:tcBorders>
              <w:top w:val="single" w:color="auto" w:sz="4" w:space="0"/>
              <w:left w:val="single" w:color="auto" w:sz="4" w:space="0"/>
              <w:bottom w:val="single" w:color="auto" w:sz="4" w:space="0"/>
              <w:right w:val="single" w:color="auto" w:sz="4" w:space="0"/>
            </w:tcBorders>
            <w:vAlign w:val="center"/>
          </w:tcPr>
          <w:p w14:paraId="36B39ACE">
            <w:pPr>
              <w:jc w:val="right"/>
              <w:rPr>
                <w:rFonts w:cs="Times New Roman"/>
                <w:sz w:val="18"/>
                <w:szCs w:val="18"/>
              </w:rPr>
            </w:pPr>
          </w:p>
        </w:tc>
        <w:tc>
          <w:tcPr>
            <w:tcW w:w="432" w:type="pct"/>
            <w:tcBorders>
              <w:top w:val="single" w:color="auto" w:sz="4" w:space="0"/>
              <w:left w:val="single" w:color="auto" w:sz="4" w:space="0"/>
              <w:bottom w:val="single" w:color="auto" w:sz="4" w:space="0"/>
              <w:right w:val="single" w:color="auto" w:sz="4" w:space="0"/>
            </w:tcBorders>
            <w:vAlign w:val="center"/>
          </w:tcPr>
          <w:p w14:paraId="6BC5CF5A">
            <w:pPr>
              <w:jc w:val="right"/>
              <w:rPr>
                <w:rFonts w:cs="Times New Roman"/>
                <w:sz w:val="18"/>
                <w:szCs w:val="18"/>
              </w:rPr>
            </w:pPr>
          </w:p>
        </w:tc>
        <w:tc>
          <w:tcPr>
            <w:tcW w:w="420" w:type="pct"/>
            <w:tcBorders>
              <w:top w:val="single" w:color="auto" w:sz="4" w:space="0"/>
              <w:left w:val="single" w:color="auto" w:sz="4" w:space="0"/>
              <w:bottom w:val="single" w:color="auto" w:sz="4" w:space="0"/>
              <w:right w:val="single" w:color="auto" w:sz="4" w:space="0"/>
            </w:tcBorders>
            <w:vAlign w:val="center"/>
          </w:tcPr>
          <w:p w14:paraId="17A1D3F4">
            <w:pPr>
              <w:jc w:val="right"/>
              <w:textAlignment w:val="center"/>
              <w:rPr>
                <w:rFonts w:cs="Times New Roman"/>
                <w:sz w:val="18"/>
                <w:szCs w:val="18"/>
              </w:rPr>
            </w:pPr>
            <w:r>
              <w:rPr>
                <w:rFonts w:cs="Times New Roman"/>
                <w:color w:val="000000"/>
                <w:sz w:val="18"/>
                <w:szCs w:val="18"/>
              </w:rPr>
              <w:t>34,600,625.67</w:t>
            </w:r>
          </w:p>
        </w:tc>
      </w:tr>
      <w:tr w14:paraId="3327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color w:val="000000" w:themeColor="text1"/>
              <w14:textFill>
                <w14:solidFill>
                  <w14:schemeClr w14:val="tx1"/>
                </w14:solidFill>
              </w14:textFill>
            </w:rPr>
            <w:alias w:val="按组合计提坏账准备的应收账款明细-组合名称"/>
            <w:tag w:val="_GBC_1d1150cff5254d829cba03da56c2e941"/>
            <w:id w:val="147475147"/>
          </w:sdtPr>
          <w:sdtEndPr>
            <w:rPr>
              <w:rFonts w:cs="Times New Roman"/>
              <w:color w:val="000000" w:themeColor="text1"/>
              <w14:textFill>
                <w14:solidFill>
                  <w14:schemeClr w14:val="tx1"/>
                </w14:solidFill>
              </w14:textFill>
            </w:rPr>
          </w:sdtEndPr>
          <w:sdtContent>
            <w:tc>
              <w:tcPr>
                <w:tcW w:w="841" w:type="pct"/>
                <w:tcBorders>
                  <w:top w:val="single" w:color="auto" w:sz="4" w:space="0"/>
                  <w:left w:val="single" w:color="auto" w:sz="4" w:space="0"/>
                  <w:bottom w:val="single" w:color="auto" w:sz="4" w:space="0"/>
                  <w:right w:val="single" w:color="auto" w:sz="4" w:space="0"/>
                </w:tcBorders>
              </w:tcPr>
              <w:p w14:paraId="7AA3F191">
                <w:pPr>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组合3账龄组合</w:t>
                </w:r>
              </w:p>
            </w:tc>
          </w:sdtContent>
        </w:sdt>
        <w:tc>
          <w:tcPr>
            <w:tcW w:w="420" w:type="pct"/>
            <w:tcBorders>
              <w:top w:val="single" w:color="auto" w:sz="4" w:space="0"/>
              <w:left w:val="single" w:color="auto" w:sz="4" w:space="0"/>
              <w:bottom w:val="single" w:color="auto" w:sz="4" w:space="0"/>
              <w:right w:val="single" w:color="auto" w:sz="4" w:space="0"/>
            </w:tcBorders>
            <w:vAlign w:val="center"/>
          </w:tcPr>
          <w:p w14:paraId="44ECCE0B">
            <w:pPr>
              <w:jc w:val="right"/>
              <w:textAlignment w:val="center"/>
              <w:rPr>
                <w:rFonts w:cs="Times New Roman"/>
                <w:sz w:val="18"/>
                <w:szCs w:val="18"/>
              </w:rPr>
            </w:pPr>
            <w:r>
              <w:rPr>
                <w:rFonts w:cs="Times New Roman"/>
                <w:color w:val="000000"/>
                <w:sz w:val="18"/>
                <w:szCs w:val="18"/>
              </w:rPr>
              <w:t>1,387,632.93</w:t>
            </w:r>
          </w:p>
        </w:tc>
        <w:tc>
          <w:tcPr>
            <w:tcW w:w="348" w:type="pct"/>
            <w:tcBorders>
              <w:top w:val="single" w:color="auto" w:sz="4" w:space="0"/>
              <w:left w:val="single" w:color="auto" w:sz="4" w:space="0"/>
              <w:bottom w:val="single" w:color="auto" w:sz="4" w:space="0"/>
              <w:right w:val="single" w:color="auto" w:sz="4" w:space="0"/>
            </w:tcBorders>
            <w:vAlign w:val="center"/>
          </w:tcPr>
          <w:p w14:paraId="00963C37">
            <w:pPr>
              <w:jc w:val="right"/>
              <w:textAlignment w:val="center"/>
              <w:rPr>
                <w:rFonts w:cs="Times New Roman"/>
                <w:sz w:val="18"/>
                <w:szCs w:val="18"/>
              </w:rPr>
            </w:pPr>
            <w:r>
              <w:rPr>
                <w:rFonts w:cs="Times New Roman"/>
                <w:color w:val="000000"/>
                <w:sz w:val="18"/>
                <w:szCs w:val="18"/>
              </w:rPr>
              <w:t>3.90</w:t>
            </w:r>
          </w:p>
        </w:tc>
        <w:tc>
          <w:tcPr>
            <w:tcW w:w="410" w:type="pct"/>
            <w:tcBorders>
              <w:top w:val="single" w:color="auto" w:sz="4" w:space="0"/>
              <w:left w:val="single" w:color="auto" w:sz="4" w:space="0"/>
              <w:bottom w:val="single" w:color="auto" w:sz="4" w:space="0"/>
              <w:right w:val="single" w:color="auto" w:sz="4" w:space="0"/>
            </w:tcBorders>
            <w:vAlign w:val="center"/>
          </w:tcPr>
          <w:p w14:paraId="462358EF">
            <w:pPr>
              <w:jc w:val="right"/>
              <w:textAlignment w:val="center"/>
              <w:rPr>
                <w:rFonts w:cs="Times New Roman"/>
                <w:sz w:val="18"/>
                <w:szCs w:val="18"/>
              </w:rPr>
            </w:pPr>
            <w:r>
              <w:rPr>
                <w:rFonts w:cs="Times New Roman"/>
                <w:color w:val="000000"/>
                <w:sz w:val="18"/>
                <w:szCs w:val="18"/>
              </w:rPr>
              <w:t>1,309,843.27</w:t>
            </w:r>
          </w:p>
        </w:tc>
        <w:tc>
          <w:tcPr>
            <w:tcW w:w="424" w:type="pct"/>
            <w:tcBorders>
              <w:top w:val="single" w:color="auto" w:sz="4" w:space="0"/>
              <w:left w:val="single" w:color="auto" w:sz="4" w:space="0"/>
              <w:bottom w:val="single" w:color="auto" w:sz="4" w:space="0"/>
              <w:right w:val="single" w:color="auto" w:sz="4" w:space="0"/>
            </w:tcBorders>
            <w:vAlign w:val="center"/>
          </w:tcPr>
          <w:p w14:paraId="6F1A63E8">
            <w:pPr>
              <w:jc w:val="right"/>
              <w:textAlignment w:val="center"/>
              <w:rPr>
                <w:rFonts w:cs="Times New Roman"/>
                <w:sz w:val="18"/>
                <w:szCs w:val="18"/>
              </w:rPr>
            </w:pPr>
            <w:r>
              <w:rPr>
                <w:rFonts w:cs="Times New Roman"/>
                <w:color w:val="000000"/>
                <w:sz w:val="18"/>
                <w:szCs w:val="18"/>
              </w:rPr>
              <w:t>94.39</w:t>
            </w:r>
          </w:p>
        </w:tc>
        <w:tc>
          <w:tcPr>
            <w:tcW w:w="420" w:type="pct"/>
            <w:tcBorders>
              <w:top w:val="single" w:color="auto" w:sz="4" w:space="0"/>
              <w:left w:val="single" w:color="auto" w:sz="4" w:space="0"/>
              <w:bottom w:val="single" w:color="auto" w:sz="4" w:space="0"/>
              <w:right w:val="single" w:color="auto" w:sz="4" w:space="0"/>
            </w:tcBorders>
            <w:vAlign w:val="center"/>
          </w:tcPr>
          <w:p w14:paraId="0876935B">
            <w:pPr>
              <w:jc w:val="right"/>
              <w:textAlignment w:val="center"/>
              <w:rPr>
                <w:rFonts w:cs="Times New Roman"/>
                <w:sz w:val="18"/>
                <w:szCs w:val="18"/>
              </w:rPr>
            </w:pPr>
            <w:r>
              <w:rPr>
                <w:rFonts w:cs="Times New Roman"/>
                <w:color w:val="000000"/>
                <w:sz w:val="18"/>
                <w:szCs w:val="18"/>
              </w:rPr>
              <w:t>77,789.66</w:t>
            </w:r>
          </w:p>
        </w:tc>
        <w:tc>
          <w:tcPr>
            <w:tcW w:w="434" w:type="pct"/>
            <w:tcBorders>
              <w:top w:val="single" w:color="auto" w:sz="4" w:space="0"/>
              <w:left w:val="single" w:color="auto" w:sz="4" w:space="0"/>
              <w:bottom w:val="single" w:color="auto" w:sz="4" w:space="0"/>
              <w:right w:val="single" w:color="auto" w:sz="4" w:space="0"/>
            </w:tcBorders>
            <w:vAlign w:val="center"/>
          </w:tcPr>
          <w:p w14:paraId="5D67DB58">
            <w:pPr>
              <w:jc w:val="right"/>
              <w:textAlignment w:val="center"/>
              <w:rPr>
                <w:rFonts w:cs="Times New Roman"/>
                <w:sz w:val="18"/>
                <w:szCs w:val="18"/>
              </w:rPr>
            </w:pPr>
            <w:r>
              <w:rPr>
                <w:rFonts w:cs="Times New Roman"/>
                <w:color w:val="000000"/>
                <w:sz w:val="18"/>
                <w:szCs w:val="18"/>
              </w:rPr>
              <w:t>1,387,632.93</w:t>
            </w:r>
          </w:p>
        </w:tc>
        <w:tc>
          <w:tcPr>
            <w:tcW w:w="424" w:type="pct"/>
            <w:tcBorders>
              <w:top w:val="single" w:color="auto" w:sz="4" w:space="0"/>
              <w:left w:val="single" w:color="auto" w:sz="4" w:space="0"/>
              <w:bottom w:val="single" w:color="auto" w:sz="4" w:space="0"/>
              <w:right w:val="single" w:color="auto" w:sz="4" w:space="0"/>
            </w:tcBorders>
            <w:vAlign w:val="center"/>
          </w:tcPr>
          <w:p w14:paraId="1FAEF2BE">
            <w:pPr>
              <w:jc w:val="right"/>
              <w:textAlignment w:val="center"/>
              <w:rPr>
                <w:rFonts w:cs="Times New Roman"/>
                <w:sz w:val="18"/>
                <w:szCs w:val="18"/>
              </w:rPr>
            </w:pPr>
            <w:r>
              <w:rPr>
                <w:rFonts w:cs="Times New Roman"/>
                <w:color w:val="000000"/>
                <w:sz w:val="18"/>
                <w:szCs w:val="18"/>
              </w:rPr>
              <w:t>3.86</w:t>
            </w:r>
          </w:p>
        </w:tc>
        <w:tc>
          <w:tcPr>
            <w:tcW w:w="428" w:type="pct"/>
            <w:tcBorders>
              <w:top w:val="single" w:color="auto" w:sz="4" w:space="0"/>
              <w:left w:val="single" w:color="auto" w:sz="4" w:space="0"/>
              <w:bottom w:val="single" w:color="auto" w:sz="4" w:space="0"/>
              <w:right w:val="single" w:color="auto" w:sz="4" w:space="0"/>
            </w:tcBorders>
            <w:vAlign w:val="center"/>
          </w:tcPr>
          <w:p w14:paraId="1BC781D0">
            <w:pPr>
              <w:jc w:val="right"/>
              <w:textAlignment w:val="center"/>
              <w:rPr>
                <w:rFonts w:cs="Times New Roman"/>
                <w:sz w:val="18"/>
                <w:szCs w:val="18"/>
              </w:rPr>
            </w:pPr>
            <w:r>
              <w:rPr>
                <w:rFonts w:cs="Times New Roman"/>
                <w:color w:val="000000"/>
                <w:sz w:val="18"/>
                <w:szCs w:val="18"/>
              </w:rPr>
              <w:t>1,309,843.27</w:t>
            </w:r>
          </w:p>
        </w:tc>
        <w:tc>
          <w:tcPr>
            <w:tcW w:w="432" w:type="pct"/>
            <w:tcBorders>
              <w:top w:val="single" w:color="auto" w:sz="4" w:space="0"/>
              <w:left w:val="single" w:color="auto" w:sz="4" w:space="0"/>
              <w:bottom w:val="single" w:color="auto" w:sz="4" w:space="0"/>
              <w:right w:val="single" w:color="auto" w:sz="4" w:space="0"/>
            </w:tcBorders>
            <w:vAlign w:val="center"/>
          </w:tcPr>
          <w:p w14:paraId="3121943F">
            <w:pPr>
              <w:jc w:val="right"/>
              <w:textAlignment w:val="center"/>
              <w:rPr>
                <w:rFonts w:cs="Times New Roman"/>
                <w:sz w:val="18"/>
                <w:szCs w:val="18"/>
              </w:rPr>
            </w:pPr>
            <w:r>
              <w:rPr>
                <w:rFonts w:cs="Times New Roman"/>
                <w:color w:val="000000"/>
                <w:sz w:val="18"/>
                <w:szCs w:val="18"/>
              </w:rPr>
              <w:t>94.39</w:t>
            </w:r>
          </w:p>
        </w:tc>
        <w:tc>
          <w:tcPr>
            <w:tcW w:w="420" w:type="pct"/>
            <w:tcBorders>
              <w:top w:val="single" w:color="auto" w:sz="4" w:space="0"/>
              <w:left w:val="single" w:color="auto" w:sz="4" w:space="0"/>
              <w:bottom w:val="single" w:color="auto" w:sz="4" w:space="0"/>
              <w:right w:val="single" w:color="auto" w:sz="4" w:space="0"/>
            </w:tcBorders>
            <w:vAlign w:val="center"/>
          </w:tcPr>
          <w:p w14:paraId="17259A2C">
            <w:pPr>
              <w:jc w:val="right"/>
              <w:textAlignment w:val="center"/>
              <w:rPr>
                <w:rFonts w:cs="Times New Roman"/>
                <w:sz w:val="18"/>
                <w:szCs w:val="18"/>
              </w:rPr>
            </w:pPr>
            <w:r>
              <w:rPr>
                <w:rFonts w:cs="Times New Roman"/>
                <w:color w:val="000000"/>
                <w:sz w:val="18"/>
                <w:szCs w:val="18"/>
              </w:rPr>
              <w:t>77,789.66</w:t>
            </w:r>
          </w:p>
        </w:tc>
      </w:tr>
      <w:tr w14:paraId="7A54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41" w:type="pct"/>
            <w:tcBorders>
              <w:top w:val="single" w:color="auto" w:sz="4" w:space="0"/>
              <w:left w:val="single" w:color="auto" w:sz="4" w:space="0"/>
              <w:bottom w:val="single" w:color="auto" w:sz="4" w:space="0"/>
              <w:right w:val="single" w:color="auto" w:sz="4" w:space="0"/>
            </w:tcBorders>
            <w:vAlign w:val="center"/>
          </w:tcPr>
          <w:p w14:paraId="23415572">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420" w:type="pct"/>
            <w:tcBorders>
              <w:top w:val="single" w:color="auto" w:sz="4" w:space="0"/>
              <w:left w:val="single" w:color="auto" w:sz="4" w:space="0"/>
              <w:bottom w:val="single" w:color="auto" w:sz="4" w:space="0"/>
              <w:right w:val="single" w:color="auto" w:sz="4" w:space="0"/>
            </w:tcBorders>
            <w:vAlign w:val="center"/>
          </w:tcPr>
          <w:p w14:paraId="1139CCDF">
            <w:pPr>
              <w:jc w:val="right"/>
              <w:textAlignment w:val="center"/>
              <w:rPr>
                <w:rFonts w:cs="Times New Roman"/>
                <w:sz w:val="18"/>
                <w:szCs w:val="18"/>
              </w:rPr>
            </w:pPr>
            <w:r>
              <w:rPr>
                <w:rFonts w:cs="Times New Roman"/>
                <w:color w:val="000000"/>
                <w:sz w:val="18"/>
                <w:szCs w:val="18"/>
              </w:rPr>
              <w:t>35,582,412.74</w:t>
            </w:r>
          </w:p>
        </w:tc>
        <w:tc>
          <w:tcPr>
            <w:tcW w:w="348" w:type="pct"/>
            <w:tcBorders>
              <w:top w:val="single" w:color="auto" w:sz="4" w:space="0"/>
              <w:left w:val="single" w:color="auto" w:sz="4" w:space="0"/>
              <w:bottom w:val="single" w:color="auto" w:sz="4" w:space="0"/>
              <w:right w:val="single" w:color="auto" w:sz="4" w:space="0"/>
            </w:tcBorders>
          </w:tcPr>
          <w:p w14:paraId="6F0963B7">
            <w:pPr>
              <w:jc w:val="center"/>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410" w:type="pct"/>
            <w:tcBorders>
              <w:top w:val="single" w:color="auto" w:sz="4" w:space="0"/>
              <w:left w:val="single" w:color="auto" w:sz="4" w:space="0"/>
              <w:bottom w:val="single" w:color="auto" w:sz="4" w:space="0"/>
              <w:right w:val="single" w:color="auto" w:sz="4" w:space="0"/>
            </w:tcBorders>
            <w:vAlign w:val="center"/>
          </w:tcPr>
          <w:p w14:paraId="31C4B66F">
            <w:pPr>
              <w:jc w:val="right"/>
              <w:textAlignment w:val="center"/>
              <w:rPr>
                <w:rFonts w:cs="Times New Roman"/>
                <w:sz w:val="18"/>
                <w:szCs w:val="18"/>
              </w:rPr>
            </w:pPr>
            <w:r>
              <w:rPr>
                <w:rFonts w:cs="Times New Roman"/>
                <w:color w:val="000000"/>
                <w:sz w:val="18"/>
                <w:szCs w:val="18"/>
              </w:rPr>
              <w:t>1,309,843.27</w:t>
            </w:r>
          </w:p>
        </w:tc>
        <w:tc>
          <w:tcPr>
            <w:tcW w:w="424" w:type="pct"/>
            <w:tcBorders>
              <w:top w:val="single" w:color="auto" w:sz="4" w:space="0"/>
              <w:left w:val="single" w:color="auto" w:sz="4" w:space="0"/>
              <w:bottom w:val="single" w:color="auto" w:sz="4" w:space="0"/>
              <w:right w:val="single" w:color="auto" w:sz="4" w:space="0"/>
            </w:tcBorders>
          </w:tcPr>
          <w:p w14:paraId="257CBF95">
            <w:pPr>
              <w:jc w:val="center"/>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420" w:type="pct"/>
            <w:tcBorders>
              <w:top w:val="single" w:color="auto" w:sz="4" w:space="0"/>
              <w:left w:val="single" w:color="auto" w:sz="4" w:space="0"/>
              <w:bottom w:val="single" w:color="auto" w:sz="4" w:space="0"/>
              <w:right w:val="single" w:color="auto" w:sz="4" w:space="0"/>
            </w:tcBorders>
            <w:vAlign w:val="center"/>
          </w:tcPr>
          <w:p w14:paraId="3F9AED76">
            <w:pPr>
              <w:jc w:val="right"/>
              <w:textAlignment w:val="center"/>
              <w:rPr>
                <w:rFonts w:cs="Times New Roman"/>
                <w:sz w:val="18"/>
                <w:szCs w:val="18"/>
              </w:rPr>
            </w:pPr>
            <w:r>
              <w:rPr>
                <w:rFonts w:cs="Times New Roman"/>
                <w:color w:val="000000"/>
                <w:sz w:val="18"/>
                <w:szCs w:val="18"/>
              </w:rPr>
              <w:t>34,272,569.47</w:t>
            </w:r>
          </w:p>
        </w:tc>
        <w:tc>
          <w:tcPr>
            <w:tcW w:w="434" w:type="pct"/>
            <w:tcBorders>
              <w:top w:val="single" w:color="auto" w:sz="4" w:space="0"/>
              <w:left w:val="single" w:color="auto" w:sz="4" w:space="0"/>
              <w:bottom w:val="single" w:color="auto" w:sz="4" w:space="0"/>
              <w:right w:val="single" w:color="auto" w:sz="4" w:space="0"/>
            </w:tcBorders>
            <w:vAlign w:val="center"/>
          </w:tcPr>
          <w:p w14:paraId="133F746B">
            <w:pPr>
              <w:jc w:val="right"/>
              <w:textAlignment w:val="center"/>
              <w:rPr>
                <w:rFonts w:cs="Times New Roman"/>
                <w:sz w:val="18"/>
                <w:szCs w:val="18"/>
              </w:rPr>
            </w:pPr>
            <w:r>
              <w:rPr>
                <w:rFonts w:cs="Times New Roman"/>
                <w:color w:val="000000"/>
                <w:sz w:val="18"/>
                <w:szCs w:val="18"/>
              </w:rPr>
              <w:t>35,988,258.60</w:t>
            </w:r>
          </w:p>
        </w:tc>
        <w:tc>
          <w:tcPr>
            <w:tcW w:w="424" w:type="pct"/>
            <w:tcBorders>
              <w:top w:val="single" w:color="auto" w:sz="4" w:space="0"/>
              <w:left w:val="single" w:color="auto" w:sz="4" w:space="0"/>
              <w:bottom w:val="single" w:color="auto" w:sz="4" w:space="0"/>
              <w:right w:val="single" w:color="auto" w:sz="4" w:space="0"/>
            </w:tcBorders>
          </w:tcPr>
          <w:p w14:paraId="0E765EAE">
            <w:pPr>
              <w:jc w:val="center"/>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428" w:type="pct"/>
            <w:tcBorders>
              <w:top w:val="single" w:color="auto" w:sz="4" w:space="0"/>
              <w:left w:val="single" w:color="auto" w:sz="4" w:space="0"/>
              <w:bottom w:val="single" w:color="auto" w:sz="4" w:space="0"/>
              <w:right w:val="single" w:color="auto" w:sz="4" w:space="0"/>
            </w:tcBorders>
            <w:vAlign w:val="center"/>
          </w:tcPr>
          <w:p w14:paraId="52D24843">
            <w:pPr>
              <w:jc w:val="right"/>
              <w:textAlignment w:val="center"/>
              <w:rPr>
                <w:rFonts w:cs="Times New Roman"/>
                <w:sz w:val="18"/>
                <w:szCs w:val="18"/>
              </w:rPr>
            </w:pPr>
            <w:r>
              <w:rPr>
                <w:rFonts w:cs="Times New Roman"/>
                <w:color w:val="000000"/>
                <w:sz w:val="18"/>
                <w:szCs w:val="18"/>
              </w:rPr>
              <w:t>1,309,843.27</w:t>
            </w:r>
          </w:p>
        </w:tc>
        <w:tc>
          <w:tcPr>
            <w:tcW w:w="432" w:type="pct"/>
            <w:tcBorders>
              <w:top w:val="single" w:color="auto" w:sz="4" w:space="0"/>
              <w:left w:val="single" w:color="auto" w:sz="4" w:space="0"/>
              <w:bottom w:val="single" w:color="auto" w:sz="4" w:space="0"/>
              <w:right w:val="single" w:color="auto" w:sz="4" w:space="0"/>
            </w:tcBorders>
          </w:tcPr>
          <w:p w14:paraId="2FEAD01F">
            <w:pPr>
              <w:jc w:val="center"/>
              <w:rPr>
                <w:rFonts w:cs="Times New Roman"/>
                <w:color w:val="000000" w:themeColor="text1"/>
                <w:sz w:val="18"/>
                <w:szCs w:val="18"/>
                <w14:textFill>
                  <w14:solidFill>
                    <w14:schemeClr w14:val="tx1"/>
                  </w14:solidFill>
                </w14:textFill>
              </w:rPr>
            </w:pPr>
            <w:r>
              <w:rPr>
                <w:rFonts w:cs="Times New Roman"/>
                <w:color w:val="000000"/>
                <w:sz w:val="18"/>
                <w:szCs w:val="18"/>
              </w:rPr>
              <w:t>/</w:t>
            </w:r>
          </w:p>
        </w:tc>
        <w:tc>
          <w:tcPr>
            <w:tcW w:w="420" w:type="pct"/>
            <w:tcBorders>
              <w:top w:val="single" w:color="auto" w:sz="4" w:space="0"/>
              <w:left w:val="single" w:color="auto" w:sz="4" w:space="0"/>
              <w:bottom w:val="single" w:color="auto" w:sz="4" w:space="0"/>
              <w:right w:val="single" w:color="auto" w:sz="4" w:space="0"/>
            </w:tcBorders>
            <w:vAlign w:val="center"/>
          </w:tcPr>
          <w:p w14:paraId="6569F5AC">
            <w:pPr>
              <w:jc w:val="right"/>
              <w:textAlignment w:val="center"/>
              <w:rPr>
                <w:rFonts w:cs="Times New Roman"/>
                <w:sz w:val="18"/>
                <w:szCs w:val="18"/>
              </w:rPr>
            </w:pPr>
            <w:r>
              <w:rPr>
                <w:rFonts w:cs="Times New Roman"/>
                <w:color w:val="000000"/>
                <w:sz w:val="18"/>
                <w:szCs w:val="18"/>
              </w:rPr>
              <w:t>34,678,415.33</w:t>
            </w:r>
          </w:p>
        </w:tc>
      </w:tr>
    </w:tbl>
    <w:p w14:paraId="210301DC">
      <w:pPr>
        <w:rPr>
          <w:color w:val="000000" w:themeColor="text1"/>
          <w14:textFill>
            <w14:solidFill>
              <w14:schemeClr w14:val="tx1"/>
            </w14:solidFill>
          </w14:textFill>
        </w:rPr>
      </w:pPr>
    </w:p>
    <w:bookmarkEnd w:id="436"/>
    <w:p w14:paraId="37C2CA94">
      <w:pPr>
        <w:rPr>
          <w:color w:val="000000" w:themeColor="text1"/>
          <w14:textFill>
            <w14:solidFill>
              <w14:schemeClr w14:val="tx1"/>
            </w14:solidFill>
          </w14:textFill>
        </w:rPr>
      </w:pPr>
      <w:bookmarkStart w:id="437" w:name="_Hlk10540045"/>
      <w:bookmarkStart w:id="438" w:name="_Hlk10540056"/>
      <w:r>
        <w:rPr>
          <w:rFonts w:hint="eastAsia"/>
          <w:color w:val="000000" w:themeColor="text1"/>
          <w14:textFill>
            <w14:solidFill>
              <w14:schemeClr w14:val="tx1"/>
            </w14:solidFill>
          </w14:textFill>
        </w:rPr>
        <w:t>按单项计提坏账准备：</w:t>
      </w:r>
      <w:bookmarkEnd w:id="437"/>
    </w:p>
    <w:sdt>
      <w:sdtPr>
        <w:rPr>
          <w:color w:val="000000" w:themeColor="text1"/>
          <w14:textFill>
            <w14:solidFill>
              <w14:schemeClr w14:val="tx1"/>
            </w14:solidFill>
          </w14:textFill>
        </w:rPr>
        <w:alias w:val="是否适用：母公司应收账款按单项计提坏账准备[双击切换]"/>
        <w:tag w:val="_GBC_6aa7698e624f4481b0cf894058a63961"/>
        <w:id w:val="147464528"/>
        <w:placeholder>
          <w:docPart w:val="GBC22222222222222222222222222222"/>
        </w:placeholder>
      </w:sdtPr>
      <w:sdtEndPr>
        <w:rPr>
          <w:color w:val="000000" w:themeColor="text1"/>
          <w14:textFill>
            <w14:solidFill>
              <w14:schemeClr w14:val="tx1"/>
            </w14:solidFill>
          </w14:textFill>
        </w:rPr>
      </w:sdtEndPr>
      <w:sdtContent>
        <w:p w14:paraId="3F1779F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490196F">
      <w:pPr>
        <w:rPr>
          <w:color w:val="000000" w:themeColor="text1"/>
          <w14:textFill>
            <w14:solidFill>
              <w14:schemeClr w14:val="tx1"/>
            </w14:solidFill>
          </w14:textFill>
        </w:rPr>
      </w:pPr>
    </w:p>
    <w:bookmarkEnd w:id="438"/>
    <w:p w14:paraId="04C815F6">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bookmarkStart w:id="439" w:name="_Hlk10540079"/>
    </w:p>
    <w:p w14:paraId="680BA8F4">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sdt>
      <w:sdtPr>
        <w:rPr>
          <w:color w:val="000000" w:themeColor="text1"/>
          <w14:textFill>
            <w14:solidFill>
              <w14:schemeClr w14:val="tx1"/>
            </w14:solidFill>
          </w14:textFill>
        </w:rPr>
        <w:alias w:val="是否适用：母公司应收账款按组合计提坏账准备[双击切换]"/>
        <w:tag w:val="_GBC_bf96e631f2cf4f6a876dff49863ee9d3"/>
        <w:id w:val="147458792"/>
        <w:lock w:val="contentLocked"/>
        <w:placeholder>
          <w:docPart w:val="GBC22222222222222222222222222222"/>
        </w:placeholder>
      </w:sdtPr>
      <w:sdtEndPr>
        <w:rPr>
          <w:color w:val="000000" w:themeColor="text1"/>
          <w14:textFill>
            <w14:solidFill>
              <w14:schemeClr w14:val="tx1"/>
            </w14:solidFill>
          </w14:textFill>
        </w:rPr>
      </w:sdtEndPr>
      <w:sdtContent>
        <w:p w14:paraId="5F57CB0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829792A">
      <w:pPr>
        <w:rPr>
          <w:color w:val="000000" w:themeColor="text1"/>
          <w14:textFill>
            <w14:solidFill>
              <w14:schemeClr w14:val="tx1"/>
            </w14:solidFill>
          </w14:textFill>
        </w:rPr>
      </w:pPr>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c2c49e08c13c49f5b854cd65f748bccc"/>
          <w:id w:val="903569791"/>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组合2关联方组合</w:t>
          </w:r>
        </w:sdtContent>
      </w:sdt>
    </w:p>
    <w:p w14:paraId="33CFCC23">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账款按组合计提坏账准备"/>
          <w:tag w:val="_GBC_eddb8416e4854df0b69f43851a8eba2b"/>
          <w:id w:val="-1503966727"/>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账款按组合计提坏账准备"/>
          <w:tag w:val="_GBC_326d8b8532c4476aa9c90eaa469806e2"/>
          <w:id w:val="755866292"/>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309"/>
        <w:gridCol w:w="2351"/>
        <w:gridCol w:w="2293"/>
      </w:tblGrid>
      <w:tr w14:paraId="251B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017679ab9c8247c6b2e334fd90bf61e9"/>
            <w:id w:val="994760414"/>
          </w:sdtPr>
          <w:sdtEndPr>
            <w:rPr>
              <w:rFonts w:cs="Times New Roman"/>
            </w:rPr>
          </w:sdtEndPr>
          <w:sdtContent>
            <w:tc>
              <w:tcPr>
                <w:tcW w:w="1158" w:type="pct"/>
                <w:vMerge w:val="restart"/>
                <w:vAlign w:val="center"/>
              </w:tcPr>
              <w:p w14:paraId="779958F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sdtContent>
        </w:sdt>
        <w:sdt>
          <w:sdtPr>
            <w:rPr>
              <w:rFonts w:cs="Times New Roman"/>
            </w:rPr>
            <w:tag w:val="_PLD_5135cd56467d4853affa6d0ae484f326"/>
            <w:id w:val="1784303470"/>
          </w:sdtPr>
          <w:sdtEndPr>
            <w:rPr>
              <w:rFonts w:cs="Times New Roman"/>
            </w:rPr>
          </w:sdtEndPr>
          <w:sdtContent>
            <w:tc>
              <w:tcPr>
                <w:tcW w:w="3842" w:type="pct"/>
                <w:gridSpan w:val="3"/>
                <w:vAlign w:val="center"/>
              </w:tcPr>
              <w:p w14:paraId="7F0C945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3763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01AB20EE">
            <w:pPr>
              <w:jc w:val="center"/>
              <w:rPr>
                <w:rFonts w:cs="Times New Roman"/>
                <w:color w:val="000000" w:themeColor="text1"/>
                <w14:textFill>
                  <w14:solidFill>
                    <w14:schemeClr w14:val="tx1"/>
                  </w14:solidFill>
                </w14:textFill>
              </w:rPr>
            </w:pPr>
          </w:p>
        </w:tc>
        <w:sdt>
          <w:sdtPr>
            <w:rPr>
              <w:rFonts w:cs="Times New Roman"/>
            </w:rPr>
            <w:tag w:val="_PLD_6853d362c1364938aec50c34a4c1b2be"/>
            <w:id w:val="2075313757"/>
          </w:sdtPr>
          <w:sdtEndPr>
            <w:rPr>
              <w:rFonts w:cs="Times New Roman"/>
            </w:rPr>
          </w:sdtEndPr>
          <w:sdtContent>
            <w:tc>
              <w:tcPr>
                <w:tcW w:w="1276" w:type="pct"/>
                <w:vAlign w:val="center"/>
              </w:tcPr>
              <w:p w14:paraId="708BF42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497956cded5b48c4b4741462475810da"/>
            <w:id w:val="1422762906"/>
          </w:sdtPr>
          <w:sdtEndPr>
            <w:rPr>
              <w:rFonts w:cs="Times New Roman"/>
            </w:rPr>
          </w:sdtEndPr>
          <w:sdtContent>
            <w:tc>
              <w:tcPr>
                <w:tcW w:w="1299" w:type="pct"/>
                <w:vAlign w:val="center"/>
              </w:tcPr>
              <w:p w14:paraId="4E3A3CF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abeb28def5684beab5ea48273044d861"/>
            <w:id w:val="-1370685797"/>
          </w:sdtPr>
          <w:sdtEndPr>
            <w:rPr>
              <w:rFonts w:cs="Times New Roman"/>
            </w:rPr>
          </w:sdtEndPr>
          <w:sdtContent>
            <w:tc>
              <w:tcPr>
                <w:tcW w:w="1267" w:type="pct"/>
                <w:vAlign w:val="center"/>
              </w:tcPr>
              <w:p w14:paraId="282B9BF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r>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310480621"/>
          <w:placeholder>
            <w:docPart w:val="{e80a722c-aae6-436f-8b25-62d32db9cd08}"/>
          </w:placeholder>
        </w:sdtPr>
        <w:sdtEndPr>
          <w:rPr>
            <w:rFonts w:cs="Times New Roman"/>
            <w:color w:val="000000" w:themeColor="text1"/>
            <w:highlight w:val="yellow"/>
            <w14:textFill>
              <w14:solidFill>
                <w14:schemeClr w14:val="tx1"/>
              </w14:solidFill>
            </w14:textFill>
          </w:rPr>
        </w:sdtEndPr>
        <w:sdtContent>
          <w:tr w14:paraId="7B9D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FB11923">
                <w:pPr>
                  <w:rPr>
                    <w:rFonts w:cs="Times New Roman"/>
                  </w:rPr>
                </w:pPr>
                <w:r>
                  <w:rPr>
                    <w:rFonts w:cs="Times New Roman"/>
                  </w:rPr>
                  <w:t>1年以内</w:t>
                </w:r>
              </w:p>
            </w:tc>
            <w:tc>
              <w:tcPr>
                <w:tcW w:w="1276" w:type="pct"/>
              </w:tcPr>
              <w:p w14:paraId="05F3BBD6">
                <w:pPr>
                  <w:jc w:val="right"/>
                  <w:rPr>
                    <w:rFonts w:cs="Times New Roman"/>
                  </w:rPr>
                </w:pPr>
              </w:p>
            </w:tc>
            <w:tc>
              <w:tcPr>
                <w:tcW w:w="1299" w:type="pct"/>
              </w:tcPr>
              <w:p w14:paraId="74A962DA">
                <w:pPr>
                  <w:jc w:val="right"/>
                  <w:rPr>
                    <w:rFonts w:cs="Times New Roman"/>
                  </w:rPr>
                </w:pPr>
              </w:p>
            </w:tc>
            <w:tc>
              <w:tcPr>
                <w:tcW w:w="1267" w:type="pct"/>
              </w:tcPr>
              <w:p w14:paraId="62E92FC7">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002250402"/>
          <w:placeholder>
            <w:docPart w:val="{e80a722c-aae6-436f-8b25-62d32db9cd08}"/>
          </w:placeholder>
        </w:sdtPr>
        <w:sdtEndPr>
          <w:rPr>
            <w:rFonts w:cs="Times New Roman"/>
            <w:color w:val="000000" w:themeColor="text1"/>
            <w:highlight w:val="yellow"/>
            <w14:textFill>
              <w14:solidFill>
                <w14:schemeClr w14:val="tx1"/>
              </w14:solidFill>
            </w14:textFill>
          </w:rPr>
        </w:sdtEndPr>
        <w:sdtContent>
          <w:tr w14:paraId="0EBE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234CAA5">
                <w:pPr>
                  <w:rPr>
                    <w:rFonts w:cs="Times New Roman"/>
                  </w:rPr>
                </w:pPr>
                <w:r>
                  <w:rPr>
                    <w:rFonts w:cs="Times New Roman"/>
                  </w:rPr>
                  <w:t>1－2年</w:t>
                </w:r>
              </w:p>
            </w:tc>
            <w:tc>
              <w:tcPr>
                <w:tcW w:w="1276" w:type="pct"/>
              </w:tcPr>
              <w:p w14:paraId="2E343152">
                <w:pPr>
                  <w:jc w:val="right"/>
                  <w:rPr>
                    <w:rFonts w:cs="Times New Roman"/>
                  </w:rPr>
                </w:pPr>
              </w:p>
            </w:tc>
            <w:tc>
              <w:tcPr>
                <w:tcW w:w="1299" w:type="pct"/>
              </w:tcPr>
              <w:p w14:paraId="424569C4">
                <w:pPr>
                  <w:jc w:val="right"/>
                  <w:rPr>
                    <w:rFonts w:cs="Times New Roman"/>
                  </w:rPr>
                </w:pPr>
              </w:p>
            </w:tc>
            <w:tc>
              <w:tcPr>
                <w:tcW w:w="1267" w:type="pct"/>
              </w:tcPr>
              <w:p w14:paraId="306F40CE">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743770530"/>
          <w:placeholder>
            <w:docPart w:val="{e80a722c-aae6-436f-8b25-62d32db9cd08}"/>
          </w:placeholder>
        </w:sdtPr>
        <w:sdtEndPr>
          <w:rPr>
            <w:rFonts w:cs="Times New Roman"/>
            <w:color w:val="000000" w:themeColor="text1"/>
            <w:highlight w:val="yellow"/>
            <w14:textFill>
              <w14:solidFill>
                <w14:schemeClr w14:val="tx1"/>
              </w14:solidFill>
            </w14:textFill>
          </w:rPr>
        </w:sdtEndPr>
        <w:sdtContent>
          <w:tr w14:paraId="064A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4D517CC0">
                <w:pPr>
                  <w:rPr>
                    <w:rFonts w:cs="Times New Roman"/>
                  </w:rPr>
                </w:pPr>
                <w:r>
                  <w:rPr>
                    <w:rFonts w:cs="Times New Roman"/>
                  </w:rPr>
                  <w:t>2－3年</w:t>
                </w:r>
              </w:p>
            </w:tc>
            <w:tc>
              <w:tcPr>
                <w:tcW w:w="1276" w:type="pct"/>
                <w:vAlign w:val="center"/>
              </w:tcPr>
              <w:p w14:paraId="173B624C">
                <w:pPr>
                  <w:jc w:val="right"/>
                  <w:rPr>
                    <w:rFonts w:cs="Times New Roman"/>
                  </w:rPr>
                </w:pPr>
                <w:r>
                  <w:rPr>
                    <w:rFonts w:cs="Times New Roman"/>
                  </w:rPr>
                  <w:t>2,385,087.60</w:t>
                </w:r>
              </w:p>
            </w:tc>
            <w:tc>
              <w:tcPr>
                <w:tcW w:w="1299" w:type="pct"/>
              </w:tcPr>
              <w:p w14:paraId="6458A229">
                <w:pPr>
                  <w:jc w:val="right"/>
                  <w:rPr>
                    <w:rFonts w:cs="Times New Roman"/>
                  </w:rPr>
                </w:pPr>
              </w:p>
            </w:tc>
            <w:tc>
              <w:tcPr>
                <w:tcW w:w="1267" w:type="pct"/>
              </w:tcPr>
              <w:p w14:paraId="660BB627">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858816903"/>
          <w:placeholder>
            <w:docPart w:val="{e80a722c-aae6-436f-8b25-62d32db9cd08}"/>
          </w:placeholder>
        </w:sdtPr>
        <w:sdtEndPr>
          <w:rPr>
            <w:rFonts w:cs="Times New Roman"/>
            <w:color w:val="000000" w:themeColor="text1"/>
            <w:highlight w:val="yellow"/>
            <w14:textFill>
              <w14:solidFill>
                <w14:schemeClr w14:val="tx1"/>
              </w14:solidFill>
            </w14:textFill>
          </w:rPr>
        </w:sdtEndPr>
        <w:sdtContent>
          <w:tr w14:paraId="32A6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7A39A98">
                <w:pPr>
                  <w:rPr>
                    <w:rFonts w:cs="Times New Roman"/>
                  </w:rPr>
                </w:pPr>
                <w:r>
                  <w:rPr>
                    <w:rFonts w:cs="Times New Roman"/>
                  </w:rPr>
                  <w:t>3－4年</w:t>
                </w:r>
              </w:p>
            </w:tc>
            <w:tc>
              <w:tcPr>
                <w:tcW w:w="1276" w:type="pct"/>
                <w:vAlign w:val="center"/>
              </w:tcPr>
              <w:p w14:paraId="0C3EC042">
                <w:pPr>
                  <w:jc w:val="right"/>
                  <w:rPr>
                    <w:rFonts w:cs="Times New Roman"/>
                  </w:rPr>
                </w:pPr>
                <w:r>
                  <w:rPr>
                    <w:rFonts w:cs="Times New Roman"/>
                  </w:rPr>
                  <w:t>53,287.32</w:t>
                </w:r>
              </w:p>
            </w:tc>
            <w:tc>
              <w:tcPr>
                <w:tcW w:w="1299" w:type="pct"/>
              </w:tcPr>
              <w:p w14:paraId="01ECD8C7">
                <w:pPr>
                  <w:jc w:val="right"/>
                  <w:rPr>
                    <w:rFonts w:cs="Times New Roman"/>
                  </w:rPr>
                </w:pPr>
              </w:p>
            </w:tc>
            <w:tc>
              <w:tcPr>
                <w:tcW w:w="1267" w:type="pct"/>
              </w:tcPr>
              <w:p w14:paraId="1D6A4085">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097904874"/>
          <w:placeholder>
            <w:docPart w:val="{e80a722c-aae6-436f-8b25-62d32db9cd08}"/>
          </w:placeholder>
        </w:sdtPr>
        <w:sdtEndPr>
          <w:rPr>
            <w:rFonts w:cs="Times New Roman"/>
            <w:color w:val="000000" w:themeColor="text1"/>
            <w:highlight w:val="yellow"/>
            <w14:textFill>
              <w14:solidFill>
                <w14:schemeClr w14:val="tx1"/>
              </w14:solidFill>
            </w14:textFill>
          </w:rPr>
        </w:sdtEndPr>
        <w:sdtContent>
          <w:tr w14:paraId="1715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1E8C356">
                <w:pPr>
                  <w:rPr>
                    <w:rFonts w:cs="Times New Roman"/>
                  </w:rPr>
                </w:pPr>
                <w:r>
                  <w:rPr>
                    <w:rFonts w:cs="Times New Roman"/>
                  </w:rPr>
                  <w:t>4－5年</w:t>
                </w:r>
              </w:p>
            </w:tc>
            <w:tc>
              <w:tcPr>
                <w:tcW w:w="1276" w:type="pct"/>
                <w:vAlign w:val="center"/>
              </w:tcPr>
              <w:p w14:paraId="55AFB434">
                <w:pPr>
                  <w:jc w:val="right"/>
                  <w:rPr>
                    <w:rFonts w:cs="Times New Roman"/>
                  </w:rPr>
                </w:pPr>
                <w:r>
                  <w:rPr>
                    <w:rFonts w:cs="Times New Roman"/>
                  </w:rPr>
                  <w:t>1,903,677.13</w:t>
                </w:r>
              </w:p>
            </w:tc>
            <w:tc>
              <w:tcPr>
                <w:tcW w:w="1299" w:type="pct"/>
              </w:tcPr>
              <w:p w14:paraId="3A4E106B">
                <w:pPr>
                  <w:jc w:val="right"/>
                  <w:rPr>
                    <w:rFonts w:cs="Times New Roman"/>
                  </w:rPr>
                </w:pPr>
              </w:p>
            </w:tc>
            <w:tc>
              <w:tcPr>
                <w:tcW w:w="1267" w:type="pct"/>
              </w:tcPr>
              <w:p w14:paraId="63270625">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616187614"/>
          <w:placeholder>
            <w:docPart w:val="{e80a722c-aae6-436f-8b25-62d32db9cd08}"/>
          </w:placeholder>
        </w:sdtPr>
        <w:sdtEndPr>
          <w:rPr>
            <w:rFonts w:cs="Times New Roman"/>
            <w:color w:val="000000" w:themeColor="text1"/>
            <w:highlight w:val="yellow"/>
            <w14:textFill>
              <w14:solidFill>
                <w14:schemeClr w14:val="tx1"/>
              </w14:solidFill>
            </w14:textFill>
          </w:rPr>
        </w:sdtEndPr>
        <w:sdtContent>
          <w:tr w14:paraId="1D23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0BBC47F">
                <w:pPr>
                  <w:rPr>
                    <w:rFonts w:cs="Times New Roman"/>
                  </w:rPr>
                </w:pPr>
                <w:r>
                  <w:rPr>
                    <w:rFonts w:cs="Times New Roman"/>
                  </w:rPr>
                  <w:t>5年以上</w:t>
                </w:r>
              </w:p>
            </w:tc>
            <w:tc>
              <w:tcPr>
                <w:tcW w:w="1276" w:type="pct"/>
                <w:vAlign w:val="center"/>
              </w:tcPr>
              <w:p w14:paraId="0C0E587F">
                <w:pPr>
                  <w:jc w:val="right"/>
                  <w:rPr>
                    <w:rFonts w:cs="Times New Roman"/>
                  </w:rPr>
                </w:pPr>
                <w:r>
                  <w:rPr>
                    <w:rFonts w:cs="Times New Roman"/>
                  </w:rPr>
                  <w:t>29,852,727.76</w:t>
                </w:r>
              </w:p>
            </w:tc>
            <w:tc>
              <w:tcPr>
                <w:tcW w:w="1299" w:type="pct"/>
              </w:tcPr>
              <w:p w14:paraId="2436F094">
                <w:pPr>
                  <w:jc w:val="right"/>
                  <w:rPr>
                    <w:rFonts w:cs="Times New Roman"/>
                  </w:rPr>
                </w:pPr>
              </w:p>
            </w:tc>
            <w:tc>
              <w:tcPr>
                <w:tcW w:w="1267" w:type="pct"/>
              </w:tcPr>
              <w:p w14:paraId="4A624CDF">
                <w:pPr>
                  <w:jc w:val="right"/>
                  <w:rPr>
                    <w:rFonts w:cs="Times New Roman"/>
                  </w:rPr>
                </w:pPr>
              </w:p>
            </w:tc>
          </w:tr>
        </w:sdtContent>
      </w:sdt>
      <w:tr w14:paraId="7B85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435948144728481980336a881622f9ca"/>
            <w:id w:val="2562835"/>
          </w:sdtPr>
          <w:sdtEndPr>
            <w:rPr>
              <w:rFonts w:cs="Times New Roman"/>
            </w:rPr>
          </w:sdtEndPr>
          <w:sdtContent>
            <w:tc>
              <w:tcPr>
                <w:tcW w:w="1158" w:type="pct"/>
                <w:vAlign w:val="center"/>
              </w:tcPr>
              <w:p w14:paraId="4147A0F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276" w:type="pct"/>
            <w:vAlign w:val="center"/>
          </w:tcPr>
          <w:p w14:paraId="3CF68E21">
            <w:pPr>
              <w:jc w:val="right"/>
              <w:rPr>
                <w:rFonts w:cs="Times New Roman"/>
              </w:rPr>
            </w:pPr>
            <w:r>
              <w:rPr>
                <w:rFonts w:cs="Times New Roman"/>
              </w:rPr>
              <w:t>34,194,779.81</w:t>
            </w:r>
          </w:p>
        </w:tc>
        <w:tc>
          <w:tcPr>
            <w:tcW w:w="1299" w:type="pct"/>
          </w:tcPr>
          <w:p w14:paraId="15EB37C5">
            <w:pPr>
              <w:jc w:val="right"/>
              <w:rPr>
                <w:rFonts w:cs="Times New Roman"/>
              </w:rPr>
            </w:pPr>
          </w:p>
        </w:tc>
        <w:tc>
          <w:tcPr>
            <w:tcW w:w="1267" w:type="pct"/>
          </w:tcPr>
          <w:p w14:paraId="18A5A9AD">
            <w:pPr>
              <w:jc w:val="right"/>
              <w:rPr>
                <w:rFonts w:cs="Times New Roman"/>
              </w:rPr>
            </w:pPr>
          </w:p>
        </w:tc>
      </w:tr>
    </w:tbl>
    <w:p w14:paraId="155C2DBE">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母公司应收账款按组合计提坏账的确认标准及说明[双击切换]"/>
        <w:tag w:val="_GBC_186c78f5430148f29cc239ac6b530e5e"/>
        <w:id w:val="-112437008"/>
        <w:placeholder>
          <w:docPart w:val="{3192be38-0d7d-4a77-b68b-13c7f0caf2e1}"/>
        </w:placeholder>
      </w:sdtPr>
      <w:sdtEndPr>
        <w:rPr>
          <w:color w:val="000000" w:themeColor="text1"/>
          <w14:textFill>
            <w14:solidFill>
              <w14:schemeClr w14:val="tx1"/>
            </w14:solidFill>
          </w14:textFill>
        </w:rPr>
      </w:sdtEndPr>
      <w:sdtContent>
        <w:p w14:paraId="75D41B5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E9CBBA8"/>
    <w:p w14:paraId="59C1D34B"/>
    <w:bookmarkEnd w:id="439"/>
    <w:p w14:paraId="6C482090">
      <w:pPr>
        <w:rPr>
          <w:color w:val="000000" w:themeColor="text1"/>
          <w14:textFill>
            <w14:solidFill>
              <w14:schemeClr w14:val="tx1"/>
            </w14:solidFill>
          </w14:textFill>
        </w:rPr>
      </w:pPr>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c2c49e08c13c49f5b854cd65f748bccc"/>
          <w:id w:val="923997085"/>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组合3账龄组合</w:t>
          </w:r>
        </w:sdtContent>
      </w:sdt>
    </w:p>
    <w:p w14:paraId="52FE0818">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账款按组合计提坏账准备"/>
          <w:tag w:val="_GBC_eddb8416e4854df0b69f43851a8eba2b"/>
          <w:id w:val="-1324508642"/>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账款按组合计提坏账准备"/>
          <w:tag w:val="_GBC_326d8b8532c4476aa9c90eaa469806e2"/>
          <w:id w:val="-88032186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2309"/>
        <w:gridCol w:w="2351"/>
        <w:gridCol w:w="2293"/>
      </w:tblGrid>
      <w:tr w14:paraId="566E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017679ab9c8247c6b2e334fd90bf61e9"/>
            <w:id w:val="1759016489"/>
          </w:sdtPr>
          <w:sdtEndPr>
            <w:rPr>
              <w:rFonts w:cs="Times New Roman"/>
            </w:rPr>
          </w:sdtEndPr>
          <w:sdtContent>
            <w:tc>
              <w:tcPr>
                <w:tcW w:w="1158" w:type="pct"/>
                <w:vMerge w:val="restart"/>
                <w:vAlign w:val="center"/>
              </w:tcPr>
              <w:p w14:paraId="1BF9D3C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sdtContent>
        </w:sdt>
        <w:sdt>
          <w:sdtPr>
            <w:rPr>
              <w:rFonts w:cs="Times New Roman"/>
            </w:rPr>
            <w:tag w:val="_PLD_5135cd56467d4853affa6d0ae484f326"/>
            <w:id w:val="1494684169"/>
          </w:sdtPr>
          <w:sdtEndPr>
            <w:rPr>
              <w:rFonts w:cs="Times New Roman"/>
            </w:rPr>
          </w:sdtEndPr>
          <w:sdtContent>
            <w:tc>
              <w:tcPr>
                <w:tcW w:w="3842" w:type="pct"/>
                <w:gridSpan w:val="3"/>
                <w:vAlign w:val="center"/>
              </w:tcPr>
              <w:p w14:paraId="79CDAAB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04E8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14:paraId="514ED07C">
            <w:pPr>
              <w:jc w:val="center"/>
              <w:rPr>
                <w:rFonts w:cs="Times New Roman"/>
                <w:color w:val="000000" w:themeColor="text1"/>
                <w14:textFill>
                  <w14:solidFill>
                    <w14:schemeClr w14:val="tx1"/>
                  </w14:solidFill>
                </w14:textFill>
              </w:rPr>
            </w:pPr>
          </w:p>
        </w:tc>
        <w:sdt>
          <w:sdtPr>
            <w:rPr>
              <w:rFonts w:cs="Times New Roman"/>
            </w:rPr>
            <w:tag w:val="_PLD_6853d362c1364938aec50c34a4c1b2be"/>
            <w:id w:val="761810030"/>
          </w:sdtPr>
          <w:sdtEndPr>
            <w:rPr>
              <w:rFonts w:cs="Times New Roman"/>
            </w:rPr>
          </w:sdtEndPr>
          <w:sdtContent>
            <w:tc>
              <w:tcPr>
                <w:tcW w:w="1276" w:type="pct"/>
                <w:vAlign w:val="center"/>
              </w:tcPr>
              <w:p w14:paraId="413091F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497956cded5b48c4b4741462475810da"/>
            <w:id w:val="1513407581"/>
          </w:sdtPr>
          <w:sdtEndPr>
            <w:rPr>
              <w:rFonts w:cs="Times New Roman"/>
            </w:rPr>
          </w:sdtEndPr>
          <w:sdtContent>
            <w:tc>
              <w:tcPr>
                <w:tcW w:w="1299" w:type="pct"/>
                <w:vAlign w:val="center"/>
              </w:tcPr>
              <w:p w14:paraId="23914E2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tc>
          </w:sdtContent>
        </w:sdt>
        <w:sdt>
          <w:sdtPr>
            <w:rPr>
              <w:rFonts w:cs="Times New Roman"/>
            </w:rPr>
            <w:tag w:val="_PLD_abeb28def5684beab5ea48273044d861"/>
            <w:id w:val="-2110730731"/>
          </w:sdtPr>
          <w:sdtEndPr>
            <w:rPr>
              <w:rFonts w:cs="Times New Roman"/>
            </w:rPr>
          </w:sdtEndPr>
          <w:sdtContent>
            <w:tc>
              <w:tcPr>
                <w:tcW w:w="1267" w:type="pct"/>
                <w:vAlign w:val="center"/>
              </w:tcPr>
              <w:p w14:paraId="3E7552C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计提比例（%）</w:t>
                </w:r>
              </w:p>
            </w:tc>
          </w:sdtContent>
        </w:sdt>
      </w:tr>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882045711"/>
          <w:placeholder>
            <w:docPart w:val="{ae7d60a6-b0f4-4814-9bed-12a3bf4c5322}"/>
          </w:placeholder>
        </w:sdtPr>
        <w:sdtEndPr>
          <w:rPr>
            <w:rFonts w:cs="Times New Roman"/>
            <w:color w:val="000000" w:themeColor="text1"/>
            <w:highlight w:val="yellow"/>
            <w14:textFill>
              <w14:solidFill>
                <w14:schemeClr w14:val="tx1"/>
              </w14:solidFill>
            </w14:textFill>
          </w:rPr>
        </w:sdtEndPr>
        <w:sdtContent>
          <w:tr w14:paraId="3ED5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10C6823D">
                <w:pPr>
                  <w:rPr>
                    <w:rFonts w:cs="Times New Roman"/>
                  </w:rPr>
                </w:pPr>
                <w:r>
                  <w:rPr>
                    <w:rFonts w:cs="Times New Roman"/>
                  </w:rPr>
                  <w:t>1年以内</w:t>
                </w:r>
              </w:p>
            </w:tc>
            <w:tc>
              <w:tcPr>
                <w:tcW w:w="1276" w:type="pct"/>
              </w:tcPr>
              <w:p w14:paraId="4E979B98">
                <w:pPr>
                  <w:jc w:val="right"/>
                  <w:rPr>
                    <w:rFonts w:cs="Times New Roman"/>
                  </w:rPr>
                </w:pPr>
              </w:p>
            </w:tc>
            <w:tc>
              <w:tcPr>
                <w:tcW w:w="1299" w:type="pct"/>
              </w:tcPr>
              <w:p w14:paraId="02E3620C">
                <w:pPr>
                  <w:jc w:val="right"/>
                  <w:rPr>
                    <w:rFonts w:cs="Times New Roman"/>
                  </w:rPr>
                </w:pPr>
              </w:p>
            </w:tc>
            <w:tc>
              <w:tcPr>
                <w:tcW w:w="1267" w:type="pct"/>
              </w:tcPr>
              <w:p w14:paraId="383D4986">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386134377"/>
          <w:placeholder>
            <w:docPart w:val="{ae7d60a6-b0f4-4814-9bed-12a3bf4c5322}"/>
          </w:placeholder>
        </w:sdtPr>
        <w:sdtEndPr>
          <w:rPr>
            <w:rFonts w:cs="Times New Roman"/>
            <w:color w:val="000000" w:themeColor="text1"/>
            <w:highlight w:val="yellow"/>
            <w14:textFill>
              <w14:solidFill>
                <w14:schemeClr w14:val="tx1"/>
              </w14:solidFill>
            </w14:textFill>
          </w:rPr>
        </w:sdtEndPr>
        <w:sdtContent>
          <w:tr w14:paraId="264D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25489EB7">
                <w:pPr>
                  <w:rPr>
                    <w:rFonts w:cs="Times New Roman"/>
                  </w:rPr>
                </w:pPr>
                <w:r>
                  <w:rPr>
                    <w:rFonts w:cs="Times New Roman"/>
                  </w:rPr>
                  <w:t>1－2年</w:t>
                </w:r>
              </w:p>
            </w:tc>
            <w:tc>
              <w:tcPr>
                <w:tcW w:w="1276" w:type="pct"/>
              </w:tcPr>
              <w:p w14:paraId="4F36A403">
                <w:pPr>
                  <w:jc w:val="right"/>
                  <w:rPr>
                    <w:rFonts w:cs="Times New Roman"/>
                  </w:rPr>
                </w:pPr>
              </w:p>
            </w:tc>
            <w:tc>
              <w:tcPr>
                <w:tcW w:w="1299" w:type="pct"/>
              </w:tcPr>
              <w:p w14:paraId="01A9E7BB">
                <w:pPr>
                  <w:jc w:val="right"/>
                  <w:rPr>
                    <w:rFonts w:cs="Times New Roman"/>
                  </w:rPr>
                </w:pPr>
              </w:p>
            </w:tc>
            <w:tc>
              <w:tcPr>
                <w:tcW w:w="1267" w:type="pct"/>
              </w:tcPr>
              <w:p w14:paraId="0B05638E">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326019652"/>
          <w:placeholder>
            <w:docPart w:val="{ae7d60a6-b0f4-4814-9bed-12a3bf4c5322}"/>
          </w:placeholder>
        </w:sdtPr>
        <w:sdtEndPr>
          <w:rPr>
            <w:rFonts w:cs="Times New Roman"/>
            <w:color w:val="000000" w:themeColor="text1"/>
            <w:highlight w:val="yellow"/>
            <w14:textFill>
              <w14:solidFill>
                <w14:schemeClr w14:val="tx1"/>
              </w14:solidFill>
            </w14:textFill>
          </w:rPr>
        </w:sdtEndPr>
        <w:sdtContent>
          <w:tr w14:paraId="1842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7D1F3221">
                <w:pPr>
                  <w:rPr>
                    <w:rFonts w:cs="Times New Roman"/>
                  </w:rPr>
                </w:pPr>
                <w:r>
                  <w:rPr>
                    <w:rFonts w:cs="Times New Roman"/>
                  </w:rPr>
                  <w:t>2－3年</w:t>
                </w:r>
              </w:p>
            </w:tc>
            <w:tc>
              <w:tcPr>
                <w:tcW w:w="1276" w:type="pct"/>
                <w:vAlign w:val="center"/>
              </w:tcPr>
              <w:p w14:paraId="52040994">
                <w:pPr>
                  <w:jc w:val="right"/>
                  <w:rPr>
                    <w:rFonts w:cs="Times New Roman"/>
                  </w:rPr>
                </w:pPr>
                <w:r>
                  <w:rPr>
                    <w:rFonts w:cs="Times New Roman"/>
                  </w:rPr>
                  <w:t>100,645.12</w:t>
                </w:r>
              </w:p>
            </w:tc>
            <w:tc>
              <w:tcPr>
                <w:tcW w:w="1299" w:type="pct"/>
                <w:vAlign w:val="center"/>
              </w:tcPr>
              <w:p w14:paraId="3D90A646">
                <w:pPr>
                  <w:jc w:val="right"/>
                  <w:rPr>
                    <w:rFonts w:cs="Times New Roman"/>
                  </w:rPr>
                </w:pPr>
                <w:r>
                  <w:rPr>
                    <w:rFonts w:cs="Times New Roman"/>
                  </w:rPr>
                  <w:t>50,322.56</w:t>
                </w:r>
              </w:p>
            </w:tc>
            <w:tc>
              <w:tcPr>
                <w:tcW w:w="1267" w:type="pct"/>
                <w:vAlign w:val="center"/>
              </w:tcPr>
              <w:p w14:paraId="7075F434">
                <w:pPr>
                  <w:jc w:val="right"/>
                  <w:rPr>
                    <w:rFonts w:cs="Times New Roman"/>
                  </w:rPr>
                </w:pPr>
                <w:r>
                  <w:rPr>
                    <w:rFonts w:cs="Times New Roman"/>
                  </w:rPr>
                  <w:t>50.00</w:t>
                </w: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707752881"/>
          <w:placeholder>
            <w:docPart w:val="{ae7d60a6-b0f4-4814-9bed-12a3bf4c5322}"/>
          </w:placeholder>
        </w:sdtPr>
        <w:sdtEndPr>
          <w:rPr>
            <w:rFonts w:cs="Times New Roman"/>
            <w:color w:val="000000" w:themeColor="text1"/>
            <w:highlight w:val="yellow"/>
            <w14:textFill>
              <w14:solidFill>
                <w14:schemeClr w14:val="tx1"/>
              </w14:solidFill>
            </w14:textFill>
          </w:rPr>
        </w:sdtEndPr>
        <w:sdtContent>
          <w:tr w14:paraId="2AAF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39BE74E8">
                <w:pPr>
                  <w:rPr>
                    <w:rFonts w:cs="Times New Roman"/>
                  </w:rPr>
                </w:pPr>
                <w:r>
                  <w:rPr>
                    <w:rFonts w:cs="Times New Roman"/>
                  </w:rPr>
                  <w:t>3－4年</w:t>
                </w:r>
              </w:p>
            </w:tc>
            <w:tc>
              <w:tcPr>
                <w:tcW w:w="1276" w:type="pct"/>
                <w:vAlign w:val="center"/>
              </w:tcPr>
              <w:p w14:paraId="20F991CB">
                <w:pPr>
                  <w:jc w:val="right"/>
                  <w:rPr>
                    <w:rFonts w:cs="Times New Roman"/>
                  </w:rPr>
                </w:pPr>
                <w:r>
                  <w:rPr>
                    <w:rFonts w:cs="Times New Roman"/>
                  </w:rPr>
                  <w:t>91,557.00</w:t>
                </w:r>
              </w:p>
            </w:tc>
            <w:tc>
              <w:tcPr>
                <w:tcW w:w="1299" w:type="pct"/>
                <w:vAlign w:val="center"/>
              </w:tcPr>
              <w:p w14:paraId="4E4F8025">
                <w:pPr>
                  <w:jc w:val="right"/>
                  <w:rPr>
                    <w:rFonts w:cs="Times New Roman"/>
                  </w:rPr>
                </w:pPr>
                <w:r>
                  <w:rPr>
                    <w:rFonts w:cs="Times New Roman"/>
                  </w:rPr>
                  <w:t>64,089.90</w:t>
                </w:r>
              </w:p>
            </w:tc>
            <w:tc>
              <w:tcPr>
                <w:tcW w:w="1267" w:type="pct"/>
                <w:vAlign w:val="center"/>
              </w:tcPr>
              <w:p w14:paraId="315B6720">
                <w:pPr>
                  <w:jc w:val="right"/>
                  <w:rPr>
                    <w:rFonts w:cs="Times New Roman"/>
                  </w:rPr>
                </w:pPr>
                <w:r>
                  <w:rPr>
                    <w:rFonts w:cs="Times New Roman"/>
                  </w:rPr>
                  <w:t>70.00</w:t>
                </w: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2428546"/>
          <w:placeholder>
            <w:docPart w:val="{ae7d60a6-b0f4-4814-9bed-12a3bf4c5322}"/>
          </w:placeholder>
        </w:sdtPr>
        <w:sdtEndPr>
          <w:rPr>
            <w:rFonts w:cs="Times New Roman"/>
            <w:color w:val="000000" w:themeColor="text1"/>
            <w:highlight w:val="yellow"/>
            <w14:textFill>
              <w14:solidFill>
                <w14:schemeClr w14:val="tx1"/>
              </w14:solidFill>
            </w14:textFill>
          </w:rPr>
        </w:sdtEndPr>
        <w:sdtContent>
          <w:tr w14:paraId="64E6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0C972F8C">
                <w:pPr>
                  <w:rPr>
                    <w:rFonts w:cs="Times New Roman"/>
                  </w:rPr>
                </w:pPr>
                <w:r>
                  <w:rPr>
                    <w:rFonts w:cs="Times New Roman"/>
                  </w:rPr>
                  <w:t>4－5年</w:t>
                </w:r>
              </w:p>
            </w:tc>
            <w:tc>
              <w:tcPr>
                <w:tcW w:w="1276" w:type="pct"/>
                <w:vAlign w:val="center"/>
              </w:tcPr>
              <w:p w14:paraId="49FFB231">
                <w:pPr>
                  <w:jc w:val="right"/>
                  <w:rPr>
                    <w:rFonts w:cs="Times New Roman"/>
                  </w:rPr>
                </w:pPr>
              </w:p>
            </w:tc>
            <w:tc>
              <w:tcPr>
                <w:tcW w:w="1299" w:type="pct"/>
                <w:vAlign w:val="center"/>
              </w:tcPr>
              <w:p w14:paraId="070EAAD9">
                <w:pPr>
                  <w:jc w:val="right"/>
                  <w:rPr>
                    <w:rFonts w:cs="Times New Roman"/>
                  </w:rPr>
                </w:pPr>
              </w:p>
            </w:tc>
            <w:tc>
              <w:tcPr>
                <w:tcW w:w="1267" w:type="pct"/>
                <w:vAlign w:val="center"/>
              </w:tcPr>
              <w:p w14:paraId="290CE859">
                <w:pPr>
                  <w:jc w:val="right"/>
                  <w:rPr>
                    <w:rFonts w:cs="Times New Roman"/>
                  </w:rPr>
                </w:pPr>
              </w:p>
            </w:tc>
          </w:tr>
        </w:sdtContent>
      </w:sdt>
      <w:sdt>
        <w:sdtPr>
          <w:rPr>
            <w:rFonts w:cs="Times New Roman"/>
            <w:color w:val="000000" w:themeColor="text1"/>
            <w14:textFill>
              <w14:solidFill>
                <w14:schemeClr w14:val="tx1"/>
              </w14:solidFill>
            </w14:textFill>
          </w:rPr>
          <w:alias w:val="按组合计提坏账准备的应收账款详细名称明细"/>
          <w:tag w:val="_TUP_f0c1437e418b477abdaa018db20308d6"/>
          <w:id w:val="1439798538"/>
          <w:placeholder>
            <w:docPart w:val="{ae7d60a6-b0f4-4814-9bed-12a3bf4c5322}"/>
          </w:placeholder>
        </w:sdtPr>
        <w:sdtEndPr>
          <w:rPr>
            <w:rFonts w:cs="Times New Roman"/>
            <w:color w:val="000000" w:themeColor="text1"/>
            <w:highlight w:val="yellow"/>
            <w14:textFill>
              <w14:solidFill>
                <w14:schemeClr w14:val="tx1"/>
              </w14:solidFill>
            </w14:textFill>
          </w:rPr>
        </w:sdtEndPr>
        <w:sdtContent>
          <w:tr w14:paraId="3190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14:paraId="650F5FC9">
                <w:pPr>
                  <w:rPr>
                    <w:rFonts w:cs="Times New Roman"/>
                  </w:rPr>
                </w:pPr>
                <w:r>
                  <w:rPr>
                    <w:rFonts w:cs="Times New Roman"/>
                  </w:rPr>
                  <w:t>5年以上</w:t>
                </w:r>
              </w:p>
            </w:tc>
            <w:tc>
              <w:tcPr>
                <w:tcW w:w="1276" w:type="pct"/>
                <w:vAlign w:val="center"/>
              </w:tcPr>
              <w:p w14:paraId="0F451D4B">
                <w:pPr>
                  <w:jc w:val="right"/>
                  <w:rPr>
                    <w:rFonts w:cs="Times New Roman"/>
                  </w:rPr>
                </w:pPr>
                <w:r>
                  <w:rPr>
                    <w:rFonts w:cs="Times New Roman"/>
                  </w:rPr>
                  <w:t>1,195,430.81</w:t>
                </w:r>
              </w:p>
            </w:tc>
            <w:tc>
              <w:tcPr>
                <w:tcW w:w="1299" w:type="pct"/>
                <w:vAlign w:val="center"/>
              </w:tcPr>
              <w:p w14:paraId="63A721DE">
                <w:pPr>
                  <w:jc w:val="right"/>
                  <w:rPr>
                    <w:rFonts w:cs="Times New Roman"/>
                  </w:rPr>
                </w:pPr>
                <w:r>
                  <w:rPr>
                    <w:rFonts w:cs="Times New Roman"/>
                  </w:rPr>
                  <w:t>1,195,430.81</w:t>
                </w:r>
              </w:p>
            </w:tc>
            <w:tc>
              <w:tcPr>
                <w:tcW w:w="1267" w:type="pct"/>
                <w:vAlign w:val="center"/>
              </w:tcPr>
              <w:p w14:paraId="1558A1F1">
                <w:pPr>
                  <w:jc w:val="right"/>
                  <w:rPr>
                    <w:rFonts w:cs="Times New Roman"/>
                  </w:rPr>
                </w:pPr>
                <w:r>
                  <w:rPr>
                    <w:rFonts w:cs="Times New Roman"/>
                  </w:rPr>
                  <w:t>100.00</w:t>
                </w:r>
              </w:p>
            </w:tc>
          </w:tr>
        </w:sdtContent>
      </w:sdt>
      <w:tr w14:paraId="361C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435948144728481980336a881622f9ca"/>
            <w:id w:val="18830915"/>
          </w:sdtPr>
          <w:sdtEndPr>
            <w:rPr>
              <w:rFonts w:cs="Times New Roman"/>
            </w:rPr>
          </w:sdtEndPr>
          <w:sdtContent>
            <w:tc>
              <w:tcPr>
                <w:tcW w:w="1158" w:type="pct"/>
                <w:vAlign w:val="center"/>
              </w:tcPr>
              <w:p w14:paraId="6007B5B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276" w:type="pct"/>
            <w:vAlign w:val="center"/>
          </w:tcPr>
          <w:p w14:paraId="2C99748F">
            <w:pPr>
              <w:jc w:val="right"/>
              <w:rPr>
                <w:rFonts w:cs="Times New Roman"/>
              </w:rPr>
            </w:pPr>
            <w:r>
              <w:rPr>
                <w:rFonts w:cs="Times New Roman"/>
              </w:rPr>
              <w:t>1,387,632.93</w:t>
            </w:r>
          </w:p>
        </w:tc>
        <w:tc>
          <w:tcPr>
            <w:tcW w:w="1299" w:type="pct"/>
            <w:vAlign w:val="center"/>
          </w:tcPr>
          <w:p w14:paraId="3C731764">
            <w:pPr>
              <w:jc w:val="right"/>
              <w:rPr>
                <w:rFonts w:cs="Times New Roman"/>
              </w:rPr>
            </w:pPr>
            <w:r>
              <w:rPr>
                <w:rFonts w:cs="Times New Roman"/>
              </w:rPr>
              <w:t>1,309,843.27</w:t>
            </w:r>
          </w:p>
        </w:tc>
        <w:tc>
          <w:tcPr>
            <w:tcW w:w="1267" w:type="pct"/>
            <w:vAlign w:val="center"/>
          </w:tcPr>
          <w:p w14:paraId="19F91918">
            <w:pPr>
              <w:jc w:val="right"/>
              <w:rPr>
                <w:rFonts w:cs="Times New Roman"/>
              </w:rPr>
            </w:pPr>
            <w:r>
              <w:rPr>
                <w:rFonts w:cs="Times New Roman"/>
              </w:rPr>
              <w:t>94.39</w:t>
            </w:r>
          </w:p>
        </w:tc>
      </w:tr>
    </w:tbl>
    <w:p w14:paraId="6A49A641">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母公司应收账款按组合计提坏账的确认标准及说明[双击切换]"/>
        <w:tag w:val="_GBC_186c78f5430148f29cc239ac6b530e5e"/>
        <w:id w:val="-1784031462"/>
      </w:sdtPr>
      <w:sdtEndPr>
        <w:rPr>
          <w:color w:val="000000" w:themeColor="text1"/>
          <w14:textFill>
            <w14:solidFill>
              <w14:schemeClr w14:val="tx1"/>
            </w14:solidFill>
          </w14:textFill>
        </w:rPr>
      </w:sdtEndPr>
      <w:sdtContent>
        <w:p w14:paraId="4D61C40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086683C">
      <w:pPr>
        <w:rPr>
          <w:color w:val="000000" w:themeColor="text1"/>
          <w14:textFill>
            <w14:solidFill>
              <w14:schemeClr w14:val="tx1"/>
            </w14:solidFill>
          </w14:textFill>
        </w:rPr>
      </w:pPr>
    </w:p>
    <w:p w14:paraId="594CC568">
      <w:pPr>
        <w:rPr>
          <w:color w:val="000000" w:themeColor="text1"/>
          <w14:textFill>
            <w14:solidFill>
              <w14:schemeClr w14:val="tx1"/>
            </w14:solidFill>
          </w14:textFill>
        </w:rPr>
      </w:pPr>
    </w:p>
    <w:p w14:paraId="2ECF6753">
      <w:pPr>
        <w:rPr>
          <w:color w:val="000000" w:themeColor="text1"/>
          <w14:textFill>
            <w14:solidFill>
              <w14:schemeClr w14:val="tx1"/>
            </w14:solidFill>
          </w14:textFill>
        </w:rPr>
      </w:pPr>
      <w:bookmarkStart w:id="440" w:name="_Hlk167980591"/>
      <w:bookmarkStart w:id="441" w:name="_Hlk534616017"/>
      <w:r>
        <w:rPr>
          <w:rFonts w:hint="eastAsia"/>
          <w:color w:val="000000" w:themeColor="text1"/>
          <w14:textFill>
            <w14:solidFill>
              <w14:schemeClr w14:val="tx1"/>
            </w14:solidFill>
          </w14:textFill>
        </w:rPr>
        <w:t>按预期信用损失一般模型计提坏账准备</w:t>
      </w:r>
    </w:p>
    <w:sdt>
      <w:sdtPr>
        <w:rPr>
          <w:color w:val="000000" w:themeColor="text1"/>
          <w14:textFill>
            <w14:solidFill>
              <w14:schemeClr w14:val="tx1"/>
            </w14:solidFill>
          </w14:textFill>
        </w:rPr>
        <w:alias w:val="是否适用：母公司应收账款按一般预计信用损失模型计提坏账[双击切换]"/>
        <w:tag w:val="_GBC_f0abda0ef94e4c708c624cb545c56aeb"/>
        <w:id w:val="147482697"/>
        <w:placeholder>
          <w:docPart w:val="GBC22222222222222222222222222222"/>
        </w:placeholder>
      </w:sdtPr>
      <w:sdtEndPr>
        <w:rPr>
          <w:color w:val="000000" w:themeColor="text1"/>
          <w14:textFill>
            <w14:solidFill>
              <w14:schemeClr w14:val="tx1"/>
            </w14:solidFill>
          </w14:textFill>
        </w:rPr>
      </w:sdtEndPr>
      <w:sdtContent>
        <w:p w14:paraId="1DAB2907">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22591B">
      <w:pPr>
        <w:autoSpaceDE w:val="0"/>
        <w:autoSpaceDN w:val="0"/>
        <w:adjustRightInd w:val="0"/>
        <w:ind w:right="105" w:rightChars="50"/>
        <w:rPr>
          <w:color w:val="000000" w:themeColor="text1"/>
          <w14:textFill>
            <w14:solidFill>
              <w14:schemeClr w14:val="tx1"/>
            </w14:solidFill>
          </w14:textFill>
        </w:rPr>
      </w:pPr>
    </w:p>
    <w:p w14:paraId="52AA58FB">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0489be1e98c542ca9f393e48f8ce8d06"/>
        <w:id w:val="147455231"/>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025D11CE">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14:paraId="2572C28E">
      <w:pPr>
        <w:rPr>
          <w:color w:val="000000" w:themeColor="text1"/>
          <w14:textFill>
            <w14:solidFill>
              <w14:schemeClr w14:val="tx1"/>
            </w14:solidFill>
          </w14:textFill>
        </w:rPr>
      </w:pPr>
    </w:p>
    <w:p w14:paraId="4DE05FC2">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对本期发生损失准备变动的应收账款账面余额显著变动的情况说明：</w:t>
      </w:r>
    </w:p>
    <w:sdt>
      <w:sdtPr>
        <w:rPr>
          <w:color w:val="000000" w:themeColor="text1"/>
          <w14:textFill>
            <w14:solidFill>
              <w14:schemeClr w14:val="tx1"/>
            </w14:solidFill>
          </w14:textFill>
        </w:rPr>
        <w:alias w:val="是否适用：母公司对本期发生损失准备变动的账面余额显著变动的情况说明[双击切换]"/>
        <w:tag w:val="_GBC_c77cf591dcd24f7788bd4150e02a7f8f"/>
        <w:id w:val="147464409"/>
        <w:placeholder>
          <w:docPart w:val="GBC22222222222222222222222222222"/>
        </w:placeholder>
      </w:sdtPr>
      <w:sdtEndPr>
        <w:rPr>
          <w:color w:val="000000" w:themeColor="text1"/>
          <w14:textFill>
            <w14:solidFill>
              <w14:schemeClr w14:val="tx1"/>
            </w14:solidFill>
          </w14:textFill>
        </w:rPr>
      </w:sdtEndPr>
      <w:sdtContent>
        <w:p w14:paraId="770671BC">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C0503E">
      <w:pPr>
        <w:rPr>
          <w:color w:val="000000" w:themeColor="text1"/>
          <w14:textFill>
            <w14:solidFill>
              <w14:schemeClr w14:val="tx1"/>
            </w14:solidFill>
          </w14:textFill>
        </w:rPr>
      </w:pPr>
    </w:p>
    <w:bookmarkEnd w:id="440"/>
    <w:bookmarkEnd w:id="441"/>
    <w:p w14:paraId="5B0F01BE">
      <w:pPr>
        <w:pStyle w:val="58"/>
        <w:numPr>
          <w:ilvl w:val="3"/>
          <w:numId w:val="117"/>
        </w:numPr>
        <w:ind w:left="406" w:hanging="406" w:hangingChars="202"/>
        <w:rPr>
          <w:color w:val="000000" w:themeColor="text1"/>
          <w14:textFill>
            <w14:solidFill>
              <w14:schemeClr w14:val="tx1"/>
            </w14:solidFill>
          </w14:textFill>
        </w:rPr>
      </w:pPr>
      <w:bookmarkStart w:id="442" w:name="_Hlk10540190"/>
      <w:bookmarkStart w:id="443" w:name="_Hlk10540207"/>
      <w:r>
        <w:rPr>
          <w:rFonts w:hint="eastAsia"/>
          <w:color w:val="000000" w:themeColor="text1"/>
          <w14:textFill>
            <w14:solidFill>
              <w14:schemeClr w14:val="tx1"/>
            </w14:solidFill>
          </w14:textFill>
        </w:rPr>
        <w:t>坏账准备的情况</w:t>
      </w:r>
      <w:bookmarkEnd w:id="442"/>
    </w:p>
    <w:sdt>
      <w:sdtPr>
        <w:rPr>
          <w:color w:val="000000" w:themeColor="text1"/>
          <w14:textFill>
            <w14:solidFill>
              <w14:schemeClr w14:val="tx1"/>
            </w14:solidFill>
          </w14:textFill>
        </w:rPr>
        <w:alias w:val="是否适用：母公司应收账款坏账准备情况[双击切换]"/>
        <w:tag w:val="_GBC_f73789de2ecf49c4bad380c8767c93cf"/>
        <w:id w:val="147451640"/>
        <w:lock w:val="contentLocked"/>
        <w:placeholder>
          <w:docPart w:val="GBC22222222222222222222222222222"/>
        </w:placeholder>
      </w:sdtPr>
      <w:sdtEndPr>
        <w:rPr>
          <w:color w:val="000000" w:themeColor="text1"/>
          <w14:textFill>
            <w14:solidFill>
              <w14:schemeClr w14:val="tx1"/>
            </w14:solidFill>
          </w14:textFill>
        </w:rPr>
      </w:sdtEndPr>
      <w:sdtContent>
        <w:p w14:paraId="57351E8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43"/>
    <w:p w14:paraId="106030D8">
      <w:pPr>
        <w:pStyle w:val="50"/>
        <w:snapToGrid w:val="0"/>
        <w:spacing w:line="240" w:lineRule="atLeast"/>
        <w:ind w:left="425" w:firstLine="0" w:firstLineChars="0"/>
        <w:jc w:val="right"/>
        <w:rPr>
          <w:rFonts w:ascii="宋体" w:hAnsi="宋体"/>
          <w:color w:val="000000" w:themeColor="text1"/>
          <w:szCs w:val="21"/>
          <w14:textFill>
            <w14:solidFill>
              <w14:schemeClr w14:val="tx1"/>
            </w14:solidFill>
          </w14:textFill>
        </w:rPr>
      </w:pPr>
      <w:bookmarkStart w:id="444" w:name="_Hlk153789356"/>
      <w:bookmarkStart w:id="445" w:name="_Hlk167981805"/>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母公司应收账款坏账准备情况"/>
          <w:tag w:val="_GBC_b1cb6a2ed32f4cbba0ff71c0724458cf"/>
          <w:id w:val="1553891157"/>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母公司应收账款坏账准备情况"/>
          <w:tag w:val="_GBC_d354bf362fbe459f823a08ebfd7e3967"/>
          <w:id w:val="118818688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622"/>
        <w:gridCol w:w="2499"/>
        <w:gridCol w:w="2933"/>
      </w:tblGrid>
      <w:tr w14:paraId="71E9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12" w:hRule="atLeast"/>
          <w:jc w:val="center"/>
        </w:trPr>
        <w:sdt>
          <w:sdtPr>
            <w:tag w:val="_PLD_f6bf13992bdc4b06bd6f364458e0df47"/>
            <w:id w:val="1697588707"/>
          </w:sdtPr>
          <w:sdtContent>
            <w:tc>
              <w:tcPr>
                <w:tcW w:w="2000" w:type="pct"/>
                <w:vMerge w:val="restart"/>
                <w:shd w:val="clear" w:color="auto" w:fill="auto"/>
                <w:vAlign w:val="center"/>
              </w:tcPr>
              <w:p w14:paraId="17CB44D5">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579b33cd0d7e490d998a64c9f202ccfb"/>
            <w:id w:val="-1254973908"/>
          </w:sdtPr>
          <w:sdtContent>
            <w:tc>
              <w:tcPr>
                <w:tcW w:w="1380" w:type="pct"/>
                <w:vMerge w:val="restart"/>
                <w:shd w:val="clear" w:color="auto" w:fill="auto"/>
                <w:vAlign w:val="center"/>
              </w:tcPr>
              <w:p w14:paraId="64CF46D6">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dcc9f714adf8465eb1a49da61466de1f"/>
            <w:id w:val="1553966828"/>
          </w:sdtPr>
          <w:sdtContent>
            <w:tc>
              <w:tcPr>
                <w:tcW w:w="1619" w:type="pct"/>
                <w:vMerge w:val="restart"/>
                <w:shd w:val="clear" w:color="auto" w:fill="auto"/>
                <w:vAlign w:val="center"/>
              </w:tcPr>
              <w:p w14:paraId="01791300">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14:paraId="2587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312" w:hRule="atLeast"/>
          <w:jc w:val="center"/>
        </w:trPr>
        <w:tc>
          <w:tcPr>
            <w:tcW w:w="2000" w:type="pct"/>
            <w:vMerge w:val="continue"/>
            <w:shd w:val="clear" w:color="auto" w:fill="FFFFFF"/>
          </w:tcPr>
          <w:p w14:paraId="492DB2D6">
            <w:pPr>
              <w:widowControl w:val="0"/>
              <w:jc w:val="center"/>
              <w:rPr>
                <w:color w:val="000000" w:themeColor="text1"/>
                <w14:textFill>
                  <w14:solidFill>
                    <w14:schemeClr w14:val="tx1"/>
                  </w14:solidFill>
                </w14:textFill>
              </w:rPr>
            </w:pPr>
          </w:p>
        </w:tc>
        <w:tc>
          <w:tcPr>
            <w:tcW w:w="1380" w:type="pct"/>
            <w:vMerge w:val="continue"/>
            <w:shd w:val="clear" w:color="auto" w:fill="FFFFFF"/>
          </w:tcPr>
          <w:p w14:paraId="2BD0611D">
            <w:pPr>
              <w:widowControl w:val="0"/>
              <w:jc w:val="center"/>
              <w:rPr>
                <w:color w:val="000000" w:themeColor="text1"/>
                <w14:textFill>
                  <w14:solidFill>
                    <w14:schemeClr w14:val="tx1"/>
                  </w14:solidFill>
                </w14:textFill>
              </w:rPr>
            </w:pPr>
          </w:p>
        </w:tc>
        <w:tc>
          <w:tcPr>
            <w:tcW w:w="1619" w:type="pct"/>
            <w:vMerge w:val="continue"/>
            <w:shd w:val="clear" w:color="auto" w:fill="FFFFFF"/>
          </w:tcPr>
          <w:p w14:paraId="59B380B1">
            <w:pPr>
              <w:widowControl w:val="0"/>
              <w:jc w:val="right"/>
              <w:rPr>
                <w:color w:val="000000" w:themeColor="text1"/>
                <w14:textFill>
                  <w14:solidFill>
                    <w14:schemeClr w14:val="tx1"/>
                  </w14:solidFill>
                </w14:textFill>
              </w:rPr>
            </w:pPr>
          </w:p>
        </w:tc>
      </w:tr>
      <w:sdt>
        <w:sdtPr>
          <w:rPr>
            <w:color w:val="000000" w:themeColor="text1"/>
            <w14:textFill>
              <w14:solidFill>
                <w14:schemeClr w14:val="tx1"/>
              </w14:solidFill>
            </w14:textFill>
          </w:rPr>
          <w:alias w:val="应收账款坏账准备明细"/>
          <w:tag w:val="_TUP_b4b5569b724a48fcad53c89b4a37cb1c"/>
          <w:id w:val="211551988"/>
          <w:placeholder>
            <w:docPart w:val="{925fd01c-26ac-4a40-af8f-15992ad9861c}"/>
          </w:placeholder>
        </w:sdtPr>
        <w:sdtEndPr>
          <w:rPr>
            <w:color w:val="000000" w:themeColor="text1"/>
            <w14:textFill>
              <w14:solidFill>
                <w14:schemeClr w14:val="tx1"/>
              </w14:solidFill>
            </w14:textFill>
          </w:rPr>
        </w:sdtEndPr>
        <w:sdtContent>
          <w:tr w14:paraId="4B01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2000" w:type="pct"/>
                <w:vAlign w:val="center"/>
              </w:tcPr>
              <w:p w14:paraId="78D6D202">
                <w:pPr>
                  <w:widowControl w:val="0"/>
                </w:pPr>
                <w:r>
                  <w:rPr>
                    <w:rFonts w:hint="eastAsia"/>
                  </w:rPr>
                  <w:t>按组合计提预期信用损失的应收账款</w:t>
                </w:r>
              </w:p>
            </w:tc>
            <w:tc>
              <w:tcPr>
                <w:tcW w:w="1380" w:type="pct"/>
                <w:vAlign w:val="center"/>
              </w:tcPr>
              <w:p w14:paraId="1044D9E8">
                <w:pPr>
                  <w:widowControl w:val="0"/>
                  <w:jc w:val="right"/>
                </w:pPr>
                <w:r>
                  <w:rPr>
                    <w:rFonts w:hint="eastAsia"/>
                  </w:rPr>
                  <w:t>1,309,843.27</w:t>
                </w:r>
              </w:p>
            </w:tc>
            <w:tc>
              <w:tcPr>
                <w:tcW w:w="1619" w:type="pct"/>
                <w:vAlign w:val="center"/>
              </w:tcPr>
              <w:p w14:paraId="2E1AE6F6">
                <w:pPr>
                  <w:widowControl w:val="0"/>
                  <w:jc w:val="right"/>
                </w:pPr>
                <w:r>
                  <w:rPr>
                    <w:rFonts w:hint="eastAsia"/>
                  </w:rPr>
                  <w:t>1,309,843.27</w:t>
                </w:r>
              </w:p>
            </w:tc>
          </w:tr>
        </w:sdtContent>
      </w:sdt>
      <w:sdt>
        <w:sdtPr>
          <w:alias w:val="应收账款坏账准备明细"/>
          <w:tag w:val="_TUP_b4b5569b724a48fcad53c89b4a37cb1c"/>
          <w:id w:val="761110644"/>
          <w:placeholder>
            <w:docPart w:val="{925fd01c-26ac-4a40-af8f-15992ad9861c}"/>
          </w:placeholder>
        </w:sdtPr>
        <w:sdtContent>
          <w:tr w14:paraId="51D7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tag w:val="_PLD_305ead24b9654c709cb715b961cef894"/>
                <w:id w:val="402645141"/>
              </w:sdtPr>
              <w:sdtContent>
                <w:tc>
                  <w:tcPr>
                    <w:tcW w:w="2000" w:type="pct"/>
                  </w:tcPr>
                  <w:p w14:paraId="4BF2E23C">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c>
              <w:tcPr>
                <w:tcW w:w="1380" w:type="pct"/>
                <w:vAlign w:val="center"/>
              </w:tcPr>
              <w:p w14:paraId="0B4DB2F7">
                <w:pPr>
                  <w:widowControl w:val="0"/>
                  <w:jc w:val="right"/>
                </w:pPr>
                <w:r>
                  <w:rPr>
                    <w:rFonts w:hint="eastAsia"/>
                  </w:rPr>
                  <w:t>1,309,843.27</w:t>
                </w:r>
              </w:p>
            </w:tc>
            <w:tc>
              <w:tcPr>
                <w:tcW w:w="1619" w:type="pct"/>
                <w:vAlign w:val="center"/>
              </w:tcPr>
              <w:p w14:paraId="42D17F4C">
                <w:pPr>
                  <w:widowControl w:val="0"/>
                  <w:jc w:val="right"/>
                </w:pPr>
                <w:r>
                  <w:rPr>
                    <w:rFonts w:hint="eastAsia"/>
                  </w:rPr>
                  <w:t>1,309,843.27</w:t>
                </w:r>
              </w:p>
            </w:tc>
          </w:tr>
        </w:sdtContent>
      </w:sdt>
    </w:tbl>
    <w:p w14:paraId="60612F7D"/>
    <w:p w14:paraId="6DA1BB60">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母公司其中本期坏账准备收回或转回金额重要的[双击切换]"/>
        <w:tag w:val="_GBC_29cbd6f1a56c4bc9843a0a61bcf42c88"/>
        <w:id w:val="147482855"/>
        <w:placeholder>
          <w:docPart w:val="GBC22222222222222222222222222222"/>
        </w:placeholder>
      </w:sdtPr>
      <w:sdtEndPr>
        <w:rPr>
          <w:color w:val="000000" w:themeColor="text1"/>
          <w14:textFill>
            <w14:solidFill>
              <w14:schemeClr w14:val="tx1"/>
            </w14:solidFill>
          </w14:textFill>
        </w:rPr>
      </w:sdtEndPr>
      <w:sdtContent>
        <w:p w14:paraId="346D91C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56673CB">
      <w:pPr>
        <w:rPr>
          <w:color w:val="000000" w:themeColor="text1"/>
          <w14:textFill>
            <w14:solidFill>
              <w14:schemeClr w14:val="tx1"/>
            </w14:solidFill>
          </w14:textFill>
        </w:rPr>
      </w:pPr>
    </w:p>
    <w:p w14:paraId="1A862E5E">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应收账款坏账准备情况的说明"/>
        <w:tag w:val="_GBC_0ab588d220454a20ba505c5d15821534"/>
        <w:id w:val="147461557"/>
        <w:placeholder>
          <w:docPart w:val="GBC22222222222222222222222222222"/>
        </w:placeholder>
      </w:sdtPr>
      <w:sdtEndPr>
        <w:rPr>
          <w:color w:val="000000" w:themeColor="text1"/>
          <w14:textFill>
            <w14:solidFill>
              <w14:schemeClr w14:val="tx1"/>
            </w14:solidFill>
          </w14:textFill>
        </w:rPr>
      </w:sdtEndPr>
      <w:sdtContent>
        <w:p w14:paraId="72FF4EB2">
          <w:pPr>
            <w:ind w:right="-1594" w:rightChars="-759"/>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5B01AAEE">
      <w:pPr>
        <w:ind w:right="-1594" w:rightChars="-759"/>
        <w:rPr>
          <w:rFonts w:cs="Times New Roman"/>
          <w:color w:val="000000" w:themeColor="text1"/>
          <w:kern w:val="2"/>
          <w14:textFill>
            <w14:solidFill>
              <w14:schemeClr w14:val="tx1"/>
            </w14:solidFill>
          </w14:textFill>
        </w:rPr>
      </w:pPr>
    </w:p>
    <w:bookmarkEnd w:id="444"/>
    <w:bookmarkEnd w:id="445"/>
    <w:p w14:paraId="70394043">
      <w:pPr>
        <w:pStyle w:val="58"/>
        <w:numPr>
          <w:ilvl w:val="3"/>
          <w:numId w:val="117"/>
        </w:numPr>
        <w:ind w:left="406" w:hanging="40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本期实际核销的应收账款情况</w:t>
      </w:r>
    </w:p>
    <w:sdt>
      <w:sdtPr>
        <w:rPr>
          <w:color w:val="000000" w:themeColor="text1"/>
          <w14:textFill>
            <w14:solidFill>
              <w14:schemeClr w14:val="tx1"/>
            </w14:solidFill>
          </w14:textFill>
        </w:rPr>
        <w:alias w:val="是否适用：母公司本期实际核销的应收账款情况[双击切换]"/>
        <w:tag w:val="_GBC_a8b9861b74fa43bdb4a98d13449f8f5e"/>
        <w:id w:val="147467321"/>
        <w:placeholder>
          <w:docPart w:val="GBC22222222222222222222222222222"/>
        </w:placeholder>
      </w:sdtPr>
      <w:sdtEndPr>
        <w:rPr>
          <w:color w:val="000000" w:themeColor="text1"/>
          <w14:textFill>
            <w14:solidFill>
              <w14:schemeClr w14:val="tx1"/>
            </w14:solidFill>
          </w14:textFill>
        </w:rPr>
      </w:sdtEndPr>
      <w:sdtContent>
        <w:p w14:paraId="73E184B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3C3DF2A">
      <w:pPr>
        <w:rPr>
          <w:color w:val="000000" w:themeColor="text1"/>
          <w14:textFill>
            <w14:solidFill>
              <w14:schemeClr w14:val="tx1"/>
            </w14:solidFill>
          </w14:textFill>
        </w:rPr>
      </w:pPr>
    </w:p>
    <w:p w14:paraId="1D490CA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其中重要的应收账款核销情况</w:t>
      </w:r>
    </w:p>
    <w:sdt>
      <w:sdtPr>
        <w:rPr>
          <w:color w:val="000000" w:themeColor="text1"/>
          <w14:textFill>
            <w14:solidFill>
              <w14:schemeClr w14:val="tx1"/>
            </w14:solidFill>
          </w14:textFill>
        </w:rPr>
        <w:alias w:val="是否适用：母公司其中重要的应收账款核销情况[双击切换]"/>
        <w:tag w:val="_GBC_827c9c10930747bc8ba843d89c64f1fb"/>
        <w:id w:val="147452152"/>
        <w:placeholder>
          <w:docPart w:val="GBC22222222222222222222222222222"/>
        </w:placeholder>
      </w:sdtPr>
      <w:sdtEndPr>
        <w:rPr>
          <w:color w:val="000000" w:themeColor="text1"/>
          <w14:textFill>
            <w14:solidFill>
              <w14:schemeClr w14:val="tx1"/>
            </w14:solidFill>
          </w14:textFill>
        </w:rPr>
      </w:sdtEndPr>
      <w:sdtContent>
        <w:p w14:paraId="2B743BAA">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95A9ED6">
      <w:pPr>
        <w:snapToGrid w:val="0"/>
        <w:spacing w:line="240" w:lineRule="atLeast"/>
        <w:rPr>
          <w:color w:val="000000" w:themeColor="text1"/>
          <w14:textFill>
            <w14:solidFill>
              <w14:schemeClr w14:val="tx1"/>
            </w14:solidFill>
          </w14:textFill>
        </w:rPr>
      </w:pPr>
    </w:p>
    <w:p w14:paraId="791670B5">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应收账款核销说明：</w:t>
      </w:r>
    </w:p>
    <w:sdt>
      <w:sdtPr>
        <w:rPr>
          <w:color w:val="000000" w:themeColor="text1"/>
          <w14:textFill>
            <w14:solidFill>
              <w14:schemeClr w14:val="tx1"/>
            </w14:solidFill>
          </w14:textFill>
        </w:rPr>
        <w:alias w:val="是否适用：母公司应收账款核销说明[双击切换]"/>
        <w:tag w:val="_GBC_36d2cef3128f4b3389b38ed29442e2b3"/>
        <w:id w:val="147467433"/>
        <w:placeholder>
          <w:docPart w:val="GBC22222222222222222222222222222"/>
        </w:placeholder>
      </w:sdtPr>
      <w:sdtEndPr>
        <w:rPr>
          <w:color w:val="000000" w:themeColor="text1"/>
          <w14:textFill>
            <w14:solidFill>
              <w14:schemeClr w14:val="tx1"/>
            </w14:solidFill>
          </w14:textFill>
        </w:rPr>
      </w:sdtEndPr>
      <w:sdtContent>
        <w:p w14:paraId="6C33F18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7A84A43">
      <w:pPr>
        <w:rPr>
          <w:color w:val="000000" w:themeColor="text1"/>
          <w14:textFill>
            <w14:solidFill>
              <w14:schemeClr w14:val="tx1"/>
            </w14:solidFill>
          </w14:textFill>
        </w:rPr>
      </w:pPr>
    </w:p>
    <w:p w14:paraId="0168A153">
      <w:pPr>
        <w:pStyle w:val="58"/>
        <w:numPr>
          <w:ilvl w:val="3"/>
          <w:numId w:val="117"/>
        </w:numPr>
        <w:ind w:left="406" w:hanging="406" w:hangingChars="202"/>
        <w:rPr>
          <w:color w:val="000000" w:themeColor="text1"/>
          <w14:textFill>
            <w14:solidFill>
              <w14:schemeClr w14:val="tx1"/>
            </w14:solidFill>
          </w14:textFill>
        </w:rPr>
      </w:pPr>
      <w:bookmarkStart w:id="446" w:name="_Hlk90023019"/>
      <w:bookmarkStart w:id="447" w:name="_Hlk167981941"/>
      <w:bookmarkStart w:id="448" w:name="_Hlk153789714"/>
      <w:r>
        <w:rPr>
          <w:rFonts w:hint="eastAsia"/>
          <w:color w:val="000000" w:themeColor="text1"/>
          <w14:textFill>
            <w14:solidFill>
              <w14:schemeClr w14:val="tx1"/>
            </w14:solidFill>
          </w14:textFill>
        </w:rPr>
        <w:t>按欠款方归集的期末余额前五名的应收账款和合同资产情况</w:t>
      </w:r>
    </w:p>
    <w:sdt>
      <w:sdtPr>
        <w:rPr>
          <w:rFonts w:hint="eastAsia"/>
          <w:color w:val="000000" w:themeColor="text1"/>
          <w14:textFill>
            <w14:solidFill>
              <w14:schemeClr w14:val="tx1"/>
            </w14:solidFill>
          </w14:textFill>
        </w:rPr>
        <w:alias w:val="是否适用：按欠款方归集的期末余额前五名的应收账款情况[双击切换]"/>
        <w:tag w:val="_GBC_9395e3af825547b4abf8734a6459492f"/>
        <w:id w:val="147469140"/>
        <w:placeholder>
          <w:docPart w:val="GBC22222222222222222222222222222"/>
        </w:placeholder>
      </w:sdtPr>
      <w:sdtEndPr>
        <w:rPr>
          <w:rFonts w:hint="eastAsia"/>
          <w:color w:val="000000" w:themeColor="text1"/>
          <w14:textFill>
            <w14:solidFill>
              <w14:schemeClr w14:val="tx1"/>
            </w14:solidFill>
          </w14:textFill>
        </w:rPr>
      </w:sdtEndPr>
      <w:sdtContent>
        <w:p w14:paraId="1270014E">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538BED">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应收账款前五名欠款情况"/>
          <w:tag w:val="_GBC_d6261cbe3c904089bd795ccb3093ee73"/>
          <w:id w:val="14746711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账款前五名欠款情况"/>
          <w:tag w:val="_GBC_e64ffa6f9fba457f8f4da7574e1bd056"/>
          <w:id w:val="1474690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1"/>
        <w:gridCol w:w="1533"/>
        <w:gridCol w:w="1618"/>
        <w:gridCol w:w="1415"/>
        <w:gridCol w:w="1046"/>
      </w:tblGrid>
      <w:tr w14:paraId="2460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rFonts w:cs="Times New Roman"/>
            </w:rPr>
            <w:tag w:val="_PLD_66e33a7e6be44d5eb2d50643e6237cc4"/>
            <w:id w:val="147476655"/>
          </w:sdtPr>
          <w:sdtEndPr>
            <w:rPr>
              <w:rFonts w:cs="Times New Roman"/>
            </w:rPr>
          </w:sdtEndPr>
          <w:sdtContent>
            <w:tc>
              <w:tcPr>
                <w:tcW w:w="1818" w:type="pct"/>
                <w:vAlign w:val="center"/>
              </w:tcPr>
              <w:p w14:paraId="2B4F4E24">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单位名称</w:t>
                </w:r>
              </w:p>
            </w:tc>
          </w:sdtContent>
        </w:sdt>
        <w:sdt>
          <w:sdtPr>
            <w:rPr>
              <w:rFonts w:cs="Times New Roman"/>
            </w:rPr>
            <w:tag w:val="_PLD_e60db498c5ba4a96a970a6ce918e5153"/>
            <w:id w:val="147459826"/>
          </w:sdtPr>
          <w:sdtEndPr>
            <w:rPr>
              <w:rFonts w:cs="Times New Roman"/>
            </w:rPr>
          </w:sdtEndPr>
          <w:sdtContent>
            <w:tc>
              <w:tcPr>
                <w:tcW w:w="868" w:type="pct"/>
                <w:vAlign w:val="center"/>
              </w:tcPr>
              <w:p w14:paraId="50F4C1AE">
                <w:pPr>
                  <w:ind w:right="73"/>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应收账款期末余额</w:t>
                </w:r>
              </w:p>
            </w:tc>
          </w:sdtContent>
        </w:sdt>
        <w:sdt>
          <w:sdtPr>
            <w:rPr>
              <w:rFonts w:cs="Times New Roman"/>
            </w:rPr>
            <w:tag w:val="_PLD_301be10e795242c58ee556a8cd07660a"/>
            <w:id w:val="147468364"/>
          </w:sdtPr>
          <w:sdtEndPr>
            <w:rPr>
              <w:rFonts w:cs="Times New Roman"/>
            </w:rPr>
          </w:sdtEndPr>
          <w:sdtContent>
            <w:tc>
              <w:tcPr>
                <w:tcW w:w="916" w:type="pct"/>
                <w:vAlign w:val="center"/>
              </w:tcPr>
              <w:p w14:paraId="3FBC589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应收账款和合同资产期末余额</w:t>
                </w:r>
              </w:p>
            </w:tc>
          </w:sdtContent>
        </w:sdt>
        <w:sdt>
          <w:sdtPr>
            <w:rPr>
              <w:rFonts w:cs="Times New Roman"/>
            </w:rPr>
            <w:tag w:val="_PLD_9d7daec6d6fe4a5d9c133a5c71d1c062"/>
            <w:id w:val="147460325"/>
          </w:sdtPr>
          <w:sdtEndPr>
            <w:rPr>
              <w:rFonts w:cs="Times New Roman"/>
            </w:rPr>
          </w:sdtEndPr>
          <w:sdtContent>
            <w:tc>
              <w:tcPr>
                <w:tcW w:w="802" w:type="pct"/>
                <w:vAlign w:val="center"/>
              </w:tcPr>
              <w:p w14:paraId="04D528C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占应收账款和合同资产期末余额合计数的比例（%）</w:t>
                </w:r>
              </w:p>
            </w:tc>
          </w:sdtContent>
        </w:sdt>
        <w:sdt>
          <w:sdtPr>
            <w:rPr>
              <w:rFonts w:cs="Times New Roman"/>
            </w:rPr>
            <w:tag w:val="_PLD_50b08561bfef4171ad4e74488b9eb0c0"/>
            <w:id w:val="147478005"/>
          </w:sdtPr>
          <w:sdtEndPr>
            <w:rPr>
              <w:rFonts w:cs="Times New Roman"/>
            </w:rPr>
          </w:sdtEndPr>
          <w:sdtContent>
            <w:tc>
              <w:tcPr>
                <w:tcW w:w="593" w:type="pct"/>
                <w:vAlign w:val="center"/>
              </w:tcPr>
              <w:p w14:paraId="000B3BF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坏账准备期末余额</w:t>
                </w:r>
              </w:p>
            </w:tc>
          </w:sdtContent>
        </w:sdt>
      </w:tr>
      <w:tr w14:paraId="04A4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8" w:type="pct"/>
            <w:vAlign w:val="center"/>
          </w:tcPr>
          <w:p w14:paraId="6106BDCC">
            <w:pPr>
              <w:textAlignment w:val="center"/>
              <w:rPr>
                <w:rFonts w:cs="Times New Roman"/>
              </w:rPr>
            </w:pPr>
            <w:r>
              <w:rPr>
                <w:rFonts w:cs="Times New Roman"/>
                <w:color w:val="000000"/>
              </w:rPr>
              <w:t>际华（邢台）投资有限公司</w:t>
            </w:r>
          </w:p>
        </w:tc>
        <w:tc>
          <w:tcPr>
            <w:tcW w:w="868" w:type="pct"/>
            <w:vAlign w:val="center"/>
          </w:tcPr>
          <w:p w14:paraId="47E2E095">
            <w:pPr>
              <w:jc w:val="right"/>
              <w:textAlignment w:val="center"/>
              <w:rPr>
                <w:rFonts w:cs="Times New Roman"/>
              </w:rPr>
            </w:pPr>
            <w:r>
              <w:rPr>
                <w:rFonts w:cs="Times New Roman"/>
                <w:color w:val="000000"/>
              </w:rPr>
              <w:t>23,809,931.50</w:t>
            </w:r>
          </w:p>
        </w:tc>
        <w:tc>
          <w:tcPr>
            <w:tcW w:w="916" w:type="pct"/>
            <w:vAlign w:val="center"/>
          </w:tcPr>
          <w:p w14:paraId="645E8A05">
            <w:pPr>
              <w:jc w:val="right"/>
              <w:textAlignment w:val="center"/>
              <w:rPr>
                <w:rFonts w:cs="Times New Roman"/>
              </w:rPr>
            </w:pPr>
            <w:r>
              <w:rPr>
                <w:rFonts w:cs="Times New Roman"/>
                <w:color w:val="000000"/>
              </w:rPr>
              <w:t>23,809,931.50</w:t>
            </w:r>
          </w:p>
        </w:tc>
        <w:tc>
          <w:tcPr>
            <w:tcW w:w="802" w:type="pct"/>
            <w:vAlign w:val="center"/>
          </w:tcPr>
          <w:p w14:paraId="327E0170">
            <w:pPr>
              <w:jc w:val="right"/>
              <w:textAlignment w:val="center"/>
              <w:rPr>
                <w:rFonts w:cs="Times New Roman"/>
              </w:rPr>
            </w:pPr>
            <w:r>
              <w:rPr>
                <w:rFonts w:eastAsia="Arial Narrow" w:cs="Times New Roman"/>
                <w:color w:val="000000"/>
                <w:lang w:bidi="ar"/>
              </w:rPr>
              <w:t>66.92</w:t>
            </w:r>
          </w:p>
        </w:tc>
        <w:tc>
          <w:tcPr>
            <w:tcW w:w="593" w:type="pct"/>
          </w:tcPr>
          <w:p w14:paraId="6C75BBF8">
            <w:pPr>
              <w:jc w:val="right"/>
              <w:rPr>
                <w:rFonts w:cs="Times New Roman"/>
              </w:rPr>
            </w:pPr>
          </w:p>
        </w:tc>
      </w:tr>
      <w:tr w14:paraId="7D67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8" w:type="pct"/>
            <w:vAlign w:val="center"/>
          </w:tcPr>
          <w:p w14:paraId="52258411">
            <w:pPr>
              <w:textAlignment w:val="center"/>
              <w:rPr>
                <w:rFonts w:cs="Times New Roman"/>
              </w:rPr>
            </w:pPr>
            <w:r>
              <w:rPr>
                <w:rFonts w:cs="Times New Roman"/>
                <w:color w:val="000000"/>
              </w:rPr>
              <w:t>际华三五一五皮革皮鞋有限公司</w:t>
            </w:r>
          </w:p>
        </w:tc>
        <w:tc>
          <w:tcPr>
            <w:tcW w:w="868" w:type="pct"/>
            <w:vAlign w:val="center"/>
          </w:tcPr>
          <w:p w14:paraId="51B57771">
            <w:pPr>
              <w:jc w:val="right"/>
              <w:textAlignment w:val="center"/>
              <w:rPr>
                <w:rFonts w:cs="Times New Roman"/>
              </w:rPr>
            </w:pPr>
            <w:r>
              <w:rPr>
                <w:rFonts w:cs="Times New Roman"/>
                <w:color w:val="000000"/>
              </w:rPr>
              <w:t>1,300,000.00</w:t>
            </w:r>
          </w:p>
        </w:tc>
        <w:tc>
          <w:tcPr>
            <w:tcW w:w="916" w:type="pct"/>
            <w:vAlign w:val="center"/>
          </w:tcPr>
          <w:p w14:paraId="2BC41B41">
            <w:pPr>
              <w:jc w:val="right"/>
              <w:textAlignment w:val="center"/>
              <w:rPr>
                <w:rFonts w:cs="Times New Roman"/>
              </w:rPr>
            </w:pPr>
            <w:r>
              <w:rPr>
                <w:rFonts w:cs="Times New Roman"/>
                <w:color w:val="000000"/>
              </w:rPr>
              <w:t>1,300,000.00</w:t>
            </w:r>
          </w:p>
        </w:tc>
        <w:tc>
          <w:tcPr>
            <w:tcW w:w="802" w:type="pct"/>
            <w:vAlign w:val="center"/>
          </w:tcPr>
          <w:p w14:paraId="5327690D">
            <w:pPr>
              <w:jc w:val="right"/>
              <w:textAlignment w:val="center"/>
              <w:rPr>
                <w:rFonts w:cs="Times New Roman"/>
              </w:rPr>
            </w:pPr>
            <w:r>
              <w:rPr>
                <w:rFonts w:eastAsia="Arial Narrow" w:cs="Times New Roman"/>
                <w:color w:val="000000"/>
                <w:lang w:bidi="ar"/>
              </w:rPr>
              <w:t>3.65</w:t>
            </w:r>
          </w:p>
        </w:tc>
        <w:tc>
          <w:tcPr>
            <w:tcW w:w="593" w:type="pct"/>
          </w:tcPr>
          <w:p w14:paraId="5A8B891A">
            <w:pPr>
              <w:jc w:val="right"/>
              <w:rPr>
                <w:rFonts w:cs="Times New Roman"/>
              </w:rPr>
            </w:pPr>
          </w:p>
        </w:tc>
      </w:tr>
      <w:tr w14:paraId="6BAF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8" w:type="pct"/>
            <w:vAlign w:val="center"/>
          </w:tcPr>
          <w:p w14:paraId="6AC734CF">
            <w:pPr>
              <w:textAlignment w:val="center"/>
              <w:rPr>
                <w:rFonts w:cs="Times New Roman"/>
              </w:rPr>
            </w:pPr>
            <w:r>
              <w:rPr>
                <w:rFonts w:cs="Times New Roman"/>
                <w:color w:val="000000"/>
              </w:rPr>
              <w:t>际华制鞋工业有限公司</w:t>
            </w:r>
          </w:p>
        </w:tc>
        <w:tc>
          <w:tcPr>
            <w:tcW w:w="868" w:type="pct"/>
            <w:vAlign w:val="center"/>
          </w:tcPr>
          <w:p w14:paraId="054ADB1D">
            <w:pPr>
              <w:jc w:val="right"/>
              <w:textAlignment w:val="center"/>
              <w:rPr>
                <w:rFonts w:cs="Times New Roman"/>
              </w:rPr>
            </w:pPr>
            <w:r>
              <w:rPr>
                <w:rFonts w:cs="Times New Roman"/>
                <w:color w:val="000000"/>
              </w:rPr>
              <w:t>1,085,087.60</w:t>
            </w:r>
          </w:p>
        </w:tc>
        <w:tc>
          <w:tcPr>
            <w:tcW w:w="916" w:type="pct"/>
            <w:vAlign w:val="center"/>
          </w:tcPr>
          <w:p w14:paraId="10227986">
            <w:pPr>
              <w:jc w:val="right"/>
              <w:textAlignment w:val="center"/>
              <w:rPr>
                <w:rFonts w:cs="Times New Roman"/>
              </w:rPr>
            </w:pPr>
            <w:r>
              <w:rPr>
                <w:rFonts w:cs="Times New Roman"/>
                <w:color w:val="000000"/>
              </w:rPr>
              <w:t>1,085,087.60</w:t>
            </w:r>
          </w:p>
        </w:tc>
        <w:tc>
          <w:tcPr>
            <w:tcW w:w="802" w:type="pct"/>
            <w:vAlign w:val="center"/>
          </w:tcPr>
          <w:p w14:paraId="5ACC8E68">
            <w:pPr>
              <w:jc w:val="right"/>
              <w:textAlignment w:val="center"/>
              <w:rPr>
                <w:rFonts w:cs="Times New Roman"/>
              </w:rPr>
            </w:pPr>
            <w:r>
              <w:rPr>
                <w:rFonts w:eastAsia="Arial Narrow" w:cs="Times New Roman"/>
                <w:color w:val="000000"/>
                <w:lang w:bidi="ar"/>
              </w:rPr>
              <w:t>3.05</w:t>
            </w:r>
          </w:p>
        </w:tc>
        <w:tc>
          <w:tcPr>
            <w:tcW w:w="593" w:type="pct"/>
          </w:tcPr>
          <w:p w14:paraId="4CF97FAF">
            <w:pPr>
              <w:jc w:val="right"/>
              <w:rPr>
                <w:rFonts w:cs="Times New Roman"/>
              </w:rPr>
            </w:pPr>
          </w:p>
        </w:tc>
      </w:tr>
      <w:tr w14:paraId="7099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8" w:type="pct"/>
            <w:vAlign w:val="center"/>
          </w:tcPr>
          <w:p w14:paraId="7D9ACE3D">
            <w:pPr>
              <w:textAlignment w:val="center"/>
              <w:rPr>
                <w:rFonts w:cs="Times New Roman"/>
              </w:rPr>
            </w:pPr>
            <w:r>
              <w:rPr>
                <w:rFonts w:cs="Times New Roman"/>
                <w:color w:val="000000"/>
              </w:rPr>
              <w:t>沈阳际华三五四七特种装具有限公司</w:t>
            </w:r>
          </w:p>
        </w:tc>
        <w:tc>
          <w:tcPr>
            <w:tcW w:w="868" w:type="pct"/>
            <w:vAlign w:val="center"/>
          </w:tcPr>
          <w:p w14:paraId="032ADC92">
            <w:pPr>
              <w:jc w:val="right"/>
              <w:textAlignment w:val="center"/>
              <w:rPr>
                <w:rFonts w:cs="Times New Roman"/>
              </w:rPr>
            </w:pPr>
            <w:r>
              <w:rPr>
                <w:rFonts w:cs="Times New Roman"/>
                <w:color w:val="000000"/>
              </w:rPr>
              <w:t>878,035.89</w:t>
            </w:r>
          </w:p>
        </w:tc>
        <w:tc>
          <w:tcPr>
            <w:tcW w:w="916" w:type="pct"/>
            <w:vAlign w:val="center"/>
          </w:tcPr>
          <w:p w14:paraId="03F648BD">
            <w:pPr>
              <w:jc w:val="right"/>
              <w:textAlignment w:val="center"/>
              <w:rPr>
                <w:rFonts w:cs="Times New Roman"/>
              </w:rPr>
            </w:pPr>
            <w:r>
              <w:rPr>
                <w:rFonts w:cs="Times New Roman"/>
                <w:color w:val="000000"/>
              </w:rPr>
              <w:t>878,035.89</w:t>
            </w:r>
          </w:p>
        </w:tc>
        <w:tc>
          <w:tcPr>
            <w:tcW w:w="802" w:type="pct"/>
            <w:vAlign w:val="center"/>
          </w:tcPr>
          <w:p w14:paraId="046613EF">
            <w:pPr>
              <w:jc w:val="right"/>
              <w:textAlignment w:val="center"/>
              <w:rPr>
                <w:rFonts w:cs="Times New Roman"/>
              </w:rPr>
            </w:pPr>
            <w:r>
              <w:rPr>
                <w:rFonts w:eastAsia="Arial Narrow" w:cs="Times New Roman"/>
                <w:color w:val="000000"/>
                <w:lang w:bidi="ar"/>
              </w:rPr>
              <w:t>2.47</w:t>
            </w:r>
          </w:p>
        </w:tc>
        <w:tc>
          <w:tcPr>
            <w:tcW w:w="593" w:type="pct"/>
          </w:tcPr>
          <w:p w14:paraId="6123AFD1">
            <w:pPr>
              <w:jc w:val="right"/>
              <w:rPr>
                <w:rFonts w:cs="Times New Roman"/>
              </w:rPr>
            </w:pPr>
          </w:p>
        </w:tc>
      </w:tr>
      <w:tr w14:paraId="4A6E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8" w:type="pct"/>
            <w:vAlign w:val="center"/>
          </w:tcPr>
          <w:p w14:paraId="4814123D">
            <w:pPr>
              <w:textAlignment w:val="center"/>
              <w:rPr>
                <w:rFonts w:cs="Times New Roman"/>
              </w:rPr>
            </w:pPr>
            <w:r>
              <w:rPr>
                <w:rFonts w:cs="Times New Roman"/>
                <w:color w:val="000000"/>
              </w:rPr>
              <w:t>南京际华五三零二服饰装具有限责任公司</w:t>
            </w:r>
          </w:p>
        </w:tc>
        <w:tc>
          <w:tcPr>
            <w:tcW w:w="868" w:type="pct"/>
            <w:vAlign w:val="center"/>
          </w:tcPr>
          <w:p w14:paraId="45C5B2F1">
            <w:pPr>
              <w:jc w:val="right"/>
              <w:textAlignment w:val="center"/>
              <w:rPr>
                <w:rFonts w:cs="Times New Roman"/>
              </w:rPr>
            </w:pPr>
            <w:r>
              <w:rPr>
                <w:rFonts w:cs="Times New Roman"/>
                <w:color w:val="000000"/>
              </w:rPr>
              <w:t>787,852.56</w:t>
            </w:r>
          </w:p>
        </w:tc>
        <w:tc>
          <w:tcPr>
            <w:tcW w:w="916" w:type="pct"/>
            <w:vAlign w:val="center"/>
          </w:tcPr>
          <w:p w14:paraId="0FDE75DF">
            <w:pPr>
              <w:jc w:val="right"/>
              <w:textAlignment w:val="center"/>
              <w:rPr>
                <w:rFonts w:cs="Times New Roman"/>
              </w:rPr>
            </w:pPr>
            <w:r>
              <w:rPr>
                <w:rFonts w:cs="Times New Roman"/>
                <w:color w:val="000000"/>
              </w:rPr>
              <w:t>787,852.56</w:t>
            </w:r>
          </w:p>
        </w:tc>
        <w:tc>
          <w:tcPr>
            <w:tcW w:w="802" w:type="pct"/>
            <w:vAlign w:val="center"/>
          </w:tcPr>
          <w:p w14:paraId="1774470F">
            <w:pPr>
              <w:jc w:val="right"/>
              <w:textAlignment w:val="center"/>
              <w:rPr>
                <w:rFonts w:cs="Times New Roman"/>
              </w:rPr>
            </w:pPr>
            <w:r>
              <w:rPr>
                <w:rFonts w:eastAsia="Arial Narrow" w:cs="Times New Roman"/>
                <w:color w:val="000000"/>
                <w:lang w:bidi="ar"/>
              </w:rPr>
              <w:t>2.21</w:t>
            </w:r>
          </w:p>
        </w:tc>
        <w:tc>
          <w:tcPr>
            <w:tcW w:w="593" w:type="pct"/>
          </w:tcPr>
          <w:p w14:paraId="4013F944">
            <w:pPr>
              <w:jc w:val="right"/>
              <w:rPr>
                <w:rFonts w:cs="Times New Roman"/>
              </w:rPr>
            </w:pPr>
          </w:p>
        </w:tc>
      </w:tr>
      <w:tr w14:paraId="68A0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18" w:type="pct"/>
          </w:tcPr>
          <w:p w14:paraId="79A4C4D5">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68" w:type="pct"/>
            <w:vAlign w:val="center"/>
          </w:tcPr>
          <w:p w14:paraId="73EDB366">
            <w:pPr>
              <w:jc w:val="right"/>
              <w:textAlignment w:val="center"/>
              <w:rPr>
                <w:rFonts w:cs="Times New Roman"/>
              </w:rPr>
            </w:pPr>
            <w:r>
              <w:rPr>
                <w:rFonts w:eastAsia="Arial Narrow" w:cs="Times New Roman"/>
                <w:color w:val="000000"/>
                <w:lang w:bidi="ar"/>
              </w:rPr>
              <w:t>27,860,907.55</w:t>
            </w:r>
          </w:p>
        </w:tc>
        <w:tc>
          <w:tcPr>
            <w:tcW w:w="916" w:type="pct"/>
            <w:vAlign w:val="center"/>
          </w:tcPr>
          <w:p w14:paraId="28E31AC9">
            <w:pPr>
              <w:jc w:val="right"/>
              <w:textAlignment w:val="center"/>
              <w:rPr>
                <w:rFonts w:cs="Times New Roman"/>
              </w:rPr>
            </w:pPr>
            <w:r>
              <w:rPr>
                <w:rFonts w:cs="Times New Roman"/>
                <w:color w:val="000000"/>
              </w:rPr>
              <w:t>27,860,907.55</w:t>
            </w:r>
          </w:p>
        </w:tc>
        <w:tc>
          <w:tcPr>
            <w:tcW w:w="802" w:type="pct"/>
            <w:vAlign w:val="center"/>
          </w:tcPr>
          <w:p w14:paraId="1BBEB32B">
            <w:pPr>
              <w:jc w:val="right"/>
              <w:textAlignment w:val="center"/>
              <w:rPr>
                <w:rFonts w:cs="Times New Roman"/>
              </w:rPr>
            </w:pPr>
            <w:r>
              <w:rPr>
                <w:rFonts w:eastAsia="Arial Narrow" w:cs="Times New Roman"/>
                <w:color w:val="000000"/>
                <w:lang w:bidi="ar"/>
              </w:rPr>
              <w:t>78.30</w:t>
            </w:r>
          </w:p>
        </w:tc>
        <w:tc>
          <w:tcPr>
            <w:tcW w:w="593" w:type="pct"/>
          </w:tcPr>
          <w:p w14:paraId="541BA69A">
            <w:pPr>
              <w:jc w:val="right"/>
              <w:rPr>
                <w:rFonts w:cs="Times New Roman"/>
              </w:rPr>
            </w:pPr>
          </w:p>
        </w:tc>
      </w:tr>
    </w:tbl>
    <w:p w14:paraId="3E595792"/>
    <w:p w14:paraId="42F8E34A">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他说明</w:t>
      </w:r>
    </w:p>
    <w:sdt>
      <w:sdtPr>
        <w:rPr>
          <w:color w:val="000000" w:themeColor="text1"/>
          <w14:textFill>
            <w14:solidFill>
              <w14:schemeClr w14:val="tx1"/>
            </w14:solidFill>
          </w14:textFill>
        </w:rPr>
        <w:alias w:val="按欠款方归集的期末余额前五名的应收账款情况的说明"/>
        <w:tag w:val="_GBC_60ef1597b00c4872bb998837689ad316"/>
        <w:id w:val="147452867"/>
        <w:placeholder>
          <w:docPart w:val="GBC22222222222222222222222222222"/>
        </w:placeholder>
      </w:sdtPr>
      <w:sdtEndPr>
        <w:rPr>
          <w:color w:val="000000" w:themeColor="text1"/>
          <w14:textFill>
            <w14:solidFill>
              <w14:schemeClr w14:val="tx1"/>
            </w14:solidFill>
          </w14:textFill>
        </w:rPr>
      </w:sdtEndPr>
      <w:sdtContent>
        <w:p w14:paraId="1124CAD8">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180E647D">
      <w:pPr>
        <w:snapToGrid w:val="0"/>
        <w:spacing w:line="240" w:lineRule="atLeast"/>
        <w:rPr>
          <w:color w:val="000000" w:themeColor="text1"/>
          <w14:textFill>
            <w14:solidFill>
              <w14:schemeClr w14:val="tx1"/>
            </w14:solidFill>
          </w14:textFill>
        </w:rPr>
      </w:pPr>
    </w:p>
    <w:bookmarkEnd w:id="446"/>
    <w:bookmarkEnd w:id="447"/>
    <w:bookmarkEnd w:id="448"/>
    <w:p w14:paraId="6519C5D5">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rFonts w:hint="eastAsia"/>
          <w:color w:val="000000" w:themeColor="text1"/>
          <w14:textFill>
            <w14:solidFill>
              <w14:schemeClr w14:val="tx1"/>
            </w14:solidFill>
          </w14:textFill>
        </w:rPr>
        <w:alias w:val="是否适用：母公司应收账款其他说明[双击切换]"/>
        <w:tag w:val="_GBC_22a2c0a255e04aacadf1c076323bc980"/>
        <w:id w:val="147467947"/>
        <w:placeholder>
          <w:docPart w:val="GBC22222222222222222222222222222"/>
        </w:placeholder>
      </w:sdtPr>
      <w:sdtEndPr>
        <w:rPr>
          <w:rFonts w:hint="eastAsia"/>
          <w:color w:val="000000" w:themeColor="text1"/>
          <w14:textFill>
            <w14:solidFill>
              <w14:schemeClr w14:val="tx1"/>
            </w14:solidFill>
          </w14:textFill>
        </w:rPr>
      </w:sdtEndPr>
      <w:sdtContent>
        <w:p w14:paraId="31C6BFA8">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5B30741">
      <w:pPr>
        <w:snapToGrid w:val="0"/>
        <w:spacing w:line="240" w:lineRule="atLeast"/>
        <w:rPr>
          <w:color w:val="000000" w:themeColor="text1"/>
          <w14:textFill>
            <w14:solidFill>
              <w14:schemeClr w14:val="tx1"/>
            </w14:solidFill>
          </w14:textFill>
        </w:rPr>
      </w:pPr>
    </w:p>
    <w:p w14:paraId="29B6D1A8">
      <w:pPr>
        <w:pStyle w:val="57"/>
        <w:numPr>
          <w:ilvl w:val="0"/>
          <w:numId w:val="11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其他应收款</w:t>
      </w:r>
    </w:p>
    <w:p w14:paraId="5A2979F9">
      <w:pPr>
        <w:pStyle w:val="58"/>
        <w:rPr>
          <w:rFonts w:ascii="宋体" w:hAnsi="宋体"/>
          <w:color w:val="000000" w:themeColor="text1"/>
          <w14:textFill>
            <w14:solidFill>
              <w14:schemeClr w14:val="tx1"/>
            </w14:solidFill>
          </w14:textFill>
        </w:rPr>
      </w:pPr>
      <w:bookmarkStart w:id="449" w:name="_Hlk10546944"/>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母公司其他应收款分类列示[双击切换]"/>
        <w:tag w:val="_GBC_529e259f053b47d993fd4e3216204522"/>
        <w:id w:val="147451655"/>
        <w:placeholder>
          <w:docPart w:val="GBC22222222222222222222222222222"/>
        </w:placeholder>
      </w:sdtPr>
      <w:sdtEndPr>
        <w:rPr>
          <w:color w:val="000000" w:themeColor="text1"/>
          <w14:textFill>
            <w14:solidFill>
              <w14:schemeClr w14:val="tx1"/>
            </w14:solidFill>
          </w14:textFill>
        </w:rPr>
      </w:sdtEndPr>
      <w:sdtContent>
        <w:p w14:paraId="2B5EEEC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696F09A">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其他应收款分类列示"/>
          <w:tag w:val="_GBC_306e86db57e64b00a9602dc7cbf81457"/>
          <w:id w:val="1474602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其他应收款分类列示"/>
          <w:tag w:val="_GBC_cd5866350ae3491e87e9f82a7ed2a7c3"/>
          <w:id w:val="1474649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113"/>
        <w:gridCol w:w="2862"/>
        <w:gridCol w:w="2848"/>
      </w:tblGrid>
      <w:tr w14:paraId="0DF8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9b14d51b79194bdea749a527966a0a2e"/>
            <w:id w:val="147483618"/>
          </w:sdtPr>
          <w:sdtEndPr>
            <w:rPr>
              <w:rFonts w:cs="Times New Roman"/>
            </w:rPr>
          </w:sdtEndPr>
          <w:sdtContent>
            <w:tc>
              <w:tcPr>
                <w:tcW w:w="1764" w:type="pct"/>
                <w:vAlign w:val="center"/>
              </w:tcPr>
              <w:p w14:paraId="7617E8D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1dd12447c07a4bf5b8eef82f2f9f5577"/>
            <w:id w:val="147465219"/>
          </w:sdtPr>
          <w:sdtEndPr>
            <w:rPr>
              <w:rFonts w:cs="Times New Roman"/>
            </w:rPr>
          </w:sdtEndPr>
          <w:sdtContent>
            <w:tc>
              <w:tcPr>
                <w:tcW w:w="1622" w:type="pct"/>
                <w:vAlign w:val="center"/>
              </w:tcPr>
              <w:p w14:paraId="26778A3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2701e42352ac4ea1ae4d64adf5d28e89"/>
            <w:id w:val="147464239"/>
          </w:sdtPr>
          <w:sdtEndPr>
            <w:rPr>
              <w:rFonts w:cs="Times New Roman"/>
            </w:rPr>
          </w:sdtEndPr>
          <w:sdtContent>
            <w:tc>
              <w:tcPr>
                <w:tcW w:w="1614" w:type="pct"/>
                <w:vAlign w:val="center"/>
              </w:tcPr>
              <w:p w14:paraId="4FB5F10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67B1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14:paraId="4CB67B0B">
            <w:pPr>
              <w:ind w:right="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应收利息</w:t>
            </w:r>
          </w:p>
        </w:tc>
        <w:tc>
          <w:tcPr>
            <w:tcW w:w="1622" w:type="pct"/>
          </w:tcPr>
          <w:p w14:paraId="22D22CC0">
            <w:pPr>
              <w:ind w:right="5"/>
              <w:jc w:val="right"/>
              <w:rPr>
                <w:rFonts w:cs="Times New Roman"/>
              </w:rPr>
            </w:pPr>
          </w:p>
        </w:tc>
        <w:tc>
          <w:tcPr>
            <w:tcW w:w="1614" w:type="pct"/>
          </w:tcPr>
          <w:p w14:paraId="20AF88FC">
            <w:pPr>
              <w:ind w:right="5"/>
              <w:jc w:val="right"/>
              <w:rPr>
                <w:rFonts w:cs="Times New Roman"/>
              </w:rPr>
            </w:pPr>
          </w:p>
        </w:tc>
      </w:tr>
      <w:tr w14:paraId="6786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14:paraId="6F2BC39C">
            <w:pPr>
              <w:ind w:right="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应收股利</w:t>
            </w:r>
          </w:p>
        </w:tc>
        <w:tc>
          <w:tcPr>
            <w:tcW w:w="1622" w:type="pct"/>
            <w:vAlign w:val="center"/>
          </w:tcPr>
          <w:p w14:paraId="1A5C8C2B">
            <w:pPr>
              <w:jc w:val="right"/>
              <w:textAlignment w:val="center"/>
              <w:rPr>
                <w:rFonts w:cs="Times New Roman"/>
              </w:rPr>
            </w:pPr>
            <w:r>
              <w:rPr>
                <w:rFonts w:cs="Times New Roman"/>
                <w:color w:val="000000"/>
              </w:rPr>
              <w:t>521,931,182.43</w:t>
            </w:r>
          </w:p>
        </w:tc>
        <w:tc>
          <w:tcPr>
            <w:tcW w:w="1614" w:type="pct"/>
            <w:vAlign w:val="center"/>
          </w:tcPr>
          <w:p w14:paraId="1DE4E804">
            <w:pPr>
              <w:jc w:val="right"/>
              <w:textAlignment w:val="center"/>
              <w:rPr>
                <w:rFonts w:cs="Times New Roman"/>
              </w:rPr>
            </w:pPr>
            <w:r>
              <w:rPr>
                <w:rFonts w:cs="Times New Roman"/>
                <w:color w:val="000000"/>
              </w:rPr>
              <w:t>371,931,182.43</w:t>
            </w:r>
          </w:p>
        </w:tc>
      </w:tr>
      <w:tr w14:paraId="2F2C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14:paraId="51C41CB4">
            <w:pPr>
              <w:ind w:right="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其他应收款</w:t>
            </w:r>
          </w:p>
        </w:tc>
        <w:tc>
          <w:tcPr>
            <w:tcW w:w="1622" w:type="pct"/>
            <w:vAlign w:val="center"/>
          </w:tcPr>
          <w:p w14:paraId="20BE5B95">
            <w:pPr>
              <w:jc w:val="right"/>
              <w:textAlignment w:val="center"/>
              <w:rPr>
                <w:rFonts w:cs="Times New Roman"/>
              </w:rPr>
            </w:pPr>
            <w:r>
              <w:rPr>
                <w:rFonts w:cs="Times New Roman"/>
                <w:color w:val="000000"/>
              </w:rPr>
              <w:t>6,654,703,817.60</w:t>
            </w:r>
          </w:p>
        </w:tc>
        <w:tc>
          <w:tcPr>
            <w:tcW w:w="1614" w:type="pct"/>
            <w:vAlign w:val="center"/>
          </w:tcPr>
          <w:p w14:paraId="6F9E5943">
            <w:pPr>
              <w:jc w:val="right"/>
              <w:textAlignment w:val="center"/>
              <w:rPr>
                <w:rFonts w:cs="Times New Roman"/>
              </w:rPr>
            </w:pPr>
            <w:r>
              <w:rPr>
                <w:rFonts w:cs="Times New Roman"/>
                <w:color w:val="000000"/>
              </w:rPr>
              <w:t>6,363,916,633.74</w:t>
            </w:r>
          </w:p>
        </w:tc>
      </w:tr>
      <w:tr w14:paraId="4231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vAlign w:val="center"/>
          </w:tcPr>
          <w:p w14:paraId="0B3EA280">
            <w:pPr>
              <w:autoSpaceDE w:val="0"/>
              <w:autoSpaceDN w:val="0"/>
              <w:adjustRightInd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22" w:type="pct"/>
            <w:vAlign w:val="center"/>
          </w:tcPr>
          <w:p w14:paraId="7D6D028A">
            <w:pPr>
              <w:jc w:val="right"/>
              <w:textAlignment w:val="center"/>
              <w:rPr>
                <w:rFonts w:cs="Times New Roman"/>
              </w:rPr>
            </w:pPr>
            <w:r>
              <w:rPr>
                <w:rFonts w:cs="Times New Roman"/>
                <w:color w:val="000000"/>
              </w:rPr>
              <w:t>7,176,635,000.03</w:t>
            </w:r>
          </w:p>
        </w:tc>
        <w:tc>
          <w:tcPr>
            <w:tcW w:w="1614" w:type="pct"/>
            <w:vAlign w:val="center"/>
          </w:tcPr>
          <w:p w14:paraId="53F832D8">
            <w:pPr>
              <w:jc w:val="right"/>
              <w:textAlignment w:val="center"/>
              <w:rPr>
                <w:rFonts w:cs="Times New Roman"/>
              </w:rPr>
            </w:pPr>
            <w:r>
              <w:rPr>
                <w:rFonts w:cs="Times New Roman"/>
                <w:color w:val="000000"/>
              </w:rPr>
              <w:t>6,735,847,816.17</w:t>
            </w:r>
          </w:p>
        </w:tc>
      </w:tr>
    </w:tbl>
    <w:p w14:paraId="32A9CD57">
      <w:pPr>
        <w:rPr>
          <w:color w:val="000000" w:themeColor="text1"/>
          <w14:textFill>
            <w14:solidFill>
              <w14:schemeClr w14:val="tx1"/>
            </w14:solidFill>
          </w14:textFill>
        </w:rPr>
      </w:pPr>
    </w:p>
    <w:p w14:paraId="15C2E707">
      <w:pPr>
        <w:rPr>
          <w:color w:val="000000" w:themeColor="text1"/>
          <w14:textFill>
            <w14:solidFill>
              <w14:schemeClr w14:val="tx1"/>
            </w14:solidFill>
          </w14:textFill>
        </w:rPr>
      </w:pPr>
      <w:bookmarkStart w:id="450" w:name="_Hlk533797002"/>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母公司其他应收款分类列示其他说明[双击切换]"/>
        <w:tag w:val="_GBC_87c9afe4c5c54a4b93c9b78663bd8bf3"/>
        <w:id w:val="147457828"/>
        <w:placeholder>
          <w:docPart w:val="GBC22222222222222222222222222222"/>
        </w:placeholder>
      </w:sdtPr>
      <w:sdtEndPr>
        <w:rPr>
          <w:color w:val="000000" w:themeColor="text1"/>
          <w14:textFill>
            <w14:solidFill>
              <w14:schemeClr w14:val="tx1"/>
            </w14:solidFill>
          </w14:textFill>
        </w:rPr>
      </w:sdtEndPr>
      <w:sdtContent>
        <w:p w14:paraId="036D09B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E1F0103">
      <w:pPr>
        <w:rPr>
          <w:color w:val="000000" w:themeColor="text1"/>
          <w14:textFill>
            <w14:solidFill>
              <w14:schemeClr w14:val="tx1"/>
            </w14:solidFill>
          </w14:textFill>
        </w:rPr>
      </w:pPr>
    </w:p>
    <w:bookmarkEnd w:id="449"/>
    <w:bookmarkEnd w:id="450"/>
    <w:p w14:paraId="376C9F1C">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应收利息</w:t>
      </w:r>
    </w:p>
    <w:p w14:paraId="6ACD8B68">
      <w:pPr>
        <w:pStyle w:val="59"/>
        <w:numPr>
          <w:ilvl w:val="0"/>
          <w:numId w:val="118"/>
        </w:numPr>
      </w:pPr>
      <w:bookmarkStart w:id="451" w:name="_Hlk10547023"/>
      <w:bookmarkStart w:id="452" w:name="_Hlk10547033"/>
      <w:r>
        <w:rPr>
          <w:rFonts w:hint="eastAsia"/>
        </w:rPr>
        <w:t>应收利息分类</w:t>
      </w:r>
      <w:bookmarkEnd w:id="451"/>
    </w:p>
    <w:sdt>
      <w:sdtPr>
        <w:rPr>
          <w:color w:val="000000" w:themeColor="text1"/>
          <w14:textFill>
            <w14:solidFill>
              <w14:schemeClr w14:val="tx1"/>
            </w14:solidFill>
          </w14:textFill>
        </w:rPr>
        <w:alias w:val="是否适用：母公司应收利息分类[双击切换]"/>
        <w:tag w:val="_GBC_7b29d5fc39c94a909c39eedf47c8008f"/>
        <w:id w:val="147478922"/>
        <w:placeholder>
          <w:docPart w:val="GBC22222222222222222222222222222"/>
        </w:placeholder>
      </w:sdtPr>
      <w:sdtEndPr>
        <w:rPr>
          <w:color w:val="000000" w:themeColor="text1"/>
          <w14:textFill>
            <w14:solidFill>
              <w14:schemeClr w14:val="tx1"/>
            </w14:solidFill>
          </w14:textFill>
        </w:rPr>
      </w:sdtEndPr>
      <w:sdtContent>
        <w:p w14:paraId="57F155C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7CC32F8">
      <w:pPr>
        <w:rPr>
          <w:color w:val="000000" w:themeColor="text1"/>
          <w14:textFill>
            <w14:solidFill>
              <w14:schemeClr w14:val="tx1"/>
            </w14:solidFill>
          </w14:textFill>
        </w:rPr>
      </w:pPr>
    </w:p>
    <w:bookmarkEnd w:id="452"/>
    <w:p w14:paraId="57D2FD96">
      <w:pPr>
        <w:pStyle w:val="59"/>
        <w:numPr>
          <w:ilvl w:val="0"/>
          <w:numId w:val="118"/>
        </w:numPr>
      </w:pPr>
      <w:bookmarkStart w:id="453" w:name="_Hlk10547054"/>
      <w:bookmarkStart w:id="454" w:name="_Hlk10547064"/>
      <w:r>
        <w:rPr>
          <w:rFonts w:hint="eastAsia"/>
        </w:rPr>
        <w:t>重要逾期利息</w:t>
      </w:r>
      <w:bookmarkEnd w:id="453"/>
    </w:p>
    <w:sdt>
      <w:sdtPr>
        <w:rPr>
          <w:color w:val="000000" w:themeColor="text1"/>
          <w14:textFill>
            <w14:solidFill>
              <w14:schemeClr w14:val="tx1"/>
            </w14:solidFill>
          </w14:textFill>
        </w:rPr>
        <w:alias w:val="是否适用：母公司重要逾期利息[双击切换]"/>
        <w:tag w:val="_GBC_2527ddfc737d4b8c8fa3ca7d6387408d"/>
        <w:id w:val="147467305"/>
        <w:placeholder>
          <w:docPart w:val="GBC22222222222222222222222222222"/>
        </w:placeholder>
      </w:sdtPr>
      <w:sdtEndPr>
        <w:rPr>
          <w:color w:val="000000" w:themeColor="text1"/>
          <w14:textFill>
            <w14:solidFill>
              <w14:schemeClr w14:val="tx1"/>
            </w14:solidFill>
          </w14:textFill>
        </w:rPr>
      </w:sdtEndPr>
      <w:sdtContent>
        <w:p w14:paraId="4177535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12AC4E6">
      <w:pPr>
        <w:rPr>
          <w:color w:val="000000" w:themeColor="text1"/>
          <w14:textFill>
            <w14:solidFill>
              <w14:schemeClr w14:val="tx1"/>
            </w14:solidFill>
          </w14:textFill>
        </w:rPr>
      </w:pPr>
    </w:p>
    <w:bookmarkEnd w:id="454"/>
    <w:p w14:paraId="58FF55D4">
      <w:pPr>
        <w:pStyle w:val="59"/>
        <w:numPr>
          <w:ilvl w:val="0"/>
          <w:numId w:val="118"/>
        </w:numPr>
      </w:pPr>
      <w:bookmarkStart w:id="455" w:name="_Hlk154149455"/>
      <w:bookmarkStart w:id="456" w:name="_Hlk167983171"/>
      <w:bookmarkStart w:id="457" w:name="_Hlk153789950"/>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9b6b7378a5064d4da42ce1b114ef0dd2"/>
        <w:id w:val="147466796"/>
        <w:placeholder>
          <w:docPart w:val="GBC22222222222222222222222222222"/>
        </w:placeholder>
      </w:sdtPr>
      <w:sdtEndPr>
        <w:rPr>
          <w:color w:val="000000" w:themeColor="text1"/>
          <w14:textFill>
            <w14:solidFill>
              <w14:schemeClr w14:val="tx1"/>
            </w14:solidFill>
          </w14:textFill>
        </w:rPr>
      </w:sdtEndPr>
      <w:sdtContent>
        <w:p w14:paraId="3371D6F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8E3C22D">
      <w:pPr>
        <w:rPr>
          <w:color w:val="000000" w:themeColor="text1"/>
          <w14:textFill>
            <w14:solidFill>
              <w14:schemeClr w14:val="tx1"/>
            </w14:solidFill>
          </w14:textFill>
        </w:rPr>
      </w:pPr>
    </w:p>
    <w:p w14:paraId="1D772EB2">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母公司按单项计提坏账准备的详细情况[双击切换]"/>
        <w:tag w:val="_GBC_9e66e9365aa445c3891c917c0b2cb0f8"/>
        <w:id w:val="147473427"/>
        <w:placeholder>
          <w:docPart w:val="GBC22222222222222222222222222222"/>
        </w:placeholder>
      </w:sdtPr>
      <w:sdtEndPr>
        <w:rPr>
          <w:color w:val="000000" w:themeColor="text1"/>
          <w14:textFill>
            <w14:solidFill>
              <w14:schemeClr w14:val="tx1"/>
            </w14:solidFill>
          </w14:textFill>
        </w:rPr>
      </w:sdtEndPr>
      <w:sdtContent>
        <w:p w14:paraId="3F825BD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C490E49">
      <w:pPr>
        <w:rPr>
          <w:color w:val="000000" w:themeColor="text1"/>
          <w14:textFill>
            <w14:solidFill>
              <w14:schemeClr w14:val="tx1"/>
            </w14:solidFill>
          </w14:textFill>
        </w:rPr>
      </w:pPr>
    </w:p>
    <w:p w14:paraId="5328BA03">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母公司按单项计提坏账准备的说明[双击切换]"/>
        <w:tag w:val="_GBC_61cf7a42166c410985a3f556c1a407d3"/>
        <w:id w:val="147462623"/>
        <w:placeholder>
          <w:docPart w:val="GBC22222222222222222222222222222"/>
        </w:placeholder>
      </w:sdtPr>
      <w:sdtEndPr>
        <w:rPr>
          <w:color w:val="000000" w:themeColor="text1"/>
          <w14:textFill>
            <w14:solidFill>
              <w14:schemeClr w14:val="tx1"/>
            </w14:solidFill>
          </w14:textFill>
        </w:rPr>
      </w:sdtEndPr>
      <w:sdtContent>
        <w:p w14:paraId="1CFD50A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07F956E">
      <w:pPr>
        <w:rPr>
          <w:color w:val="000000" w:themeColor="text1"/>
          <w14:textFill>
            <w14:solidFill>
              <w14:schemeClr w14:val="tx1"/>
            </w14:solidFill>
          </w14:textFill>
        </w:rPr>
      </w:pPr>
    </w:p>
    <w:p w14:paraId="5FD81F40">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母公司按组合计提坏账准备的详细情况[双击切换]"/>
        <w:tag w:val="_GBC_d3043e47b1544d94a13ce780dd85e9fc"/>
        <w:id w:val="147476485"/>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675B7A2B">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5547862A">
      <w:pPr>
        <w:rPr>
          <w:rFonts w:ascii="Calibri" w:hAnsi="Calibri" w:cs="Times New Roman"/>
          <w:b/>
          <w:bCs w:val="0"/>
          <w:color w:val="000000" w:themeColor="text1"/>
          <w:szCs w:val="22"/>
          <w14:textFill>
            <w14:solidFill>
              <w14:schemeClr w14:val="tx1"/>
            </w14:solidFill>
          </w14:textFill>
        </w:rPr>
      </w:pPr>
    </w:p>
    <w:bookmarkEnd w:id="455"/>
    <w:bookmarkEnd w:id="456"/>
    <w:bookmarkEnd w:id="457"/>
    <w:p w14:paraId="0A754F27">
      <w:pPr>
        <w:pStyle w:val="59"/>
        <w:numPr>
          <w:ilvl w:val="0"/>
          <w:numId w:val="118"/>
        </w:numPr>
      </w:pPr>
      <w:bookmarkStart w:id="458" w:name="_Hlk10547083"/>
      <w:bookmarkEnd w:id="458"/>
      <w:bookmarkStart w:id="459" w:name="_Hlk10547096"/>
      <w:r>
        <w:rPr>
          <w:rFonts w:hint="eastAsia"/>
        </w:rPr>
        <w:t>按预期信用损失一般模型计提坏账准备</w:t>
      </w:r>
    </w:p>
    <w:sdt>
      <w:sdtPr>
        <w:rPr>
          <w:color w:val="000000" w:themeColor="text1"/>
          <w14:textFill>
            <w14:solidFill>
              <w14:schemeClr w14:val="tx1"/>
            </w14:solidFill>
          </w14:textFill>
        </w:rPr>
        <w:alias w:val="是否适用：母公司应收利息坏账准备调节表[双击切换]"/>
        <w:tag w:val="_GBC_051d1f4329834464b99226954bb8040d"/>
        <w:id w:val="147480768"/>
        <w:placeholder>
          <w:docPart w:val="GBC22222222222222222222222222222"/>
        </w:placeholder>
      </w:sdtPr>
      <w:sdtEndPr>
        <w:rPr>
          <w:color w:val="000000" w:themeColor="text1"/>
          <w14:textFill>
            <w14:solidFill>
              <w14:schemeClr w14:val="tx1"/>
            </w14:solidFill>
          </w14:textFill>
        </w:rPr>
      </w:sdtEndPr>
      <w:sdtContent>
        <w:p w14:paraId="0FEBBBA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EAAA3F">
      <w:pPr>
        <w:rPr>
          <w:color w:val="000000" w:themeColor="text1"/>
          <w14:textFill>
            <w14:solidFill>
              <w14:schemeClr w14:val="tx1"/>
            </w14:solidFill>
          </w14:textFill>
        </w:rPr>
      </w:pPr>
    </w:p>
    <w:bookmarkEnd w:id="459"/>
    <w:p w14:paraId="5439A753">
      <w:pPr>
        <w:pStyle w:val="59"/>
        <w:numPr>
          <w:ilvl w:val="0"/>
          <w:numId w:val="118"/>
        </w:numPr>
      </w:pPr>
      <w:bookmarkStart w:id="460" w:name="_Hlk154149866"/>
      <w:bookmarkStart w:id="461" w:name="_Hlk167984472"/>
      <w:bookmarkStart w:id="462" w:name="_Hlk10547119"/>
      <w:bookmarkStart w:id="463" w:name="_Hlk10547128"/>
      <w:r>
        <w:rPr>
          <w:rFonts w:hint="eastAsia"/>
        </w:rPr>
        <w:t>坏账准备的情况</w:t>
      </w:r>
    </w:p>
    <w:sdt>
      <w:sdtPr>
        <w:rPr>
          <w:color w:val="000000" w:themeColor="text1"/>
          <w14:textFill>
            <w14:solidFill>
              <w14:schemeClr w14:val="tx1"/>
            </w14:solidFill>
          </w14:textFill>
        </w:rPr>
        <w:alias w:val="是否适用：母公司坏账准备情况[双击切换]"/>
        <w:tag w:val="_GBC_4dc2b543f39042eeba6f1a6da14a23c7"/>
        <w:id w:val="147474332"/>
        <w:placeholder>
          <w:docPart w:val="GBC22222222222222222222222222222"/>
        </w:placeholder>
      </w:sdtPr>
      <w:sdtEndPr>
        <w:rPr>
          <w:color w:val="000000" w:themeColor="text1"/>
          <w14:textFill>
            <w14:solidFill>
              <w14:schemeClr w14:val="tx1"/>
            </w14:solidFill>
          </w14:textFill>
        </w:rPr>
      </w:sdtEndPr>
      <w:sdtContent>
        <w:p w14:paraId="0A4BB176">
          <w:pPr>
            <w:pStyle w:val="67"/>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DE5931">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279266492b924c379c68ded1cd456b96"/>
        <w:id w:val="147451950"/>
        <w:placeholder>
          <w:docPart w:val="GBC22222222222222222222222222222"/>
        </w:placeholder>
      </w:sdtPr>
      <w:sdtEndPr>
        <w:rPr>
          <w:color w:val="000000" w:themeColor="text1"/>
          <w14:textFill>
            <w14:solidFill>
              <w14:schemeClr w14:val="tx1"/>
            </w14:solidFill>
          </w14:textFill>
        </w:rPr>
      </w:sdtEndPr>
      <w:sdtContent>
        <w:p w14:paraId="7F0D1E0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AFB36B8">
      <w:pPr>
        <w:rPr>
          <w:color w:val="000000" w:themeColor="text1"/>
          <w14:textFill>
            <w14:solidFill>
              <w14:schemeClr w14:val="tx1"/>
            </w14:solidFill>
          </w14:textFill>
        </w:rPr>
      </w:pPr>
    </w:p>
    <w:p w14:paraId="3CAEFF3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母公司坏账准备情况的说明"/>
        <w:tag w:val="_GBC_3ab55111e91142e6a9275bfe02be4915"/>
        <w:id w:val="147465751"/>
        <w:placeholder>
          <w:docPart w:val="GBC22222222222222222222222222222"/>
        </w:placeholder>
      </w:sdtPr>
      <w:sdtEndPr>
        <w:rPr>
          <w:color w:val="000000" w:themeColor="text1"/>
          <w14:textFill>
            <w14:solidFill>
              <w14:schemeClr w14:val="tx1"/>
            </w14:solidFill>
          </w14:textFill>
        </w:rPr>
      </w:sdtEndPr>
      <w:sdtContent>
        <w:p w14:paraId="213AC289">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29FE86F0">
      <w:pPr>
        <w:ind w:right="-1594" w:rightChars="-759"/>
        <w:rPr>
          <w:color w:val="000000" w:themeColor="text1"/>
          <w14:textFill>
            <w14:solidFill>
              <w14:schemeClr w14:val="tx1"/>
            </w14:solidFill>
          </w14:textFill>
        </w:rPr>
      </w:pPr>
    </w:p>
    <w:p w14:paraId="30A4B63A">
      <w:pPr>
        <w:pStyle w:val="59"/>
        <w:numPr>
          <w:ilvl w:val="0"/>
          <w:numId w:val="118"/>
        </w:numPr>
      </w:pPr>
      <w:r>
        <w:rPr>
          <w:rFonts w:hint="eastAsia"/>
        </w:rPr>
        <w:t>本期实际核销的应收利息情况</w:t>
      </w:r>
    </w:p>
    <w:sdt>
      <w:sdtPr>
        <w:rPr>
          <w:color w:val="000000" w:themeColor="text1"/>
          <w14:textFill>
            <w14:solidFill>
              <w14:schemeClr w14:val="tx1"/>
            </w14:solidFill>
          </w14:textFill>
        </w:rPr>
        <w:alias w:val="是否适用：实际核销的情况[双击切换]"/>
        <w:tag w:val="_GBC_e26e6d4104e24b8ba3faa4e27a6c1045"/>
        <w:id w:val="147480663"/>
        <w:placeholder>
          <w:docPart w:val="GBC22222222222222222222222222222"/>
        </w:placeholder>
      </w:sdtPr>
      <w:sdtEndPr>
        <w:rPr>
          <w:color w:val="000000" w:themeColor="text1"/>
          <w14:textFill>
            <w14:solidFill>
              <w14:schemeClr w14:val="tx1"/>
            </w14:solidFill>
          </w14:textFill>
        </w:rPr>
      </w:sdtEndPr>
      <w:sdtContent>
        <w:p w14:paraId="0301433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BD10F6D">
      <w:pPr>
        <w:rPr>
          <w:color w:val="000000" w:themeColor="text1"/>
          <w14:textFill>
            <w14:solidFill>
              <w14:schemeClr w14:val="tx1"/>
            </w14:solidFill>
          </w14:textFill>
        </w:rPr>
      </w:pPr>
    </w:p>
    <w:p w14:paraId="1990CAF3">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其中重要的应收利息核销情况</w:t>
      </w:r>
    </w:p>
    <w:sdt>
      <w:sdtPr>
        <w:rPr>
          <w:rFonts w:hint="eastAsia"/>
          <w:color w:val="000000" w:themeColor="text1"/>
          <w14:textFill>
            <w14:solidFill>
              <w14:schemeClr w14:val="tx1"/>
            </w14:solidFill>
          </w14:textFill>
        </w:rPr>
        <w:alias w:val="是否适用：母公司重要的核销情况[双击切换]"/>
        <w:tag w:val="_GBC_60da80ce578f488fb72578d4541af9c0"/>
        <w:id w:val="147463478"/>
        <w:placeholder>
          <w:docPart w:val="GBC22222222222222222222222222222"/>
        </w:placeholder>
      </w:sdtPr>
      <w:sdtEndPr>
        <w:rPr>
          <w:rFonts w:hint="eastAsia"/>
          <w:color w:val="000000" w:themeColor="text1"/>
          <w14:textFill>
            <w14:solidFill>
              <w14:schemeClr w14:val="tx1"/>
            </w14:solidFill>
          </w14:textFill>
        </w:rPr>
      </w:sdtEndPr>
      <w:sdtContent>
        <w:p w14:paraId="7E0B6D2B">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B22E88E">
      <w:pPr>
        <w:snapToGrid w:val="0"/>
        <w:spacing w:line="240" w:lineRule="atLeast"/>
        <w:rPr>
          <w:color w:val="000000" w:themeColor="text1"/>
          <w14:textFill>
            <w14:solidFill>
              <w14:schemeClr w14:val="tx1"/>
            </w14:solidFill>
          </w14:textFill>
        </w:rPr>
      </w:pPr>
    </w:p>
    <w:p w14:paraId="5452B880">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母公司核销说明[双击切换]"/>
        <w:tag w:val="_GBC_ae6210dfe1cb4aa880cbee38195c69fa"/>
        <w:id w:val="147481863"/>
        <w:placeholder>
          <w:docPart w:val="GBC22222222222222222222222222222"/>
        </w:placeholder>
      </w:sdtPr>
      <w:sdtEndPr>
        <w:rPr>
          <w:color w:val="000000" w:themeColor="text1"/>
          <w14:textFill>
            <w14:solidFill>
              <w14:schemeClr w14:val="tx1"/>
            </w14:solidFill>
          </w14:textFill>
        </w:rPr>
      </w:sdtEndPr>
      <w:sdtContent>
        <w:p w14:paraId="02DF66A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389406D">
      <w:pPr>
        <w:rPr>
          <w:color w:val="000000" w:themeColor="text1"/>
          <w14:textFill>
            <w14:solidFill>
              <w14:schemeClr w14:val="tx1"/>
            </w14:solidFill>
          </w14:textFill>
        </w:rPr>
      </w:pPr>
    </w:p>
    <w:bookmarkEnd w:id="460"/>
    <w:bookmarkEnd w:id="461"/>
    <w:p w14:paraId="7268C923">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bookmarkEnd w:id="462"/>
    </w:p>
    <w:sdt>
      <w:sdtPr>
        <w:rPr>
          <w:color w:val="000000" w:themeColor="text1"/>
          <w14:textFill>
            <w14:solidFill>
              <w14:schemeClr w14:val="tx1"/>
            </w14:solidFill>
          </w14:textFill>
        </w:rPr>
        <w:alias w:val="是否适用：母公司应收利息其他说明[双击切换]"/>
        <w:tag w:val="_GBC_936c374258514f469f2c9bb36b889c43"/>
        <w:id w:val="147459670"/>
        <w:placeholder>
          <w:docPart w:val="GBC22222222222222222222222222222"/>
        </w:placeholder>
      </w:sdtPr>
      <w:sdtEndPr>
        <w:rPr>
          <w:color w:val="000000" w:themeColor="text1"/>
          <w14:textFill>
            <w14:solidFill>
              <w14:schemeClr w14:val="tx1"/>
            </w14:solidFill>
          </w14:textFill>
        </w:rPr>
      </w:sdtEndPr>
      <w:sdtContent>
        <w:p w14:paraId="6A53FED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538A9F8">
      <w:pPr>
        <w:rPr>
          <w:color w:val="000000" w:themeColor="text1"/>
          <w14:textFill>
            <w14:solidFill>
              <w14:schemeClr w14:val="tx1"/>
            </w14:solidFill>
          </w14:textFill>
        </w:rPr>
      </w:pPr>
    </w:p>
    <w:bookmarkEnd w:id="463"/>
    <w:p w14:paraId="6E1A3EF7">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应收股利</w:t>
      </w:r>
    </w:p>
    <w:p w14:paraId="2606D58F">
      <w:pPr>
        <w:pStyle w:val="6"/>
        <w:numPr>
          <w:ilvl w:val="0"/>
          <w:numId w:val="119"/>
        </w:numPr>
      </w:pPr>
      <w:bookmarkStart w:id="464" w:name="_Hlk10547188"/>
      <w:bookmarkStart w:id="465" w:name="_Hlk10547199"/>
      <w:r>
        <w:rPr>
          <w:rFonts w:hint="eastAsia"/>
        </w:rPr>
        <w:t>应收股利</w:t>
      </w:r>
    </w:p>
    <w:sdt>
      <w:sdtPr>
        <w:rPr>
          <w:color w:val="000000" w:themeColor="text1"/>
          <w14:textFill>
            <w14:solidFill>
              <w14:schemeClr w14:val="tx1"/>
            </w14:solidFill>
          </w14:textFill>
        </w:rPr>
        <w:alias w:val="是否适用：母公司应收股利[双击切换]"/>
        <w:tag w:val="_GBC_3f36acb68ddd426b990a146c5c14da80"/>
        <w:id w:val="-553161699"/>
      </w:sdtPr>
      <w:sdtEndPr>
        <w:rPr>
          <w:color w:val="000000" w:themeColor="text1"/>
          <w14:textFill>
            <w14:solidFill>
              <w14:schemeClr w14:val="tx1"/>
            </w14:solidFill>
          </w14:textFill>
        </w:rPr>
      </w:sdtEndPr>
      <w:sdtContent>
        <w:p w14:paraId="169EAC8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DDD3B96">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股利"/>
          <w:tag w:val="_GBC_e366134590994916ad440e1f86811baf"/>
          <w:id w:val="-34654822"/>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股利"/>
          <w:tag w:val="_GBC_775e6a0d5c9a4f36b4b0b9f8ccda5bad"/>
          <w:id w:val="-1434131021"/>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0"/>
        <w:gridCol w:w="2212"/>
        <w:gridCol w:w="2271"/>
      </w:tblGrid>
      <w:tr w14:paraId="38F8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b87c7fccab6c455e8950ee7fa77c8733"/>
            <w:id w:val="1563358795"/>
          </w:sdtPr>
          <w:sdtEndPr>
            <w:rPr>
              <w:rFonts w:cs="Times New Roman"/>
            </w:rPr>
          </w:sdtEndPr>
          <w:sdtContent>
            <w:tc>
              <w:tcPr>
                <w:tcW w:w="2459" w:type="pct"/>
                <w:vAlign w:val="center"/>
              </w:tcPr>
              <w:p w14:paraId="78A8E48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项目(或被投资单位)</w:t>
                </w:r>
              </w:p>
            </w:tc>
          </w:sdtContent>
        </w:sdt>
        <w:sdt>
          <w:sdtPr>
            <w:rPr>
              <w:rFonts w:cs="Times New Roman"/>
            </w:rPr>
            <w:tag w:val="_PLD_71bd546e51944d7e86945cae947ca7e3"/>
            <w:id w:val="207619018"/>
          </w:sdtPr>
          <w:sdtEndPr>
            <w:rPr>
              <w:rFonts w:cs="Times New Roman"/>
            </w:rPr>
          </w:sdtEndPr>
          <w:sdtContent>
            <w:tc>
              <w:tcPr>
                <w:tcW w:w="1253" w:type="pct"/>
                <w:vAlign w:val="center"/>
              </w:tcPr>
              <w:p w14:paraId="05651F4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a057b5b882e84e6e85ec2267d16598c0"/>
            <w:id w:val="-1326357133"/>
          </w:sdtPr>
          <w:sdtEndPr>
            <w:rPr>
              <w:rFonts w:cs="Times New Roman"/>
            </w:rPr>
          </w:sdtEndPr>
          <w:sdtContent>
            <w:tc>
              <w:tcPr>
                <w:tcW w:w="1286" w:type="pct"/>
                <w:vAlign w:val="center"/>
              </w:tcPr>
              <w:p w14:paraId="4C8B8C6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sdt>
        <w:sdtPr>
          <w:rPr>
            <w:rFonts w:cs="Times New Roman"/>
            <w:color w:val="000000" w:themeColor="text1"/>
            <w:kern w:val="2"/>
            <w14:textFill>
              <w14:solidFill>
                <w14:schemeClr w14:val="tx1"/>
              </w14:solidFill>
            </w14:textFill>
          </w:rPr>
          <w:alias w:val="应收股利明细"/>
          <w:tag w:val="_TUP_1ff5f8f45a2949f1b9c94eaf933424a7"/>
          <w:id w:val="1466622669"/>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3B7C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188BDD27">
                <w:pPr>
                  <w:rPr>
                    <w:rFonts w:cs="Times New Roman"/>
                  </w:rPr>
                </w:pPr>
                <w:r>
                  <w:rPr>
                    <w:rFonts w:cs="Times New Roman"/>
                  </w:rPr>
                  <w:t>际华三五零二职业装有限公司</w:t>
                </w:r>
              </w:p>
            </w:tc>
            <w:tc>
              <w:tcPr>
                <w:tcW w:w="1253" w:type="pct"/>
                <w:vAlign w:val="center"/>
              </w:tcPr>
              <w:p w14:paraId="02684813">
                <w:pPr>
                  <w:jc w:val="right"/>
                  <w:rPr>
                    <w:rFonts w:cs="Times New Roman"/>
                  </w:rPr>
                </w:pPr>
                <w:r>
                  <w:rPr>
                    <w:rFonts w:cs="Times New Roman"/>
                  </w:rPr>
                  <w:t>2,185,526.79</w:t>
                </w:r>
              </w:p>
            </w:tc>
            <w:tc>
              <w:tcPr>
                <w:tcW w:w="1286" w:type="pct"/>
                <w:vAlign w:val="center"/>
              </w:tcPr>
              <w:p w14:paraId="2A636B75">
                <w:pPr>
                  <w:jc w:val="right"/>
                  <w:rPr>
                    <w:rFonts w:cs="Times New Roman"/>
                  </w:rPr>
                </w:pPr>
                <w:r>
                  <w:rPr>
                    <w:rFonts w:cs="Times New Roman"/>
                  </w:rPr>
                  <w:t>2,185,526.79</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910659992"/>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2ED4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0EB23056">
                <w:pPr>
                  <w:rPr>
                    <w:rFonts w:cs="Times New Roman"/>
                  </w:rPr>
                </w:pPr>
                <w:r>
                  <w:rPr>
                    <w:rFonts w:cs="Times New Roman"/>
                  </w:rPr>
                  <w:t>际华三五零九纺织有限公司</w:t>
                </w:r>
              </w:p>
            </w:tc>
            <w:tc>
              <w:tcPr>
                <w:tcW w:w="1253" w:type="pct"/>
                <w:vAlign w:val="center"/>
              </w:tcPr>
              <w:p w14:paraId="55D479D7">
                <w:pPr>
                  <w:jc w:val="right"/>
                  <w:rPr>
                    <w:rFonts w:cs="Times New Roman"/>
                  </w:rPr>
                </w:pPr>
                <w:r>
                  <w:rPr>
                    <w:rFonts w:cs="Times New Roman"/>
                  </w:rPr>
                  <w:t>17,497,432.37</w:t>
                </w:r>
              </w:p>
            </w:tc>
            <w:tc>
              <w:tcPr>
                <w:tcW w:w="1286" w:type="pct"/>
                <w:vAlign w:val="center"/>
              </w:tcPr>
              <w:p w14:paraId="67129F8C">
                <w:pPr>
                  <w:jc w:val="right"/>
                  <w:rPr>
                    <w:rFonts w:cs="Times New Roman"/>
                  </w:rPr>
                </w:pPr>
                <w:r>
                  <w:rPr>
                    <w:rFonts w:cs="Times New Roman"/>
                  </w:rPr>
                  <w:t>17,497,432.37</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520549695"/>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44CF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12CDE66B">
                <w:pPr>
                  <w:rPr>
                    <w:rFonts w:cs="Times New Roman"/>
                  </w:rPr>
                </w:pPr>
                <w:r>
                  <w:rPr>
                    <w:rFonts w:cs="Times New Roman"/>
                  </w:rPr>
                  <w:t>际华三五四二纺织有限公司</w:t>
                </w:r>
              </w:p>
            </w:tc>
            <w:tc>
              <w:tcPr>
                <w:tcW w:w="1253" w:type="pct"/>
                <w:vAlign w:val="center"/>
              </w:tcPr>
              <w:p w14:paraId="27D39047">
                <w:pPr>
                  <w:jc w:val="right"/>
                  <w:rPr>
                    <w:rFonts w:cs="Times New Roman"/>
                  </w:rPr>
                </w:pPr>
                <w:r>
                  <w:rPr>
                    <w:rFonts w:cs="Times New Roman"/>
                  </w:rPr>
                  <w:t>162,627,445.24</w:t>
                </w:r>
              </w:p>
            </w:tc>
            <w:tc>
              <w:tcPr>
                <w:tcW w:w="1286" w:type="pct"/>
                <w:vAlign w:val="center"/>
              </w:tcPr>
              <w:p w14:paraId="6D566469">
                <w:pPr>
                  <w:jc w:val="right"/>
                  <w:rPr>
                    <w:rFonts w:cs="Times New Roman"/>
                  </w:rPr>
                </w:pPr>
                <w:r>
                  <w:rPr>
                    <w:rFonts w:cs="Times New Roman"/>
                  </w:rPr>
                  <w:t>162,627,445.24</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393743503"/>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26EF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65BB72C7">
                <w:pPr>
                  <w:rPr>
                    <w:rFonts w:cs="Times New Roman"/>
                  </w:rPr>
                </w:pPr>
                <w:r>
                  <w:rPr>
                    <w:rFonts w:cs="Times New Roman"/>
                  </w:rPr>
                  <w:t>际华三五一三实业有限公司</w:t>
                </w:r>
              </w:p>
            </w:tc>
            <w:tc>
              <w:tcPr>
                <w:tcW w:w="1253" w:type="pct"/>
                <w:vAlign w:val="center"/>
              </w:tcPr>
              <w:p w14:paraId="660848DB">
                <w:pPr>
                  <w:jc w:val="right"/>
                  <w:rPr>
                    <w:rFonts w:cs="Times New Roman"/>
                  </w:rPr>
                </w:pPr>
                <w:r>
                  <w:rPr>
                    <w:rFonts w:cs="Times New Roman"/>
                  </w:rPr>
                  <w:t>8,080,806.74</w:t>
                </w:r>
              </w:p>
            </w:tc>
            <w:tc>
              <w:tcPr>
                <w:tcW w:w="1286" w:type="pct"/>
                <w:vAlign w:val="center"/>
              </w:tcPr>
              <w:p w14:paraId="1DBB2F72">
                <w:pPr>
                  <w:jc w:val="right"/>
                  <w:rPr>
                    <w:rFonts w:cs="Times New Roman"/>
                  </w:rPr>
                </w:pPr>
                <w:r>
                  <w:rPr>
                    <w:rFonts w:cs="Times New Roman"/>
                  </w:rPr>
                  <w:t>8,080,806.74</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1354030777"/>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098F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6D3D53B9">
                <w:pPr>
                  <w:rPr>
                    <w:rFonts w:cs="Times New Roman"/>
                  </w:rPr>
                </w:pPr>
                <w:r>
                  <w:rPr>
                    <w:rFonts w:cs="Times New Roman"/>
                  </w:rPr>
                  <w:t>际华三五一四制革制鞋有限公司</w:t>
                </w:r>
              </w:p>
            </w:tc>
            <w:tc>
              <w:tcPr>
                <w:tcW w:w="1253" w:type="pct"/>
                <w:vAlign w:val="center"/>
              </w:tcPr>
              <w:p w14:paraId="56CA528A">
                <w:pPr>
                  <w:jc w:val="right"/>
                  <w:rPr>
                    <w:rFonts w:cs="Times New Roman"/>
                  </w:rPr>
                </w:pPr>
                <w:r>
                  <w:rPr>
                    <w:rFonts w:cs="Times New Roman"/>
                  </w:rPr>
                  <w:t>6,618,750.00</w:t>
                </w:r>
              </w:p>
            </w:tc>
            <w:tc>
              <w:tcPr>
                <w:tcW w:w="1286" w:type="pct"/>
                <w:vAlign w:val="center"/>
              </w:tcPr>
              <w:p w14:paraId="3DDCEA9F">
                <w:pPr>
                  <w:jc w:val="right"/>
                  <w:rPr>
                    <w:rFonts w:cs="Times New Roman"/>
                  </w:rPr>
                </w:pPr>
                <w:r>
                  <w:rPr>
                    <w:rFonts w:cs="Times New Roman"/>
                  </w:rPr>
                  <w:t>6,618,750.00</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298851352"/>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2498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711EF14F">
                <w:pPr>
                  <w:rPr>
                    <w:rFonts w:cs="Times New Roman"/>
                  </w:rPr>
                </w:pPr>
                <w:r>
                  <w:rPr>
                    <w:rFonts w:cs="Times New Roman"/>
                  </w:rPr>
                  <w:t>际华三五二二装具饰品有限公司</w:t>
                </w:r>
              </w:p>
            </w:tc>
            <w:tc>
              <w:tcPr>
                <w:tcW w:w="1253" w:type="pct"/>
                <w:vAlign w:val="center"/>
              </w:tcPr>
              <w:p w14:paraId="0FF5F2E0">
                <w:pPr>
                  <w:jc w:val="right"/>
                  <w:rPr>
                    <w:rFonts w:cs="Times New Roman"/>
                  </w:rPr>
                </w:pPr>
                <w:r>
                  <w:rPr>
                    <w:rFonts w:cs="Times New Roman"/>
                  </w:rPr>
                  <w:t>82,634,022.41</w:t>
                </w:r>
              </w:p>
            </w:tc>
            <w:tc>
              <w:tcPr>
                <w:tcW w:w="1286" w:type="pct"/>
                <w:vAlign w:val="center"/>
              </w:tcPr>
              <w:p w14:paraId="71E52AB7">
                <w:pPr>
                  <w:jc w:val="right"/>
                  <w:rPr>
                    <w:rFonts w:cs="Times New Roman"/>
                  </w:rPr>
                </w:pPr>
                <w:r>
                  <w:rPr>
                    <w:rFonts w:cs="Times New Roman"/>
                  </w:rPr>
                  <w:t>82,634,022.41</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1698296512"/>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717F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2A255744">
                <w:pPr>
                  <w:rPr>
                    <w:rFonts w:cs="Times New Roman"/>
                  </w:rPr>
                </w:pPr>
                <w:r>
                  <w:rPr>
                    <w:rFonts w:cs="Times New Roman"/>
                  </w:rPr>
                  <w:t>沈阳际华三五四七特种装具有限公司</w:t>
                </w:r>
              </w:p>
            </w:tc>
            <w:tc>
              <w:tcPr>
                <w:tcW w:w="1253" w:type="pct"/>
                <w:vAlign w:val="center"/>
              </w:tcPr>
              <w:p w14:paraId="3E50A1A6">
                <w:pPr>
                  <w:jc w:val="right"/>
                  <w:rPr>
                    <w:rFonts w:cs="Times New Roman"/>
                  </w:rPr>
                </w:pPr>
                <w:r>
                  <w:rPr>
                    <w:rFonts w:cs="Times New Roman"/>
                  </w:rPr>
                  <w:t>3,404,192.02</w:t>
                </w:r>
              </w:p>
            </w:tc>
            <w:tc>
              <w:tcPr>
                <w:tcW w:w="1286" w:type="pct"/>
                <w:vAlign w:val="center"/>
              </w:tcPr>
              <w:p w14:paraId="67788B9F">
                <w:pPr>
                  <w:jc w:val="right"/>
                  <w:rPr>
                    <w:rFonts w:cs="Times New Roman"/>
                  </w:rPr>
                </w:pPr>
                <w:r>
                  <w:rPr>
                    <w:rFonts w:cs="Times New Roman"/>
                  </w:rPr>
                  <w:t>3,404,192.02</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1715569495"/>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58C3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07F819DD">
                <w:pPr>
                  <w:rPr>
                    <w:rFonts w:cs="Times New Roman"/>
                  </w:rPr>
                </w:pPr>
                <w:r>
                  <w:rPr>
                    <w:rFonts w:cs="Times New Roman"/>
                  </w:rPr>
                  <w:t>岳阳际华置业有限公司</w:t>
                </w:r>
              </w:p>
            </w:tc>
            <w:tc>
              <w:tcPr>
                <w:tcW w:w="1253" w:type="pct"/>
                <w:vAlign w:val="center"/>
              </w:tcPr>
              <w:p w14:paraId="33062B46">
                <w:pPr>
                  <w:jc w:val="right"/>
                  <w:rPr>
                    <w:rFonts w:cs="Times New Roman"/>
                  </w:rPr>
                </w:pPr>
                <w:r>
                  <w:rPr>
                    <w:rFonts w:cs="Times New Roman"/>
                  </w:rPr>
                  <w:t>36,775,459.11</w:t>
                </w:r>
              </w:p>
            </w:tc>
            <w:tc>
              <w:tcPr>
                <w:tcW w:w="1286" w:type="pct"/>
                <w:vAlign w:val="center"/>
              </w:tcPr>
              <w:p w14:paraId="0FD62DCF">
                <w:pPr>
                  <w:jc w:val="right"/>
                  <w:rPr>
                    <w:rFonts w:cs="Times New Roman"/>
                  </w:rPr>
                </w:pPr>
                <w:r>
                  <w:rPr>
                    <w:rFonts w:cs="Times New Roman"/>
                  </w:rPr>
                  <w:t>36,775,459.11</w:t>
                </w: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1406224289"/>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63DE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6CCF106F">
                <w:pPr>
                  <w:rPr>
                    <w:rFonts w:cs="Times New Roman"/>
                  </w:rPr>
                </w:pPr>
                <w:r>
                  <w:rPr>
                    <w:rFonts w:cs="Times New Roman"/>
                  </w:rPr>
                  <w:t>际华三五一二皮革服装有限公司</w:t>
                </w:r>
              </w:p>
            </w:tc>
            <w:tc>
              <w:tcPr>
                <w:tcW w:w="1253" w:type="pct"/>
                <w:vAlign w:val="center"/>
              </w:tcPr>
              <w:p w14:paraId="0C7CFE1B">
                <w:pPr>
                  <w:jc w:val="right"/>
                  <w:rPr>
                    <w:rFonts w:cs="Times New Roman"/>
                  </w:rPr>
                </w:pPr>
                <w:r>
                  <w:rPr>
                    <w:rFonts w:cs="Times New Roman"/>
                  </w:rPr>
                  <w:t>150,000,000.00</w:t>
                </w:r>
              </w:p>
            </w:tc>
            <w:tc>
              <w:tcPr>
                <w:tcW w:w="1286" w:type="pct"/>
                <w:vAlign w:val="center"/>
              </w:tcPr>
              <w:p w14:paraId="300B3E5F">
                <w:pPr>
                  <w:jc w:val="right"/>
                  <w:rPr>
                    <w:rFonts w:cs="Times New Roman"/>
                  </w:rPr>
                </w:pPr>
              </w:p>
            </w:tc>
          </w:tr>
        </w:sdtContent>
      </w:sdt>
      <w:sdt>
        <w:sdtPr>
          <w:rPr>
            <w:rFonts w:cs="Times New Roman"/>
            <w:color w:val="000000" w:themeColor="text1"/>
            <w:kern w:val="2"/>
            <w14:textFill>
              <w14:solidFill>
                <w14:schemeClr w14:val="tx1"/>
              </w14:solidFill>
            </w14:textFill>
          </w:rPr>
          <w:alias w:val="应收股利明细"/>
          <w:tag w:val="_TUP_1ff5f8f45a2949f1b9c94eaf933424a7"/>
          <w:id w:val="1966845069"/>
          <w:placeholder>
            <w:docPart w:val="{e1ccbac6-b974-4cb2-913d-db31be313061}"/>
          </w:placeholder>
        </w:sdtPr>
        <w:sdtEndPr>
          <w:rPr>
            <w:rFonts w:cs="Times New Roman"/>
            <w:color w:val="000000" w:themeColor="text1"/>
            <w:kern w:val="2"/>
            <w14:textFill>
              <w14:solidFill>
                <w14:schemeClr w14:val="tx1"/>
              </w14:solidFill>
            </w14:textFill>
          </w:rPr>
        </w:sdtEndPr>
        <w:sdtContent>
          <w:tr w14:paraId="03E6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9" w:type="pct"/>
              </w:tcPr>
              <w:p w14:paraId="15B64EB4">
                <w:pPr>
                  <w:rPr>
                    <w:rFonts w:cs="Times New Roman"/>
                  </w:rPr>
                </w:pPr>
                <w:r>
                  <w:rPr>
                    <w:rFonts w:cs="Times New Roman"/>
                  </w:rPr>
                  <w:t>新兴际华投资有限公司</w:t>
                </w:r>
              </w:p>
            </w:tc>
            <w:tc>
              <w:tcPr>
                <w:tcW w:w="1253" w:type="pct"/>
                <w:vAlign w:val="center"/>
              </w:tcPr>
              <w:p w14:paraId="4905101D">
                <w:pPr>
                  <w:jc w:val="right"/>
                  <w:rPr>
                    <w:rFonts w:cs="Times New Roman"/>
                  </w:rPr>
                </w:pPr>
                <w:r>
                  <w:rPr>
                    <w:rFonts w:cs="Times New Roman"/>
                  </w:rPr>
                  <w:t>52,107,547.75</w:t>
                </w:r>
              </w:p>
            </w:tc>
            <w:tc>
              <w:tcPr>
                <w:tcW w:w="1286" w:type="pct"/>
                <w:vAlign w:val="center"/>
              </w:tcPr>
              <w:p w14:paraId="7AC1D0D8">
                <w:pPr>
                  <w:jc w:val="right"/>
                  <w:rPr>
                    <w:rFonts w:cs="Times New Roman"/>
                  </w:rPr>
                </w:pPr>
                <w:r>
                  <w:rPr>
                    <w:rFonts w:cs="Times New Roman"/>
                  </w:rPr>
                  <w:t>52,107,547.75</w:t>
                </w:r>
              </w:p>
            </w:tc>
          </w:tr>
        </w:sdtContent>
      </w:sdt>
      <w:tr w14:paraId="6617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e1484a84dae543fcb190b5d5f8a4e713"/>
            <w:id w:val="-95550916"/>
          </w:sdtPr>
          <w:sdtEndPr>
            <w:rPr>
              <w:rFonts w:cs="Times New Roman"/>
            </w:rPr>
          </w:sdtEndPr>
          <w:sdtContent>
            <w:tc>
              <w:tcPr>
                <w:tcW w:w="2459" w:type="pct"/>
                <w:vAlign w:val="center"/>
              </w:tcPr>
              <w:p w14:paraId="5678B72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253" w:type="pct"/>
            <w:vAlign w:val="center"/>
          </w:tcPr>
          <w:p w14:paraId="4A37D2C5">
            <w:pPr>
              <w:jc w:val="right"/>
              <w:rPr>
                <w:rFonts w:cs="Times New Roman"/>
              </w:rPr>
            </w:pPr>
            <w:r>
              <w:rPr>
                <w:rFonts w:cs="Times New Roman"/>
              </w:rPr>
              <w:t>521,931,182.43</w:t>
            </w:r>
          </w:p>
        </w:tc>
        <w:tc>
          <w:tcPr>
            <w:tcW w:w="1286" w:type="pct"/>
            <w:vAlign w:val="center"/>
          </w:tcPr>
          <w:p w14:paraId="599524C4">
            <w:pPr>
              <w:jc w:val="right"/>
              <w:rPr>
                <w:rFonts w:cs="Times New Roman"/>
              </w:rPr>
            </w:pPr>
            <w:r>
              <w:rPr>
                <w:rFonts w:cs="Times New Roman"/>
              </w:rPr>
              <w:t>371,931,182.43</w:t>
            </w:r>
          </w:p>
        </w:tc>
      </w:tr>
    </w:tbl>
    <w:p w14:paraId="65FE6987">
      <w:pPr>
        <w:rPr>
          <w:color w:val="000000" w:themeColor="text1"/>
          <w14:textFill>
            <w14:solidFill>
              <w14:schemeClr w14:val="tx1"/>
            </w14:solidFill>
          </w14:textFill>
        </w:rPr>
      </w:pPr>
    </w:p>
    <w:p w14:paraId="6E2257B5"/>
    <w:p w14:paraId="06F9DB20"/>
    <w:bookmarkEnd w:id="464"/>
    <w:bookmarkEnd w:id="465"/>
    <w:p w14:paraId="6D1B4153">
      <w:pPr>
        <w:pStyle w:val="6"/>
        <w:numPr>
          <w:ilvl w:val="0"/>
          <w:numId w:val="119"/>
        </w:numPr>
        <w:rPr>
          <w:rFonts w:cs="宋体"/>
          <w:kern w:val="0"/>
          <w:szCs w:val="24"/>
        </w:rPr>
      </w:pPr>
      <w:bookmarkStart w:id="466" w:name="_Hlk168041814"/>
      <w:bookmarkStart w:id="467" w:name="_Hlk154150045"/>
      <w:bookmarkStart w:id="468" w:name="_Hlk153790907"/>
      <w:r>
        <w:rPr>
          <w:rFonts w:hint="eastAsia" w:cs="宋体"/>
          <w:kern w:val="0"/>
          <w:szCs w:val="24"/>
        </w:rPr>
        <w:t>重要的账龄超过1年的应收股利</w:t>
      </w:r>
    </w:p>
    <w:sdt>
      <w:sdtPr>
        <w:rPr>
          <w:color w:val="000000" w:themeColor="text1"/>
          <w14:textFill>
            <w14:solidFill>
              <w14:schemeClr w14:val="tx1"/>
            </w14:solidFill>
          </w14:textFill>
        </w:rPr>
        <w:alias w:val="是否适用：母公司重要的账龄超过1年的应收股利[双击切换]"/>
        <w:tag w:val="_GBC_5ce593c40926400393bed620009e5006"/>
        <w:id w:val="-15236340"/>
      </w:sdtPr>
      <w:sdtEndPr>
        <w:rPr>
          <w:color w:val="000000" w:themeColor="text1"/>
          <w14:textFill>
            <w14:solidFill>
              <w14:schemeClr w14:val="tx1"/>
            </w14:solidFill>
          </w14:textFill>
        </w:rPr>
      </w:sdtEndPr>
      <w:sdtContent>
        <w:p w14:paraId="3143CD9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6C8D6FB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重要的账龄超过1年的应收股利"/>
          <w:tag w:val="_GBC_09188aa6f5ff485991c423defe329875"/>
          <w:id w:val="-1000038458"/>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重要的账龄超过1年的应收股利"/>
          <w:tag w:val="_GBC_228261b7a6c74be6bb1887c8be9607e9"/>
          <w:id w:val="-588462390"/>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30" w:type="dxa"/>
          <w:bottom w:w="0" w:type="dxa"/>
          <w:right w:w="30" w:type="dxa"/>
        </w:tblCellMar>
      </w:tblPr>
      <w:tblGrid>
        <w:gridCol w:w="3039"/>
        <w:gridCol w:w="1493"/>
        <w:gridCol w:w="1772"/>
        <w:gridCol w:w="1416"/>
        <w:gridCol w:w="1097"/>
      </w:tblGrid>
      <w:tr w14:paraId="2B9FE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sdt>
          <w:sdtPr>
            <w:rPr>
              <w:rFonts w:cs="Times New Roman"/>
            </w:rPr>
            <w:tag w:val="_PLD_2864c81ef88b4613912acc52345d3ba1"/>
            <w:id w:val="-1564788374"/>
          </w:sdtPr>
          <w:sdtEndPr>
            <w:rPr>
              <w:rFonts w:cs="Times New Roman"/>
            </w:rPr>
          </w:sdtEndPr>
          <w:sdtContent>
            <w:tc>
              <w:tcPr>
                <w:tcW w:w="1722" w:type="pct"/>
                <w:vAlign w:val="center"/>
              </w:tcPr>
              <w:p w14:paraId="0CBDF2FE">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项目(或被投资单位)</w:t>
                </w:r>
              </w:p>
            </w:tc>
          </w:sdtContent>
        </w:sdt>
        <w:sdt>
          <w:sdtPr>
            <w:rPr>
              <w:rFonts w:cs="Times New Roman"/>
            </w:rPr>
            <w:tag w:val="_PLD_b05f476471f44abd8478bfab2f3c522f"/>
            <w:id w:val="-90788539"/>
          </w:sdtPr>
          <w:sdtEndPr>
            <w:rPr>
              <w:rFonts w:cs="Times New Roman"/>
            </w:rPr>
          </w:sdtEndPr>
          <w:sdtContent>
            <w:tc>
              <w:tcPr>
                <w:tcW w:w="846" w:type="pct"/>
                <w:tcBorders>
                  <w:right w:val="single" w:color="auto" w:sz="4" w:space="0"/>
                </w:tcBorders>
                <w:vAlign w:val="center"/>
              </w:tcPr>
              <w:p w14:paraId="6B624190">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184ea8a4ee2d4969bf52a5e9b113334b"/>
            <w:id w:val="-2133234714"/>
          </w:sdtPr>
          <w:sdtEndPr>
            <w:rPr>
              <w:rFonts w:cs="Times New Roman"/>
            </w:rPr>
          </w:sdtEndPr>
          <w:sdtContent>
            <w:tc>
              <w:tcPr>
                <w:tcW w:w="1005" w:type="pct"/>
                <w:tcBorders>
                  <w:left w:val="single" w:color="auto" w:sz="4" w:space="0"/>
                </w:tcBorders>
                <w:vAlign w:val="center"/>
              </w:tcPr>
              <w:p w14:paraId="60BF83CF">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账龄</w:t>
                </w:r>
              </w:p>
            </w:tc>
          </w:sdtContent>
        </w:sdt>
        <w:sdt>
          <w:sdtPr>
            <w:rPr>
              <w:rFonts w:cs="Times New Roman"/>
            </w:rPr>
            <w:tag w:val="_PLD_5118cdcaebf348a2a460626e6d895e83"/>
            <w:id w:val="-1629623181"/>
          </w:sdtPr>
          <w:sdtEndPr>
            <w:rPr>
              <w:rFonts w:cs="Times New Roman"/>
            </w:rPr>
          </w:sdtEndPr>
          <w:sdtContent>
            <w:tc>
              <w:tcPr>
                <w:tcW w:w="803" w:type="pct"/>
                <w:vAlign w:val="center"/>
              </w:tcPr>
              <w:p w14:paraId="72B6B4C7">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未收回的原因</w:t>
                </w:r>
              </w:p>
            </w:tc>
          </w:sdtContent>
        </w:sdt>
        <w:sdt>
          <w:sdtPr>
            <w:rPr>
              <w:rFonts w:cs="Times New Roman"/>
            </w:rPr>
            <w:tag w:val="_PLD_6b70580f3c734de79a8c5b19dc50eeed"/>
            <w:id w:val="1805273440"/>
          </w:sdtPr>
          <w:sdtEndPr>
            <w:rPr>
              <w:rFonts w:cs="Times New Roman"/>
            </w:rPr>
          </w:sdtEndPr>
          <w:sdtContent>
            <w:tc>
              <w:tcPr>
                <w:tcW w:w="622" w:type="pct"/>
                <w:vAlign w:val="center"/>
              </w:tcPr>
              <w:p w14:paraId="42146DF9">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是否发生减值及其判断依据</w:t>
                </w:r>
              </w:p>
            </w:tc>
          </w:sdtContent>
        </w:sdt>
      </w:tr>
      <w:sdt>
        <w:sdtPr>
          <w:rPr>
            <w:rFonts w:cs="Times New Roman"/>
            <w:color w:val="000000" w:themeColor="text1"/>
            <w14:textFill>
              <w14:solidFill>
                <w14:schemeClr w14:val="tx1"/>
              </w14:solidFill>
            </w14:textFill>
          </w:rPr>
          <w:alias w:val="账龄一年以上的应收股利明细"/>
          <w:tag w:val="_TUP_8a4f09e5e4284919bbd44c0886dde541"/>
          <w:id w:val="-1658447090"/>
          <w:placeholder>
            <w:docPart w:val="{712bd3a6-7736-4c48-8e07-037148df6ccb}"/>
          </w:placeholder>
        </w:sdtPr>
        <w:sdtEndPr>
          <w:rPr>
            <w:rFonts w:cs="Times New Roman"/>
            <w:color w:val="000000" w:themeColor="text1"/>
            <w14:textFill>
              <w14:solidFill>
                <w14:schemeClr w14:val="tx1"/>
              </w14:solidFill>
            </w14:textFill>
          </w:rPr>
        </w:sdtEndPr>
        <w:sdtContent>
          <w:tr w14:paraId="747E5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5EB80BA5">
                <w:pPr>
                  <w:rPr>
                    <w:rFonts w:cs="Times New Roman"/>
                  </w:rPr>
                </w:pPr>
                <w:r>
                  <w:rPr>
                    <w:rFonts w:cs="Times New Roman"/>
                  </w:rPr>
                  <w:t>新兴际华投资有限公司</w:t>
                </w:r>
              </w:p>
            </w:tc>
            <w:tc>
              <w:tcPr>
                <w:tcW w:w="846" w:type="pct"/>
                <w:tcBorders>
                  <w:right w:val="single" w:color="auto" w:sz="4" w:space="0"/>
                </w:tcBorders>
                <w:vAlign w:val="center"/>
              </w:tcPr>
              <w:p w14:paraId="4A555C4B">
                <w:pPr>
                  <w:autoSpaceDE w:val="0"/>
                  <w:autoSpaceDN w:val="0"/>
                  <w:adjustRightInd w:val="0"/>
                  <w:snapToGrid w:val="0"/>
                  <w:spacing w:line="240" w:lineRule="atLeast"/>
                  <w:jc w:val="right"/>
                  <w:rPr>
                    <w:rFonts w:cs="Times New Roman"/>
                  </w:rPr>
                </w:pPr>
                <w:r>
                  <w:rPr>
                    <w:rFonts w:cs="Times New Roman"/>
                  </w:rPr>
                  <w:t>44,854,927.40</w:t>
                </w:r>
              </w:p>
            </w:tc>
            <w:tc>
              <w:tcPr>
                <w:tcW w:w="1005" w:type="pct"/>
                <w:tcBorders>
                  <w:left w:val="single" w:color="auto" w:sz="4" w:space="0"/>
                </w:tcBorders>
                <w:vAlign w:val="center"/>
              </w:tcPr>
              <w:p w14:paraId="0DDC221B">
                <w:pPr>
                  <w:autoSpaceDE w:val="0"/>
                  <w:autoSpaceDN w:val="0"/>
                  <w:adjustRightInd w:val="0"/>
                  <w:snapToGrid w:val="0"/>
                  <w:spacing w:line="240" w:lineRule="atLeast"/>
                  <w:ind w:right="105" w:rightChars="50"/>
                  <w:jc w:val="center"/>
                  <w:rPr>
                    <w:rFonts w:cs="Times New Roman"/>
                  </w:rPr>
                </w:pPr>
                <w:r>
                  <w:rPr>
                    <w:rFonts w:cs="Times New Roman"/>
                  </w:rPr>
                  <w:t>3至4年</w:t>
                </w:r>
              </w:p>
            </w:tc>
            <w:tc>
              <w:tcPr>
                <w:tcW w:w="803" w:type="pct"/>
                <w:vAlign w:val="center"/>
              </w:tcPr>
              <w:p w14:paraId="69BD460D">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708834788"/>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7F09129E">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46536433"/>
          <w:placeholder>
            <w:docPart w:val="{712bd3a6-7736-4c48-8e07-037148df6ccb}"/>
          </w:placeholder>
        </w:sdtPr>
        <w:sdtEndPr>
          <w:rPr>
            <w:rFonts w:cs="Times New Roman"/>
            <w:color w:val="000000" w:themeColor="text1"/>
            <w14:textFill>
              <w14:solidFill>
                <w14:schemeClr w14:val="tx1"/>
              </w14:solidFill>
            </w14:textFill>
          </w:rPr>
        </w:sdtEndPr>
        <w:sdtContent>
          <w:tr w14:paraId="14386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7114DEC3">
                <w:pPr>
                  <w:rPr>
                    <w:rFonts w:cs="Times New Roman"/>
                  </w:rPr>
                </w:pPr>
                <w:r>
                  <w:rPr>
                    <w:rFonts w:cs="Times New Roman"/>
                  </w:rPr>
                  <w:t>际华三五四二纺织有限公司</w:t>
                </w:r>
              </w:p>
            </w:tc>
            <w:tc>
              <w:tcPr>
                <w:tcW w:w="846" w:type="pct"/>
                <w:tcBorders>
                  <w:right w:val="single" w:color="auto" w:sz="4" w:space="0"/>
                </w:tcBorders>
                <w:vAlign w:val="center"/>
              </w:tcPr>
              <w:p w14:paraId="1163DA6E">
                <w:pPr>
                  <w:autoSpaceDE w:val="0"/>
                  <w:autoSpaceDN w:val="0"/>
                  <w:adjustRightInd w:val="0"/>
                  <w:snapToGrid w:val="0"/>
                  <w:spacing w:line="240" w:lineRule="atLeast"/>
                  <w:jc w:val="right"/>
                  <w:rPr>
                    <w:rFonts w:cs="Times New Roman"/>
                  </w:rPr>
                </w:pPr>
                <w:r>
                  <w:rPr>
                    <w:rFonts w:cs="Times New Roman"/>
                  </w:rPr>
                  <w:t>162,627,445.24</w:t>
                </w:r>
              </w:p>
            </w:tc>
            <w:tc>
              <w:tcPr>
                <w:tcW w:w="1005" w:type="pct"/>
                <w:tcBorders>
                  <w:left w:val="single" w:color="auto" w:sz="4" w:space="0"/>
                </w:tcBorders>
                <w:vAlign w:val="center"/>
              </w:tcPr>
              <w:p w14:paraId="2CCCA196">
                <w:pPr>
                  <w:autoSpaceDE w:val="0"/>
                  <w:autoSpaceDN w:val="0"/>
                  <w:adjustRightInd w:val="0"/>
                  <w:snapToGrid w:val="0"/>
                  <w:spacing w:line="240" w:lineRule="atLeast"/>
                  <w:ind w:right="105" w:rightChars="50"/>
                  <w:jc w:val="center"/>
                  <w:rPr>
                    <w:rFonts w:cs="Times New Roman"/>
                  </w:rPr>
                </w:pPr>
                <w:r>
                  <w:rPr>
                    <w:rFonts w:cs="Times New Roman"/>
                  </w:rPr>
                  <w:t>2-3年，5年以上</w:t>
                </w:r>
              </w:p>
            </w:tc>
            <w:tc>
              <w:tcPr>
                <w:tcW w:w="803" w:type="pct"/>
                <w:vAlign w:val="center"/>
              </w:tcPr>
              <w:p w14:paraId="769DE7C6">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1143853016"/>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5244E5E7">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2144957843"/>
          <w:placeholder>
            <w:docPart w:val="{712bd3a6-7736-4c48-8e07-037148df6ccb}"/>
          </w:placeholder>
        </w:sdtPr>
        <w:sdtEndPr>
          <w:rPr>
            <w:rFonts w:cs="Times New Roman"/>
            <w:color w:val="000000" w:themeColor="text1"/>
            <w14:textFill>
              <w14:solidFill>
                <w14:schemeClr w14:val="tx1"/>
              </w14:solidFill>
            </w14:textFill>
          </w:rPr>
        </w:sdtEndPr>
        <w:sdtContent>
          <w:tr w14:paraId="62FB4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35D2A39F">
                <w:pPr>
                  <w:rPr>
                    <w:rFonts w:cs="Times New Roman"/>
                  </w:rPr>
                </w:pPr>
                <w:r>
                  <w:rPr>
                    <w:rFonts w:cs="Times New Roman"/>
                  </w:rPr>
                  <w:t>际华三五二二装具饰品有限公司</w:t>
                </w:r>
              </w:p>
            </w:tc>
            <w:tc>
              <w:tcPr>
                <w:tcW w:w="846" w:type="pct"/>
                <w:tcBorders>
                  <w:right w:val="single" w:color="auto" w:sz="4" w:space="0"/>
                </w:tcBorders>
                <w:vAlign w:val="center"/>
              </w:tcPr>
              <w:p w14:paraId="70CD2E5D">
                <w:pPr>
                  <w:autoSpaceDE w:val="0"/>
                  <w:autoSpaceDN w:val="0"/>
                  <w:adjustRightInd w:val="0"/>
                  <w:snapToGrid w:val="0"/>
                  <w:spacing w:line="240" w:lineRule="atLeast"/>
                  <w:jc w:val="right"/>
                  <w:rPr>
                    <w:rFonts w:cs="Times New Roman"/>
                  </w:rPr>
                </w:pPr>
                <w:r>
                  <w:rPr>
                    <w:rFonts w:cs="Times New Roman"/>
                  </w:rPr>
                  <w:t>82,634,022.41</w:t>
                </w:r>
              </w:p>
            </w:tc>
            <w:tc>
              <w:tcPr>
                <w:tcW w:w="1005" w:type="pct"/>
                <w:tcBorders>
                  <w:left w:val="single" w:color="auto" w:sz="4" w:space="0"/>
                </w:tcBorders>
                <w:vAlign w:val="center"/>
              </w:tcPr>
              <w:p w14:paraId="02D3C20D">
                <w:pPr>
                  <w:autoSpaceDE w:val="0"/>
                  <w:autoSpaceDN w:val="0"/>
                  <w:adjustRightInd w:val="0"/>
                  <w:snapToGrid w:val="0"/>
                  <w:spacing w:line="240" w:lineRule="atLeast"/>
                  <w:ind w:right="105" w:rightChars="50"/>
                  <w:jc w:val="center"/>
                  <w:rPr>
                    <w:rFonts w:cs="Times New Roman"/>
                  </w:rPr>
                </w:pPr>
                <w:r>
                  <w:rPr>
                    <w:rFonts w:cs="Times New Roman"/>
                  </w:rPr>
                  <w:t>4-5年，5年以上</w:t>
                </w:r>
              </w:p>
            </w:tc>
            <w:tc>
              <w:tcPr>
                <w:tcW w:w="803" w:type="pct"/>
                <w:vAlign w:val="center"/>
              </w:tcPr>
              <w:p w14:paraId="28CDDE1D">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1465010176"/>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4A19F33C">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2013057711"/>
          <w:placeholder>
            <w:docPart w:val="{712bd3a6-7736-4c48-8e07-037148df6ccb}"/>
          </w:placeholder>
        </w:sdtPr>
        <w:sdtEndPr>
          <w:rPr>
            <w:rFonts w:cs="Times New Roman"/>
            <w:color w:val="000000" w:themeColor="text1"/>
            <w14:textFill>
              <w14:solidFill>
                <w14:schemeClr w14:val="tx1"/>
              </w14:solidFill>
            </w14:textFill>
          </w:rPr>
        </w:sdtEndPr>
        <w:sdtContent>
          <w:tr w14:paraId="3D8E3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7810ED11">
                <w:pPr>
                  <w:rPr>
                    <w:rFonts w:cs="Times New Roman"/>
                  </w:rPr>
                </w:pPr>
                <w:r>
                  <w:rPr>
                    <w:rFonts w:cs="Times New Roman"/>
                  </w:rPr>
                  <w:t>岳阳际华置业有限公司</w:t>
                </w:r>
              </w:p>
            </w:tc>
            <w:tc>
              <w:tcPr>
                <w:tcW w:w="846" w:type="pct"/>
                <w:tcBorders>
                  <w:right w:val="single" w:color="auto" w:sz="4" w:space="0"/>
                </w:tcBorders>
                <w:vAlign w:val="center"/>
              </w:tcPr>
              <w:p w14:paraId="61635D5E">
                <w:pPr>
                  <w:autoSpaceDE w:val="0"/>
                  <w:autoSpaceDN w:val="0"/>
                  <w:adjustRightInd w:val="0"/>
                  <w:snapToGrid w:val="0"/>
                  <w:spacing w:line="240" w:lineRule="atLeast"/>
                  <w:jc w:val="right"/>
                  <w:rPr>
                    <w:rFonts w:cs="Times New Roman"/>
                  </w:rPr>
                </w:pPr>
                <w:r>
                  <w:rPr>
                    <w:rFonts w:cs="Times New Roman"/>
                  </w:rPr>
                  <w:t>36,775,459.11</w:t>
                </w:r>
              </w:p>
            </w:tc>
            <w:tc>
              <w:tcPr>
                <w:tcW w:w="1005" w:type="pct"/>
                <w:tcBorders>
                  <w:left w:val="single" w:color="auto" w:sz="4" w:space="0"/>
                </w:tcBorders>
                <w:vAlign w:val="center"/>
              </w:tcPr>
              <w:p w14:paraId="1D1939B7">
                <w:pPr>
                  <w:autoSpaceDE w:val="0"/>
                  <w:autoSpaceDN w:val="0"/>
                  <w:adjustRightInd w:val="0"/>
                  <w:snapToGrid w:val="0"/>
                  <w:spacing w:line="240" w:lineRule="atLeast"/>
                  <w:ind w:right="105" w:rightChars="50"/>
                  <w:jc w:val="center"/>
                  <w:rPr>
                    <w:rFonts w:cs="Times New Roman"/>
                  </w:rPr>
                </w:pPr>
                <w:r>
                  <w:rPr>
                    <w:rFonts w:cs="Times New Roman"/>
                  </w:rPr>
                  <w:t>3至5年</w:t>
                </w:r>
              </w:p>
            </w:tc>
            <w:tc>
              <w:tcPr>
                <w:tcW w:w="803" w:type="pct"/>
                <w:vAlign w:val="center"/>
              </w:tcPr>
              <w:p w14:paraId="11C8FF4F">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642352034"/>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79BC03AF">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1954052007"/>
          <w:placeholder>
            <w:docPart w:val="{712bd3a6-7736-4c48-8e07-037148df6ccb}"/>
          </w:placeholder>
        </w:sdtPr>
        <w:sdtEndPr>
          <w:rPr>
            <w:rFonts w:cs="Times New Roman"/>
            <w:color w:val="000000" w:themeColor="text1"/>
            <w14:textFill>
              <w14:solidFill>
                <w14:schemeClr w14:val="tx1"/>
              </w14:solidFill>
            </w14:textFill>
          </w:rPr>
        </w:sdtEndPr>
        <w:sdtContent>
          <w:tr w14:paraId="2C5B5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1EFFD179">
                <w:pPr>
                  <w:rPr>
                    <w:rFonts w:cs="Times New Roman"/>
                  </w:rPr>
                </w:pPr>
                <w:r>
                  <w:rPr>
                    <w:rFonts w:cs="Times New Roman"/>
                  </w:rPr>
                  <w:t>际华三五零九纺织有限公司</w:t>
                </w:r>
              </w:p>
            </w:tc>
            <w:tc>
              <w:tcPr>
                <w:tcW w:w="846" w:type="pct"/>
                <w:tcBorders>
                  <w:right w:val="single" w:color="auto" w:sz="4" w:space="0"/>
                </w:tcBorders>
                <w:vAlign w:val="center"/>
              </w:tcPr>
              <w:p w14:paraId="5056347E">
                <w:pPr>
                  <w:autoSpaceDE w:val="0"/>
                  <w:autoSpaceDN w:val="0"/>
                  <w:adjustRightInd w:val="0"/>
                  <w:snapToGrid w:val="0"/>
                  <w:spacing w:line="240" w:lineRule="atLeast"/>
                  <w:jc w:val="right"/>
                  <w:rPr>
                    <w:rFonts w:cs="Times New Roman"/>
                  </w:rPr>
                </w:pPr>
                <w:r>
                  <w:rPr>
                    <w:rFonts w:cs="Times New Roman"/>
                  </w:rPr>
                  <w:t>17,497,432.37</w:t>
                </w:r>
              </w:p>
            </w:tc>
            <w:tc>
              <w:tcPr>
                <w:tcW w:w="1005" w:type="pct"/>
                <w:tcBorders>
                  <w:left w:val="single" w:color="auto" w:sz="4" w:space="0"/>
                </w:tcBorders>
                <w:vAlign w:val="center"/>
              </w:tcPr>
              <w:p w14:paraId="62829770">
                <w:pPr>
                  <w:autoSpaceDE w:val="0"/>
                  <w:autoSpaceDN w:val="0"/>
                  <w:adjustRightInd w:val="0"/>
                  <w:snapToGrid w:val="0"/>
                  <w:spacing w:line="240" w:lineRule="atLeast"/>
                  <w:ind w:right="105" w:rightChars="50"/>
                  <w:jc w:val="center"/>
                  <w:rPr>
                    <w:rFonts w:cs="Times New Roman"/>
                  </w:rPr>
                </w:pPr>
                <w:r>
                  <w:rPr>
                    <w:rFonts w:cs="Times New Roman"/>
                  </w:rPr>
                  <w:t>5年以上</w:t>
                </w:r>
              </w:p>
            </w:tc>
            <w:tc>
              <w:tcPr>
                <w:tcW w:w="803" w:type="pct"/>
                <w:vAlign w:val="center"/>
              </w:tcPr>
              <w:p w14:paraId="3B7EE450">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1161003478"/>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1A6DCBCB">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581988375"/>
          <w:placeholder>
            <w:docPart w:val="{712bd3a6-7736-4c48-8e07-037148df6ccb}"/>
          </w:placeholder>
        </w:sdtPr>
        <w:sdtEndPr>
          <w:rPr>
            <w:rFonts w:cs="Times New Roman"/>
            <w:color w:val="000000" w:themeColor="text1"/>
            <w14:textFill>
              <w14:solidFill>
                <w14:schemeClr w14:val="tx1"/>
              </w14:solidFill>
            </w14:textFill>
          </w:rPr>
        </w:sdtEndPr>
        <w:sdtContent>
          <w:tr w14:paraId="5E3DF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04E99623">
                <w:pPr>
                  <w:rPr>
                    <w:rFonts w:cs="Times New Roman"/>
                  </w:rPr>
                </w:pPr>
                <w:r>
                  <w:rPr>
                    <w:rFonts w:cs="Times New Roman"/>
                  </w:rPr>
                  <w:t>际华三五零二职业装有限公司</w:t>
                </w:r>
              </w:p>
            </w:tc>
            <w:tc>
              <w:tcPr>
                <w:tcW w:w="846" w:type="pct"/>
                <w:tcBorders>
                  <w:right w:val="single" w:color="auto" w:sz="4" w:space="0"/>
                </w:tcBorders>
                <w:vAlign w:val="center"/>
              </w:tcPr>
              <w:p w14:paraId="1A7BB5C8">
                <w:pPr>
                  <w:autoSpaceDE w:val="0"/>
                  <w:autoSpaceDN w:val="0"/>
                  <w:adjustRightInd w:val="0"/>
                  <w:snapToGrid w:val="0"/>
                  <w:spacing w:line="240" w:lineRule="atLeast"/>
                  <w:jc w:val="right"/>
                  <w:rPr>
                    <w:rFonts w:cs="Times New Roman"/>
                  </w:rPr>
                </w:pPr>
                <w:r>
                  <w:rPr>
                    <w:rFonts w:cs="Times New Roman"/>
                  </w:rPr>
                  <w:t>2,185,526.79</w:t>
                </w:r>
              </w:p>
            </w:tc>
            <w:tc>
              <w:tcPr>
                <w:tcW w:w="1005" w:type="pct"/>
                <w:tcBorders>
                  <w:left w:val="single" w:color="auto" w:sz="4" w:space="0"/>
                </w:tcBorders>
                <w:vAlign w:val="center"/>
              </w:tcPr>
              <w:p w14:paraId="416896DB">
                <w:pPr>
                  <w:autoSpaceDE w:val="0"/>
                  <w:autoSpaceDN w:val="0"/>
                  <w:adjustRightInd w:val="0"/>
                  <w:snapToGrid w:val="0"/>
                  <w:spacing w:line="240" w:lineRule="atLeast"/>
                  <w:ind w:right="105" w:rightChars="50"/>
                  <w:jc w:val="center"/>
                  <w:rPr>
                    <w:rFonts w:cs="Times New Roman"/>
                  </w:rPr>
                </w:pPr>
                <w:r>
                  <w:rPr>
                    <w:rFonts w:cs="Times New Roman"/>
                  </w:rPr>
                  <w:t>4-5年，5年以上</w:t>
                </w:r>
              </w:p>
            </w:tc>
            <w:tc>
              <w:tcPr>
                <w:tcW w:w="803" w:type="pct"/>
                <w:vAlign w:val="center"/>
              </w:tcPr>
              <w:p w14:paraId="22925648">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1703780948"/>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7737B5BD">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1522775007"/>
          <w:placeholder>
            <w:docPart w:val="{712bd3a6-7736-4c48-8e07-037148df6ccb}"/>
          </w:placeholder>
        </w:sdtPr>
        <w:sdtEndPr>
          <w:rPr>
            <w:rFonts w:cs="Times New Roman"/>
            <w:color w:val="000000" w:themeColor="text1"/>
            <w14:textFill>
              <w14:solidFill>
                <w14:schemeClr w14:val="tx1"/>
              </w14:solidFill>
            </w14:textFill>
          </w:rPr>
        </w:sdtEndPr>
        <w:sdtContent>
          <w:tr w14:paraId="7F269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681B43E5">
                <w:pPr>
                  <w:rPr>
                    <w:rFonts w:cs="Times New Roman"/>
                  </w:rPr>
                </w:pPr>
                <w:r>
                  <w:rPr>
                    <w:rFonts w:cs="Times New Roman"/>
                  </w:rPr>
                  <w:t>际华三五一三实业有限公司</w:t>
                </w:r>
              </w:p>
            </w:tc>
            <w:tc>
              <w:tcPr>
                <w:tcW w:w="846" w:type="pct"/>
                <w:tcBorders>
                  <w:right w:val="single" w:color="auto" w:sz="4" w:space="0"/>
                </w:tcBorders>
                <w:vAlign w:val="center"/>
              </w:tcPr>
              <w:p w14:paraId="2FEC5787">
                <w:pPr>
                  <w:autoSpaceDE w:val="0"/>
                  <w:autoSpaceDN w:val="0"/>
                  <w:adjustRightInd w:val="0"/>
                  <w:snapToGrid w:val="0"/>
                  <w:spacing w:line="240" w:lineRule="atLeast"/>
                  <w:jc w:val="right"/>
                  <w:rPr>
                    <w:rFonts w:cs="Times New Roman"/>
                  </w:rPr>
                </w:pPr>
                <w:r>
                  <w:rPr>
                    <w:rFonts w:cs="Times New Roman"/>
                  </w:rPr>
                  <w:t>8,080,806.74</w:t>
                </w:r>
              </w:p>
            </w:tc>
            <w:tc>
              <w:tcPr>
                <w:tcW w:w="1005" w:type="pct"/>
                <w:tcBorders>
                  <w:left w:val="single" w:color="auto" w:sz="4" w:space="0"/>
                </w:tcBorders>
                <w:vAlign w:val="center"/>
              </w:tcPr>
              <w:p w14:paraId="0088F3AB">
                <w:pPr>
                  <w:autoSpaceDE w:val="0"/>
                  <w:autoSpaceDN w:val="0"/>
                  <w:adjustRightInd w:val="0"/>
                  <w:snapToGrid w:val="0"/>
                  <w:spacing w:line="240" w:lineRule="atLeast"/>
                  <w:ind w:right="105" w:rightChars="50"/>
                  <w:jc w:val="center"/>
                  <w:rPr>
                    <w:rFonts w:cs="Times New Roman"/>
                  </w:rPr>
                </w:pPr>
                <w:r>
                  <w:rPr>
                    <w:rFonts w:cs="Times New Roman"/>
                  </w:rPr>
                  <w:t>4至5年</w:t>
                </w:r>
              </w:p>
            </w:tc>
            <w:tc>
              <w:tcPr>
                <w:tcW w:w="803" w:type="pct"/>
                <w:vAlign w:val="center"/>
              </w:tcPr>
              <w:p w14:paraId="53A4D3CC">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744305574"/>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7BF2B8B7">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1146704730"/>
          <w:placeholder>
            <w:docPart w:val="{712bd3a6-7736-4c48-8e07-037148df6ccb}"/>
          </w:placeholder>
        </w:sdtPr>
        <w:sdtEndPr>
          <w:rPr>
            <w:rFonts w:cs="Times New Roman"/>
            <w:color w:val="000000" w:themeColor="text1"/>
            <w14:textFill>
              <w14:solidFill>
                <w14:schemeClr w14:val="tx1"/>
              </w14:solidFill>
            </w14:textFill>
          </w:rPr>
        </w:sdtEndPr>
        <w:sdtContent>
          <w:tr w14:paraId="60A25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39D0CA49">
                <w:pPr>
                  <w:rPr>
                    <w:rFonts w:cs="Times New Roman"/>
                  </w:rPr>
                </w:pPr>
                <w:r>
                  <w:rPr>
                    <w:rFonts w:cs="Times New Roman"/>
                  </w:rPr>
                  <w:t>际华三五一四制革制鞋有限公司</w:t>
                </w:r>
              </w:p>
            </w:tc>
            <w:tc>
              <w:tcPr>
                <w:tcW w:w="846" w:type="pct"/>
                <w:tcBorders>
                  <w:right w:val="single" w:color="auto" w:sz="4" w:space="0"/>
                </w:tcBorders>
                <w:vAlign w:val="center"/>
              </w:tcPr>
              <w:p w14:paraId="7F4983F0">
                <w:pPr>
                  <w:autoSpaceDE w:val="0"/>
                  <w:autoSpaceDN w:val="0"/>
                  <w:adjustRightInd w:val="0"/>
                  <w:snapToGrid w:val="0"/>
                  <w:spacing w:line="240" w:lineRule="atLeast"/>
                  <w:jc w:val="right"/>
                  <w:rPr>
                    <w:rFonts w:cs="Times New Roman"/>
                  </w:rPr>
                </w:pPr>
                <w:r>
                  <w:rPr>
                    <w:rFonts w:cs="Times New Roman"/>
                  </w:rPr>
                  <w:t>6,618,750.00</w:t>
                </w:r>
              </w:p>
            </w:tc>
            <w:tc>
              <w:tcPr>
                <w:tcW w:w="1005" w:type="pct"/>
                <w:tcBorders>
                  <w:left w:val="single" w:color="auto" w:sz="4" w:space="0"/>
                </w:tcBorders>
                <w:vAlign w:val="center"/>
              </w:tcPr>
              <w:p w14:paraId="1CDAD423">
                <w:pPr>
                  <w:autoSpaceDE w:val="0"/>
                  <w:autoSpaceDN w:val="0"/>
                  <w:adjustRightInd w:val="0"/>
                  <w:snapToGrid w:val="0"/>
                  <w:spacing w:line="240" w:lineRule="atLeast"/>
                  <w:ind w:right="105" w:rightChars="50"/>
                  <w:jc w:val="center"/>
                  <w:rPr>
                    <w:rFonts w:cs="Times New Roman"/>
                  </w:rPr>
                </w:pPr>
                <w:r>
                  <w:rPr>
                    <w:rFonts w:cs="Times New Roman"/>
                  </w:rPr>
                  <w:t>5年以上</w:t>
                </w:r>
              </w:p>
            </w:tc>
            <w:tc>
              <w:tcPr>
                <w:tcW w:w="803" w:type="pct"/>
                <w:vAlign w:val="center"/>
              </w:tcPr>
              <w:p w14:paraId="03FAB400">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319048627"/>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06DCB721">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sdt>
        <w:sdtPr>
          <w:rPr>
            <w:rFonts w:cs="Times New Roman"/>
            <w:color w:val="000000" w:themeColor="text1"/>
            <w14:textFill>
              <w14:solidFill>
                <w14:schemeClr w14:val="tx1"/>
              </w14:solidFill>
            </w14:textFill>
          </w:rPr>
          <w:alias w:val="账龄一年以上的应收股利明细"/>
          <w:tag w:val="_TUP_8a4f09e5e4284919bbd44c0886dde541"/>
          <w:id w:val="-1132013763"/>
          <w:placeholder>
            <w:docPart w:val="{712bd3a6-7736-4c48-8e07-037148df6ccb}"/>
          </w:placeholder>
        </w:sdtPr>
        <w:sdtEndPr>
          <w:rPr>
            <w:rFonts w:cs="Times New Roman"/>
            <w:color w:val="000000" w:themeColor="text1"/>
            <w14:textFill>
              <w14:solidFill>
                <w14:schemeClr w14:val="tx1"/>
              </w14:solidFill>
            </w14:textFill>
          </w:rPr>
        </w:sdtEndPr>
        <w:sdtContent>
          <w:tr w14:paraId="1573F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c>
              <w:tcPr>
                <w:tcW w:w="1722" w:type="pct"/>
                <w:vAlign w:val="center"/>
              </w:tcPr>
              <w:p w14:paraId="6FC4623C">
                <w:pPr>
                  <w:rPr>
                    <w:rFonts w:cs="Times New Roman"/>
                  </w:rPr>
                </w:pPr>
                <w:r>
                  <w:rPr>
                    <w:rFonts w:cs="Times New Roman"/>
                  </w:rPr>
                  <w:t>沈阳际华三五四七特种装具有限公司</w:t>
                </w:r>
              </w:p>
            </w:tc>
            <w:tc>
              <w:tcPr>
                <w:tcW w:w="846" w:type="pct"/>
                <w:tcBorders>
                  <w:right w:val="single" w:color="auto" w:sz="4" w:space="0"/>
                </w:tcBorders>
                <w:vAlign w:val="center"/>
              </w:tcPr>
              <w:p w14:paraId="6A094518">
                <w:pPr>
                  <w:autoSpaceDE w:val="0"/>
                  <w:autoSpaceDN w:val="0"/>
                  <w:adjustRightInd w:val="0"/>
                  <w:snapToGrid w:val="0"/>
                  <w:spacing w:line="240" w:lineRule="atLeast"/>
                  <w:jc w:val="right"/>
                  <w:rPr>
                    <w:rFonts w:cs="Times New Roman"/>
                  </w:rPr>
                </w:pPr>
                <w:r>
                  <w:rPr>
                    <w:rFonts w:cs="Times New Roman"/>
                  </w:rPr>
                  <w:t>3,404,192.02</w:t>
                </w:r>
              </w:p>
            </w:tc>
            <w:tc>
              <w:tcPr>
                <w:tcW w:w="1005" w:type="pct"/>
                <w:tcBorders>
                  <w:left w:val="single" w:color="auto" w:sz="4" w:space="0"/>
                </w:tcBorders>
                <w:vAlign w:val="center"/>
              </w:tcPr>
              <w:p w14:paraId="6DFCD7CF">
                <w:pPr>
                  <w:autoSpaceDE w:val="0"/>
                  <w:autoSpaceDN w:val="0"/>
                  <w:adjustRightInd w:val="0"/>
                  <w:snapToGrid w:val="0"/>
                  <w:spacing w:line="240" w:lineRule="atLeast"/>
                  <w:ind w:right="105" w:rightChars="50"/>
                  <w:jc w:val="center"/>
                  <w:rPr>
                    <w:rFonts w:cs="Times New Roman"/>
                  </w:rPr>
                </w:pPr>
                <w:r>
                  <w:rPr>
                    <w:rFonts w:cs="Times New Roman"/>
                  </w:rPr>
                  <w:t>5年以上</w:t>
                </w:r>
              </w:p>
            </w:tc>
            <w:tc>
              <w:tcPr>
                <w:tcW w:w="803" w:type="pct"/>
                <w:vAlign w:val="center"/>
              </w:tcPr>
              <w:p w14:paraId="2D8CB283">
                <w:pPr>
                  <w:autoSpaceDE w:val="0"/>
                  <w:autoSpaceDN w:val="0"/>
                  <w:adjustRightInd w:val="0"/>
                  <w:snapToGrid w:val="0"/>
                  <w:spacing w:line="240" w:lineRule="atLeast"/>
                  <w:jc w:val="center"/>
                  <w:rPr>
                    <w:rFonts w:cs="Times New Roman"/>
                  </w:rPr>
                </w:pPr>
                <w:r>
                  <w:rPr>
                    <w:rFonts w:cs="Times New Roman"/>
                  </w:rPr>
                  <w:t>尚未发放</w:t>
                </w:r>
              </w:p>
            </w:tc>
            <w:sdt>
              <w:sdtPr>
                <w:rPr>
                  <w:rFonts w:cs="Times New Roman"/>
                  <w:color w:val="000000" w:themeColor="text1"/>
                  <w14:textFill>
                    <w14:solidFill>
                      <w14:schemeClr w14:val="tx1"/>
                    </w14:solidFill>
                  </w14:textFill>
                </w:rPr>
                <w:alias w:val="账龄一年以上的应收股利明细-相关款项是否发生减值及其判断依据"/>
                <w:tag w:val="_GBC_2d305898769643e79f4e7041dbb3da60"/>
                <w:id w:val="132145689"/>
                <w:comboBox>
                  <w:listItem w:displayText="是" w:value="true"/>
                  <w:listItem w:displayText="否" w:value="false"/>
                </w:comboBox>
              </w:sdtPr>
              <w:sdtEndPr>
                <w:rPr>
                  <w:rFonts w:cs="Times New Roman"/>
                  <w:color w:val="000000" w:themeColor="text1"/>
                  <w14:textFill>
                    <w14:solidFill>
                      <w14:schemeClr w14:val="tx1"/>
                    </w14:solidFill>
                  </w14:textFill>
                </w:rPr>
              </w:sdtEndPr>
              <w:sdtContent>
                <w:tc>
                  <w:tcPr>
                    <w:tcW w:w="622" w:type="pct"/>
                    <w:vAlign w:val="center"/>
                  </w:tcPr>
                  <w:p w14:paraId="296AA39E">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否</w:t>
                    </w:r>
                  </w:p>
                </w:tc>
              </w:sdtContent>
            </w:sdt>
          </w:tr>
        </w:sdtContent>
      </w:sdt>
      <w:tr w14:paraId="4725D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sdt>
          <w:sdtPr>
            <w:rPr>
              <w:rFonts w:cs="Times New Roman"/>
            </w:rPr>
            <w:tag w:val="_PLD_2cfd081a6d9a41aca2f3f973d84c14ac"/>
            <w:id w:val="-1234855633"/>
          </w:sdtPr>
          <w:sdtEndPr>
            <w:rPr>
              <w:rFonts w:cs="Times New Roman"/>
            </w:rPr>
          </w:sdtEndPr>
          <w:sdtContent>
            <w:tc>
              <w:tcPr>
                <w:tcW w:w="1722" w:type="pct"/>
              </w:tcPr>
              <w:p w14:paraId="717BDCCA">
                <w:pPr>
                  <w:autoSpaceDE w:val="0"/>
                  <w:autoSpaceDN w:val="0"/>
                  <w:adjustRightInd w:val="0"/>
                  <w:snapToGrid w:val="0"/>
                  <w:spacing w:line="240" w:lineRule="atLeast"/>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846" w:type="pct"/>
            <w:tcBorders>
              <w:right w:val="single" w:color="auto" w:sz="4" w:space="0"/>
            </w:tcBorders>
            <w:vAlign w:val="center"/>
          </w:tcPr>
          <w:p w14:paraId="74E90C99">
            <w:pPr>
              <w:jc w:val="right"/>
              <w:rPr>
                <w:rFonts w:cs="Times New Roman"/>
              </w:rPr>
            </w:pPr>
            <w:r>
              <w:rPr>
                <w:rFonts w:cs="Times New Roman"/>
              </w:rPr>
              <w:t>364,678,562.08</w:t>
            </w:r>
          </w:p>
        </w:tc>
        <w:tc>
          <w:tcPr>
            <w:tcW w:w="1005" w:type="pct"/>
            <w:tcBorders>
              <w:left w:val="single" w:color="auto" w:sz="4" w:space="0"/>
            </w:tcBorders>
          </w:tcPr>
          <w:p w14:paraId="48FD85D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803" w:type="pct"/>
          </w:tcPr>
          <w:p w14:paraId="3335B0B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c>
          <w:tcPr>
            <w:tcW w:w="622" w:type="pct"/>
          </w:tcPr>
          <w:p w14:paraId="07B76F2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p>
        </w:tc>
      </w:tr>
    </w:tbl>
    <w:p w14:paraId="6E90C83B"/>
    <w:p w14:paraId="0997203F">
      <w:pPr>
        <w:pStyle w:val="6"/>
        <w:numPr>
          <w:ilvl w:val="0"/>
          <w:numId w:val="119"/>
        </w:numPr>
        <w:rPr>
          <w:rFonts w:cs="宋体"/>
          <w:kern w:val="0"/>
          <w:szCs w:val="24"/>
        </w:rPr>
      </w:pPr>
      <w:r>
        <w:rPr>
          <w:rFonts w:hint="eastAsia" w:cs="宋体"/>
          <w:kern w:val="0"/>
          <w:szCs w:val="24"/>
        </w:rPr>
        <w:t>按坏账计提方法分类披露</w:t>
      </w:r>
    </w:p>
    <w:sdt>
      <w:sdtPr>
        <w:rPr>
          <w:color w:val="000000" w:themeColor="text1"/>
          <w14:textFill>
            <w14:solidFill>
              <w14:schemeClr w14:val="tx1"/>
            </w14:solidFill>
          </w14:textFill>
        </w:rPr>
        <w:alias w:val="是否适用：母公司按坏账计提方法分类披露[双击切换]"/>
        <w:tag w:val="_GBC_606fd71a57c6434eaa16ce805f815d2e"/>
        <w:id w:val="147454884"/>
        <w:placeholder>
          <w:docPart w:val="GBC22222222222222222222222222222"/>
        </w:placeholder>
      </w:sdtPr>
      <w:sdtEndPr>
        <w:rPr>
          <w:color w:val="000000" w:themeColor="text1"/>
          <w14:textFill>
            <w14:solidFill>
              <w14:schemeClr w14:val="tx1"/>
            </w14:solidFill>
          </w14:textFill>
        </w:rPr>
      </w:sdtEndPr>
      <w:sdtContent>
        <w:p w14:paraId="593FDE6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587D8D1">
      <w:pPr>
        <w:rPr>
          <w:color w:val="000000" w:themeColor="text1"/>
          <w14:textFill>
            <w14:solidFill>
              <w14:schemeClr w14:val="tx1"/>
            </w14:solidFill>
          </w14:textFill>
        </w:rPr>
      </w:pPr>
    </w:p>
    <w:p w14:paraId="4CB93199">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母公司按单项计提坏账准备的详细情况[双击切换]"/>
        <w:tag w:val="_GBC_02d5c836df9842559c42aa2f751aa5ba"/>
        <w:id w:val="147480076"/>
        <w:placeholder>
          <w:docPart w:val="GBC22222222222222222222222222222"/>
        </w:placeholder>
      </w:sdtPr>
      <w:sdtEndPr>
        <w:rPr>
          <w:color w:val="000000" w:themeColor="text1"/>
          <w14:textFill>
            <w14:solidFill>
              <w14:schemeClr w14:val="tx1"/>
            </w14:solidFill>
          </w14:textFill>
        </w:rPr>
      </w:sdtEndPr>
      <w:sdtContent>
        <w:p w14:paraId="22FB122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8823704">
      <w:pPr>
        <w:rPr>
          <w:color w:val="000000" w:themeColor="text1"/>
          <w14:textFill>
            <w14:solidFill>
              <w14:schemeClr w14:val="tx1"/>
            </w14:solidFill>
          </w14:textFill>
        </w:rPr>
      </w:pPr>
    </w:p>
    <w:p w14:paraId="31285280">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母公司按单项计提坏账准备的说明[双击切换]"/>
        <w:tag w:val="_GBC_4af2b30a86cf42d091fd1188b15fbce6"/>
        <w:id w:val="147459085"/>
        <w:placeholder>
          <w:docPart w:val="GBC22222222222222222222222222222"/>
        </w:placeholder>
      </w:sdtPr>
      <w:sdtEndPr>
        <w:rPr>
          <w:color w:val="000000" w:themeColor="text1"/>
          <w14:textFill>
            <w14:solidFill>
              <w14:schemeClr w14:val="tx1"/>
            </w14:solidFill>
          </w14:textFill>
        </w:rPr>
      </w:sdtEndPr>
      <w:sdtContent>
        <w:p w14:paraId="13E08AB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31EA5C0">
      <w:pPr>
        <w:rPr>
          <w:color w:val="000000" w:themeColor="text1"/>
          <w14:textFill>
            <w14:solidFill>
              <w14:schemeClr w14:val="tx1"/>
            </w14:solidFill>
          </w14:textFill>
        </w:rPr>
      </w:pPr>
    </w:p>
    <w:p w14:paraId="7F75CBC0">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母公司按组合计提坏账准备的详细情况[双击切换]"/>
        <w:tag w:val="_GBC_9f9d44f1ec164a3da4b2c14d4d129121"/>
        <w:id w:val="147453804"/>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14:paraId="7670933B">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14:paraId="1014BF4E">
      <w:pPr>
        <w:rPr>
          <w:rFonts w:ascii="Calibri" w:hAnsi="Calibri" w:cs="Times New Roman"/>
          <w:b/>
          <w:bCs w:val="0"/>
          <w:color w:val="000000" w:themeColor="text1"/>
          <w:szCs w:val="22"/>
          <w14:textFill>
            <w14:solidFill>
              <w14:schemeClr w14:val="tx1"/>
            </w14:solidFill>
          </w14:textFill>
        </w:rPr>
      </w:pPr>
    </w:p>
    <w:bookmarkEnd w:id="466"/>
    <w:bookmarkEnd w:id="467"/>
    <w:bookmarkEnd w:id="468"/>
    <w:p w14:paraId="5EBFA0E5">
      <w:pPr>
        <w:pStyle w:val="6"/>
        <w:numPr>
          <w:ilvl w:val="0"/>
          <w:numId w:val="119"/>
        </w:numPr>
        <w:rPr>
          <w:rFonts w:cs="宋体"/>
          <w:kern w:val="0"/>
          <w:szCs w:val="24"/>
        </w:rPr>
      </w:pPr>
      <w:bookmarkStart w:id="469" w:name="_Hlk10547212"/>
      <w:bookmarkEnd w:id="469"/>
      <w:bookmarkStart w:id="470" w:name="_Hlk10547224"/>
      <w:r>
        <w:rPr>
          <w:rFonts w:hint="eastAsia" w:cs="宋体"/>
          <w:kern w:val="0"/>
          <w:szCs w:val="24"/>
        </w:rPr>
        <w:t>按预期信用损失一般模型计提坏账准备</w:t>
      </w:r>
    </w:p>
    <w:sdt>
      <w:sdtPr>
        <w:rPr>
          <w:color w:val="000000" w:themeColor="text1"/>
          <w14:textFill>
            <w14:solidFill>
              <w14:schemeClr w14:val="tx1"/>
            </w14:solidFill>
          </w14:textFill>
        </w:rPr>
        <w:alias w:val="是否适用：母公司应收股利坏账准备调节表[双击切换]"/>
        <w:tag w:val="_GBC_9d130aecb6cb4874ac083fcdce5ee739"/>
        <w:id w:val="147461605"/>
        <w:placeholder>
          <w:docPart w:val="GBC22222222222222222222222222222"/>
        </w:placeholder>
      </w:sdtPr>
      <w:sdtEndPr>
        <w:rPr>
          <w:color w:val="000000" w:themeColor="text1"/>
          <w14:textFill>
            <w14:solidFill>
              <w14:schemeClr w14:val="tx1"/>
            </w14:solidFill>
          </w14:textFill>
        </w:rPr>
      </w:sdtEndPr>
      <w:sdtContent>
        <w:p w14:paraId="0BB190D6">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70"/>
    <w:p w14:paraId="3A87CC8A">
      <w:pPr>
        <w:pStyle w:val="6"/>
        <w:numPr>
          <w:ilvl w:val="0"/>
          <w:numId w:val="119"/>
        </w:numPr>
        <w:rPr>
          <w:rFonts w:cs="宋体"/>
          <w:kern w:val="0"/>
          <w:szCs w:val="24"/>
        </w:rPr>
      </w:pPr>
      <w:bookmarkStart w:id="471" w:name="_Hlk168042003"/>
      <w:bookmarkStart w:id="472" w:name="_Hlk153792018"/>
      <w:bookmarkStart w:id="473" w:name="_Hlk154150256"/>
      <w:r>
        <w:rPr>
          <w:rFonts w:hint="eastAsia" w:cs="宋体"/>
          <w:kern w:val="0"/>
          <w:szCs w:val="24"/>
        </w:rPr>
        <w:t>坏账准备的情况</w:t>
      </w:r>
    </w:p>
    <w:sdt>
      <w:sdtPr>
        <w:rPr>
          <w:color w:val="000000" w:themeColor="text1"/>
          <w14:textFill>
            <w14:solidFill>
              <w14:schemeClr w14:val="tx1"/>
            </w14:solidFill>
          </w14:textFill>
        </w:rPr>
        <w:alias w:val="是否适用：母公司坏账准备情况[双击切换]"/>
        <w:tag w:val="_GBC_4359768bbe6b4db5aaabe9fec181f50a"/>
        <w:id w:val="147458747"/>
        <w:placeholder>
          <w:docPart w:val="GBC22222222222222222222222222222"/>
        </w:placeholder>
      </w:sdtPr>
      <w:sdtEndPr>
        <w:rPr>
          <w:color w:val="000000" w:themeColor="text1"/>
          <w14:textFill>
            <w14:solidFill>
              <w14:schemeClr w14:val="tx1"/>
            </w14:solidFill>
          </w14:textFill>
        </w:rPr>
      </w:sdtEndPr>
      <w:sdtContent>
        <w:p w14:paraId="61AD3267">
          <w:pPr>
            <w:pStyle w:val="67"/>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54AA36F">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母公司本期坏账准备收回或转回金额重要的[双击切换]"/>
        <w:tag w:val="_GBC_15c983ff27c348dab992de66b12c1147"/>
        <w:id w:val="147454070"/>
        <w:placeholder>
          <w:docPart w:val="GBC22222222222222222222222222222"/>
        </w:placeholder>
      </w:sdtPr>
      <w:sdtEndPr>
        <w:rPr>
          <w:color w:val="000000" w:themeColor="text1"/>
          <w14:textFill>
            <w14:solidFill>
              <w14:schemeClr w14:val="tx1"/>
            </w14:solidFill>
          </w14:textFill>
        </w:rPr>
      </w:sdtEndPr>
      <w:sdtContent>
        <w:p w14:paraId="3F31579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595EFAE">
      <w:pPr>
        <w:rPr>
          <w:color w:val="000000" w:themeColor="text1"/>
          <w14:textFill>
            <w14:solidFill>
              <w14:schemeClr w14:val="tx1"/>
            </w14:solidFill>
          </w14:textFill>
        </w:rPr>
      </w:pPr>
    </w:p>
    <w:p w14:paraId="17833154">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母公司坏账准备情况的说明"/>
        <w:tag w:val="_GBC_c23d2aac5be544dab9d6cfeb3fe4c5b9"/>
        <w:id w:val="147450971"/>
        <w:placeholder>
          <w:docPart w:val="GBC22222222222222222222222222222"/>
        </w:placeholder>
      </w:sdtPr>
      <w:sdtEndPr>
        <w:rPr>
          <w:color w:val="000000" w:themeColor="text1"/>
          <w14:textFill>
            <w14:solidFill>
              <w14:schemeClr w14:val="tx1"/>
            </w14:solidFill>
          </w14:textFill>
        </w:rPr>
      </w:sdtEndPr>
      <w:sdtContent>
        <w:p w14:paraId="42A245D7">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57654527">
      <w:pPr>
        <w:ind w:right="-1594" w:rightChars="-759"/>
        <w:rPr>
          <w:color w:val="000000" w:themeColor="text1"/>
          <w14:textFill>
            <w14:solidFill>
              <w14:schemeClr w14:val="tx1"/>
            </w14:solidFill>
          </w14:textFill>
        </w:rPr>
      </w:pPr>
    </w:p>
    <w:p w14:paraId="63FB8BA6">
      <w:pPr>
        <w:pStyle w:val="6"/>
        <w:numPr>
          <w:ilvl w:val="0"/>
          <w:numId w:val="119"/>
        </w:numPr>
        <w:rPr>
          <w:rFonts w:cs="宋体"/>
          <w:kern w:val="0"/>
          <w:szCs w:val="24"/>
        </w:rPr>
      </w:pPr>
      <w:bookmarkStart w:id="474" w:name="_Hlk155883151"/>
      <w:r>
        <w:rPr>
          <w:rFonts w:hint="eastAsia" w:cs="宋体"/>
          <w:kern w:val="0"/>
          <w:szCs w:val="24"/>
        </w:rPr>
        <w:t>本期实际核销的应收股利情况</w:t>
      </w:r>
    </w:p>
    <w:sdt>
      <w:sdtPr>
        <w:rPr>
          <w:color w:val="000000" w:themeColor="text1"/>
          <w14:textFill>
            <w14:solidFill>
              <w14:schemeClr w14:val="tx1"/>
            </w14:solidFill>
          </w14:textFill>
        </w:rPr>
        <w:alias w:val="是否适用：母公司实际核销的情况[双击切换]"/>
        <w:tag w:val="_GBC_aa389cb741114553a4e1a7aed4aa319e"/>
        <w:id w:val="147469309"/>
        <w:placeholder>
          <w:docPart w:val="GBC22222222222222222222222222222"/>
        </w:placeholder>
      </w:sdtPr>
      <w:sdtEndPr>
        <w:rPr>
          <w:color w:val="000000" w:themeColor="text1"/>
          <w14:textFill>
            <w14:solidFill>
              <w14:schemeClr w14:val="tx1"/>
            </w14:solidFill>
          </w14:textFill>
        </w:rPr>
      </w:sdtEndPr>
      <w:sdtContent>
        <w:p w14:paraId="3A9CAC5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40161CE">
      <w:pPr>
        <w:rPr>
          <w:color w:val="000000" w:themeColor="text1"/>
          <w14:textFill>
            <w14:solidFill>
              <w14:schemeClr w14:val="tx1"/>
            </w14:solidFill>
          </w14:textFill>
        </w:rPr>
      </w:pPr>
    </w:p>
    <w:bookmarkEnd w:id="474"/>
    <w:p w14:paraId="6858F079">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其中重要的应收股利核销情况</w:t>
      </w:r>
    </w:p>
    <w:sdt>
      <w:sdtPr>
        <w:rPr>
          <w:rFonts w:hint="eastAsia"/>
          <w:color w:val="000000" w:themeColor="text1"/>
          <w14:textFill>
            <w14:solidFill>
              <w14:schemeClr w14:val="tx1"/>
            </w14:solidFill>
          </w14:textFill>
        </w:rPr>
        <w:alias w:val="是否适用：母公司重要的核销情况[双击切换]"/>
        <w:tag w:val="_GBC_146148b0997846e4bafed15556419cf8"/>
        <w:id w:val="147465081"/>
        <w:placeholder>
          <w:docPart w:val="GBC22222222222222222222222222222"/>
        </w:placeholder>
      </w:sdtPr>
      <w:sdtEndPr>
        <w:rPr>
          <w:rFonts w:hint="eastAsia"/>
          <w:color w:val="000000" w:themeColor="text1"/>
          <w14:textFill>
            <w14:solidFill>
              <w14:schemeClr w14:val="tx1"/>
            </w14:solidFill>
          </w14:textFill>
        </w:rPr>
      </w:sdtEndPr>
      <w:sdtContent>
        <w:p w14:paraId="2A1327D4">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D24B26D">
      <w:pPr>
        <w:snapToGrid w:val="0"/>
        <w:spacing w:line="240" w:lineRule="atLeast"/>
        <w:rPr>
          <w:color w:val="000000" w:themeColor="text1"/>
          <w14:textFill>
            <w14:solidFill>
              <w14:schemeClr w14:val="tx1"/>
            </w14:solidFill>
          </w14:textFill>
        </w:rPr>
      </w:pPr>
    </w:p>
    <w:p w14:paraId="2C2A57C3">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母公司核销说明[双击切换]"/>
        <w:tag w:val="_GBC_61aa391f7973406cadb21e662d9b01ec"/>
        <w:id w:val="147468531"/>
        <w:placeholder>
          <w:docPart w:val="GBC22222222222222222222222222222"/>
        </w:placeholder>
      </w:sdtPr>
      <w:sdtEndPr>
        <w:rPr>
          <w:color w:val="000000" w:themeColor="text1"/>
          <w14:textFill>
            <w14:solidFill>
              <w14:schemeClr w14:val="tx1"/>
            </w14:solidFill>
          </w14:textFill>
        </w:rPr>
      </w:sdtEndPr>
      <w:sdtContent>
        <w:p w14:paraId="5AD8136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ABD059D">
      <w:pPr>
        <w:rPr>
          <w:color w:val="000000" w:themeColor="text1"/>
          <w14:textFill>
            <w14:solidFill>
              <w14:schemeClr w14:val="tx1"/>
            </w14:solidFill>
          </w14:textFill>
        </w:rPr>
      </w:pPr>
    </w:p>
    <w:bookmarkEnd w:id="471"/>
    <w:bookmarkEnd w:id="472"/>
    <w:bookmarkEnd w:id="473"/>
    <w:p w14:paraId="563F23AF">
      <w:pPr>
        <w:rPr>
          <w:color w:val="000000" w:themeColor="text1"/>
          <w14:textFill>
            <w14:solidFill>
              <w14:schemeClr w14:val="tx1"/>
            </w14:solidFill>
          </w14:textFill>
        </w:rPr>
      </w:pPr>
      <w:bookmarkStart w:id="475" w:name="_Hlk10547234"/>
      <w:bookmarkStart w:id="476" w:name="_Hlk10547244"/>
      <w:r>
        <w:rPr>
          <w:rFonts w:hint="eastAsia"/>
          <w:color w:val="000000" w:themeColor="text1"/>
          <w14:textFill>
            <w14:solidFill>
              <w14:schemeClr w14:val="tx1"/>
            </w14:solidFill>
          </w14:textFill>
        </w:rPr>
        <w:t>其他说明：</w:t>
      </w:r>
      <w:bookmarkEnd w:id="475"/>
    </w:p>
    <w:sdt>
      <w:sdtPr>
        <w:rPr>
          <w:color w:val="000000" w:themeColor="text1"/>
          <w14:textFill>
            <w14:solidFill>
              <w14:schemeClr w14:val="tx1"/>
            </w14:solidFill>
          </w14:textFill>
        </w:rPr>
        <w:alias w:val="是否适用：母公司应收股利其他说明[双击切换]"/>
        <w:tag w:val="_GBC_79a2eb8844e84fe3b78bb5ffcf2a57d5"/>
        <w:id w:val="147466121"/>
        <w:placeholder>
          <w:docPart w:val="GBC22222222222222222222222222222"/>
        </w:placeholder>
      </w:sdtPr>
      <w:sdtEndPr>
        <w:rPr>
          <w:color w:val="000000" w:themeColor="text1"/>
          <w14:textFill>
            <w14:solidFill>
              <w14:schemeClr w14:val="tx1"/>
            </w14:solidFill>
          </w14:textFill>
        </w:rPr>
      </w:sdtEndPr>
      <w:sdtContent>
        <w:p w14:paraId="6E08920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0149A69">
      <w:pPr>
        <w:rPr>
          <w:color w:val="000000" w:themeColor="text1"/>
          <w14:textFill>
            <w14:solidFill>
              <w14:schemeClr w14:val="tx1"/>
            </w14:solidFill>
          </w14:textFill>
        </w:rPr>
      </w:pPr>
    </w:p>
    <w:bookmarkEnd w:id="476"/>
    <w:p w14:paraId="3A49B5AD">
      <w:pPr>
        <w:pStyle w:val="58"/>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其他应收款</w:t>
      </w:r>
    </w:p>
    <w:p w14:paraId="7C11CFD0">
      <w:pPr>
        <w:pStyle w:val="59"/>
        <w:numPr>
          <w:ilvl w:val="0"/>
          <w:numId w:val="120"/>
        </w:numPr>
      </w:pPr>
      <w:bookmarkStart w:id="477" w:name="_Hlk153797719"/>
      <w:bookmarkStart w:id="478" w:name="_Hlk168042601"/>
      <w:r>
        <w:rPr>
          <w:rFonts w:hint="eastAsia"/>
        </w:rPr>
        <w:t>按账龄披露</w:t>
      </w:r>
    </w:p>
    <w:sdt>
      <w:sdtPr>
        <w:rPr>
          <w:color w:val="000000" w:themeColor="text1"/>
          <w14:textFill>
            <w14:solidFill>
              <w14:schemeClr w14:val="tx1"/>
            </w14:solidFill>
          </w14:textFill>
        </w:rPr>
        <w:alias w:val="是否适用：母公司其他应收款按账龄披露[双击切换]"/>
        <w:tag w:val="_GBC_5b9c67da114b4f51b08890c9615bd1d4"/>
        <w:id w:val="-101194099"/>
      </w:sdtPr>
      <w:sdtEndPr>
        <w:rPr>
          <w:color w:val="000000" w:themeColor="text1"/>
          <w14:textFill>
            <w14:solidFill>
              <w14:schemeClr w14:val="tx1"/>
            </w14:solidFill>
          </w14:textFill>
        </w:rPr>
      </w:sdtEndPr>
      <w:sdtContent>
        <w:p w14:paraId="0690B75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32F0FAB9">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其他应收款按账龄披露"/>
          <w:tag w:val="_GBC_6ab414dc01fc4a13acb3e3755a5cc201"/>
          <w:id w:val="775059382"/>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其他应收款按账龄披露"/>
          <w:tag w:val="_GBC_043422dceaa24b4d9763b5cc6404b654"/>
          <w:id w:val="-46250584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994"/>
        <w:gridCol w:w="2914"/>
        <w:gridCol w:w="2915"/>
      </w:tblGrid>
      <w:tr w14:paraId="1F0B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af35a4cb8d9748a7bccbc4e491ccfe60"/>
            <w:id w:val="-2079666712"/>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vAlign w:val="center"/>
              </w:tcPr>
              <w:p w14:paraId="6B2130B6">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账龄</w:t>
                </w:r>
              </w:p>
            </w:tc>
          </w:sdtContent>
        </w:sdt>
        <w:sdt>
          <w:sdtPr>
            <w:rPr>
              <w:rFonts w:cs="Times New Roman"/>
            </w:rPr>
            <w:tag w:val="_PLD_21e0bb0de0cb4a07bdd466a200c90bfc"/>
            <w:id w:val="-1543893742"/>
          </w:sdtPr>
          <w:sdtEndPr>
            <w:rPr>
              <w:rFonts w:cs="Times New Roman"/>
            </w:rPr>
          </w:sdtEndPr>
          <w:sdtContent>
            <w:tc>
              <w:tcPr>
                <w:tcW w:w="1651" w:type="pct"/>
                <w:tcBorders>
                  <w:top w:val="single" w:color="auto" w:sz="4" w:space="0"/>
                  <w:left w:val="single" w:color="auto" w:sz="4" w:space="0"/>
                  <w:bottom w:val="single" w:color="auto" w:sz="4" w:space="0"/>
                  <w:right w:val="single" w:color="auto" w:sz="4" w:space="0"/>
                </w:tcBorders>
                <w:vAlign w:val="center"/>
              </w:tcPr>
              <w:p w14:paraId="05C7D6A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期末账面余额</w:t>
                </w:r>
              </w:p>
            </w:tc>
          </w:sdtContent>
        </w:sdt>
        <w:tc>
          <w:tcPr>
            <w:tcW w:w="1651" w:type="pct"/>
            <w:tcBorders>
              <w:top w:val="single" w:color="auto" w:sz="4" w:space="0"/>
              <w:left w:val="single" w:color="auto" w:sz="4" w:space="0"/>
              <w:bottom w:val="single" w:color="auto" w:sz="4" w:space="0"/>
              <w:right w:val="single" w:color="auto" w:sz="4" w:space="0"/>
            </w:tcBorders>
          </w:tcPr>
          <w:sdt>
            <w:sdtPr>
              <w:rPr>
                <w:rFonts w:cs="Times New Roman"/>
              </w:rPr>
              <w:tag w:val="_PLD_6e9631382f39495983e2cd57b3906040"/>
              <w:id w:val="-944301862"/>
            </w:sdtPr>
            <w:sdtEndPr>
              <w:rPr>
                <w:rFonts w:cs="Times New Roman"/>
              </w:rPr>
            </w:sdtEndPr>
            <w:sdtContent>
              <w:p w14:paraId="280FFE1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期初账面余额</w:t>
                </w:r>
              </w:p>
            </w:sdtContent>
          </w:sdt>
        </w:tc>
      </w:tr>
      <w:tr w14:paraId="096C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8df0e2537e2d4d3292953be1ba7504eb"/>
            <w:id w:val="-1399592508"/>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tcPr>
              <w:p w14:paraId="6694A4F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1年以内（含1年）</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0677C445">
            <w:pPr>
              <w:jc w:val="right"/>
              <w:rPr>
                <w:rFonts w:cs="Times New Roman"/>
              </w:rPr>
            </w:pPr>
            <w:r>
              <w:rPr>
                <w:rFonts w:cs="Times New Roman"/>
              </w:rPr>
              <w:t>956,339,554.04</w:t>
            </w:r>
          </w:p>
        </w:tc>
        <w:tc>
          <w:tcPr>
            <w:tcW w:w="1651" w:type="pct"/>
            <w:tcBorders>
              <w:top w:val="single" w:color="auto" w:sz="4" w:space="0"/>
              <w:left w:val="single" w:color="auto" w:sz="4" w:space="0"/>
              <w:bottom w:val="single" w:color="auto" w:sz="4" w:space="0"/>
              <w:right w:val="single" w:color="auto" w:sz="4" w:space="0"/>
            </w:tcBorders>
            <w:vAlign w:val="center"/>
          </w:tcPr>
          <w:p w14:paraId="00E36F7C">
            <w:pPr>
              <w:jc w:val="right"/>
              <w:rPr>
                <w:rFonts w:cs="Times New Roman"/>
              </w:rPr>
            </w:pPr>
            <w:r>
              <w:rPr>
                <w:rFonts w:cs="Times New Roman"/>
              </w:rPr>
              <w:t>636,103,922.59</w:t>
            </w:r>
          </w:p>
        </w:tc>
      </w:tr>
      <w:sdt>
        <w:sdtPr>
          <w:rPr>
            <w:rFonts w:cs="Times New Roman"/>
            <w:color w:val="000000" w:themeColor="text1"/>
            <w14:textFill>
              <w14:solidFill>
                <w14:schemeClr w14:val="tx1"/>
              </w14:solidFill>
            </w14:textFill>
          </w:rPr>
          <w:alias w:val="一年以内其他应收款金额明细"/>
          <w:tag w:val="_TUP_c742176b3ab849fb88f254a72bb03c20"/>
          <w:id w:val="1793863033"/>
          <w:placeholder>
            <w:docPart w:val="{476a5c04-f013-4308-ae31-27fca4933a80}"/>
          </w:placeholder>
        </w:sdtPr>
        <w:sdtEndPr>
          <w:rPr>
            <w:rFonts w:cs="Times New Roman"/>
            <w:color w:val="000000" w:themeColor="text1"/>
            <w14:textFill>
              <w14:solidFill>
                <w14:schemeClr w14:val="tx1"/>
              </w14:solidFill>
            </w14:textFill>
          </w:rPr>
        </w:sdtEndPr>
        <w:sdtContent>
          <w:tr w14:paraId="0BEB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14:paraId="0FD9032F">
                <w:pPr>
                  <w:rPr>
                    <w:rFonts w:cs="Times New Roman"/>
                  </w:rPr>
                </w:pPr>
                <w:r>
                  <w:rPr>
                    <w:rFonts w:cs="Times New Roman"/>
                  </w:rPr>
                  <w:t>1年以内小计</w:t>
                </w:r>
              </w:p>
            </w:tc>
            <w:tc>
              <w:tcPr>
                <w:tcW w:w="1651" w:type="pct"/>
                <w:tcBorders>
                  <w:top w:val="single" w:color="auto" w:sz="4" w:space="0"/>
                  <w:left w:val="single" w:color="auto" w:sz="4" w:space="0"/>
                  <w:bottom w:val="single" w:color="auto" w:sz="4" w:space="0"/>
                  <w:right w:val="single" w:color="auto" w:sz="4" w:space="0"/>
                </w:tcBorders>
                <w:vAlign w:val="center"/>
              </w:tcPr>
              <w:p w14:paraId="531C7150">
                <w:pPr>
                  <w:jc w:val="right"/>
                  <w:rPr>
                    <w:rFonts w:cs="Times New Roman"/>
                  </w:rPr>
                </w:pPr>
                <w:r>
                  <w:rPr>
                    <w:rFonts w:cs="Times New Roman"/>
                  </w:rPr>
                  <w:t>956,339,554.04</w:t>
                </w:r>
              </w:p>
            </w:tc>
            <w:tc>
              <w:tcPr>
                <w:tcW w:w="1651" w:type="pct"/>
                <w:tcBorders>
                  <w:top w:val="single" w:color="auto" w:sz="4" w:space="0"/>
                  <w:left w:val="single" w:color="auto" w:sz="4" w:space="0"/>
                  <w:bottom w:val="single" w:color="auto" w:sz="4" w:space="0"/>
                  <w:right w:val="single" w:color="auto" w:sz="4" w:space="0"/>
                </w:tcBorders>
                <w:vAlign w:val="center"/>
              </w:tcPr>
              <w:p w14:paraId="429A2808">
                <w:pPr>
                  <w:jc w:val="right"/>
                  <w:rPr>
                    <w:rFonts w:cs="Times New Roman"/>
                  </w:rPr>
                </w:pPr>
                <w:r>
                  <w:rPr>
                    <w:rFonts w:cs="Times New Roman"/>
                  </w:rPr>
                  <w:t>636,103,922.59</w:t>
                </w:r>
              </w:p>
            </w:tc>
          </w:tr>
        </w:sdtContent>
      </w:sdt>
      <w:sdt>
        <w:sdtPr>
          <w:rPr>
            <w:rFonts w:cs="Times New Roman"/>
          </w:rPr>
          <w:alias w:val="一年以内其他应收款金额明细"/>
          <w:tag w:val="_TUP_c742176b3ab849fb88f254a72bb03c20"/>
          <w:id w:val="1905712448"/>
          <w:placeholder>
            <w:docPart w:val="{476a5c04-f013-4308-ae31-27fca4933a80}"/>
          </w:placeholder>
        </w:sdtPr>
        <w:sdtEndPr>
          <w:rPr>
            <w:rFonts w:cs="Times New Roman"/>
          </w:rPr>
        </w:sdtEndPr>
        <w:sdtContent>
          <w:tr w14:paraId="48B6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e008e6e14e8844f782b3c3da46eece9e"/>
                <w:id w:val="-729073152"/>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tcPr>
                  <w:p w14:paraId="417B352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1至2年</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706DCC23">
                <w:pPr>
                  <w:jc w:val="right"/>
                  <w:rPr>
                    <w:rFonts w:cs="Times New Roman"/>
                  </w:rPr>
                </w:pPr>
                <w:r>
                  <w:rPr>
                    <w:rFonts w:cs="Times New Roman"/>
                  </w:rPr>
                  <w:t>525,607,659.38</w:t>
                </w:r>
              </w:p>
            </w:tc>
            <w:tc>
              <w:tcPr>
                <w:tcW w:w="1651" w:type="pct"/>
                <w:tcBorders>
                  <w:top w:val="single" w:color="auto" w:sz="4" w:space="0"/>
                  <w:left w:val="single" w:color="auto" w:sz="4" w:space="0"/>
                  <w:bottom w:val="single" w:color="auto" w:sz="4" w:space="0"/>
                  <w:right w:val="single" w:color="auto" w:sz="4" w:space="0"/>
                </w:tcBorders>
                <w:vAlign w:val="center"/>
              </w:tcPr>
              <w:p w14:paraId="5468A0CB">
                <w:pPr>
                  <w:jc w:val="right"/>
                  <w:rPr>
                    <w:rFonts w:cs="Times New Roman"/>
                  </w:rPr>
                </w:pPr>
                <w:r>
                  <w:rPr>
                    <w:rFonts w:cs="Times New Roman"/>
                  </w:rPr>
                  <w:t>530,303,721.70</w:t>
                </w:r>
              </w:p>
            </w:tc>
          </w:tr>
        </w:sdtContent>
      </w:sdt>
      <w:tr w14:paraId="4A59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ee6951d665494f92b328a25519437421"/>
            <w:id w:val="1006478524"/>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tcPr>
              <w:p w14:paraId="0F9A9831">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2至3年</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166625CE">
            <w:pPr>
              <w:jc w:val="right"/>
              <w:rPr>
                <w:rFonts w:cs="Times New Roman"/>
              </w:rPr>
            </w:pPr>
            <w:r>
              <w:rPr>
                <w:rFonts w:cs="Times New Roman"/>
              </w:rPr>
              <w:t>1,128,919,069.96</w:t>
            </w:r>
          </w:p>
        </w:tc>
        <w:tc>
          <w:tcPr>
            <w:tcW w:w="1651" w:type="pct"/>
            <w:tcBorders>
              <w:top w:val="single" w:color="auto" w:sz="4" w:space="0"/>
              <w:left w:val="single" w:color="auto" w:sz="4" w:space="0"/>
              <w:bottom w:val="single" w:color="auto" w:sz="4" w:space="0"/>
              <w:right w:val="single" w:color="auto" w:sz="4" w:space="0"/>
            </w:tcBorders>
            <w:vAlign w:val="center"/>
          </w:tcPr>
          <w:p w14:paraId="17E21E1B">
            <w:pPr>
              <w:jc w:val="right"/>
              <w:rPr>
                <w:rFonts w:cs="Times New Roman"/>
              </w:rPr>
            </w:pPr>
            <w:r>
              <w:rPr>
                <w:rFonts w:cs="Times New Roman"/>
              </w:rPr>
              <w:t>1,128,928,352.84</w:t>
            </w:r>
          </w:p>
        </w:tc>
      </w:tr>
      <w:tr w14:paraId="2502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19c8059c48ef46edb90d083a1536be0a"/>
            <w:id w:val="504088853"/>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tcPr>
              <w:p w14:paraId="7FC39F1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3至4年</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77582EC2">
            <w:pPr>
              <w:jc w:val="right"/>
              <w:rPr>
                <w:rFonts w:cs="Times New Roman"/>
              </w:rPr>
            </w:pPr>
            <w:r>
              <w:rPr>
                <w:rFonts w:cs="Times New Roman"/>
              </w:rPr>
              <w:t>523,831,816.59</w:t>
            </w:r>
          </w:p>
        </w:tc>
        <w:tc>
          <w:tcPr>
            <w:tcW w:w="1651" w:type="pct"/>
            <w:tcBorders>
              <w:top w:val="single" w:color="auto" w:sz="4" w:space="0"/>
              <w:left w:val="single" w:color="auto" w:sz="4" w:space="0"/>
              <w:bottom w:val="single" w:color="auto" w:sz="4" w:space="0"/>
              <w:right w:val="single" w:color="auto" w:sz="4" w:space="0"/>
            </w:tcBorders>
            <w:vAlign w:val="center"/>
          </w:tcPr>
          <w:p w14:paraId="7E9C35B7">
            <w:pPr>
              <w:jc w:val="right"/>
              <w:rPr>
                <w:rFonts w:cs="Times New Roman"/>
              </w:rPr>
            </w:pPr>
            <w:r>
              <w:rPr>
                <w:rFonts w:cs="Times New Roman"/>
              </w:rPr>
              <w:t>523,831,816.59</w:t>
            </w:r>
          </w:p>
        </w:tc>
      </w:tr>
      <w:tr w14:paraId="62CC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b298a3c895f14c3d8bc5f363374651da"/>
            <w:id w:val="-2006041844"/>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tcPr>
              <w:p w14:paraId="75931E12">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4至5年</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35A88B68">
            <w:pPr>
              <w:jc w:val="right"/>
              <w:rPr>
                <w:rFonts w:cs="Times New Roman"/>
              </w:rPr>
            </w:pPr>
            <w:r>
              <w:rPr>
                <w:rFonts w:cs="Times New Roman"/>
              </w:rPr>
              <w:t>327,274,659.19</w:t>
            </w:r>
          </w:p>
        </w:tc>
        <w:tc>
          <w:tcPr>
            <w:tcW w:w="1651" w:type="pct"/>
            <w:tcBorders>
              <w:top w:val="single" w:color="auto" w:sz="4" w:space="0"/>
              <w:left w:val="single" w:color="auto" w:sz="4" w:space="0"/>
              <w:bottom w:val="single" w:color="auto" w:sz="4" w:space="0"/>
              <w:right w:val="single" w:color="auto" w:sz="4" w:space="0"/>
            </w:tcBorders>
            <w:vAlign w:val="center"/>
          </w:tcPr>
          <w:p w14:paraId="1E64EE9B">
            <w:pPr>
              <w:jc w:val="right"/>
              <w:rPr>
                <w:rFonts w:cs="Times New Roman"/>
              </w:rPr>
            </w:pPr>
            <w:r>
              <w:rPr>
                <w:rFonts w:cs="Times New Roman"/>
              </w:rPr>
              <w:t>327,274,659.19</w:t>
            </w:r>
          </w:p>
        </w:tc>
      </w:tr>
      <w:tr w14:paraId="1D77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ccc4cc7ed06d4ea3a540432ddce2561e"/>
            <w:id w:val="-1618294844"/>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tcPr>
              <w:p w14:paraId="41F22E8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5年以上</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3F095B7E">
            <w:pPr>
              <w:jc w:val="right"/>
              <w:rPr>
                <w:rFonts w:cs="Times New Roman"/>
              </w:rPr>
            </w:pPr>
            <w:r>
              <w:rPr>
                <w:rFonts w:cs="Times New Roman"/>
              </w:rPr>
              <w:t>4,186,047,981.07</w:t>
            </w:r>
          </w:p>
        </w:tc>
        <w:tc>
          <w:tcPr>
            <w:tcW w:w="1651" w:type="pct"/>
            <w:tcBorders>
              <w:top w:val="single" w:color="auto" w:sz="4" w:space="0"/>
              <w:left w:val="single" w:color="auto" w:sz="4" w:space="0"/>
              <w:bottom w:val="single" w:color="auto" w:sz="4" w:space="0"/>
              <w:right w:val="single" w:color="auto" w:sz="4" w:space="0"/>
            </w:tcBorders>
            <w:vAlign w:val="center"/>
          </w:tcPr>
          <w:p w14:paraId="0F5878FE">
            <w:pPr>
              <w:jc w:val="right"/>
              <w:rPr>
                <w:rFonts w:cs="Times New Roman"/>
              </w:rPr>
            </w:pPr>
            <w:r>
              <w:rPr>
                <w:rFonts w:cs="Times New Roman"/>
              </w:rPr>
              <w:t>4,186,047,981.07</w:t>
            </w:r>
          </w:p>
        </w:tc>
      </w:tr>
      <w:sdt>
        <w:sdtPr>
          <w:rPr>
            <w:rFonts w:cs="Times New Roman"/>
          </w:rPr>
          <w:alias w:val="按账龄分析法计提坏账准备的其他应收款明细"/>
          <w:tag w:val="_TUP_70e701285bcd4d3fbc2500e1bffedd20"/>
          <w:id w:val="-107050481"/>
          <w:placeholder>
            <w:docPart w:val="{476a5c04-f013-4308-ae31-27fca4933a80}"/>
          </w:placeholder>
        </w:sdtPr>
        <w:sdtEndPr>
          <w:rPr>
            <w:rFonts w:cs="Times New Roman"/>
          </w:rPr>
        </w:sdtEndPr>
        <w:sdtContent>
          <w:sdt>
            <w:sdtPr>
              <w:rPr>
                <w:rFonts w:cs="Times New Roman"/>
              </w:rPr>
              <w:alias w:val="按账龄分析法计提坏账准备的其他应收款明细"/>
              <w:tag w:val="_TUP_70e701285bcd4d3fbc2500e1bffedd20"/>
              <w:id w:val="-329137370"/>
              <w:placeholder>
                <w:docPart w:val="{476a5c04-f013-4308-ae31-27fca4933a80}"/>
              </w:placeholder>
            </w:sdtPr>
            <w:sdtEndPr>
              <w:rPr>
                <w:rFonts w:cs="Times New Roman"/>
              </w:rPr>
            </w:sdtEndPr>
            <w:sdtContent>
              <w:tr w14:paraId="15B6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rPr>
                      <w:rFonts w:cs="Times New Roman"/>
                    </w:rPr>
                    <w:tag w:val="_PLD_c286552b3b484fc99df2efbca16217a3"/>
                    <w:id w:val="222037120"/>
                  </w:sdtPr>
                  <w:sdtEndPr>
                    <w:rPr>
                      <w:rFonts w:cs="Times New Roman"/>
                    </w:rPr>
                  </w:sdtEndPr>
                  <w:sdtContent>
                    <w:tc>
                      <w:tcPr>
                        <w:tcW w:w="1696" w:type="pct"/>
                        <w:tcBorders>
                          <w:top w:val="single" w:color="auto" w:sz="4" w:space="0"/>
                          <w:left w:val="single" w:color="auto" w:sz="4" w:space="0"/>
                          <w:bottom w:val="single" w:color="auto" w:sz="4" w:space="0"/>
                          <w:right w:val="single" w:color="auto" w:sz="4" w:space="0"/>
                        </w:tcBorders>
                        <w:vAlign w:val="center"/>
                      </w:tcPr>
                      <w:p w14:paraId="5822137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sdtContent>
                </w:sdt>
                <w:tc>
                  <w:tcPr>
                    <w:tcW w:w="1651" w:type="pct"/>
                    <w:tcBorders>
                      <w:top w:val="single" w:color="auto" w:sz="4" w:space="0"/>
                      <w:left w:val="single" w:color="auto" w:sz="4" w:space="0"/>
                      <w:bottom w:val="single" w:color="auto" w:sz="4" w:space="0"/>
                      <w:right w:val="single" w:color="auto" w:sz="4" w:space="0"/>
                    </w:tcBorders>
                    <w:vAlign w:val="center"/>
                  </w:tcPr>
                  <w:p w14:paraId="2265E38C">
                    <w:pPr>
                      <w:jc w:val="right"/>
                      <w:rPr>
                        <w:rFonts w:cs="Times New Roman"/>
                      </w:rPr>
                    </w:pPr>
                    <w:r>
                      <w:rPr>
                        <w:rFonts w:cs="Times New Roman"/>
                      </w:rPr>
                      <w:t>7,648,020,740.23</w:t>
                    </w:r>
                  </w:p>
                </w:tc>
                <w:tc>
                  <w:tcPr>
                    <w:tcW w:w="1651" w:type="pct"/>
                    <w:tcBorders>
                      <w:top w:val="single" w:color="auto" w:sz="4" w:space="0"/>
                      <w:left w:val="single" w:color="auto" w:sz="4" w:space="0"/>
                      <w:bottom w:val="single" w:color="auto" w:sz="4" w:space="0"/>
                      <w:right w:val="single" w:color="auto" w:sz="4" w:space="0"/>
                    </w:tcBorders>
                    <w:vAlign w:val="center"/>
                  </w:tcPr>
                  <w:p w14:paraId="49FF6A3B">
                    <w:pPr>
                      <w:jc w:val="right"/>
                      <w:rPr>
                        <w:rFonts w:cs="Times New Roman"/>
                      </w:rPr>
                    </w:pPr>
                    <w:r>
                      <w:rPr>
                        <w:rFonts w:cs="Times New Roman"/>
                      </w:rPr>
                      <w:t>7,332,490,453.98</w:t>
                    </w:r>
                  </w:p>
                </w:tc>
              </w:tr>
            </w:sdtContent>
          </w:sdt>
        </w:sdtContent>
      </w:sdt>
    </w:tbl>
    <w:p w14:paraId="3EDFA231"/>
    <w:bookmarkEnd w:id="477"/>
    <w:bookmarkEnd w:id="478"/>
    <w:p w14:paraId="72C4C838">
      <w:pPr>
        <w:pStyle w:val="59"/>
        <w:numPr>
          <w:ilvl w:val="0"/>
          <w:numId w:val="120"/>
        </w:numPr>
      </w:pPr>
      <w:bookmarkStart w:id="479" w:name="_Hlk10547648"/>
      <w:r>
        <w:rPr>
          <w:rFonts w:hint="eastAsia"/>
        </w:rPr>
        <w:t>按款项性质分类情况</w:t>
      </w:r>
    </w:p>
    <w:sdt>
      <w:sdtPr>
        <w:rPr>
          <w:color w:val="000000" w:themeColor="text1"/>
          <w14:textFill>
            <w14:solidFill>
              <w14:schemeClr w14:val="tx1"/>
            </w14:solidFill>
          </w14:textFill>
        </w:rPr>
        <w:alias w:val="是否适用：母公司其他应收款按款项性质分类情况[双击切换]"/>
        <w:tag w:val="_GBC_101fec10ac1f41f39330610cac041192"/>
        <w:id w:val="147463770"/>
        <w:placeholder>
          <w:docPart w:val="GBC22222222222222222222222222222"/>
        </w:placeholder>
      </w:sdtPr>
      <w:sdtEndPr>
        <w:rPr>
          <w:color w:val="000000" w:themeColor="text1"/>
          <w14:textFill>
            <w14:solidFill>
              <w14:schemeClr w14:val="tx1"/>
            </w14:solidFill>
          </w14:textFill>
        </w:rPr>
      </w:sdtEndPr>
      <w:sdtContent>
        <w:p w14:paraId="04BB31D2">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B012EC2">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母公司其他应收款按款项性质分类情况"/>
          <w:tag w:val="_GBC_cdfadb9bdd864b32a99df11dec001a83"/>
          <w:id w:val="1474725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母公司其他应收款按款项性质分类情况"/>
          <w:tag w:val="_GBC_cac854cfb75144bc86635f44f78d6611"/>
          <w:id w:val="1474533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906"/>
        <w:gridCol w:w="2917"/>
      </w:tblGrid>
      <w:tr w14:paraId="5978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797d39f4d1fd488e93d36af61d0bebfd"/>
            <w:id w:val="147451209"/>
          </w:sdtPr>
          <w:sdtEndPr>
            <w:rPr>
              <w:rFonts w:cs="Times New Roman"/>
            </w:rPr>
          </w:sdtEndPr>
          <w:sdtContent>
            <w:tc>
              <w:tcPr>
                <w:tcW w:w="1700" w:type="pct"/>
                <w:vAlign w:val="center"/>
              </w:tcPr>
              <w:p w14:paraId="1A6CCCF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款项性质</w:t>
                </w:r>
              </w:p>
            </w:tc>
          </w:sdtContent>
        </w:sdt>
        <w:sdt>
          <w:sdtPr>
            <w:rPr>
              <w:rFonts w:cs="Times New Roman"/>
            </w:rPr>
            <w:tag w:val="_PLD_7853db088d0a4b218482e741ebbac8e0"/>
            <w:id w:val="147472696"/>
          </w:sdtPr>
          <w:sdtEndPr>
            <w:rPr>
              <w:rFonts w:cs="Times New Roman"/>
            </w:rPr>
          </w:sdtEndPr>
          <w:sdtContent>
            <w:tc>
              <w:tcPr>
                <w:tcW w:w="1647" w:type="pct"/>
                <w:vAlign w:val="center"/>
              </w:tcPr>
              <w:p w14:paraId="7A98FA4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期末账面余额</w:t>
                </w:r>
              </w:p>
            </w:tc>
          </w:sdtContent>
        </w:sdt>
        <w:sdt>
          <w:sdtPr>
            <w:rPr>
              <w:rFonts w:cs="Times New Roman"/>
            </w:rPr>
            <w:tag w:val="_PLD_56ab744bffee4ad28664bdf9e16551e2"/>
            <w:id w:val="147479509"/>
          </w:sdtPr>
          <w:sdtEndPr>
            <w:rPr>
              <w:rFonts w:cs="Times New Roman"/>
            </w:rPr>
          </w:sdtEndPr>
          <w:sdtContent>
            <w:tc>
              <w:tcPr>
                <w:tcW w:w="1653" w:type="pct"/>
                <w:vAlign w:val="center"/>
              </w:tcPr>
              <w:p w14:paraId="7483E56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期初账面余额</w:t>
                </w:r>
              </w:p>
            </w:tc>
          </w:sdtContent>
        </w:sdt>
      </w:tr>
      <w:tr w14:paraId="3167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48F8AFFC">
            <w:pPr>
              <w:rPr>
                <w:rFonts w:cs="Times New Roman"/>
                <w:highlight w:val="yellow"/>
              </w:rPr>
            </w:pPr>
            <w:r>
              <w:rPr>
                <w:rFonts w:cs="Times New Roman"/>
                <w:color w:val="000000"/>
              </w:rPr>
              <w:t>备用金</w:t>
            </w:r>
          </w:p>
        </w:tc>
        <w:tc>
          <w:tcPr>
            <w:tcW w:w="1647" w:type="pct"/>
            <w:vAlign w:val="center"/>
          </w:tcPr>
          <w:p w14:paraId="2744B3EE">
            <w:pPr>
              <w:jc w:val="right"/>
              <w:rPr>
                <w:rFonts w:cs="Times New Roman"/>
              </w:rPr>
            </w:pPr>
            <w:r>
              <w:rPr>
                <w:rFonts w:cs="Times New Roman"/>
                <w:color w:val="000000"/>
              </w:rPr>
              <w:t>1,817,010.32</w:t>
            </w:r>
          </w:p>
        </w:tc>
        <w:tc>
          <w:tcPr>
            <w:tcW w:w="1653" w:type="pct"/>
            <w:vAlign w:val="center"/>
          </w:tcPr>
          <w:p w14:paraId="15C21E5E">
            <w:pPr>
              <w:jc w:val="right"/>
              <w:rPr>
                <w:rFonts w:cs="Times New Roman"/>
              </w:rPr>
            </w:pPr>
            <w:r>
              <w:rPr>
                <w:rFonts w:cs="Times New Roman"/>
                <w:color w:val="000000"/>
              </w:rPr>
              <w:t>1,443,792.73</w:t>
            </w:r>
          </w:p>
        </w:tc>
      </w:tr>
      <w:tr w14:paraId="0DAA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16F12157">
            <w:pPr>
              <w:rPr>
                <w:rFonts w:cs="Times New Roman"/>
                <w:highlight w:val="yellow"/>
              </w:rPr>
            </w:pPr>
            <w:r>
              <w:rPr>
                <w:rFonts w:cs="Times New Roman"/>
                <w:color w:val="000000"/>
              </w:rPr>
              <w:t>往来款</w:t>
            </w:r>
          </w:p>
        </w:tc>
        <w:tc>
          <w:tcPr>
            <w:tcW w:w="1647" w:type="pct"/>
            <w:vAlign w:val="center"/>
          </w:tcPr>
          <w:p w14:paraId="35D04D9A">
            <w:pPr>
              <w:jc w:val="right"/>
              <w:rPr>
                <w:rFonts w:cs="Times New Roman"/>
              </w:rPr>
            </w:pPr>
            <w:r>
              <w:rPr>
                <w:rFonts w:cs="Times New Roman"/>
                <w:color w:val="000000"/>
              </w:rPr>
              <w:t>2,168,292,062.23</w:t>
            </w:r>
          </w:p>
        </w:tc>
        <w:tc>
          <w:tcPr>
            <w:tcW w:w="1653" w:type="pct"/>
            <w:vAlign w:val="center"/>
          </w:tcPr>
          <w:p w14:paraId="43C4E846">
            <w:pPr>
              <w:jc w:val="right"/>
              <w:rPr>
                <w:rFonts w:cs="Times New Roman"/>
              </w:rPr>
            </w:pPr>
            <w:r>
              <w:rPr>
                <w:rFonts w:cs="Times New Roman"/>
                <w:color w:val="000000"/>
              </w:rPr>
              <w:t>2,054,137,632.52</w:t>
            </w:r>
          </w:p>
        </w:tc>
      </w:tr>
      <w:tr w14:paraId="1B7B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13BF120">
            <w:pPr>
              <w:rPr>
                <w:rFonts w:cs="Times New Roman"/>
                <w:highlight w:val="yellow"/>
              </w:rPr>
            </w:pPr>
            <w:r>
              <w:rPr>
                <w:rFonts w:cs="Times New Roman"/>
                <w:color w:val="000000"/>
              </w:rPr>
              <w:t>所属企业借款</w:t>
            </w:r>
          </w:p>
        </w:tc>
        <w:tc>
          <w:tcPr>
            <w:tcW w:w="1647" w:type="pct"/>
            <w:vAlign w:val="center"/>
          </w:tcPr>
          <w:p w14:paraId="63CF4490">
            <w:pPr>
              <w:jc w:val="right"/>
              <w:rPr>
                <w:rFonts w:cs="Times New Roman"/>
              </w:rPr>
            </w:pPr>
            <w:r>
              <w:rPr>
                <w:rFonts w:cs="Times New Roman"/>
                <w:color w:val="000000"/>
              </w:rPr>
              <w:t>2,294,963,309.30</w:t>
            </w:r>
          </w:p>
        </w:tc>
        <w:tc>
          <w:tcPr>
            <w:tcW w:w="1653" w:type="pct"/>
            <w:vAlign w:val="center"/>
          </w:tcPr>
          <w:p w14:paraId="6C1E94F6">
            <w:pPr>
              <w:jc w:val="right"/>
              <w:rPr>
                <w:rFonts w:cs="Times New Roman"/>
              </w:rPr>
            </w:pPr>
            <w:r>
              <w:rPr>
                <w:rFonts w:cs="Times New Roman"/>
                <w:color w:val="000000"/>
              </w:rPr>
              <w:t>2,110,463,309.30</w:t>
            </w:r>
          </w:p>
        </w:tc>
      </w:tr>
      <w:tr w14:paraId="0ED2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290B5C96">
            <w:pPr>
              <w:rPr>
                <w:rFonts w:cs="Times New Roman"/>
                <w:highlight w:val="yellow"/>
              </w:rPr>
            </w:pPr>
            <w:r>
              <w:rPr>
                <w:rFonts w:cs="Times New Roman"/>
                <w:color w:val="000000"/>
              </w:rPr>
              <w:t>企业借款利息</w:t>
            </w:r>
          </w:p>
        </w:tc>
        <w:tc>
          <w:tcPr>
            <w:tcW w:w="1647" w:type="pct"/>
            <w:vAlign w:val="center"/>
          </w:tcPr>
          <w:p w14:paraId="3E59E46E">
            <w:pPr>
              <w:jc w:val="right"/>
              <w:rPr>
                <w:rFonts w:cs="Times New Roman"/>
              </w:rPr>
            </w:pPr>
            <w:r>
              <w:rPr>
                <w:rFonts w:cs="Times New Roman"/>
                <w:color w:val="000000"/>
              </w:rPr>
              <w:t>530,478,750.22</w:t>
            </w:r>
          </w:p>
        </w:tc>
        <w:tc>
          <w:tcPr>
            <w:tcW w:w="1653" w:type="pct"/>
            <w:vAlign w:val="center"/>
          </w:tcPr>
          <w:p w14:paraId="38C50A34">
            <w:pPr>
              <w:jc w:val="right"/>
              <w:rPr>
                <w:rFonts w:cs="Times New Roman"/>
              </w:rPr>
            </w:pPr>
            <w:r>
              <w:rPr>
                <w:rFonts w:cs="Times New Roman"/>
                <w:color w:val="000000"/>
              </w:rPr>
              <w:t>513,979,156.89</w:t>
            </w:r>
          </w:p>
        </w:tc>
      </w:tr>
      <w:tr w14:paraId="3BFA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1D69B56E">
            <w:pPr>
              <w:rPr>
                <w:rFonts w:cs="Times New Roman"/>
                <w:highlight w:val="yellow"/>
              </w:rPr>
            </w:pPr>
            <w:r>
              <w:rPr>
                <w:rFonts w:cs="Times New Roman"/>
                <w:color w:val="000000"/>
              </w:rPr>
              <w:t>项目资金</w:t>
            </w:r>
          </w:p>
        </w:tc>
        <w:tc>
          <w:tcPr>
            <w:tcW w:w="1647" w:type="pct"/>
            <w:vAlign w:val="center"/>
          </w:tcPr>
          <w:p w14:paraId="281A1660">
            <w:pPr>
              <w:jc w:val="right"/>
              <w:rPr>
                <w:rFonts w:cs="Times New Roman"/>
              </w:rPr>
            </w:pPr>
            <w:r>
              <w:rPr>
                <w:rFonts w:cs="Times New Roman"/>
                <w:color w:val="000000"/>
              </w:rPr>
              <w:t>2,648,610,314.42</w:t>
            </w:r>
          </w:p>
        </w:tc>
        <w:tc>
          <w:tcPr>
            <w:tcW w:w="1653" w:type="pct"/>
            <w:vAlign w:val="center"/>
          </w:tcPr>
          <w:p w14:paraId="5372575D">
            <w:pPr>
              <w:jc w:val="right"/>
              <w:rPr>
                <w:rFonts w:cs="Times New Roman"/>
              </w:rPr>
            </w:pPr>
            <w:r>
              <w:rPr>
                <w:rFonts w:cs="Times New Roman"/>
                <w:color w:val="000000"/>
              </w:rPr>
              <w:t>2,648,610,314.42</w:t>
            </w:r>
          </w:p>
        </w:tc>
      </w:tr>
      <w:tr w14:paraId="5BAD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17B54EAD">
            <w:pPr>
              <w:rPr>
                <w:rFonts w:cs="Times New Roman"/>
                <w:highlight w:val="yellow"/>
              </w:rPr>
            </w:pPr>
            <w:r>
              <w:rPr>
                <w:rFonts w:cs="Times New Roman"/>
                <w:color w:val="000000"/>
              </w:rPr>
              <w:t>其他</w:t>
            </w:r>
          </w:p>
        </w:tc>
        <w:tc>
          <w:tcPr>
            <w:tcW w:w="1647" w:type="pct"/>
            <w:vAlign w:val="center"/>
          </w:tcPr>
          <w:p w14:paraId="542A758C">
            <w:pPr>
              <w:jc w:val="right"/>
              <w:rPr>
                <w:rFonts w:cs="Times New Roman"/>
              </w:rPr>
            </w:pPr>
            <w:r>
              <w:rPr>
                <w:rFonts w:cs="Times New Roman"/>
                <w:color w:val="000000"/>
              </w:rPr>
              <w:t>3,859,293.74</w:t>
            </w:r>
          </w:p>
        </w:tc>
        <w:tc>
          <w:tcPr>
            <w:tcW w:w="1653" w:type="pct"/>
            <w:vAlign w:val="center"/>
          </w:tcPr>
          <w:p w14:paraId="70092A67">
            <w:pPr>
              <w:jc w:val="right"/>
              <w:rPr>
                <w:rFonts w:cs="Times New Roman"/>
              </w:rPr>
            </w:pPr>
            <w:r>
              <w:rPr>
                <w:rFonts w:cs="Times New Roman"/>
                <w:color w:val="000000"/>
              </w:rPr>
              <w:t>3,856,248.12</w:t>
            </w:r>
          </w:p>
        </w:tc>
      </w:tr>
      <w:tr w14:paraId="244D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14:paraId="0742C6BC">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647" w:type="pct"/>
            <w:vAlign w:val="center"/>
          </w:tcPr>
          <w:p w14:paraId="15797EF7">
            <w:pPr>
              <w:jc w:val="right"/>
              <w:rPr>
                <w:rFonts w:cs="Times New Roman"/>
              </w:rPr>
            </w:pPr>
            <w:r>
              <w:rPr>
                <w:rFonts w:cs="Times New Roman"/>
                <w:color w:val="000000"/>
              </w:rPr>
              <w:t>7,648,020,740.23</w:t>
            </w:r>
          </w:p>
        </w:tc>
        <w:tc>
          <w:tcPr>
            <w:tcW w:w="1653" w:type="pct"/>
            <w:vAlign w:val="center"/>
          </w:tcPr>
          <w:p w14:paraId="05C3F8BB">
            <w:pPr>
              <w:jc w:val="right"/>
              <w:rPr>
                <w:rFonts w:cs="Times New Roman"/>
              </w:rPr>
            </w:pPr>
            <w:r>
              <w:rPr>
                <w:rFonts w:cs="Times New Roman"/>
                <w:color w:val="000000"/>
              </w:rPr>
              <w:t>7,332,490,453.98</w:t>
            </w:r>
          </w:p>
        </w:tc>
      </w:tr>
    </w:tbl>
    <w:p w14:paraId="3DD9F0B4">
      <w:pPr>
        <w:rPr>
          <w:color w:val="000000" w:themeColor="text1"/>
          <w14:textFill>
            <w14:solidFill>
              <w14:schemeClr w14:val="tx1"/>
            </w14:solidFill>
          </w14:textFill>
        </w:rPr>
      </w:pPr>
    </w:p>
    <w:bookmarkEnd w:id="479"/>
    <w:p w14:paraId="5E393421">
      <w:pPr>
        <w:pStyle w:val="59"/>
        <w:numPr>
          <w:ilvl w:val="0"/>
          <w:numId w:val="120"/>
        </w:numPr>
      </w:pPr>
      <w:bookmarkStart w:id="480" w:name="_Hlk10547765"/>
      <w:r>
        <w:rPr>
          <w:rFonts w:hint="eastAsia"/>
        </w:rPr>
        <w:t>坏账准备计提情况</w:t>
      </w:r>
    </w:p>
    <w:sdt>
      <w:sdtPr>
        <w:rPr>
          <w:color w:val="000000" w:themeColor="text1"/>
          <w14:textFill>
            <w14:solidFill>
              <w14:schemeClr w14:val="tx1"/>
            </w14:solidFill>
          </w14:textFill>
        </w:rPr>
        <w:alias w:val="是否适用：母公司其他应收款坏账准备调节表[双击切换]"/>
        <w:tag w:val="_GBC_550996ad46c8493eb98c011d7acf7dfb"/>
        <w:id w:val="147470159"/>
        <w:placeholder>
          <w:docPart w:val="GBC22222222222222222222222222222"/>
        </w:placeholder>
      </w:sdtPr>
      <w:sdtEndPr>
        <w:rPr>
          <w:color w:val="000000" w:themeColor="text1"/>
          <w14:textFill>
            <w14:solidFill>
              <w14:schemeClr w14:val="tx1"/>
            </w14:solidFill>
          </w14:textFill>
        </w:rPr>
      </w:sdtEndPr>
      <w:sdtContent>
        <w:p w14:paraId="624FAF2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D0C21CA">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其他应收款坏账准备调节表"/>
          <w:tag w:val="_GBC_10c7491cbac54cf6a1a375367db16baf"/>
          <w:id w:val="14746195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其他应收款坏账准备调节表"/>
          <w:tag w:val="_GBC_01762fded69841c1b87d684f3bcfb97f"/>
          <w:id w:val="1474568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4"/>
        <w:gridCol w:w="1596"/>
        <w:gridCol w:w="1532"/>
        <w:gridCol w:w="1935"/>
        <w:gridCol w:w="1666"/>
      </w:tblGrid>
      <w:tr w14:paraId="2356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cs="Times New Roman"/>
            </w:rPr>
            <w:tag w:val="_PLD_a620ef8c0fe0407b955c4f58530e0b21"/>
            <w:id w:val="147474800"/>
          </w:sdtPr>
          <w:sdtEndPr>
            <w:rPr>
              <w:rFonts w:ascii="Times New Roman" w:hAnsi="Times New Roman" w:cs="Times New Roman"/>
            </w:rPr>
          </w:sdtEndPr>
          <w:sdtContent>
            <w:tc>
              <w:tcPr>
                <w:tcW w:w="1186" w:type="pct"/>
                <w:vMerge w:val="restart"/>
                <w:vAlign w:val="center"/>
              </w:tcPr>
              <w:p w14:paraId="6B8CD6CB">
                <w:pPr>
                  <w:pStyle w:val="69"/>
                  <w:spacing w:after="0"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坏账准备</w:t>
                </w:r>
              </w:p>
            </w:tc>
          </w:sdtContent>
        </w:sdt>
        <w:sdt>
          <w:sdtPr>
            <w:rPr>
              <w:rFonts w:ascii="Times New Roman" w:hAnsi="Times New Roman" w:cs="Times New Roman"/>
            </w:rPr>
            <w:tag w:val="_PLD_8699e9827a744831bf2fdadfa1ac52e1"/>
            <w:id w:val="147482471"/>
          </w:sdtPr>
          <w:sdtEndPr>
            <w:rPr>
              <w:rFonts w:ascii="Times New Roman" w:hAnsi="Times New Roman" w:cs="Times New Roman"/>
            </w:rPr>
          </w:sdtEndPr>
          <w:sdtContent>
            <w:tc>
              <w:tcPr>
                <w:tcW w:w="904" w:type="pct"/>
                <w:vAlign w:val="center"/>
              </w:tcPr>
              <w:p w14:paraId="0F54C74B">
                <w:pPr>
                  <w:pStyle w:val="69"/>
                  <w:spacing w:after="0"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第一阶段</w:t>
                </w:r>
              </w:p>
            </w:tc>
          </w:sdtContent>
        </w:sdt>
        <w:sdt>
          <w:sdtPr>
            <w:rPr>
              <w:rFonts w:ascii="Times New Roman" w:hAnsi="Times New Roman" w:cs="Times New Roman"/>
            </w:rPr>
            <w:tag w:val="_PLD_d2f5c6d4cf0d4a86b39dc41f67fe87db"/>
            <w:id w:val="147470095"/>
          </w:sdtPr>
          <w:sdtEndPr>
            <w:rPr>
              <w:rFonts w:ascii="Times New Roman" w:hAnsi="Times New Roman" w:cs="Times New Roman"/>
            </w:rPr>
          </w:sdtEndPr>
          <w:sdtContent>
            <w:tc>
              <w:tcPr>
                <w:tcW w:w="868" w:type="pct"/>
              </w:tcPr>
              <w:p w14:paraId="7012B73C">
                <w:pPr>
                  <w:pStyle w:val="69"/>
                  <w:spacing w:after="0"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第二阶段</w:t>
                </w:r>
              </w:p>
            </w:tc>
          </w:sdtContent>
        </w:sdt>
        <w:sdt>
          <w:sdtPr>
            <w:rPr>
              <w:rFonts w:ascii="Times New Roman" w:hAnsi="Times New Roman" w:cs="Times New Roman"/>
            </w:rPr>
            <w:tag w:val="_PLD_a09c7daba8c14a6498c7b83b77c97c72"/>
            <w:id w:val="147456835"/>
          </w:sdtPr>
          <w:sdtEndPr>
            <w:rPr>
              <w:rFonts w:ascii="Times New Roman" w:hAnsi="Times New Roman" w:cs="Times New Roman"/>
            </w:rPr>
          </w:sdtEndPr>
          <w:sdtContent>
            <w:tc>
              <w:tcPr>
                <w:tcW w:w="1096" w:type="pct"/>
              </w:tcPr>
              <w:p w14:paraId="6975BE7A">
                <w:pPr>
                  <w:pStyle w:val="69"/>
                  <w:spacing w:after="0"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第三阶段</w:t>
                </w:r>
              </w:p>
            </w:tc>
          </w:sdtContent>
        </w:sdt>
        <w:sdt>
          <w:sdtPr>
            <w:rPr>
              <w:rFonts w:ascii="Times New Roman" w:hAnsi="Times New Roman" w:cs="Times New Roman"/>
            </w:rPr>
            <w:tag w:val="_PLD_1ec064a14a75404dac24adc5e6ddd253"/>
            <w:id w:val="147457458"/>
          </w:sdtPr>
          <w:sdtEndPr>
            <w:rPr>
              <w:rFonts w:ascii="Times New Roman" w:hAnsi="Times New Roman" w:cs="Times New Roman"/>
            </w:rPr>
          </w:sdtEndPr>
          <w:sdtContent>
            <w:tc>
              <w:tcPr>
                <w:tcW w:w="943" w:type="pct"/>
                <w:vMerge w:val="restart"/>
                <w:vAlign w:val="center"/>
              </w:tcPr>
              <w:p w14:paraId="7B665643">
                <w:pPr>
                  <w:pStyle w:val="69"/>
                  <w:spacing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合计</w:t>
                </w:r>
              </w:p>
            </w:tc>
          </w:sdtContent>
        </w:sdt>
      </w:tr>
      <w:tr w14:paraId="3A39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Merge w:val="continue"/>
            <w:vAlign w:val="center"/>
          </w:tcPr>
          <w:p w14:paraId="5023A3B6">
            <w:pPr>
              <w:jc w:val="center"/>
              <w:rPr>
                <w:rFonts w:cs="Times New Roman"/>
                <w:color w:val="000000" w:themeColor="text1"/>
                <w14:textFill>
                  <w14:solidFill>
                    <w14:schemeClr w14:val="tx1"/>
                  </w14:solidFill>
                </w14:textFill>
              </w:rPr>
            </w:pPr>
          </w:p>
        </w:tc>
        <w:sdt>
          <w:sdtPr>
            <w:rPr>
              <w:rFonts w:ascii="Times New Roman" w:hAnsi="Times New Roman" w:cs="Times New Roman"/>
            </w:rPr>
            <w:tag w:val="_PLD_506da2a2f1db4ead819aa958edd702e2"/>
            <w:id w:val="147472280"/>
          </w:sdtPr>
          <w:sdtEndPr>
            <w:rPr>
              <w:rFonts w:ascii="Times New Roman" w:hAnsi="Times New Roman" w:cs="Times New Roman"/>
            </w:rPr>
          </w:sdtEndPr>
          <w:sdtContent>
            <w:tc>
              <w:tcPr>
                <w:tcW w:w="904" w:type="pct"/>
                <w:vAlign w:val="center"/>
              </w:tcPr>
              <w:p w14:paraId="795756DB">
                <w:pPr>
                  <w:pStyle w:val="69"/>
                  <w:spacing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未来12个月预期信用损失</w:t>
                </w:r>
              </w:p>
            </w:tc>
          </w:sdtContent>
        </w:sdt>
        <w:sdt>
          <w:sdtPr>
            <w:rPr>
              <w:rFonts w:ascii="Times New Roman" w:hAnsi="Times New Roman" w:cs="Times New Roman"/>
            </w:rPr>
            <w:tag w:val="_PLD_23a6590eef0649d4af75d4845c12f263"/>
            <w:id w:val="147467096"/>
          </w:sdtPr>
          <w:sdtEndPr>
            <w:rPr>
              <w:rFonts w:ascii="Times New Roman" w:hAnsi="Times New Roman" w:cs="Times New Roman"/>
            </w:rPr>
          </w:sdtEndPr>
          <w:sdtContent>
            <w:tc>
              <w:tcPr>
                <w:tcW w:w="868" w:type="pct"/>
                <w:vAlign w:val="center"/>
              </w:tcPr>
              <w:p w14:paraId="39C4DF68">
                <w:pPr>
                  <w:pStyle w:val="69"/>
                  <w:spacing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整个存续期预期信用损失(未发生信用减值)</w:t>
                </w:r>
              </w:p>
            </w:tc>
          </w:sdtContent>
        </w:sdt>
        <w:sdt>
          <w:sdtPr>
            <w:rPr>
              <w:rFonts w:ascii="Times New Roman" w:hAnsi="Times New Roman" w:cs="Times New Roman"/>
            </w:rPr>
            <w:tag w:val="_PLD_44518f4265ac43078f96c79efe9dd487"/>
            <w:id w:val="147473549"/>
          </w:sdtPr>
          <w:sdtEndPr>
            <w:rPr>
              <w:rFonts w:ascii="Times New Roman" w:hAnsi="Times New Roman" w:cs="Times New Roman"/>
            </w:rPr>
          </w:sdtEndPr>
          <w:sdtContent>
            <w:tc>
              <w:tcPr>
                <w:tcW w:w="1096" w:type="pct"/>
                <w:vAlign w:val="center"/>
              </w:tcPr>
              <w:p w14:paraId="4C6C295A">
                <w:pPr>
                  <w:pStyle w:val="69"/>
                  <w:spacing w:line="240" w:lineRule="auto"/>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整个存续期预期信用损失(已发生信用减值)</w:t>
                </w:r>
              </w:p>
            </w:tc>
          </w:sdtContent>
        </w:sdt>
        <w:tc>
          <w:tcPr>
            <w:tcW w:w="943" w:type="pct"/>
            <w:vMerge w:val="continue"/>
          </w:tcPr>
          <w:p w14:paraId="7F0A7B6A">
            <w:pPr>
              <w:jc w:val="center"/>
              <w:rPr>
                <w:rFonts w:cs="Times New Roman"/>
                <w:color w:val="000000" w:themeColor="text1"/>
                <w14:textFill>
                  <w14:solidFill>
                    <w14:schemeClr w14:val="tx1"/>
                  </w14:solidFill>
                </w14:textFill>
              </w:rPr>
            </w:pPr>
          </w:p>
        </w:tc>
      </w:tr>
      <w:tr w14:paraId="39AE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2C7E762E">
            <w:pPr>
              <w:pStyle w:val="69"/>
              <w:spacing w:after="0" w:line="240" w:lineRule="auto"/>
              <w:jc w:val="both"/>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2025年1月1日余额</w:t>
            </w:r>
          </w:p>
        </w:tc>
        <w:tc>
          <w:tcPr>
            <w:tcW w:w="904" w:type="pct"/>
            <w:vAlign w:val="center"/>
          </w:tcPr>
          <w:p w14:paraId="1D4F3589">
            <w:pPr>
              <w:jc w:val="right"/>
              <w:textAlignment w:val="center"/>
              <w:rPr>
                <w:rFonts w:cs="Times New Roman"/>
              </w:rPr>
            </w:pPr>
            <w:r>
              <w:rPr>
                <w:rFonts w:cs="Times New Roman"/>
                <w:color w:val="000000"/>
              </w:rPr>
              <w:t>17,009,348.34</w:t>
            </w:r>
          </w:p>
        </w:tc>
        <w:tc>
          <w:tcPr>
            <w:tcW w:w="868" w:type="pct"/>
            <w:vAlign w:val="center"/>
          </w:tcPr>
          <w:p w14:paraId="1A477300">
            <w:pPr>
              <w:jc w:val="right"/>
              <w:rPr>
                <w:rFonts w:cs="Times New Roman"/>
              </w:rPr>
            </w:pPr>
          </w:p>
        </w:tc>
        <w:tc>
          <w:tcPr>
            <w:tcW w:w="1096" w:type="pct"/>
            <w:vAlign w:val="center"/>
          </w:tcPr>
          <w:p w14:paraId="59B62697">
            <w:pPr>
              <w:jc w:val="right"/>
              <w:textAlignment w:val="center"/>
              <w:rPr>
                <w:rFonts w:cs="Times New Roman"/>
              </w:rPr>
            </w:pPr>
            <w:r>
              <w:rPr>
                <w:rFonts w:cs="Times New Roman"/>
                <w:color w:val="000000"/>
              </w:rPr>
              <w:t>951,564,471.90</w:t>
            </w:r>
          </w:p>
        </w:tc>
        <w:tc>
          <w:tcPr>
            <w:tcW w:w="943" w:type="pct"/>
            <w:vAlign w:val="center"/>
          </w:tcPr>
          <w:p w14:paraId="5F78ED94">
            <w:pPr>
              <w:jc w:val="right"/>
              <w:textAlignment w:val="center"/>
              <w:rPr>
                <w:rFonts w:cs="Times New Roman"/>
              </w:rPr>
            </w:pPr>
            <w:r>
              <w:rPr>
                <w:rFonts w:cs="Times New Roman"/>
                <w:color w:val="000000"/>
              </w:rPr>
              <w:t>968,573,820.24</w:t>
            </w:r>
          </w:p>
        </w:tc>
      </w:tr>
      <w:tr w14:paraId="3282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4C1CC932">
            <w:pPr>
              <w:pStyle w:val="69"/>
              <w:spacing w:after="0" w:line="240" w:lineRule="auto"/>
              <w:jc w:val="both"/>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2025年1月1日余额在本期</w:t>
            </w:r>
          </w:p>
        </w:tc>
        <w:tc>
          <w:tcPr>
            <w:tcW w:w="904" w:type="pct"/>
            <w:vAlign w:val="center"/>
          </w:tcPr>
          <w:p w14:paraId="4F59C104">
            <w:pPr>
              <w:jc w:val="right"/>
              <w:rPr>
                <w:rFonts w:cs="Times New Roman"/>
              </w:rPr>
            </w:pPr>
          </w:p>
        </w:tc>
        <w:tc>
          <w:tcPr>
            <w:tcW w:w="868" w:type="pct"/>
            <w:vAlign w:val="center"/>
          </w:tcPr>
          <w:p w14:paraId="6ECED6B0">
            <w:pPr>
              <w:jc w:val="right"/>
              <w:rPr>
                <w:rFonts w:cs="Times New Roman"/>
              </w:rPr>
            </w:pPr>
          </w:p>
        </w:tc>
        <w:tc>
          <w:tcPr>
            <w:tcW w:w="1096" w:type="pct"/>
            <w:vAlign w:val="center"/>
          </w:tcPr>
          <w:p w14:paraId="3D8B7E20">
            <w:pPr>
              <w:jc w:val="right"/>
              <w:rPr>
                <w:rFonts w:cs="Times New Roman"/>
              </w:rPr>
            </w:pPr>
          </w:p>
        </w:tc>
        <w:tc>
          <w:tcPr>
            <w:tcW w:w="943" w:type="pct"/>
            <w:vAlign w:val="center"/>
          </w:tcPr>
          <w:p w14:paraId="078F398E">
            <w:pPr>
              <w:jc w:val="right"/>
              <w:rPr>
                <w:rFonts w:cs="Times New Roman"/>
              </w:rPr>
            </w:pPr>
          </w:p>
        </w:tc>
      </w:tr>
      <w:tr w14:paraId="1D95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338F92D0">
            <w:pPr>
              <w:pStyle w:val="69"/>
              <w:spacing w:after="0" w:line="240" w:lineRule="auto"/>
              <w:jc w:val="both"/>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本期计提</w:t>
            </w:r>
          </w:p>
        </w:tc>
        <w:tc>
          <w:tcPr>
            <w:tcW w:w="904" w:type="pct"/>
            <w:vAlign w:val="center"/>
          </w:tcPr>
          <w:p w14:paraId="565B5009">
            <w:pPr>
              <w:jc w:val="right"/>
              <w:textAlignment w:val="center"/>
              <w:rPr>
                <w:rFonts w:cs="Times New Roman"/>
              </w:rPr>
            </w:pPr>
            <w:r>
              <w:rPr>
                <w:rFonts w:cs="Times New Roman"/>
                <w:color w:val="000000"/>
              </w:rPr>
              <w:t>-4,641.44</w:t>
            </w:r>
          </w:p>
        </w:tc>
        <w:tc>
          <w:tcPr>
            <w:tcW w:w="868" w:type="pct"/>
            <w:vAlign w:val="center"/>
          </w:tcPr>
          <w:p w14:paraId="65DD80A6">
            <w:pPr>
              <w:jc w:val="right"/>
              <w:rPr>
                <w:rFonts w:cs="Times New Roman"/>
              </w:rPr>
            </w:pPr>
          </w:p>
        </w:tc>
        <w:tc>
          <w:tcPr>
            <w:tcW w:w="1096" w:type="pct"/>
            <w:vAlign w:val="center"/>
          </w:tcPr>
          <w:p w14:paraId="336C3FA2">
            <w:pPr>
              <w:jc w:val="right"/>
              <w:textAlignment w:val="center"/>
              <w:rPr>
                <w:rFonts w:cs="Times New Roman"/>
              </w:rPr>
            </w:pPr>
            <w:r>
              <w:rPr>
                <w:rFonts w:cs="Times New Roman"/>
                <w:color w:val="000000"/>
              </w:rPr>
              <w:t>24,747,743.83</w:t>
            </w:r>
          </w:p>
        </w:tc>
        <w:tc>
          <w:tcPr>
            <w:tcW w:w="943" w:type="pct"/>
            <w:vAlign w:val="center"/>
          </w:tcPr>
          <w:p w14:paraId="3E574762">
            <w:pPr>
              <w:jc w:val="right"/>
              <w:textAlignment w:val="center"/>
              <w:rPr>
                <w:rFonts w:cs="Times New Roman"/>
              </w:rPr>
            </w:pPr>
            <w:r>
              <w:rPr>
                <w:rFonts w:cs="Times New Roman"/>
                <w:color w:val="000000"/>
              </w:rPr>
              <w:t>24,743,102.39</w:t>
            </w:r>
          </w:p>
        </w:tc>
      </w:tr>
      <w:tr w14:paraId="2E58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13A95429">
            <w:pPr>
              <w:pStyle w:val="69"/>
              <w:spacing w:after="0" w:line="240" w:lineRule="auto"/>
              <w:jc w:val="both"/>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本期转回</w:t>
            </w:r>
          </w:p>
        </w:tc>
        <w:tc>
          <w:tcPr>
            <w:tcW w:w="904" w:type="pct"/>
            <w:vAlign w:val="center"/>
          </w:tcPr>
          <w:p w14:paraId="663F1084">
            <w:pPr>
              <w:jc w:val="right"/>
              <w:rPr>
                <w:rFonts w:cs="Times New Roman"/>
              </w:rPr>
            </w:pPr>
          </w:p>
        </w:tc>
        <w:tc>
          <w:tcPr>
            <w:tcW w:w="868" w:type="pct"/>
            <w:vAlign w:val="center"/>
          </w:tcPr>
          <w:p w14:paraId="29A848B2">
            <w:pPr>
              <w:jc w:val="right"/>
              <w:rPr>
                <w:rFonts w:cs="Times New Roman"/>
              </w:rPr>
            </w:pPr>
          </w:p>
        </w:tc>
        <w:tc>
          <w:tcPr>
            <w:tcW w:w="1096" w:type="pct"/>
            <w:vAlign w:val="center"/>
          </w:tcPr>
          <w:p w14:paraId="43CE9F5A">
            <w:pPr>
              <w:jc w:val="right"/>
              <w:rPr>
                <w:rFonts w:cs="Times New Roman"/>
              </w:rPr>
            </w:pPr>
          </w:p>
        </w:tc>
        <w:tc>
          <w:tcPr>
            <w:tcW w:w="943" w:type="pct"/>
            <w:vAlign w:val="center"/>
          </w:tcPr>
          <w:p w14:paraId="7F438BFF">
            <w:pPr>
              <w:jc w:val="right"/>
              <w:rPr>
                <w:rFonts w:cs="Times New Roman"/>
              </w:rPr>
            </w:pPr>
          </w:p>
        </w:tc>
      </w:tr>
      <w:tr w14:paraId="67AD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568F14E6">
            <w:pPr>
              <w:pStyle w:val="69"/>
              <w:spacing w:after="0" w:line="240" w:lineRule="auto"/>
              <w:jc w:val="both"/>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本期转销</w:t>
            </w:r>
          </w:p>
        </w:tc>
        <w:tc>
          <w:tcPr>
            <w:tcW w:w="904" w:type="pct"/>
            <w:vAlign w:val="center"/>
          </w:tcPr>
          <w:p w14:paraId="196BE19A">
            <w:pPr>
              <w:jc w:val="right"/>
              <w:rPr>
                <w:rFonts w:cs="Times New Roman"/>
              </w:rPr>
            </w:pPr>
          </w:p>
        </w:tc>
        <w:tc>
          <w:tcPr>
            <w:tcW w:w="868" w:type="pct"/>
            <w:vAlign w:val="center"/>
          </w:tcPr>
          <w:p w14:paraId="1FF5C59D">
            <w:pPr>
              <w:jc w:val="right"/>
              <w:rPr>
                <w:rFonts w:cs="Times New Roman"/>
              </w:rPr>
            </w:pPr>
          </w:p>
        </w:tc>
        <w:tc>
          <w:tcPr>
            <w:tcW w:w="1096" w:type="pct"/>
            <w:vAlign w:val="center"/>
          </w:tcPr>
          <w:p w14:paraId="3D4F02D9">
            <w:pPr>
              <w:jc w:val="right"/>
              <w:rPr>
                <w:rFonts w:cs="Times New Roman"/>
              </w:rPr>
            </w:pPr>
          </w:p>
        </w:tc>
        <w:tc>
          <w:tcPr>
            <w:tcW w:w="943" w:type="pct"/>
            <w:vAlign w:val="center"/>
          </w:tcPr>
          <w:p w14:paraId="20FE1DCA">
            <w:pPr>
              <w:jc w:val="right"/>
              <w:rPr>
                <w:rFonts w:cs="Times New Roman"/>
              </w:rPr>
            </w:pPr>
          </w:p>
        </w:tc>
      </w:tr>
      <w:tr w14:paraId="6231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44CF4D36">
            <w:pPr>
              <w:pStyle w:val="69"/>
              <w:spacing w:after="0" w:line="240" w:lineRule="auto"/>
              <w:jc w:val="both"/>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本期核销</w:t>
            </w:r>
          </w:p>
        </w:tc>
        <w:tc>
          <w:tcPr>
            <w:tcW w:w="904" w:type="pct"/>
            <w:vAlign w:val="center"/>
          </w:tcPr>
          <w:p w14:paraId="3E7526BC">
            <w:pPr>
              <w:jc w:val="right"/>
              <w:rPr>
                <w:rFonts w:cs="Times New Roman"/>
              </w:rPr>
            </w:pPr>
          </w:p>
        </w:tc>
        <w:tc>
          <w:tcPr>
            <w:tcW w:w="868" w:type="pct"/>
            <w:vAlign w:val="center"/>
          </w:tcPr>
          <w:p w14:paraId="68AA86B3">
            <w:pPr>
              <w:jc w:val="right"/>
              <w:rPr>
                <w:rFonts w:cs="Times New Roman"/>
              </w:rPr>
            </w:pPr>
          </w:p>
        </w:tc>
        <w:tc>
          <w:tcPr>
            <w:tcW w:w="1096" w:type="pct"/>
            <w:vAlign w:val="center"/>
          </w:tcPr>
          <w:p w14:paraId="659C2B2D">
            <w:pPr>
              <w:jc w:val="right"/>
              <w:rPr>
                <w:rFonts w:cs="Times New Roman"/>
              </w:rPr>
            </w:pPr>
          </w:p>
        </w:tc>
        <w:tc>
          <w:tcPr>
            <w:tcW w:w="943" w:type="pct"/>
            <w:vAlign w:val="center"/>
          </w:tcPr>
          <w:p w14:paraId="1480E165">
            <w:pPr>
              <w:jc w:val="right"/>
              <w:rPr>
                <w:rFonts w:cs="Times New Roman"/>
              </w:rPr>
            </w:pPr>
          </w:p>
        </w:tc>
      </w:tr>
      <w:tr w14:paraId="6F53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54C2BA79">
            <w:pPr>
              <w:pStyle w:val="69"/>
              <w:spacing w:after="0" w:line="240" w:lineRule="auto"/>
              <w:jc w:val="both"/>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其他变动</w:t>
            </w:r>
          </w:p>
        </w:tc>
        <w:tc>
          <w:tcPr>
            <w:tcW w:w="904" w:type="pct"/>
            <w:vAlign w:val="center"/>
          </w:tcPr>
          <w:p w14:paraId="354C2FDC">
            <w:pPr>
              <w:jc w:val="right"/>
              <w:rPr>
                <w:rFonts w:cs="Times New Roman"/>
              </w:rPr>
            </w:pPr>
          </w:p>
        </w:tc>
        <w:tc>
          <w:tcPr>
            <w:tcW w:w="868" w:type="pct"/>
            <w:vAlign w:val="center"/>
          </w:tcPr>
          <w:p w14:paraId="6C80AF75">
            <w:pPr>
              <w:jc w:val="right"/>
              <w:rPr>
                <w:rFonts w:cs="Times New Roman"/>
              </w:rPr>
            </w:pPr>
          </w:p>
        </w:tc>
        <w:tc>
          <w:tcPr>
            <w:tcW w:w="1096" w:type="pct"/>
            <w:vAlign w:val="center"/>
          </w:tcPr>
          <w:p w14:paraId="420FAD07">
            <w:pPr>
              <w:jc w:val="right"/>
              <w:rPr>
                <w:rFonts w:cs="Times New Roman"/>
              </w:rPr>
            </w:pPr>
          </w:p>
        </w:tc>
        <w:tc>
          <w:tcPr>
            <w:tcW w:w="943" w:type="pct"/>
            <w:vAlign w:val="center"/>
          </w:tcPr>
          <w:p w14:paraId="26A44612">
            <w:pPr>
              <w:jc w:val="right"/>
              <w:rPr>
                <w:rFonts w:cs="Times New Roman"/>
              </w:rPr>
            </w:pPr>
          </w:p>
        </w:tc>
      </w:tr>
      <w:tr w14:paraId="0082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6" w:type="pct"/>
            <w:vAlign w:val="center"/>
          </w:tcPr>
          <w:p w14:paraId="42F75E5C">
            <w:pPr>
              <w:pStyle w:val="69"/>
              <w:spacing w:after="0" w:line="240" w:lineRule="auto"/>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2025年6月30日余额</w:t>
            </w:r>
          </w:p>
        </w:tc>
        <w:tc>
          <w:tcPr>
            <w:tcW w:w="904" w:type="pct"/>
            <w:vAlign w:val="center"/>
          </w:tcPr>
          <w:p w14:paraId="3E404A29">
            <w:pPr>
              <w:jc w:val="right"/>
              <w:textAlignment w:val="center"/>
              <w:rPr>
                <w:rFonts w:cs="Times New Roman"/>
              </w:rPr>
            </w:pPr>
            <w:r>
              <w:rPr>
                <w:rFonts w:cs="Times New Roman"/>
                <w:color w:val="000000"/>
              </w:rPr>
              <w:t>17,004,706.90</w:t>
            </w:r>
          </w:p>
        </w:tc>
        <w:tc>
          <w:tcPr>
            <w:tcW w:w="868" w:type="pct"/>
            <w:vAlign w:val="center"/>
          </w:tcPr>
          <w:p w14:paraId="09BA9E24">
            <w:pPr>
              <w:jc w:val="right"/>
              <w:rPr>
                <w:rFonts w:cs="Times New Roman"/>
              </w:rPr>
            </w:pPr>
          </w:p>
        </w:tc>
        <w:tc>
          <w:tcPr>
            <w:tcW w:w="1096" w:type="pct"/>
            <w:vAlign w:val="center"/>
          </w:tcPr>
          <w:p w14:paraId="3A5DE1E7">
            <w:pPr>
              <w:jc w:val="right"/>
              <w:textAlignment w:val="center"/>
              <w:rPr>
                <w:rFonts w:cs="Times New Roman"/>
              </w:rPr>
            </w:pPr>
            <w:r>
              <w:rPr>
                <w:rFonts w:cs="Times New Roman"/>
                <w:color w:val="000000"/>
              </w:rPr>
              <w:t>976,312,215.73</w:t>
            </w:r>
          </w:p>
        </w:tc>
        <w:tc>
          <w:tcPr>
            <w:tcW w:w="943" w:type="pct"/>
            <w:vAlign w:val="center"/>
          </w:tcPr>
          <w:p w14:paraId="1C485C15">
            <w:pPr>
              <w:jc w:val="right"/>
              <w:textAlignment w:val="center"/>
              <w:rPr>
                <w:rFonts w:cs="Times New Roman"/>
              </w:rPr>
            </w:pPr>
            <w:r>
              <w:rPr>
                <w:rFonts w:cs="Times New Roman"/>
                <w:color w:val="000000"/>
              </w:rPr>
              <w:t>993,316,922.63</w:t>
            </w:r>
          </w:p>
        </w:tc>
      </w:tr>
    </w:tbl>
    <w:p w14:paraId="67600D7B">
      <w:pPr>
        <w:rPr>
          <w:color w:val="000000" w:themeColor="text1"/>
          <w14:textFill>
            <w14:solidFill>
              <w14:schemeClr w14:val="tx1"/>
            </w14:solidFill>
          </w14:textFill>
        </w:rPr>
      </w:pPr>
    </w:p>
    <w:p w14:paraId="5EF9E35B">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其他应收款各阶段划分依据和坏账准备计提比例"/>
        <w:tag w:val="_GBC_d1deab3352d44521aa56c337c4c1cf70"/>
        <w:id w:val="147466529"/>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14:paraId="3E897756">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14:paraId="2793136B">
      <w:pPr>
        <w:rPr>
          <w:rFonts w:cs="Times New Roman"/>
          <w:bCs w:val="0"/>
          <w:color w:val="000000" w:themeColor="text1"/>
          <w:szCs w:val="22"/>
          <w14:textFill>
            <w14:solidFill>
              <w14:schemeClr w14:val="tx1"/>
            </w14:solidFill>
          </w14:textFill>
        </w:rPr>
      </w:pPr>
    </w:p>
    <w:p w14:paraId="607E0003">
      <w:pPr>
        <w:pStyle w:val="67"/>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对本期发生损失准备变动的其他应收款账面余额显著变动的情况说明：</w:t>
      </w:r>
    </w:p>
    <w:sdt>
      <w:sdtPr>
        <w:rPr>
          <w:color w:val="000000" w:themeColor="text1"/>
          <w14:textFill>
            <w14:solidFill>
              <w14:schemeClr w14:val="tx1"/>
            </w14:solidFill>
          </w14:textFill>
        </w:rPr>
        <w:alias w:val="是否适用：母公司其他应收款本期发生损失准备变动且账面余额显著变动的情况说明[双击切换]"/>
        <w:tag w:val="_GBC_51a7e143899e4bf4887327bb018327b9"/>
        <w:id w:val="147479066"/>
        <w:placeholder>
          <w:docPart w:val="GBC22222222222222222222222222222"/>
        </w:placeholder>
      </w:sdtPr>
      <w:sdtEndPr>
        <w:rPr>
          <w:color w:val="000000" w:themeColor="text1"/>
          <w14:textFill>
            <w14:solidFill>
              <w14:schemeClr w14:val="tx1"/>
            </w14:solidFill>
          </w14:textFill>
        </w:rPr>
      </w:sdtEndPr>
      <w:sdtContent>
        <w:p w14:paraId="6EDF60A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192734C">
      <w:pPr>
        <w:rPr>
          <w:color w:val="000000" w:themeColor="text1"/>
          <w14:textFill>
            <w14:solidFill>
              <w14:schemeClr w14:val="tx1"/>
            </w14:solidFill>
          </w14:textFill>
        </w:rPr>
      </w:pPr>
    </w:p>
    <w:p w14:paraId="4D4A75BD">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母公司其他应收款坏账准备计提金额以及评估金融工具的信用风险是否显著增加的采用依据[双击切换]"/>
        <w:tag w:val="_GBC_d5682930254743bebaaf3c46f4513c04"/>
        <w:id w:val="147463455"/>
        <w:placeholder>
          <w:docPart w:val="GBC22222222222222222222222222222"/>
        </w:placeholder>
      </w:sdtPr>
      <w:sdtEndPr>
        <w:rPr>
          <w:color w:val="000000" w:themeColor="text1"/>
          <w14:textFill>
            <w14:solidFill>
              <w14:schemeClr w14:val="tx1"/>
            </w14:solidFill>
          </w14:textFill>
        </w:rPr>
      </w:sdtEndPr>
      <w:sdtContent>
        <w:p w14:paraId="3D9A3E2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12605B8">
      <w:pPr>
        <w:rPr>
          <w:color w:val="000000" w:themeColor="text1"/>
          <w14:textFill>
            <w14:solidFill>
              <w14:schemeClr w14:val="tx1"/>
            </w14:solidFill>
          </w14:textFill>
        </w:rPr>
      </w:pPr>
    </w:p>
    <w:bookmarkEnd w:id="480"/>
    <w:p w14:paraId="7F662A2D">
      <w:pPr>
        <w:pStyle w:val="59"/>
        <w:numPr>
          <w:ilvl w:val="0"/>
          <w:numId w:val="120"/>
        </w:numPr>
      </w:pPr>
      <w:bookmarkStart w:id="481" w:name="_Hlk10548122"/>
      <w:r>
        <w:rPr>
          <w:rFonts w:hint="eastAsia"/>
        </w:rPr>
        <w:t>坏账准备的情况</w:t>
      </w:r>
    </w:p>
    <w:sdt>
      <w:sdtPr>
        <w:rPr>
          <w:color w:val="000000" w:themeColor="text1"/>
          <w14:textFill>
            <w14:solidFill>
              <w14:schemeClr w14:val="tx1"/>
            </w14:solidFill>
          </w14:textFill>
        </w:rPr>
        <w:alias w:val="是否适用：其他应收款坏账准备[双击切换]"/>
        <w:tag w:val="_GBC_746f45a984d44f56a795e5587d8e7cf2"/>
        <w:id w:val="147471377"/>
        <w:placeholder>
          <w:docPart w:val="GBC22222222222222222222222222222"/>
        </w:placeholder>
      </w:sdtPr>
      <w:sdtEndPr>
        <w:rPr>
          <w:color w:val="000000" w:themeColor="text1"/>
          <w14:textFill>
            <w14:solidFill>
              <w14:schemeClr w14:val="tx1"/>
            </w14:solidFill>
          </w14:textFill>
        </w:rPr>
      </w:sdtEndPr>
      <w:sdtContent>
        <w:p w14:paraId="76B5A72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4AF3996">
      <w:pPr>
        <w:pStyle w:val="63"/>
        <w:snapToGrid w:val="0"/>
        <w:spacing w:line="240" w:lineRule="atLeast"/>
        <w:ind w:left="425" w:firstLine="0" w:firstLineChars="0"/>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其他应收款坏账准备"/>
          <w:tag w:val="_GBC_61bb3d08ce2d41d5ad87b4c691e409ad"/>
          <w:id w:val="1474667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其他应收款坏账准备"/>
          <w:tag w:val="_GBC_d9e85c814c564e7782149971f7c23ba2"/>
          <w:id w:val="1474706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202"/>
        <w:gridCol w:w="1539"/>
        <w:gridCol w:w="1434"/>
        <w:gridCol w:w="987"/>
        <w:gridCol w:w="1062"/>
        <w:gridCol w:w="1060"/>
        <w:gridCol w:w="1539"/>
      </w:tblGrid>
      <w:tr w14:paraId="2F1A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rPr>
              <w:rFonts w:cs="Times New Roman"/>
            </w:rPr>
            <w:tag w:val="_PLD_eb515a63c0e744098c94b279d63caf4e"/>
            <w:id w:val="147462213"/>
          </w:sdtPr>
          <w:sdtEndPr>
            <w:rPr>
              <w:rFonts w:cs="Times New Roman"/>
            </w:rPr>
          </w:sdtEndPr>
          <w:sdtContent>
            <w:tc>
              <w:tcPr>
                <w:tcW w:w="729" w:type="pct"/>
                <w:vMerge w:val="restart"/>
                <w:shd w:val="clear" w:color="auto" w:fill="auto"/>
                <w:vAlign w:val="center"/>
              </w:tcPr>
              <w:p w14:paraId="4D9B1268">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sdtContent>
        </w:sdt>
        <w:sdt>
          <w:sdtPr>
            <w:rPr>
              <w:rFonts w:cs="Times New Roman"/>
            </w:rPr>
            <w:tag w:val="_PLD_a39850dac4d142e8b7a712dce9edad36"/>
            <w:id w:val="147475993"/>
          </w:sdtPr>
          <w:sdtEndPr>
            <w:rPr>
              <w:rFonts w:cs="Times New Roman"/>
            </w:rPr>
          </w:sdtEndPr>
          <w:sdtContent>
            <w:tc>
              <w:tcPr>
                <w:tcW w:w="807" w:type="pct"/>
                <w:vMerge w:val="restart"/>
                <w:shd w:val="clear" w:color="auto" w:fill="auto"/>
                <w:vAlign w:val="center"/>
              </w:tcPr>
              <w:p w14:paraId="3B82158D">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sdt>
          <w:sdtPr>
            <w:rPr>
              <w:rFonts w:cs="Times New Roman"/>
            </w:rPr>
            <w:tag w:val="_PLD_96686c7add8a4f2a8fa109c753f44a0b"/>
            <w:id w:val="147456769"/>
          </w:sdtPr>
          <w:sdtEndPr>
            <w:rPr>
              <w:rFonts w:cs="Times New Roman"/>
            </w:rPr>
          </w:sdtEndPr>
          <w:sdtContent>
            <w:tc>
              <w:tcPr>
                <w:tcW w:w="2657" w:type="pct"/>
                <w:gridSpan w:val="4"/>
                <w:shd w:val="clear" w:color="auto" w:fill="auto"/>
                <w:vAlign w:val="center"/>
              </w:tcPr>
              <w:p w14:paraId="7B203BC7">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本期变动金额</w:t>
                </w:r>
              </w:p>
            </w:tc>
          </w:sdtContent>
        </w:sdt>
        <w:sdt>
          <w:sdtPr>
            <w:rPr>
              <w:rFonts w:cs="Times New Roman"/>
            </w:rPr>
            <w:tag w:val="_PLD_2aef0abd937f4f5283fac84c8a1afc2d"/>
            <w:id w:val="147468909"/>
          </w:sdtPr>
          <w:sdtEndPr>
            <w:rPr>
              <w:rFonts w:cs="Times New Roman"/>
            </w:rPr>
          </w:sdtEndPr>
          <w:sdtContent>
            <w:tc>
              <w:tcPr>
                <w:tcW w:w="807" w:type="pct"/>
                <w:vMerge w:val="restart"/>
                <w:shd w:val="clear" w:color="auto" w:fill="auto"/>
                <w:vAlign w:val="center"/>
              </w:tcPr>
              <w:p w14:paraId="76994980">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69D4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29" w:type="pct"/>
            <w:vMerge w:val="continue"/>
            <w:shd w:val="clear" w:color="auto" w:fill="FFFFFF"/>
          </w:tcPr>
          <w:p w14:paraId="50C845DB">
            <w:pPr>
              <w:widowControl w:val="0"/>
              <w:jc w:val="center"/>
              <w:rPr>
                <w:rFonts w:cs="Times New Roman"/>
                <w:color w:val="000000" w:themeColor="text1"/>
                <w14:textFill>
                  <w14:solidFill>
                    <w14:schemeClr w14:val="tx1"/>
                  </w14:solidFill>
                </w14:textFill>
              </w:rPr>
            </w:pPr>
          </w:p>
        </w:tc>
        <w:tc>
          <w:tcPr>
            <w:tcW w:w="807" w:type="pct"/>
            <w:vMerge w:val="continue"/>
            <w:shd w:val="clear" w:color="auto" w:fill="FFFFFF"/>
          </w:tcPr>
          <w:p w14:paraId="26F68D04">
            <w:pPr>
              <w:widowControl w:val="0"/>
              <w:jc w:val="center"/>
              <w:rPr>
                <w:rFonts w:cs="Times New Roman"/>
                <w:color w:val="000000" w:themeColor="text1"/>
                <w14:textFill>
                  <w14:solidFill>
                    <w14:schemeClr w14:val="tx1"/>
                  </w14:solidFill>
                </w14:textFill>
              </w:rPr>
            </w:pPr>
          </w:p>
        </w:tc>
        <w:sdt>
          <w:sdtPr>
            <w:rPr>
              <w:rFonts w:cs="Times New Roman"/>
            </w:rPr>
            <w:tag w:val="_PLD_0d882cd108804ecc85c8ea70ca9a0022"/>
            <w:id w:val="147473035"/>
          </w:sdtPr>
          <w:sdtEndPr>
            <w:rPr>
              <w:rFonts w:cs="Times New Roman"/>
            </w:rPr>
          </w:sdtEndPr>
          <w:sdtContent>
            <w:tc>
              <w:tcPr>
                <w:tcW w:w="753" w:type="pct"/>
                <w:shd w:val="clear" w:color="auto" w:fill="auto"/>
                <w:vAlign w:val="center"/>
              </w:tcPr>
              <w:p w14:paraId="724572FF">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计提</w:t>
                </w:r>
              </w:p>
            </w:tc>
          </w:sdtContent>
        </w:sdt>
        <w:sdt>
          <w:sdtPr>
            <w:rPr>
              <w:rFonts w:cs="Times New Roman"/>
            </w:rPr>
            <w:tag w:val="_PLD_e2116bf770074307b5326d2e261c8b91"/>
            <w:id w:val="147461185"/>
          </w:sdtPr>
          <w:sdtEndPr>
            <w:rPr>
              <w:rFonts w:cs="Times New Roman"/>
            </w:rPr>
          </w:sdtEndPr>
          <w:sdtContent>
            <w:tc>
              <w:tcPr>
                <w:tcW w:w="607" w:type="pct"/>
                <w:shd w:val="clear" w:color="auto" w:fill="auto"/>
                <w:vAlign w:val="center"/>
              </w:tcPr>
              <w:p w14:paraId="11732BCD">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收回或转回</w:t>
                </w:r>
              </w:p>
            </w:tc>
          </w:sdtContent>
        </w:sdt>
        <w:sdt>
          <w:sdtPr>
            <w:rPr>
              <w:rFonts w:cs="Times New Roman"/>
            </w:rPr>
            <w:tag w:val="_PLD_ecb1755ff206448580b99e0999e516f9"/>
            <w:id w:val="147472816"/>
          </w:sdtPr>
          <w:sdtEndPr>
            <w:rPr>
              <w:rFonts w:cs="Times New Roman"/>
            </w:rPr>
          </w:sdtEndPr>
          <w:sdtContent>
            <w:tc>
              <w:tcPr>
                <w:tcW w:w="649" w:type="pct"/>
                <w:shd w:val="clear" w:color="auto" w:fill="auto"/>
                <w:vAlign w:val="center"/>
              </w:tcPr>
              <w:p w14:paraId="57EEEA75">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转销或核销</w:t>
                </w:r>
              </w:p>
            </w:tc>
          </w:sdtContent>
        </w:sdt>
        <w:tc>
          <w:tcPr>
            <w:tcW w:w="648" w:type="pct"/>
            <w:shd w:val="clear" w:color="auto" w:fill="auto"/>
            <w:vAlign w:val="center"/>
          </w:tcPr>
          <w:sdt>
            <w:sdtPr>
              <w:rPr>
                <w:rFonts w:cs="Times New Roman"/>
              </w:rPr>
              <w:tag w:val="_PLD_1b39a62bca3c4844a14e6b043f874971"/>
              <w:id w:val="147481278"/>
            </w:sdtPr>
            <w:sdtEndPr>
              <w:rPr>
                <w:rFonts w:cs="Times New Roman"/>
              </w:rPr>
            </w:sdtEndPr>
            <w:sdtContent>
              <w:p w14:paraId="31CB98AF">
                <w:pPr>
                  <w:widowControl w:val="0"/>
                  <w:jc w:val="righ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其他变动</w:t>
                </w:r>
              </w:p>
            </w:sdtContent>
          </w:sdt>
        </w:tc>
        <w:tc>
          <w:tcPr>
            <w:tcW w:w="807" w:type="pct"/>
            <w:vMerge w:val="continue"/>
            <w:shd w:val="clear" w:color="auto" w:fill="FFFFFF"/>
          </w:tcPr>
          <w:p w14:paraId="61963983">
            <w:pPr>
              <w:widowControl w:val="0"/>
              <w:jc w:val="right"/>
              <w:rPr>
                <w:rFonts w:cs="Times New Roman"/>
                <w:color w:val="000000" w:themeColor="text1"/>
                <w14:textFill>
                  <w14:solidFill>
                    <w14:schemeClr w14:val="tx1"/>
                  </w14:solidFill>
                </w14:textFill>
              </w:rPr>
            </w:pPr>
          </w:p>
        </w:tc>
      </w:tr>
      <w:tr w14:paraId="39C0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29" w:type="pct"/>
          </w:tcPr>
          <w:p w14:paraId="183A0EC8">
            <w:pPr>
              <w:textAlignment w:val="top"/>
              <w:rPr>
                <w:rFonts w:cs="Times New Roman"/>
              </w:rPr>
            </w:pPr>
            <w:r>
              <w:rPr>
                <w:rFonts w:cs="Times New Roman"/>
                <w:color w:val="000000"/>
                <w:lang w:bidi="ar"/>
              </w:rPr>
              <w:t>坏账准备</w:t>
            </w:r>
          </w:p>
        </w:tc>
        <w:tc>
          <w:tcPr>
            <w:tcW w:w="807" w:type="pct"/>
            <w:vAlign w:val="center"/>
          </w:tcPr>
          <w:p w14:paraId="70BD8EBD">
            <w:pPr>
              <w:jc w:val="right"/>
              <w:textAlignment w:val="center"/>
              <w:rPr>
                <w:rFonts w:cs="Times New Roman"/>
              </w:rPr>
            </w:pPr>
            <w:r>
              <w:rPr>
                <w:rFonts w:cs="Times New Roman"/>
                <w:color w:val="000000"/>
              </w:rPr>
              <w:t>968,573,820.24</w:t>
            </w:r>
          </w:p>
        </w:tc>
        <w:tc>
          <w:tcPr>
            <w:tcW w:w="753" w:type="pct"/>
            <w:vAlign w:val="center"/>
          </w:tcPr>
          <w:p w14:paraId="0CF4DF6F">
            <w:pPr>
              <w:jc w:val="right"/>
              <w:textAlignment w:val="center"/>
              <w:rPr>
                <w:rFonts w:cs="Times New Roman"/>
              </w:rPr>
            </w:pPr>
            <w:r>
              <w:rPr>
                <w:rFonts w:cs="Times New Roman"/>
                <w:color w:val="000000"/>
              </w:rPr>
              <w:t>24,743,102.39</w:t>
            </w:r>
          </w:p>
        </w:tc>
        <w:tc>
          <w:tcPr>
            <w:tcW w:w="607" w:type="pct"/>
            <w:vAlign w:val="center"/>
          </w:tcPr>
          <w:p w14:paraId="35B094A9">
            <w:pPr>
              <w:jc w:val="right"/>
              <w:rPr>
                <w:rFonts w:cs="Times New Roman"/>
              </w:rPr>
            </w:pPr>
          </w:p>
        </w:tc>
        <w:tc>
          <w:tcPr>
            <w:tcW w:w="649" w:type="pct"/>
            <w:vAlign w:val="center"/>
          </w:tcPr>
          <w:p w14:paraId="7001F3EE">
            <w:pPr>
              <w:jc w:val="right"/>
              <w:rPr>
                <w:rFonts w:cs="Times New Roman"/>
              </w:rPr>
            </w:pPr>
          </w:p>
        </w:tc>
        <w:tc>
          <w:tcPr>
            <w:tcW w:w="648" w:type="pct"/>
            <w:vAlign w:val="center"/>
          </w:tcPr>
          <w:p w14:paraId="5BD8B040">
            <w:pPr>
              <w:jc w:val="right"/>
              <w:rPr>
                <w:rFonts w:cs="Times New Roman"/>
              </w:rPr>
            </w:pPr>
          </w:p>
        </w:tc>
        <w:tc>
          <w:tcPr>
            <w:tcW w:w="807" w:type="pct"/>
            <w:vAlign w:val="center"/>
          </w:tcPr>
          <w:p w14:paraId="17F49D06">
            <w:pPr>
              <w:jc w:val="right"/>
              <w:textAlignment w:val="center"/>
              <w:rPr>
                <w:rFonts w:cs="Times New Roman"/>
              </w:rPr>
            </w:pPr>
            <w:r>
              <w:rPr>
                <w:rFonts w:cs="Times New Roman"/>
                <w:color w:val="000000"/>
              </w:rPr>
              <w:t>993,316,922.63</w:t>
            </w:r>
          </w:p>
        </w:tc>
      </w:tr>
      <w:tr w14:paraId="7AD0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29" w:type="pct"/>
          </w:tcPr>
          <w:p w14:paraId="6AECCE31">
            <w:pPr>
              <w:widowControl w:val="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807" w:type="pct"/>
            <w:vAlign w:val="center"/>
          </w:tcPr>
          <w:p w14:paraId="22A1CF9B">
            <w:pPr>
              <w:jc w:val="right"/>
              <w:textAlignment w:val="center"/>
              <w:rPr>
                <w:rFonts w:cs="Times New Roman"/>
              </w:rPr>
            </w:pPr>
            <w:r>
              <w:rPr>
                <w:rFonts w:cs="Times New Roman"/>
                <w:color w:val="000000"/>
              </w:rPr>
              <w:t>968,573,820.24</w:t>
            </w:r>
          </w:p>
        </w:tc>
        <w:tc>
          <w:tcPr>
            <w:tcW w:w="753" w:type="pct"/>
            <w:vAlign w:val="center"/>
          </w:tcPr>
          <w:p w14:paraId="39A69DF0">
            <w:pPr>
              <w:jc w:val="right"/>
              <w:textAlignment w:val="center"/>
              <w:rPr>
                <w:rFonts w:cs="Times New Roman"/>
              </w:rPr>
            </w:pPr>
            <w:r>
              <w:rPr>
                <w:rFonts w:cs="Times New Roman"/>
                <w:color w:val="000000"/>
              </w:rPr>
              <w:t>24,743,102.39</w:t>
            </w:r>
          </w:p>
        </w:tc>
        <w:tc>
          <w:tcPr>
            <w:tcW w:w="607" w:type="pct"/>
            <w:vAlign w:val="center"/>
          </w:tcPr>
          <w:p w14:paraId="0272E5FA">
            <w:pPr>
              <w:jc w:val="right"/>
              <w:rPr>
                <w:rFonts w:cs="Times New Roman"/>
              </w:rPr>
            </w:pPr>
          </w:p>
        </w:tc>
        <w:tc>
          <w:tcPr>
            <w:tcW w:w="649" w:type="pct"/>
            <w:vAlign w:val="center"/>
          </w:tcPr>
          <w:p w14:paraId="159C1498">
            <w:pPr>
              <w:jc w:val="right"/>
              <w:rPr>
                <w:rFonts w:cs="Times New Roman"/>
              </w:rPr>
            </w:pPr>
          </w:p>
        </w:tc>
        <w:tc>
          <w:tcPr>
            <w:tcW w:w="648" w:type="pct"/>
            <w:vAlign w:val="center"/>
          </w:tcPr>
          <w:p w14:paraId="18DF7935">
            <w:pPr>
              <w:jc w:val="right"/>
              <w:rPr>
                <w:rFonts w:cs="Times New Roman"/>
              </w:rPr>
            </w:pPr>
          </w:p>
        </w:tc>
        <w:tc>
          <w:tcPr>
            <w:tcW w:w="807" w:type="pct"/>
            <w:vAlign w:val="center"/>
          </w:tcPr>
          <w:p w14:paraId="5946F485">
            <w:pPr>
              <w:jc w:val="right"/>
              <w:textAlignment w:val="center"/>
              <w:rPr>
                <w:rFonts w:cs="Times New Roman"/>
              </w:rPr>
            </w:pPr>
            <w:r>
              <w:rPr>
                <w:rFonts w:cs="Times New Roman"/>
                <w:color w:val="000000"/>
              </w:rPr>
              <w:t>993,316,922.63</w:t>
            </w:r>
          </w:p>
        </w:tc>
      </w:tr>
    </w:tbl>
    <w:p w14:paraId="7A82E18A">
      <w:pPr>
        <w:rPr>
          <w:color w:val="000000" w:themeColor="text1"/>
          <w14:textFill>
            <w14:solidFill>
              <w14:schemeClr w14:val="tx1"/>
            </w14:solidFill>
          </w14:textFill>
        </w:rPr>
      </w:pPr>
    </w:p>
    <w:bookmarkEnd w:id="481"/>
    <w:p w14:paraId="5C0575E7">
      <w:pPr>
        <w:rPr>
          <w:color w:val="000000" w:themeColor="text1"/>
          <w14:textFill>
            <w14:solidFill>
              <w14:schemeClr w14:val="tx1"/>
            </w14:solidFill>
          </w14:textFill>
        </w:rPr>
      </w:pPr>
      <w:bookmarkStart w:id="482" w:name="_Hlk168055794"/>
      <w:r>
        <w:rPr>
          <w:rFonts w:hint="eastAsia"/>
          <w:color w:val="000000" w:themeColor="text1"/>
          <w14:textFill>
            <w14:solidFill>
              <w14:schemeClr w14:val="tx1"/>
            </w14:solidFill>
          </w14:textFill>
        </w:rPr>
        <w:t>其中本期坏账准备转回或收回金额重要的：</w:t>
      </w:r>
    </w:p>
    <w:sdt>
      <w:sdtPr>
        <w:rPr>
          <w:color w:val="000000" w:themeColor="text1"/>
          <w14:textFill>
            <w14:solidFill>
              <w14:schemeClr w14:val="tx1"/>
            </w14:solidFill>
          </w14:textFill>
        </w:rPr>
        <w:alias w:val="是否适用：母公司其他应收款坏账准备转回或收回金额重要的[双击切换]"/>
        <w:tag w:val="_GBC_98cb10e0ff8642ad9141960d4dbb7d85"/>
        <w:id w:val="147460174"/>
        <w:placeholder>
          <w:docPart w:val="GBC22222222222222222222222222222"/>
        </w:placeholder>
      </w:sdtPr>
      <w:sdtEndPr>
        <w:rPr>
          <w:color w:val="000000" w:themeColor="text1"/>
          <w14:textFill>
            <w14:solidFill>
              <w14:schemeClr w14:val="tx1"/>
            </w14:solidFill>
          </w14:textFill>
        </w:rPr>
      </w:sdtEndPr>
      <w:sdtContent>
        <w:p w14:paraId="1CD49902">
          <w:pPr>
            <w:ind w:right="-1594" w:rightChars="-759"/>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CC4AB89">
      <w:pPr>
        <w:ind w:right="-1594" w:rightChars="-759"/>
        <w:rPr>
          <w:color w:val="000000" w:themeColor="text1"/>
          <w14:textFill>
            <w14:solidFill>
              <w14:schemeClr w14:val="tx1"/>
            </w14:solidFill>
          </w14:textFill>
        </w:rPr>
      </w:pPr>
    </w:p>
    <w:p w14:paraId="60F2CE38">
      <w:pPr>
        <w:ind w:right="-1594" w:rightChars="-759"/>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其他应收款坏账准备情况的说明"/>
        <w:tag w:val="_GBC_83e986a007b44d029c897d7f19741e02"/>
        <w:id w:val="147451652"/>
        <w:placeholder>
          <w:docPart w:val="GBC22222222222222222222222222222"/>
        </w:placeholder>
      </w:sdtPr>
      <w:sdtEndPr>
        <w:rPr>
          <w:color w:val="000000" w:themeColor="text1"/>
          <w14:textFill>
            <w14:solidFill>
              <w14:schemeClr w14:val="tx1"/>
            </w14:solidFill>
          </w14:textFill>
        </w:rPr>
      </w:sdtEndPr>
      <w:sdtContent>
        <w:p w14:paraId="3C56E75C">
          <w:pPr>
            <w:ind w:right="-1594" w:rightChars="-759"/>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5CCF64A1">
      <w:pPr>
        <w:ind w:right="-1594" w:rightChars="-759"/>
        <w:rPr>
          <w:color w:val="000000" w:themeColor="text1"/>
          <w14:textFill>
            <w14:solidFill>
              <w14:schemeClr w14:val="tx1"/>
            </w14:solidFill>
          </w14:textFill>
        </w:rPr>
      </w:pPr>
    </w:p>
    <w:bookmarkEnd w:id="482"/>
    <w:p w14:paraId="790E6B41">
      <w:pPr>
        <w:pStyle w:val="59"/>
        <w:numPr>
          <w:ilvl w:val="0"/>
          <w:numId w:val="120"/>
        </w:numPr>
      </w:pPr>
      <w:r>
        <w:rPr>
          <w:rFonts w:hint="eastAsia"/>
        </w:rPr>
        <w:t>本期实际核销的其他应收款情况</w:t>
      </w:r>
    </w:p>
    <w:sdt>
      <w:sdtPr>
        <w:rPr>
          <w:color w:val="000000" w:themeColor="text1"/>
          <w14:textFill>
            <w14:solidFill>
              <w14:schemeClr w14:val="tx1"/>
            </w14:solidFill>
          </w14:textFill>
        </w:rPr>
        <w:alias w:val="是否适用：母公司本期实际核销的其他应收款情况[双击切换]"/>
        <w:tag w:val="_GBC_dd1095756d2b471688ce5b700380fafc"/>
        <w:id w:val="147479474"/>
        <w:placeholder>
          <w:docPart w:val="GBC22222222222222222222222222222"/>
        </w:placeholder>
      </w:sdtPr>
      <w:sdtEndPr>
        <w:rPr>
          <w:color w:val="000000" w:themeColor="text1"/>
          <w14:textFill>
            <w14:solidFill>
              <w14:schemeClr w14:val="tx1"/>
            </w14:solidFill>
          </w14:textFill>
        </w:rPr>
      </w:sdtEndPr>
      <w:sdtContent>
        <w:p w14:paraId="56F9EE3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3C4D9ED8">
      <w:pPr>
        <w:rPr>
          <w:color w:val="000000" w:themeColor="text1"/>
          <w14:textFill>
            <w14:solidFill>
              <w14:schemeClr w14:val="tx1"/>
            </w14:solidFill>
          </w14:textFill>
        </w:rPr>
      </w:pPr>
    </w:p>
    <w:p w14:paraId="0D577B0B">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其中重要的其他应收款核销情况：</w:t>
      </w:r>
    </w:p>
    <w:sdt>
      <w:sdtPr>
        <w:rPr>
          <w:color w:val="000000" w:themeColor="text1"/>
          <w14:textFill>
            <w14:solidFill>
              <w14:schemeClr w14:val="tx1"/>
            </w14:solidFill>
          </w14:textFill>
        </w:rPr>
        <w:alias w:val="是否适用：母公司其中重要的其他应收款核销情况[双击切换]"/>
        <w:tag w:val="_GBC_5dff1eacde3a41d6914cb7afef2e2acf"/>
        <w:id w:val="147454585"/>
        <w:placeholder>
          <w:docPart w:val="GBC22222222222222222222222222222"/>
        </w:placeholder>
      </w:sdtPr>
      <w:sdtEndPr>
        <w:rPr>
          <w:color w:val="000000" w:themeColor="text1"/>
          <w14:textFill>
            <w14:solidFill>
              <w14:schemeClr w14:val="tx1"/>
            </w14:solidFill>
          </w14:textFill>
        </w:rPr>
      </w:sdtEndPr>
      <w:sdtContent>
        <w:p w14:paraId="44EAD75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C8A4D0">
      <w:pPr>
        <w:rPr>
          <w:color w:val="000000" w:themeColor="text1"/>
          <w14:textFill>
            <w14:solidFill>
              <w14:schemeClr w14:val="tx1"/>
            </w14:solidFill>
          </w14:textFill>
        </w:rPr>
      </w:pPr>
    </w:p>
    <w:p w14:paraId="7A5BF3AD">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其他应收款核销说明：</w:t>
      </w:r>
    </w:p>
    <w:sdt>
      <w:sdtPr>
        <w:rPr>
          <w:bCs w:val="0"/>
          <w:color w:val="000000" w:themeColor="text1"/>
          <w14:textFill>
            <w14:solidFill>
              <w14:schemeClr w14:val="tx1"/>
            </w14:solidFill>
          </w14:textFill>
        </w:rPr>
        <w:alias w:val="是否适用：母公司其他应收款核销说明[双击切换]"/>
        <w:tag w:val="_GBC_7e98a555990349648a39fba0c7228ab7"/>
        <w:id w:val="147468086"/>
        <w:placeholder>
          <w:docPart w:val="GBC22222222222222222222222222222"/>
        </w:placeholder>
      </w:sdtPr>
      <w:sdtEndPr>
        <w:rPr>
          <w:bCs w:val="0"/>
          <w:color w:val="000000" w:themeColor="text1"/>
          <w14:textFill>
            <w14:solidFill>
              <w14:schemeClr w14:val="tx1"/>
            </w14:solidFill>
          </w14:textFill>
        </w:rPr>
      </w:sdtEndPr>
      <w:sdtContent>
        <w:p w14:paraId="528F30B2">
          <w:pPr>
            <w:snapToGrid w:val="0"/>
            <w:spacing w:line="240" w:lineRule="atLeas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14:paraId="29785A92">
      <w:pPr>
        <w:rPr>
          <w:color w:val="000000" w:themeColor="text1"/>
          <w14:textFill>
            <w14:solidFill>
              <w14:schemeClr w14:val="tx1"/>
            </w14:solidFill>
          </w14:textFill>
        </w:rPr>
      </w:pPr>
    </w:p>
    <w:p w14:paraId="41B1E693">
      <w:pPr>
        <w:pStyle w:val="59"/>
        <w:numPr>
          <w:ilvl w:val="0"/>
          <w:numId w:val="120"/>
        </w:numPr>
      </w:pPr>
      <w:r>
        <w:rPr>
          <w:rFonts w:hint="eastAsia"/>
        </w:rPr>
        <w:t>按欠款方归集的期末余额前五名的其他应收款情况</w:t>
      </w:r>
    </w:p>
    <w:sdt>
      <w:sdtPr>
        <w:rPr>
          <w:color w:val="000000" w:themeColor="text1"/>
          <w14:textFill>
            <w14:solidFill>
              <w14:schemeClr w14:val="tx1"/>
            </w14:solidFill>
          </w14:textFill>
        </w:rPr>
        <w:alias w:val="是否适用：母公司按欠款方归集的期末余额前五名的其他应收款情况[双击切换]"/>
        <w:tag w:val="_GBC_c31bd7806af645a4b98780e353753bee"/>
        <w:id w:val="147479063"/>
        <w:placeholder>
          <w:docPart w:val="GBC22222222222222222222222222222"/>
        </w:placeholder>
      </w:sdtPr>
      <w:sdtEndPr>
        <w:rPr>
          <w:color w:val="000000" w:themeColor="text1"/>
          <w14:textFill>
            <w14:solidFill>
              <w14:schemeClr w14:val="tx1"/>
            </w14:solidFill>
          </w14:textFill>
        </w:rPr>
      </w:sdtEndPr>
      <w:sdtContent>
        <w:p w14:paraId="3923E20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A1189D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其他应收账款前五名欠款情况"/>
          <w:tag w:val="_GBC_5eaec4085c10422f90a7a09ee515d922"/>
          <w:id w:val="14747474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其他应收账款前五名欠款情况"/>
          <w:tag w:val="_GBC_76fb156b47fb495eb1748f1f6ffdfc64"/>
          <w:id w:val="1474588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915"/>
        <w:gridCol w:w="1676"/>
        <w:gridCol w:w="985"/>
        <w:gridCol w:w="1383"/>
        <w:gridCol w:w="1362"/>
        <w:gridCol w:w="1502"/>
      </w:tblGrid>
      <w:tr w14:paraId="2DE3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1bf4103fa73c4527ab273af4182bdac9"/>
            <w:id w:val="147470954"/>
          </w:sdtPr>
          <w:sdtEndPr>
            <w:rPr>
              <w:rFonts w:cs="Times New Roman"/>
            </w:rPr>
          </w:sdtEndPr>
          <w:sdtContent>
            <w:tc>
              <w:tcPr>
                <w:tcW w:w="1084" w:type="pct"/>
                <w:vAlign w:val="center"/>
              </w:tcPr>
              <w:p w14:paraId="4BF417F0">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单位名称</w:t>
                </w:r>
              </w:p>
            </w:tc>
          </w:sdtContent>
        </w:sdt>
        <w:sdt>
          <w:sdtPr>
            <w:rPr>
              <w:rFonts w:cs="Times New Roman"/>
            </w:rPr>
            <w:tag w:val="_PLD_2272ceae47e74a6489bfeb2c73aa1f4a"/>
            <w:id w:val="147464860"/>
          </w:sdtPr>
          <w:sdtEndPr>
            <w:rPr>
              <w:rFonts w:cs="Times New Roman"/>
            </w:rPr>
          </w:sdtEndPr>
          <w:sdtContent>
            <w:tc>
              <w:tcPr>
                <w:tcW w:w="949" w:type="pct"/>
                <w:vAlign w:val="center"/>
              </w:tcPr>
              <w:p w14:paraId="26C7411C">
                <w:pPr>
                  <w:ind w:right="73"/>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13e1362304be4663873f1e8f72848948"/>
            <w:id w:val="147470494"/>
          </w:sdtPr>
          <w:sdtEndPr>
            <w:rPr>
              <w:rFonts w:cs="Times New Roman"/>
            </w:rPr>
          </w:sdtEndPr>
          <w:sdtContent>
            <w:tc>
              <w:tcPr>
                <w:tcW w:w="558" w:type="pct"/>
                <w:vAlign w:val="center"/>
              </w:tcPr>
              <w:p w14:paraId="005BEE4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占其他应收款期末余额合计数的比例(%)</w:t>
                </w:r>
              </w:p>
            </w:tc>
          </w:sdtContent>
        </w:sdt>
        <w:sdt>
          <w:sdtPr>
            <w:rPr>
              <w:rFonts w:cs="Times New Roman"/>
            </w:rPr>
            <w:tag w:val="_PLD_13e90710aaf8432b8989b8a8d1ceae0c"/>
            <w:id w:val="147456482"/>
          </w:sdtPr>
          <w:sdtEndPr>
            <w:rPr>
              <w:rFonts w:cs="Times New Roman"/>
            </w:rPr>
          </w:sdtEndPr>
          <w:sdtContent>
            <w:tc>
              <w:tcPr>
                <w:tcW w:w="784" w:type="pct"/>
                <w:vAlign w:val="center"/>
              </w:tcPr>
              <w:p w14:paraId="43460BC3">
                <w:pPr>
                  <w:ind w:right="73"/>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款项的性质</w:t>
                </w:r>
              </w:p>
            </w:tc>
          </w:sdtContent>
        </w:sdt>
        <w:sdt>
          <w:sdtPr>
            <w:rPr>
              <w:rFonts w:cs="Times New Roman"/>
            </w:rPr>
            <w:tag w:val="_PLD_fcefa3ecef954c579974ef8beaeadf3a"/>
            <w:id w:val="147479620"/>
          </w:sdtPr>
          <w:sdtEndPr>
            <w:rPr>
              <w:rFonts w:cs="Times New Roman"/>
            </w:rPr>
          </w:sdtEndPr>
          <w:sdtContent>
            <w:tc>
              <w:tcPr>
                <w:tcW w:w="772" w:type="pct"/>
                <w:vAlign w:val="center"/>
              </w:tcPr>
              <w:p w14:paraId="34DDD585">
                <w:pPr>
                  <w:ind w:right="73"/>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账龄</w:t>
                </w:r>
              </w:p>
            </w:tc>
          </w:sdtContent>
        </w:sdt>
        <w:sdt>
          <w:sdtPr>
            <w:rPr>
              <w:rFonts w:cs="Times New Roman"/>
            </w:rPr>
            <w:tag w:val="_PLD_f2c7137b0fd6426d9d9640429eb47701"/>
            <w:id w:val="147451812"/>
          </w:sdtPr>
          <w:sdtEndPr>
            <w:rPr>
              <w:rFonts w:cs="Times New Roman"/>
            </w:rPr>
          </w:sdtEndPr>
          <w:sdtContent>
            <w:tc>
              <w:tcPr>
                <w:tcW w:w="850" w:type="pct"/>
                <w:vAlign w:val="center"/>
              </w:tcPr>
              <w:p w14:paraId="1A971EE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坏账准备</w:t>
                </w:r>
              </w:p>
              <w:p w14:paraId="71C7EB5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tr>
      <w:tr w14:paraId="1447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84" w:type="pct"/>
          </w:tcPr>
          <w:p w14:paraId="3DC897D8">
            <w:pPr>
              <w:jc w:val="both"/>
              <w:textAlignment w:val="center"/>
              <w:rPr>
                <w:rFonts w:cs="Times New Roman"/>
              </w:rPr>
            </w:pPr>
            <w:r>
              <w:rPr>
                <w:rFonts w:cs="Times New Roman"/>
                <w:color w:val="000000"/>
              </w:rPr>
              <w:t>际华置业（兰州）有限公司</w:t>
            </w:r>
          </w:p>
        </w:tc>
        <w:tc>
          <w:tcPr>
            <w:tcW w:w="949" w:type="pct"/>
            <w:vAlign w:val="center"/>
          </w:tcPr>
          <w:p w14:paraId="560EC86A">
            <w:pPr>
              <w:jc w:val="right"/>
              <w:textAlignment w:val="center"/>
              <w:rPr>
                <w:rFonts w:cs="Times New Roman"/>
              </w:rPr>
            </w:pPr>
            <w:r>
              <w:rPr>
                <w:rFonts w:cs="Times New Roman"/>
                <w:color w:val="000000"/>
              </w:rPr>
              <w:t>1,056,716,157.94</w:t>
            </w:r>
          </w:p>
        </w:tc>
        <w:tc>
          <w:tcPr>
            <w:tcW w:w="558" w:type="pct"/>
            <w:vAlign w:val="center"/>
          </w:tcPr>
          <w:p w14:paraId="5C9FA820">
            <w:pPr>
              <w:jc w:val="right"/>
              <w:textAlignment w:val="center"/>
              <w:rPr>
                <w:rFonts w:cs="Times New Roman"/>
              </w:rPr>
            </w:pPr>
            <w:r>
              <w:rPr>
                <w:rFonts w:cs="Times New Roman"/>
                <w:color w:val="000000"/>
              </w:rPr>
              <w:t>13.82</w:t>
            </w:r>
          </w:p>
        </w:tc>
        <w:tc>
          <w:tcPr>
            <w:tcW w:w="784" w:type="pct"/>
            <w:vAlign w:val="center"/>
          </w:tcPr>
          <w:p w14:paraId="6A408CD3">
            <w:pPr>
              <w:jc w:val="center"/>
              <w:textAlignment w:val="center"/>
              <w:rPr>
                <w:rFonts w:cs="Times New Roman"/>
              </w:rPr>
            </w:pPr>
            <w:r>
              <w:rPr>
                <w:rFonts w:cs="Times New Roman"/>
                <w:color w:val="000000"/>
              </w:rPr>
              <w:t>项目资金</w:t>
            </w:r>
          </w:p>
        </w:tc>
        <w:tc>
          <w:tcPr>
            <w:tcW w:w="772" w:type="pct"/>
            <w:vAlign w:val="center"/>
          </w:tcPr>
          <w:p w14:paraId="4DEAD93E">
            <w:pPr>
              <w:jc w:val="center"/>
              <w:textAlignment w:val="center"/>
              <w:rPr>
                <w:rFonts w:cs="Times New Roman"/>
              </w:rPr>
            </w:pPr>
            <w:r>
              <w:rPr>
                <w:rFonts w:cs="Times New Roman"/>
                <w:color w:val="000000"/>
              </w:rPr>
              <w:t>5年以上</w:t>
            </w:r>
          </w:p>
        </w:tc>
        <w:tc>
          <w:tcPr>
            <w:tcW w:w="850" w:type="pct"/>
            <w:vAlign w:val="center"/>
          </w:tcPr>
          <w:p w14:paraId="2CF97359">
            <w:pPr>
              <w:jc w:val="right"/>
              <w:rPr>
                <w:rFonts w:cs="Times New Roman"/>
              </w:rPr>
            </w:pPr>
          </w:p>
        </w:tc>
      </w:tr>
      <w:tr w14:paraId="10D1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84" w:type="pct"/>
          </w:tcPr>
          <w:p w14:paraId="61E677FB">
            <w:pPr>
              <w:jc w:val="both"/>
              <w:textAlignment w:val="center"/>
              <w:rPr>
                <w:rFonts w:cs="Times New Roman"/>
              </w:rPr>
            </w:pPr>
            <w:r>
              <w:rPr>
                <w:rFonts w:cs="Times New Roman"/>
                <w:color w:val="000000"/>
              </w:rPr>
              <w:t>长春际华投资建设有限公司</w:t>
            </w:r>
          </w:p>
        </w:tc>
        <w:tc>
          <w:tcPr>
            <w:tcW w:w="949" w:type="pct"/>
            <w:vAlign w:val="center"/>
          </w:tcPr>
          <w:p w14:paraId="24FB8804">
            <w:pPr>
              <w:jc w:val="right"/>
              <w:textAlignment w:val="center"/>
              <w:rPr>
                <w:rFonts w:cs="Times New Roman"/>
              </w:rPr>
            </w:pPr>
            <w:r>
              <w:rPr>
                <w:rFonts w:cs="Times New Roman"/>
                <w:color w:val="000000"/>
              </w:rPr>
              <w:t>890,406,754.19</w:t>
            </w:r>
          </w:p>
        </w:tc>
        <w:tc>
          <w:tcPr>
            <w:tcW w:w="558" w:type="pct"/>
            <w:vAlign w:val="center"/>
          </w:tcPr>
          <w:p w14:paraId="4D72318D">
            <w:pPr>
              <w:jc w:val="right"/>
              <w:textAlignment w:val="center"/>
              <w:rPr>
                <w:rFonts w:cs="Times New Roman"/>
              </w:rPr>
            </w:pPr>
            <w:r>
              <w:rPr>
                <w:rFonts w:cs="Times New Roman"/>
                <w:color w:val="000000"/>
              </w:rPr>
              <w:t>11.64</w:t>
            </w:r>
          </w:p>
        </w:tc>
        <w:tc>
          <w:tcPr>
            <w:tcW w:w="784" w:type="pct"/>
            <w:vAlign w:val="center"/>
          </w:tcPr>
          <w:p w14:paraId="23D94746">
            <w:pPr>
              <w:jc w:val="center"/>
              <w:textAlignment w:val="center"/>
              <w:rPr>
                <w:rFonts w:cs="Times New Roman"/>
              </w:rPr>
            </w:pPr>
            <w:r>
              <w:rPr>
                <w:rFonts w:cs="Times New Roman"/>
                <w:color w:val="000000"/>
              </w:rPr>
              <w:t>项目资金、所属企业借款</w:t>
            </w:r>
          </w:p>
        </w:tc>
        <w:tc>
          <w:tcPr>
            <w:tcW w:w="772" w:type="pct"/>
            <w:vAlign w:val="center"/>
          </w:tcPr>
          <w:p w14:paraId="73FA7CBD">
            <w:pPr>
              <w:jc w:val="center"/>
              <w:textAlignment w:val="center"/>
              <w:rPr>
                <w:rFonts w:cs="Times New Roman"/>
              </w:rPr>
            </w:pPr>
            <w:r>
              <w:rPr>
                <w:rFonts w:cs="Times New Roman"/>
                <w:color w:val="000000"/>
              </w:rPr>
              <w:t>1年以内，1-5年，5年以上</w:t>
            </w:r>
          </w:p>
        </w:tc>
        <w:tc>
          <w:tcPr>
            <w:tcW w:w="850" w:type="pct"/>
            <w:vAlign w:val="center"/>
          </w:tcPr>
          <w:p w14:paraId="60B1B54E">
            <w:pPr>
              <w:jc w:val="right"/>
              <w:rPr>
                <w:rFonts w:cs="Times New Roman"/>
              </w:rPr>
            </w:pPr>
          </w:p>
        </w:tc>
      </w:tr>
      <w:tr w14:paraId="32A1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84" w:type="pct"/>
          </w:tcPr>
          <w:p w14:paraId="373832D3">
            <w:pPr>
              <w:jc w:val="both"/>
              <w:textAlignment w:val="center"/>
              <w:rPr>
                <w:rFonts w:cs="Times New Roman"/>
              </w:rPr>
            </w:pPr>
            <w:r>
              <w:rPr>
                <w:rFonts w:cs="Times New Roman"/>
                <w:color w:val="000000"/>
              </w:rPr>
              <w:t>重庆际华目的地中心实业有限公司</w:t>
            </w:r>
          </w:p>
        </w:tc>
        <w:tc>
          <w:tcPr>
            <w:tcW w:w="949" w:type="pct"/>
            <w:vAlign w:val="center"/>
          </w:tcPr>
          <w:p w14:paraId="528D845C">
            <w:pPr>
              <w:jc w:val="right"/>
              <w:textAlignment w:val="center"/>
              <w:rPr>
                <w:rFonts w:cs="Times New Roman"/>
              </w:rPr>
            </w:pPr>
            <w:r>
              <w:rPr>
                <w:rFonts w:cs="Times New Roman"/>
                <w:color w:val="000000"/>
              </w:rPr>
              <w:t>813,849,269.59</w:t>
            </w:r>
          </w:p>
        </w:tc>
        <w:tc>
          <w:tcPr>
            <w:tcW w:w="558" w:type="pct"/>
            <w:vAlign w:val="center"/>
          </w:tcPr>
          <w:p w14:paraId="79479CF9">
            <w:pPr>
              <w:jc w:val="right"/>
              <w:textAlignment w:val="center"/>
              <w:rPr>
                <w:rFonts w:cs="Times New Roman"/>
              </w:rPr>
            </w:pPr>
            <w:r>
              <w:rPr>
                <w:rFonts w:cs="Times New Roman"/>
                <w:color w:val="000000"/>
              </w:rPr>
              <w:t>10.64</w:t>
            </w:r>
          </w:p>
        </w:tc>
        <w:tc>
          <w:tcPr>
            <w:tcW w:w="784" w:type="pct"/>
            <w:vAlign w:val="center"/>
          </w:tcPr>
          <w:p w14:paraId="51AAB8C7">
            <w:pPr>
              <w:jc w:val="center"/>
              <w:textAlignment w:val="center"/>
              <w:rPr>
                <w:rFonts w:cs="Times New Roman"/>
              </w:rPr>
            </w:pPr>
            <w:r>
              <w:rPr>
                <w:rFonts w:cs="Times New Roman"/>
                <w:color w:val="000000"/>
              </w:rPr>
              <w:t>项目资金、所属企业借款</w:t>
            </w:r>
          </w:p>
        </w:tc>
        <w:tc>
          <w:tcPr>
            <w:tcW w:w="772" w:type="pct"/>
            <w:vAlign w:val="center"/>
          </w:tcPr>
          <w:p w14:paraId="07873BFE">
            <w:pPr>
              <w:jc w:val="center"/>
              <w:textAlignment w:val="center"/>
              <w:rPr>
                <w:rFonts w:cs="Times New Roman"/>
              </w:rPr>
            </w:pPr>
            <w:r>
              <w:rPr>
                <w:rFonts w:cs="Times New Roman"/>
                <w:color w:val="000000"/>
              </w:rPr>
              <w:t>1年以内，1-5年，5年以上</w:t>
            </w:r>
          </w:p>
        </w:tc>
        <w:tc>
          <w:tcPr>
            <w:tcW w:w="850" w:type="pct"/>
            <w:vAlign w:val="center"/>
          </w:tcPr>
          <w:p w14:paraId="770570BA">
            <w:pPr>
              <w:jc w:val="right"/>
              <w:rPr>
                <w:rFonts w:cs="Times New Roman"/>
              </w:rPr>
            </w:pPr>
          </w:p>
        </w:tc>
      </w:tr>
      <w:tr w14:paraId="33E7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84" w:type="pct"/>
          </w:tcPr>
          <w:p w14:paraId="5EC45568">
            <w:pPr>
              <w:jc w:val="both"/>
              <w:textAlignment w:val="center"/>
              <w:rPr>
                <w:rFonts w:cs="Times New Roman"/>
              </w:rPr>
            </w:pPr>
            <w:r>
              <w:rPr>
                <w:rFonts w:cs="Times New Roman"/>
                <w:color w:val="000000"/>
              </w:rPr>
              <w:t>青海际华江源实业有限公司</w:t>
            </w:r>
          </w:p>
        </w:tc>
        <w:tc>
          <w:tcPr>
            <w:tcW w:w="949" w:type="pct"/>
            <w:vAlign w:val="center"/>
          </w:tcPr>
          <w:p w14:paraId="2EE9248F">
            <w:pPr>
              <w:jc w:val="right"/>
              <w:textAlignment w:val="center"/>
              <w:rPr>
                <w:rFonts w:cs="Times New Roman"/>
              </w:rPr>
            </w:pPr>
            <w:r>
              <w:rPr>
                <w:rFonts w:cs="Times New Roman"/>
                <w:color w:val="000000"/>
              </w:rPr>
              <w:t>710,907,572.84</w:t>
            </w:r>
          </w:p>
        </w:tc>
        <w:tc>
          <w:tcPr>
            <w:tcW w:w="558" w:type="pct"/>
            <w:vAlign w:val="center"/>
          </w:tcPr>
          <w:p w14:paraId="1B394418">
            <w:pPr>
              <w:jc w:val="right"/>
              <w:textAlignment w:val="center"/>
              <w:rPr>
                <w:rFonts w:cs="Times New Roman"/>
              </w:rPr>
            </w:pPr>
            <w:r>
              <w:rPr>
                <w:rFonts w:cs="Times New Roman"/>
                <w:color w:val="000000"/>
              </w:rPr>
              <w:t>9.30</w:t>
            </w:r>
          </w:p>
        </w:tc>
        <w:tc>
          <w:tcPr>
            <w:tcW w:w="784" w:type="pct"/>
            <w:vAlign w:val="center"/>
          </w:tcPr>
          <w:p w14:paraId="0CFC66E4">
            <w:pPr>
              <w:jc w:val="center"/>
              <w:textAlignment w:val="center"/>
              <w:rPr>
                <w:rFonts w:cs="Times New Roman"/>
              </w:rPr>
            </w:pPr>
            <w:r>
              <w:rPr>
                <w:rFonts w:cs="Times New Roman"/>
                <w:color w:val="000000"/>
              </w:rPr>
              <w:t>往来款</w:t>
            </w:r>
          </w:p>
        </w:tc>
        <w:tc>
          <w:tcPr>
            <w:tcW w:w="772" w:type="pct"/>
            <w:vAlign w:val="center"/>
          </w:tcPr>
          <w:p w14:paraId="12649EF7">
            <w:pPr>
              <w:jc w:val="center"/>
              <w:textAlignment w:val="center"/>
              <w:rPr>
                <w:rFonts w:cs="Times New Roman"/>
              </w:rPr>
            </w:pPr>
            <w:r>
              <w:rPr>
                <w:rFonts w:cs="Times New Roman"/>
                <w:color w:val="000000"/>
              </w:rPr>
              <w:t>1-5年，5年以上</w:t>
            </w:r>
          </w:p>
        </w:tc>
        <w:tc>
          <w:tcPr>
            <w:tcW w:w="850" w:type="pct"/>
            <w:vAlign w:val="center"/>
          </w:tcPr>
          <w:p w14:paraId="7C79AB13">
            <w:pPr>
              <w:jc w:val="right"/>
              <w:textAlignment w:val="center"/>
              <w:rPr>
                <w:rFonts w:cs="Times New Roman"/>
              </w:rPr>
            </w:pPr>
            <w:r>
              <w:rPr>
                <w:rFonts w:cs="Times New Roman"/>
                <w:color w:val="000000"/>
              </w:rPr>
              <w:t>701,386,192.84</w:t>
            </w:r>
          </w:p>
        </w:tc>
      </w:tr>
      <w:tr w14:paraId="42EA4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84" w:type="pct"/>
          </w:tcPr>
          <w:p w14:paraId="2347D894">
            <w:pPr>
              <w:jc w:val="both"/>
              <w:textAlignment w:val="center"/>
              <w:rPr>
                <w:rFonts w:cs="Times New Roman"/>
              </w:rPr>
            </w:pPr>
            <w:r>
              <w:rPr>
                <w:rFonts w:cs="Times New Roman"/>
                <w:color w:val="000000"/>
              </w:rPr>
              <w:t>际华连锁商务有限公司</w:t>
            </w:r>
          </w:p>
        </w:tc>
        <w:tc>
          <w:tcPr>
            <w:tcW w:w="949" w:type="pct"/>
            <w:vAlign w:val="center"/>
          </w:tcPr>
          <w:p w14:paraId="789F8330">
            <w:pPr>
              <w:jc w:val="right"/>
              <w:textAlignment w:val="center"/>
              <w:rPr>
                <w:rFonts w:cs="Times New Roman"/>
              </w:rPr>
            </w:pPr>
            <w:r>
              <w:rPr>
                <w:rFonts w:cs="Times New Roman"/>
                <w:color w:val="000000"/>
              </w:rPr>
              <w:t>536,359,395.20</w:t>
            </w:r>
          </w:p>
        </w:tc>
        <w:tc>
          <w:tcPr>
            <w:tcW w:w="558" w:type="pct"/>
            <w:vAlign w:val="center"/>
          </w:tcPr>
          <w:p w14:paraId="40676338">
            <w:pPr>
              <w:jc w:val="right"/>
              <w:textAlignment w:val="center"/>
              <w:rPr>
                <w:rFonts w:cs="Times New Roman"/>
              </w:rPr>
            </w:pPr>
            <w:r>
              <w:rPr>
                <w:rFonts w:cs="Times New Roman"/>
                <w:color w:val="000000"/>
              </w:rPr>
              <w:t>7.01</w:t>
            </w:r>
          </w:p>
        </w:tc>
        <w:tc>
          <w:tcPr>
            <w:tcW w:w="784" w:type="pct"/>
            <w:vAlign w:val="center"/>
          </w:tcPr>
          <w:p w14:paraId="4F16820D">
            <w:pPr>
              <w:jc w:val="center"/>
              <w:textAlignment w:val="center"/>
              <w:rPr>
                <w:rFonts w:cs="Times New Roman"/>
              </w:rPr>
            </w:pPr>
            <w:r>
              <w:rPr>
                <w:rFonts w:cs="Times New Roman"/>
                <w:color w:val="000000"/>
              </w:rPr>
              <w:t>所属企业借款、往来款</w:t>
            </w:r>
          </w:p>
        </w:tc>
        <w:tc>
          <w:tcPr>
            <w:tcW w:w="772" w:type="pct"/>
            <w:vAlign w:val="center"/>
          </w:tcPr>
          <w:p w14:paraId="446AB916">
            <w:pPr>
              <w:jc w:val="center"/>
              <w:textAlignment w:val="center"/>
              <w:rPr>
                <w:rFonts w:cs="Times New Roman"/>
              </w:rPr>
            </w:pPr>
            <w:r>
              <w:rPr>
                <w:rFonts w:cs="Times New Roman"/>
                <w:color w:val="000000"/>
              </w:rPr>
              <w:t>1年以内，1-5年，5年以上</w:t>
            </w:r>
          </w:p>
        </w:tc>
        <w:tc>
          <w:tcPr>
            <w:tcW w:w="850" w:type="pct"/>
            <w:vAlign w:val="center"/>
          </w:tcPr>
          <w:p w14:paraId="2217022F">
            <w:pPr>
              <w:jc w:val="right"/>
              <w:rPr>
                <w:rFonts w:cs="Times New Roman"/>
              </w:rPr>
            </w:pPr>
          </w:p>
        </w:tc>
      </w:tr>
      <w:tr w14:paraId="4CCF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84" w:type="pct"/>
          </w:tcPr>
          <w:p w14:paraId="104566CF">
            <w:pPr>
              <w:ind w:right="105"/>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949" w:type="pct"/>
            <w:vAlign w:val="center"/>
          </w:tcPr>
          <w:p w14:paraId="278A03C7">
            <w:pPr>
              <w:jc w:val="right"/>
              <w:textAlignment w:val="center"/>
              <w:rPr>
                <w:rFonts w:cs="Times New Roman"/>
              </w:rPr>
            </w:pPr>
            <w:r>
              <w:rPr>
                <w:rFonts w:cs="Times New Roman"/>
                <w:color w:val="000000"/>
              </w:rPr>
              <w:t>4,008,239,149.76</w:t>
            </w:r>
          </w:p>
        </w:tc>
        <w:tc>
          <w:tcPr>
            <w:tcW w:w="558" w:type="pct"/>
            <w:vAlign w:val="center"/>
          </w:tcPr>
          <w:p w14:paraId="56C1A56D">
            <w:pPr>
              <w:jc w:val="right"/>
              <w:textAlignment w:val="center"/>
              <w:rPr>
                <w:rFonts w:cs="Times New Roman"/>
              </w:rPr>
            </w:pPr>
            <w:r>
              <w:rPr>
                <w:rFonts w:cs="Times New Roman"/>
                <w:color w:val="000000"/>
              </w:rPr>
              <w:t>52.41</w:t>
            </w:r>
          </w:p>
        </w:tc>
        <w:tc>
          <w:tcPr>
            <w:tcW w:w="784" w:type="pct"/>
          </w:tcPr>
          <w:p w14:paraId="03145AD9">
            <w:pPr>
              <w:ind w:right="73"/>
              <w:jc w:val="center"/>
              <w:rPr>
                <w:rFonts w:cs="Times New Roman"/>
                <w:color w:val="000000" w:themeColor="text1"/>
                <w14:textFill>
                  <w14:solidFill>
                    <w14:schemeClr w14:val="tx1"/>
                  </w14:solidFill>
                </w14:textFill>
              </w:rPr>
            </w:pPr>
            <w:r>
              <w:rPr>
                <w:rFonts w:cs="Times New Roman"/>
                <w:color w:val="000000"/>
              </w:rPr>
              <w:t>/</w:t>
            </w:r>
          </w:p>
        </w:tc>
        <w:tc>
          <w:tcPr>
            <w:tcW w:w="772" w:type="pct"/>
          </w:tcPr>
          <w:p w14:paraId="6677AA2C">
            <w:pPr>
              <w:ind w:right="73"/>
              <w:jc w:val="center"/>
              <w:rPr>
                <w:rFonts w:cs="Times New Roman"/>
                <w:color w:val="000000" w:themeColor="text1"/>
                <w14:textFill>
                  <w14:solidFill>
                    <w14:schemeClr w14:val="tx1"/>
                  </w14:solidFill>
                </w14:textFill>
              </w:rPr>
            </w:pPr>
            <w:r>
              <w:rPr>
                <w:rFonts w:cs="Times New Roman"/>
                <w:color w:val="000000"/>
              </w:rPr>
              <w:t>/</w:t>
            </w:r>
          </w:p>
        </w:tc>
        <w:tc>
          <w:tcPr>
            <w:tcW w:w="850" w:type="pct"/>
            <w:vAlign w:val="center"/>
          </w:tcPr>
          <w:p w14:paraId="3ADFAF35">
            <w:pPr>
              <w:jc w:val="right"/>
              <w:textAlignment w:val="center"/>
              <w:rPr>
                <w:rFonts w:cs="Times New Roman"/>
              </w:rPr>
            </w:pPr>
            <w:r>
              <w:rPr>
                <w:rFonts w:cs="Times New Roman"/>
                <w:color w:val="000000"/>
              </w:rPr>
              <w:t>701,386,192.84</w:t>
            </w:r>
          </w:p>
        </w:tc>
      </w:tr>
    </w:tbl>
    <w:p w14:paraId="3AA478B3">
      <w:pPr>
        <w:rPr>
          <w:color w:val="000000" w:themeColor="text1"/>
          <w14:textFill>
            <w14:solidFill>
              <w14:schemeClr w14:val="tx1"/>
            </w14:solidFill>
          </w14:textFill>
        </w:rPr>
      </w:pPr>
    </w:p>
    <w:p w14:paraId="2D28DC5B">
      <w:pPr>
        <w:pStyle w:val="59"/>
        <w:numPr>
          <w:ilvl w:val="0"/>
          <w:numId w:val="120"/>
        </w:numPr>
      </w:pPr>
      <w:bookmarkStart w:id="483" w:name="_Hlk168057150"/>
      <w:bookmarkStart w:id="484" w:name="_Hlk153798113"/>
      <w:r>
        <w:rPr>
          <w:rFonts w:hint="eastAsia"/>
        </w:rPr>
        <w:t>因资金集中管理而列报于其他应收款</w:t>
      </w:r>
    </w:p>
    <w:sdt>
      <w:sdtPr>
        <w:rPr>
          <w:color w:val="000000" w:themeColor="text1"/>
          <w14:textFill>
            <w14:solidFill>
              <w14:schemeClr w14:val="tx1"/>
            </w14:solidFill>
          </w14:textFill>
        </w:rPr>
        <w:alias w:val="是否适用：母公司因资金集中管理而列报于其他应收款[双击切换]"/>
        <w:tag w:val="_GBC_e0997ad9657c40258adda569dcfcbb5a"/>
        <w:id w:val="147472065"/>
        <w:placeholder>
          <w:docPart w:val="GBC22222222222222222222222222222"/>
        </w:placeholder>
      </w:sdtPr>
      <w:sdtEndPr>
        <w:rPr>
          <w:color w:val="000000" w:themeColor="text1"/>
          <w14:textFill>
            <w14:solidFill>
              <w14:schemeClr w14:val="tx1"/>
            </w14:solidFill>
          </w14:textFill>
        </w:rPr>
      </w:sdtEndPr>
      <w:sdtContent>
        <w:p w14:paraId="187C4D18">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BE3DA9F">
      <w:pPr>
        <w:snapToGrid w:val="0"/>
        <w:spacing w:line="240" w:lineRule="atLeast"/>
        <w:rPr>
          <w:color w:val="000000" w:themeColor="text1"/>
          <w14:textFill>
            <w14:solidFill>
              <w14:schemeClr w14:val="tx1"/>
            </w14:solidFill>
          </w14:textFill>
        </w:rPr>
      </w:pPr>
    </w:p>
    <w:bookmarkEnd w:id="483"/>
    <w:bookmarkEnd w:id="484"/>
    <w:p w14:paraId="7A5398C9">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是否适用：母公司其他应收款的其他说明[双击切换]"/>
        <w:tag w:val="_GBC_2e0f632cbc7d4916b89bf8824f4b71f0"/>
        <w:id w:val="147465023"/>
        <w:placeholder>
          <w:docPart w:val="GBC22222222222222222222222222222"/>
        </w:placeholder>
      </w:sdtPr>
      <w:sdtEndPr>
        <w:rPr>
          <w:color w:val="000000" w:themeColor="text1"/>
          <w14:textFill>
            <w14:solidFill>
              <w14:schemeClr w14:val="tx1"/>
            </w14:solidFill>
          </w14:textFill>
        </w:rPr>
      </w:sdtEndPr>
      <w:sdtContent>
        <w:p w14:paraId="3ACF24F9">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7E5D73">
      <w:pPr>
        <w:rPr>
          <w:color w:val="000000" w:themeColor="text1"/>
          <w14:textFill>
            <w14:solidFill>
              <w14:schemeClr w14:val="tx1"/>
            </w14:solidFill>
          </w14:textFill>
        </w:rPr>
      </w:pPr>
    </w:p>
    <w:p w14:paraId="15101C7A">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14:paraId="3A12F6B5">
      <w:pPr>
        <w:pStyle w:val="57"/>
        <w:numPr>
          <w:ilvl w:val="0"/>
          <w:numId w:val="11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长期股权投资</w:t>
      </w:r>
    </w:p>
    <w:sdt>
      <w:sdtPr>
        <w:rPr>
          <w:color w:val="000000" w:themeColor="text1"/>
          <w14:textFill>
            <w14:solidFill>
              <w14:schemeClr w14:val="tx1"/>
            </w14:solidFill>
          </w14:textFill>
        </w:rPr>
        <w:alias w:val="是否适用：母公司长期股权投资[双击切换]"/>
        <w:tag w:val="_GBC_61071b9a58624e83bfc4232808751b95"/>
        <w:id w:val="147453844"/>
        <w:lock w:val="contentLocked"/>
        <w:placeholder>
          <w:docPart w:val="GBC22222222222222222222222222222"/>
        </w:placeholder>
      </w:sdtPr>
      <w:sdtEndPr>
        <w:rPr>
          <w:color w:val="000000" w:themeColor="text1"/>
          <w14:textFill>
            <w14:solidFill>
              <w14:schemeClr w14:val="tx1"/>
            </w14:solidFill>
          </w14:textFill>
        </w:rPr>
      </w:sdtEndPr>
      <w:sdtContent>
        <w:p w14:paraId="13858B0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2984001">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长期股权投资"/>
          <w:tag w:val="_GBC_ee2c3454a2494dfca9c0a07bba82ed3d"/>
          <w:id w:val="14747627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长期股权投资"/>
          <w:tag w:val="_GBC_4b4d1a2b986f475e8058a041d2f5a6f9"/>
          <w:id w:val="1474550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547"/>
        <w:gridCol w:w="1741"/>
        <w:gridCol w:w="1702"/>
        <w:gridCol w:w="1702"/>
        <w:gridCol w:w="1744"/>
        <w:gridCol w:w="1722"/>
        <w:gridCol w:w="1705"/>
      </w:tblGrid>
      <w:tr w14:paraId="454E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rFonts w:cs="Times New Roman"/>
            </w:rPr>
            <w:tag w:val="_PLD_69c4a2f49545484e8b3a149f64c9d21f"/>
            <w:id w:val="147457031"/>
          </w:sdtPr>
          <w:sdtEndPr>
            <w:rPr>
              <w:rFonts w:cs="Times New Roman"/>
            </w:rPr>
          </w:sdtEndPr>
          <w:sdtContent>
            <w:tc>
              <w:tcPr>
                <w:tcW w:w="1279" w:type="pct"/>
                <w:vMerge w:val="restart"/>
                <w:vAlign w:val="center"/>
              </w:tcPr>
              <w:p w14:paraId="72ECE2B7">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f7d0566caa554c4c823029a05c5319eb"/>
            <w:id w:val="147456113"/>
          </w:sdtPr>
          <w:sdtEndPr>
            <w:rPr>
              <w:rFonts w:cs="Times New Roman"/>
            </w:rPr>
          </w:sdtEndPr>
          <w:sdtContent>
            <w:tc>
              <w:tcPr>
                <w:tcW w:w="1856" w:type="pct"/>
                <w:gridSpan w:val="3"/>
                <w:vAlign w:val="center"/>
              </w:tcPr>
              <w:p w14:paraId="09722BD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期末余额</w:t>
                </w:r>
              </w:p>
            </w:tc>
          </w:sdtContent>
        </w:sdt>
        <w:sdt>
          <w:sdtPr>
            <w:rPr>
              <w:rFonts w:cs="Times New Roman"/>
            </w:rPr>
            <w:tag w:val="_PLD_9d2cfae2492a49c2b441d1371a5e4673"/>
            <w:id w:val="147476166"/>
          </w:sdtPr>
          <w:sdtEndPr>
            <w:rPr>
              <w:rFonts w:cs="Times New Roman"/>
            </w:rPr>
          </w:sdtEndPr>
          <w:sdtContent>
            <w:tc>
              <w:tcPr>
                <w:tcW w:w="1865" w:type="pct"/>
                <w:gridSpan w:val="3"/>
                <w:vAlign w:val="center"/>
              </w:tcPr>
              <w:p w14:paraId="1E66425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期初余额</w:t>
                </w:r>
              </w:p>
            </w:tc>
          </w:sdtContent>
        </w:sdt>
      </w:tr>
      <w:tr w14:paraId="0BE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vMerge w:val="continue"/>
            <w:vAlign w:val="center"/>
          </w:tcPr>
          <w:p w14:paraId="4FB4B785">
            <w:pPr>
              <w:jc w:val="center"/>
              <w:rPr>
                <w:rFonts w:cs="Times New Roman"/>
                <w:color w:val="000000" w:themeColor="text1"/>
                <w14:textFill>
                  <w14:solidFill>
                    <w14:schemeClr w14:val="tx1"/>
                  </w14:solidFill>
                </w14:textFill>
              </w:rPr>
            </w:pPr>
          </w:p>
        </w:tc>
        <w:sdt>
          <w:sdtPr>
            <w:rPr>
              <w:rFonts w:cs="Times New Roman"/>
            </w:rPr>
            <w:tag w:val="_PLD_9f664b17996c45f08a57544a9ec7e340"/>
            <w:id w:val="147479519"/>
          </w:sdtPr>
          <w:sdtEndPr>
            <w:rPr>
              <w:rFonts w:cs="Times New Roman"/>
            </w:rPr>
          </w:sdtEndPr>
          <w:sdtContent>
            <w:tc>
              <w:tcPr>
                <w:tcW w:w="628" w:type="pct"/>
                <w:vAlign w:val="center"/>
              </w:tcPr>
              <w:p w14:paraId="19B5903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5c150a7367994fc29e7f8b50d7ff2eab"/>
            <w:id w:val="147473370"/>
          </w:sdtPr>
          <w:sdtEndPr>
            <w:rPr>
              <w:rFonts w:cs="Times New Roman"/>
            </w:rPr>
          </w:sdtEndPr>
          <w:sdtContent>
            <w:tc>
              <w:tcPr>
                <w:tcW w:w="614" w:type="pct"/>
                <w:vAlign w:val="center"/>
              </w:tcPr>
              <w:p w14:paraId="020183C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减值准备</w:t>
                </w:r>
              </w:p>
            </w:tc>
          </w:sdtContent>
        </w:sdt>
        <w:sdt>
          <w:sdtPr>
            <w:rPr>
              <w:rFonts w:cs="Times New Roman"/>
            </w:rPr>
            <w:tag w:val="_PLD_3db48da0eacd49568929884577dae51b"/>
            <w:id w:val="147470181"/>
          </w:sdtPr>
          <w:sdtEndPr>
            <w:rPr>
              <w:rFonts w:cs="Times New Roman"/>
            </w:rPr>
          </w:sdtEndPr>
          <w:sdtContent>
            <w:tc>
              <w:tcPr>
                <w:tcW w:w="614" w:type="pct"/>
                <w:vAlign w:val="center"/>
              </w:tcPr>
              <w:p w14:paraId="6CFB64A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账面价值</w:t>
                </w:r>
              </w:p>
            </w:tc>
          </w:sdtContent>
        </w:sdt>
        <w:sdt>
          <w:sdtPr>
            <w:rPr>
              <w:rFonts w:cs="Times New Roman"/>
            </w:rPr>
            <w:tag w:val="_PLD_00d8a1d3b6754b52929b2c46a2e716c9"/>
            <w:id w:val="147459675"/>
          </w:sdtPr>
          <w:sdtEndPr>
            <w:rPr>
              <w:rFonts w:cs="Times New Roman"/>
            </w:rPr>
          </w:sdtEndPr>
          <w:sdtContent>
            <w:tc>
              <w:tcPr>
                <w:tcW w:w="629" w:type="pct"/>
                <w:vAlign w:val="center"/>
              </w:tcPr>
              <w:p w14:paraId="51352512">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账面余额</w:t>
                </w:r>
              </w:p>
            </w:tc>
          </w:sdtContent>
        </w:sdt>
        <w:sdt>
          <w:sdtPr>
            <w:rPr>
              <w:rFonts w:cs="Times New Roman"/>
            </w:rPr>
            <w:tag w:val="_PLD_0f2c77fc41ea456bab34653dee178805"/>
            <w:id w:val="147462277"/>
          </w:sdtPr>
          <w:sdtEndPr>
            <w:rPr>
              <w:rFonts w:cs="Times New Roman"/>
            </w:rPr>
          </w:sdtEndPr>
          <w:sdtContent>
            <w:tc>
              <w:tcPr>
                <w:tcW w:w="621" w:type="pct"/>
                <w:vAlign w:val="center"/>
              </w:tcPr>
              <w:p w14:paraId="0EB3521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减值准备</w:t>
                </w:r>
              </w:p>
            </w:tc>
          </w:sdtContent>
        </w:sdt>
        <w:sdt>
          <w:sdtPr>
            <w:rPr>
              <w:rFonts w:cs="Times New Roman"/>
            </w:rPr>
            <w:tag w:val="_PLD_9ae07ed9769c419fa280d4c5ad3f03d7"/>
            <w:id w:val="147464563"/>
          </w:sdtPr>
          <w:sdtEndPr>
            <w:rPr>
              <w:rFonts w:cs="Times New Roman"/>
            </w:rPr>
          </w:sdtEndPr>
          <w:sdtContent>
            <w:tc>
              <w:tcPr>
                <w:tcW w:w="615" w:type="pct"/>
                <w:vAlign w:val="center"/>
              </w:tcPr>
              <w:p w14:paraId="3440F403">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账面价值</w:t>
                </w:r>
              </w:p>
            </w:tc>
          </w:sdtContent>
        </w:sdt>
      </w:tr>
      <w:tr w14:paraId="0580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tcPr>
          <w:p w14:paraId="7271CF6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对子公司投资</w:t>
            </w:r>
          </w:p>
        </w:tc>
        <w:tc>
          <w:tcPr>
            <w:tcW w:w="628" w:type="pct"/>
            <w:vAlign w:val="center"/>
          </w:tcPr>
          <w:p w14:paraId="5E94E08E">
            <w:pPr>
              <w:jc w:val="right"/>
              <w:textAlignment w:val="center"/>
              <w:rPr>
                <w:rFonts w:cs="Times New Roman"/>
              </w:rPr>
            </w:pPr>
            <w:r>
              <w:rPr>
                <w:rFonts w:cs="Times New Roman"/>
                <w:color w:val="000000"/>
              </w:rPr>
              <w:t>6,663,462,344.74</w:t>
            </w:r>
          </w:p>
        </w:tc>
        <w:tc>
          <w:tcPr>
            <w:tcW w:w="614" w:type="pct"/>
            <w:vAlign w:val="center"/>
          </w:tcPr>
          <w:p w14:paraId="77CDE7A4">
            <w:pPr>
              <w:jc w:val="right"/>
              <w:textAlignment w:val="center"/>
              <w:rPr>
                <w:rFonts w:cs="Times New Roman"/>
              </w:rPr>
            </w:pPr>
            <w:r>
              <w:rPr>
                <w:rFonts w:cs="Times New Roman"/>
                <w:color w:val="000000"/>
              </w:rPr>
              <w:t>36,907,975.79</w:t>
            </w:r>
          </w:p>
        </w:tc>
        <w:tc>
          <w:tcPr>
            <w:tcW w:w="614" w:type="pct"/>
            <w:vAlign w:val="center"/>
          </w:tcPr>
          <w:p w14:paraId="45DB3346">
            <w:pPr>
              <w:jc w:val="right"/>
              <w:textAlignment w:val="center"/>
              <w:rPr>
                <w:rFonts w:cs="Times New Roman"/>
              </w:rPr>
            </w:pPr>
            <w:r>
              <w:rPr>
                <w:rFonts w:cs="Times New Roman"/>
                <w:color w:val="000000"/>
              </w:rPr>
              <w:t>6,626,554,368.95</w:t>
            </w:r>
          </w:p>
        </w:tc>
        <w:tc>
          <w:tcPr>
            <w:tcW w:w="629" w:type="pct"/>
            <w:vAlign w:val="center"/>
          </w:tcPr>
          <w:p w14:paraId="3FDE6979">
            <w:pPr>
              <w:jc w:val="right"/>
              <w:textAlignment w:val="center"/>
              <w:rPr>
                <w:rFonts w:cs="Times New Roman"/>
              </w:rPr>
            </w:pPr>
            <w:r>
              <w:rPr>
                <w:rFonts w:cs="Times New Roman"/>
                <w:color w:val="000000"/>
              </w:rPr>
              <w:t>6,648,208,908.67</w:t>
            </w:r>
          </w:p>
        </w:tc>
        <w:tc>
          <w:tcPr>
            <w:tcW w:w="621" w:type="pct"/>
            <w:vAlign w:val="center"/>
          </w:tcPr>
          <w:p w14:paraId="75A6BEAA">
            <w:pPr>
              <w:jc w:val="right"/>
              <w:textAlignment w:val="center"/>
              <w:rPr>
                <w:rFonts w:cs="Times New Roman"/>
              </w:rPr>
            </w:pPr>
            <w:r>
              <w:rPr>
                <w:rFonts w:cs="Times New Roman"/>
                <w:color w:val="000000"/>
              </w:rPr>
              <w:t>36,907,975.79</w:t>
            </w:r>
          </w:p>
        </w:tc>
        <w:tc>
          <w:tcPr>
            <w:tcW w:w="615" w:type="pct"/>
            <w:vAlign w:val="center"/>
          </w:tcPr>
          <w:p w14:paraId="15243E75">
            <w:pPr>
              <w:jc w:val="right"/>
              <w:textAlignment w:val="center"/>
              <w:rPr>
                <w:rFonts w:cs="Times New Roman"/>
              </w:rPr>
            </w:pPr>
            <w:r>
              <w:rPr>
                <w:rFonts w:cs="Times New Roman"/>
                <w:color w:val="000000"/>
              </w:rPr>
              <w:t>6,611,300,932.88</w:t>
            </w:r>
          </w:p>
        </w:tc>
      </w:tr>
      <w:tr w14:paraId="2E74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tcPr>
          <w:p w14:paraId="4C00234A">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对联营、合营企业投资</w:t>
            </w:r>
          </w:p>
        </w:tc>
        <w:tc>
          <w:tcPr>
            <w:tcW w:w="628" w:type="pct"/>
            <w:vAlign w:val="center"/>
          </w:tcPr>
          <w:p w14:paraId="5192B7B5">
            <w:pPr>
              <w:jc w:val="right"/>
              <w:textAlignment w:val="center"/>
              <w:rPr>
                <w:rFonts w:cs="Times New Roman"/>
              </w:rPr>
            </w:pPr>
            <w:r>
              <w:rPr>
                <w:rFonts w:cs="Times New Roman"/>
                <w:color w:val="000000"/>
              </w:rPr>
              <w:t>1,074,626.77</w:t>
            </w:r>
          </w:p>
        </w:tc>
        <w:tc>
          <w:tcPr>
            <w:tcW w:w="614" w:type="pct"/>
            <w:vAlign w:val="center"/>
          </w:tcPr>
          <w:p w14:paraId="2EEEC25F">
            <w:pPr>
              <w:jc w:val="right"/>
              <w:rPr>
                <w:rFonts w:cs="Times New Roman"/>
              </w:rPr>
            </w:pPr>
          </w:p>
        </w:tc>
        <w:tc>
          <w:tcPr>
            <w:tcW w:w="614" w:type="pct"/>
            <w:vAlign w:val="center"/>
          </w:tcPr>
          <w:p w14:paraId="5065AC46">
            <w:pPr>
              <w:jc w:val="right"/>
              <w:textAlignment w:val="center"/>
              <w:rPr>
                <w:rFonts w:cs="Times New Roman"/>
              </w:rPr>
            </w:pPr>
            <w:r>
              <w:rPr>
                <w:rFonts w:cs="Times New Roman"/>
                <w:color w:val="000000"/>
              </w:rPr>
              <w:t>1,074,626.77</w:t>
            </w:r>
          </w:p>
        </w:tc>
        <w:tc>
          <w:tcPr>
            <w:tcW w:w="629" w:type="pct"/>
            <w:vAlign w:val="center"/>
          </w:tcPr>
          <w:p w14:paraId="32554980">
            <w:pPr>
              <w:jc w:val="right"/>
              <w:textAlignment w:val="center"/>
              <w:rPr>
                <w:rFonts w:cs="Times New Roman"/>
              </w:rPr>
            </w:pPr>
            <w:r>
              <w:rPr>
                <w:rFonts w:cs="Times New Roman"/>
                <w:color w:val="000000"/>
              </w:rPr>
              <w:t>1,068,839.26</w:t>
            </w:r>
          </w:p>
        </w:tc>
        <w:tc>
          <w:tcPr>
            <w:tcW w:w="621" w:type="pct"/>
            <w:vAlign w:val="center"/>
          </w:tcPr>
          <w:p w14:paraId="2D4EDE01">
            <w:pPr>
              <w:jc w:val="right"/>
              <w:rPr>
                <w:rFonts w:cs="Times New Roman"/>
              </w:rPr>
            </w:pPr>
          </w:p>
        </w:tc>
        <w:tc>
          <w:tcPr>
            <w:tcW w:w="615" w:type="pct"/>
            <w:vAlign w:val="center"/>
          </w:tcPr>
          <w:p w14:paraId="62C7BF54">
            <w:pPr>
              <w:jc w:val="right"/>
              <w:textAlignment w:val="center"/>
              <w:rPr>
                <w:rFonts w:cs="Times New Roman"/>
              </w:rPr>
            </w:pPr>
            <w:r>
              <w:rPr>
                <w:rFonts w:cs="Times New Roman"/>
                <w:color w:val="000000"/>
              </w:rPr>
              <w:t>1,068,839.26</w:t>
            </w:r>
          </w:p>
        </w:tc>
      </w:tr>
      <w:tr w14:paraId="637A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vAlign w:val="center"/>
          </w:tcPr>
          <w:p w14:paraId="401D543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628" w:type="pct"/>
            <w:vAlign w:val="center"/>
          </w:tcPr>
          <w:p w14:paraId="4EF88375">
            <w:pPr>
              <w:jc w:val="right"/>
              <w:textAlignment w:val="center"/>
              <w:rPr>
                <w:rFonts w:cs="Times New Roman"/>
              </w:rPr>
            </w:pPr>
            <w:r>
              <w:rPr>
                <w:rFonts w:cs="Times New Roman"/>
                <w:color w:val="000000"/>
              </w:rPr>
              <w:t>6,664,536,971.51</w:t>
            </w:r>
          </w:p>
        </w:tc>
        <w:tc>
          <w:tcPr>
            <w:tcW w:w="614" w:type="pct"/>
            <w:vAlign w:val="center"/>
          </w:tcPr>
          <w:p w14:paraId="7F1769F1">
            <w:pPr>
              <w:jc w:val="right"/>
              <w:textAlignment w:val="center"/>
              <w:rPr>
                <w:rFonts w:cs="Times New Roman"/>
              </w:rPr>
            </w:pPr>
            <w:r>
              <w:rPr>
                <w:rFonts w:cs="Times New Roman"/>
                <w:color w:val="000000"/>
              </w:rPr>
              <w:t>36,907,975.79</w:t>
            </w:r>
          </w:p>
        </w:tc>
        <w:tc>
          <w:tcPr>
            <w:tcW w:w="614" w:type="pct"/>
            <w:vAlign w:val="center"/>
          </w:tcPr>
          <w:p w14:paraId="1C7E192A">
            <w:pPr>
              <w:jc w:val="right"/>
              <w:textAlignment w:val="center"/>
              <w:rPr>
                <w:rFonts w:cs="Times New Roman"/>
              </w:rPr>
            </w:pPr>
            <w:r>
              <w:rPr>
                <w:rFonts w:cs="Times New Roman"/>
                <w:color w:val="000000"/>
              </w:rPr>
              <w:t>6,627,628,995.72</w:t>
            </w:r>
          </w:p>
        </w:tc>
        <w:tc>
          <w:tcPr>
            <w:tcW w:w="629" w:type="pct"/>
            <w:vAlign w:val="center"/>
          </w:tcPr>
          <w:p w14:paraId="7141F130">
            <w:pPr>
              <w:jc w:val="right"/>
              <w:textAlignment w:val="center"/>
              <w:rPr>
                <w:rFonts w:cs="Times New Roman"/>
              </w:rPr>
            </w:pPr>
            <w:r>
              <w:rPr>
                <w:rFonts w:cs="Times New Roman"/>
                <w:color w:val="000000"/>
              </w:rPr>
              <w:t>6,649,277,747.93</w:t>
            </w:r>
          </w:p>
        </w:tc>
        <w:tc>
          <w:tcPr>
            <w:tcW w:w="621" w:type="pct"/>
            <w:vAlign w:val="center"/>
          </w:tcPr>
          <w:p w14:paraId="25AB446D">
            <w:pPr>
              <w:jc w:val="right"/>
              <w:textAlignment w:val="center"/>
              <w:rPr>
                <w:rFonts w:cs="Times New Roman"/>
              </w:rPr>
            </w:pPr>
            <w:r>
              <w:rPr>
                <w:rFonts w:cs="Times New Roman"/>
                <w:color w:val="000000"/>
              </w:rPr>
              <w:t>36,907,975.79</w:t>
            </w:r>
          </w:p>
        </w:tc>
        <w:tc>
          <w:tcPr>
            <w:tcW w:w="615" w:type="pct"/>
            <w:vAlign w:val="center"/>
          </w:tcPr>
          <w:p w14:paraId="26EFE52A">
            <w:pPr>
              <w:jc w:val="right"/>
              <w:textAlignment w:val="center"/>
              <w:rPr>
                <w:rFonts w:cs="Times New Roman"/>
              </w:rPr>
            </w:pPr>
            <w:r>
              <w:rPr>
                <w:rFonts w:cs="Times New Roman"/>
                <w:color w:val="000000"/>
              </w:rPr>
              <w:t>6,612,369,772.14</w:t>
            </w:r>
          </w:p>
        </w:tc>
      </w:tr>
    </w:tbl>
    <w:p w14:paraId="2254EFA2">
      <w:pPr>
        <w:rPr>
          <w:color w:val="000000" w:themeColor="text1"/>
          <w14:textFill>
            <w14:solidFill>
              <w14:schemeClr w14:val="tx1"/>
            </w14:solidFill>
          </w14:textFill>
        </w:rPr>
      </w:pPr>
    </w:p>
    <w:p w14:paraId="0ED2E2E1">
      <w:pPr>
        <w:pStyle w:val="58"/>
        <w:numPr>
          <w:ilvl w:val="0"/>
          <w:numId w:val="121"/>
        </w:numPr>
        <w:rPr>
          <w:rFonts w:ascii="宋体" w:hAnsi="宋体"/>
          <w:color w:val="000000" w:themeColor="text1"/>
          <w14:textFill>
            <w14:solidFill>
              <w14:schemeClr w14:val="tx1"/>
            </w14:solidFill>
          </w14:textFill>
        </w:rPr>
      </w:pPr>
      <w:bookmarkStart w:id="485" w:name="_Hlk106375342"/>
      <w:bookmarkStart w:id="486" w:name="_Hlk199855034"/>
      <w:r>
        <w:rPr>
          <w:rFonts w:hint="eastAsia" w:ascii="宋体" w:hAnsi="宋体"/>
          <w:color w:val="000000" w:themeColor="text1"/>
          <w14:textFill>
            <w14:solidFill>
              <w14:schemeClr w14:val="tx1"/>
            </w14:solidFill>
          </w14:textFill>
        </w:rPr>
        <w:t>对子公司投资</w:t>
      </w:r>
    </w:p>
    <w:sdt>
      <w:sdtPr>
        <w:rPr>
          <w:color w:val="000000" w:themeColor="text1"/>
          <w14:textFill>
            <w14:solidFill>
              <w14:schemeClr w14:val="tx1"/>
            </w14:solidFill>
          </w14:textFill>
        </w:rPr>
        <w:alias w:val="是否适用：母公司对子公司投资[双击切换]"/>
        <w:tag w:val="_GBC_c52cee49247d42a9a79deabbd4c8635c"/>
        <w:id w:val="-924564338"/>
      </w:sdtPr>
      <w:sdtEndPr>
        <w:rPr>
          <w:color w:val="000000" w:themeColor="text1"/>
          <w14:textFill>
            <w14:solidFill>
              <w14:schemeClr w14:val="tx1"/>
            </w14:solidFill>
          </w14:textFill>
        </w:rPr>
      </w:sdtEndPr>
      <w:sdtContent>
        <w:p w14:paraId="76C94565">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4FD413E">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对子公司投资"/>
          <w:tag w:val="_GBC_84c410d0b81f42e3adfddc3699487310"/>
          <w:id w:val="1153026737"/>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对子公司投资"/>
          <w:tag w:val="_GBC_97fad72310ba4b849377b0e1cebf7303"/>
          <w:id w:val="1268583849"/>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7"/>
        <w:gridCol w:w="2104"/>
        <w:gridCol w:w="1813"/>
        <w:gridCol w:w="1827"/>
        <w:gridCol w:w="2178"/>
        <w:gridCol w:w="2186"/>
      </w:tblGrid>
      <w:tr w14:paraId="38A3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blHeader/>
        </w:trPr>
        <w:sdt>
          <w:sdtPr>
            <w:rPr>
              <w:rFonts w:cs="Times New Roman"/>
            </w:rPr>
            <w:tag w:val="_PLD_5e30a804ceaa4024b238d79c66b2f2dd"/>
            <w:id w:val="1609547054"/>
          </w:sdtPr>
          <w:sdtEndPr>
            <w:rPr>
              <w:rFonts w:cs="Times New Roman"/>
            </w:rPr>
          </w:sdtEndPr>
          <w:sdtContent>
            <w:tc>
              <w:tcPr>
                <w:tcW w:w="1351" w:type="pct"/>
                <w:vMerge w:val="restart"/>
                <w:tcBorders>
                  <w:top w:val="single" w:color="auto" w:sz="4" w:space="0"/>
                  <w:left w:val="single" w:color="auto" w:sz="4" w:space="0"/>
                  <w:right w:val="single" w:color="auto" w:sz="4" w:space="0"/>
                </w:tcBorders>
                <w:vAlign w:val="center"/>
              </w:tcPr>
              <w:p w14:paraId="1F0EDA24">
                <w:pPr>
                  <w:jc w:val="center"/>
                  <w:rPr>
                    <w:rFonts w:cs="Times New Roman"/>
                  </w:rPr>
                </w:pPr>
                <w:r>
                  <w:rPr>
                    <w:rFonts w:cs="Times New Roman"/>
                  </w:rPr>
                  <w:t>被投资单位</w:t>
                </w:r>
              </w:p>
            </w:tc>
          </w:sdtContent>
        </w:sdt>
        <w:sdt>
          <w:sdtPr>
            <w:rPr>
              <w:rFonts w:cs="Times New Roman"/>
            </w:rPr>
            <w:tag w:val="_PLD_414e7de75190451298fb101077dd4f51"/>
            <w:id w:val="-161002246"/>
          </w:sdtPr>
          <w:sdtEndPr>
            <w:rPr>
              <w:rFonts w:cs="Times New Roman"/>
            </w:rPr>
          </w:sdtEndPr>
          <w:sdtContent>
            <w:tc>
              <w:tcPr>
                <w:tcW w:w="759" w:type="pct"/>
                <w:vMerge w:val="restart"/>
                <w:tcBorders>
                  <w:top w:val="single" w:color="auto" w:sz="4" w:space="0"/>
                  <w:left w:val="single" w:color="auto" w:sz="4" w:space="0"/>
                  <w:right w:val="single" w:color="auto" w:sz="4" w:space="0"/>
                </w:tcBorders>
                <w:vAlign w:val="center"/>
              </w:tcPr>
              <w:p w14:paraId="68EC1802">
                <w:pPr>
                  <w:jc w:val="center"/>
                  <w:rPr>
                    <w:rFonts w:cs="Times New Roman"/>
                  </w:rPr>
                </w:pPr>
                <w:r>
                  <w:rPr>
                    <w:rFonts w:cs="Times New Roman"/>
                  </w:rPr>
                  <w:t>期初余额（账面价值）</w:t>
                </w:r>
              </w:p>
            </w:tc>
          </w:sdtContent>
        </w:sdt>
        <w:sdt>
          <w:sdtPr>
            <w:rPr>
              <w:rFonts w:cs="Times New Roman"/>
            </w:rPr>
            <w:tag w:val="_PLD_13c296ca5c774a46b83afc3a9c08fdab"/>
            <w:id w:val="1580874316"/>
          </w:sdtPr>
          <w:sdtEndPr>
            <w:rPr>
              <w:rFonts w:cs="Times New Roman"/>
            </w:rPr>
          </w:sdtEndPr>
          <w:sdtContent>
            <w:tc>
              <w:tcPr>
                <w:tcW w:w="654" w:type="pct"/>
                <w:vMerge w:val="restart"/>
                <w:tcBorders>
                  <w:top w:val="single" w:color="auto" w:sz="4" w:space="0"/>
                  <w:left w:val="single" w:color="auto" w:sz="4" w:space="0"/>
                  <w:right w:val="single" w:color="auto" w:sz="4" w:space="0"/>
                </w:tcBorders>
                <w:vAlign w:val="center"/>
              </w:tcPr>
              <w:p w14:paraId="050BFC01">
                <w:pPr>
                  <w:jc w:val="center"/>
                  <w:rPr>
                    <w:rFonts w:cs="Times New Roman"/>
                  </w:rPr>
                </w:pPr>
                <w:r>
                  <w:rPr>
                    <w:rFonts w:cs="Times New Roman"/>
                  </w:rPr>
                  <w:t>减值准备期初余额</w:t>
                </w:r>
              </w:p>
            </w:tc>
          </w:sdtContent>
        </w:sdt>
        <w:sdt>
          <w:sdtPr>
            <w:rPr>
              <w:rFonts w:cs="Times New Roman"/>
            </w:rPr>
            <w:tag w:val="_PLD_38d284e511fe4000a53245d837ffe0fb"/>
            <w:id w:val="-1017073233"/>
          </w:sdtPr>
          <w:sdtEndPr>
            <w:rPr>
              <w:rFonts w:cs="Times New Roman"/>
            </w:rPr>
          </w:sdtEndPr>
          <w:sdtContent>
            <w:tc>
              <w:tcPr>
                <w:tcW w:w="659" w:type="pct"/>
                <w:tcBorders>
                  <w:top w:val="single" w:color="auto" w:sz="4" w:space="0"/>
                  <w:left w:val="single" w:color="auto" w:sz="4" w:space="0"/>
                  <w:bottom w:val="single" w:color="auto" w:sz="4" w:space="0"/>
                  <w:right w:val="single" w:color="auto" w:sz="4" w:space="0"/>
                </w:tcBorders>
                <w:vAlign w:val="center"/>
              </w:tcPr>
              <w:p w14:paraId="3B6CD47A">
                <w:pPr>
                  <w:jc w:val="center"/>
                  <w:rPr>
                    <w:rFonts w:cs="Times New Roman"/>
                  </w:rPr>
                </w:pPr>
                <w:r>
                  <w:rPr>
                    <w:rFonts w:cs="Times New Roman"/>
                  </w:rPr>
                  <w:t>本期增减变动</w:t>
                </w:r>
              </w:p>
            </w:tc>
          </w:sdtContent>
        </w:sdt>
        <w:sdt>
          <w:sdtPr>
            <w:rPr>
              <w:rFonts w:cs="Times New Roman"/>
            </w:rPr>
            <w:tag w:val="_PLD_f92255f6ae8b4ccdb039b28bf9204156"/>
            <w:id w:val="-42063162"/>
          </w:sdtPr>
          <w:sdtEndPr>
            <w:rPr>
              <w:rFonts w:cs="Times New Roman"/>
            </w:rPr>
          </w:sdtEndPr>
          <w:sdtContent>
            <w:tc>
              <w:tcPr>
                <w:tcW w:w="786" w:type="pct"/>
                <w:vMerge w:val="restart"/>
                <w:tcBorders>
                  <w:top w:val="single" w:color="auto" w:sz="4" w:space="0"/>
                  <w:left w:val="single" w:color="auto" w:sz="4" w:space="0"/>
                  <w:right w:val="single" w:color="auto" w:sz="4" w:space="0"/>
                </w:tcBorders>
                <w:vAlign w:val="center"/>
              </w:tcPr>
              <w:p w14:paraId="2FEE1BF4">
                <w:pPr>
                  <w:jc w:val="center"/>
                  <w:rPr>
                    <w:rFonts w:cs="Times New Roman"/>
                  </w:rPr>
                </w:pPr>
                <w:r>
                  <w:rPr>
                    <w:rFonts w:cs="Times New Roman"/>
                  </w:rPr>
                  <w:t>期末余额（账面价值）</w:t>
                </w:r>
              </w:p>
            </w:tc>
          </w:sdtContent>
        </w:sdt>
        <w:sdt>
          <w:sdtPr>
            <w:rPr>
              <w:rFonts w:cs="Times New Roman"/>
            </w:rPr>
            <w:tag w:val="_PLD_2f11e6808a6f4c8b9936f3229bb0c312"/>
            <w:id w:val="1183940914"/>
          </w:sdtPr>
          <w:sdtEndPr>
            <w:rPr>
              <w:rFonts w:cs="Times New Roman"/>
            </w:rPr>
          </w:sdtEndPr>
          <w:sdtContent>
            <w:tc>
              <w:tcPr>
                <w:tcW w:w="789" w:type="pct"/>
                <w:vMerge w:val="restart"/>
                <w:tcBorders>
                  <w:top w:val="single" w:color="auto" w:sz="4" w:space="0"/>
                  <w:left w:val="single" w:color="auto" w:sz="4" w:space="0"/>
                  <w:right w:val="single" w:color="auto" w:sz="4" w:space="0"/>
                </w:tcBorders>
                <w:vAlign w:val="center"/>
              </w:tcPr>
              <w:p w14:paraId="75E59CC7">
                <w:pPr>
                  <w:jc w:val="center"/>
                  <w:rPr>
                    <w:rFonts w:cs="Times New Roman"/>
                  </w:rPr>
                </w:pPr>
                <w:r>
                  <w:rPr>
                    <w:rFonts w:cs="Times New Roman"/>
                  </w:rPr>
                  <w:t>减值准备期末余额</w:t>
                </w:r>
              </w:p>
            </w:tc>
          </w:sdtContent>
        </w:sdt>
      </w:tr>
      <w:tr w14:paraId="5E6F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blHeader/>
        </w:trPr>
        <w:tc>
          <w:tcPr>
            <w:tcW w:w="1351" w:type="pct"/>
            <w:vMerge w:val="continue"/>
            <w:tcBorders>
              <w:left w:val="single" w:color="auto" w:sz="4" w:space="0"/>
              <w:bottom w:val="single" w:color="auto" w:sz="4" w:space="0"/>
              <w:right w:val="single" w:color="auto" w:sz="4" w:space="0"/>
            </w:tcBorders>
            <w:vAlign w:val="center"/>
          </w:tcPr>
          <w:p w14:paraId="6C864C24">
            <w:pPr>
              <w:jc w:val="center"/>
              <w:rPr>
                <w:rFonts w:cs="Times New Roman"/>
              </w:rPr>
            </w:pPr>
          </w:p>
        </w:tc>
        <w:tc>
          <w:tcPr>
            <w:tcW w:w="759" w:type="pct"/>
            <w:vMerge w:val="continue"/>
            <w:tcBorders>
              <w:left w:val="single" w:color="auto" w:sz="4" w:space="0"/>
              <w:bottom w:val="single" w:color="auto" w:sz="4" w:space="0"/>
              <w:right w:val="single" w:color="auto" w:sz="4" w:space="0"/>
            </w:tcBorders>
            <w:vAlign w:val="center"/>
          </w:tcPr>
          <w:p w14:paraId="0CB2656D">
            <w:pPr>
              <w:jc w:val="center"/>
              <w:rPr>
                <w:rFonts w:cs="Times New Roman"/>
              </w:rPr>
            </w:pPr>
          </w:p>
        </w:tc>
        <w:tc>
          <w:tcPr>
            <w:tcW w:w="654" w:type="pct"/>
            <w:vMerge w:val="continue"/>
            <w:tcBorders>
              <w:left w:val="single" w:color="auto" w:sz="4" w:space="0"/>
              <w:bottom w:val="single" w:color="auto" w:sz="4" w:space="0"/>
              <w:right w:val="single" w:color="auto" w:sz="4" w:space="0"/>
            </w:tcBorders>
            <w:vAlign w:val="center"/>
          </w:tcPr>
          <w:p w14:paraId="43CC394D">
            <w:pPr>
              <w:jc w:val="center"/>
              <w:rPr>
                <w:rFonts w:cs="Times New Roman"/>
              </w:rPr>
            </w:pPr>
          </w:p>
        </w:tc>
        <w:sdt>
          <w:sdtPr>
            <w:rPr>
              <w:rFonts w:cs="Times New Roman"/>
            </w:rPr>
            <w:tag w:val="_PLD_f5b021383bb548b49923eb6da9f9508b"/>
            <w:id w:val="-1116060703"/>
          </w:sdtPr>
          <w:sdtEndPr>
            <w:rPr>
              <w:rFonts w:cs="Times New Roman"/>
            </w:rPr>
          </w:sdtEndPr>
          <w:sdtContent>
            <w:tc>
              <w:tcPr>
                <w:tcW w:w="659" w:type="pct"/>
                <w:tcBorders>
                  <w:top w:val="single" w:color="auto" w:sz="4" w:space="0"/>
                  <w:left w:val="single" w:color="auto" w:sz="4" w:space="0"/>
                  <w:bottom w:val="single" w:color="auto" w:sz="4" w:space="0"/>
                  <w:right w:val="single" w:color="auto" w:sz="4" w:space="0"/>
                </w:tcBorders>
                <w:vAlign w:val="center"/>
              </w:tcPr>
              <w:p w14:paraId="40EA8D26">
                <w:pPr>
                  <w:jc w:val="center"/>
                  <w:rPr>
                    <w:rFonts w:cs="Times New Roman"/>
                  </w:rPr>
                </w:pPr>
                <w:r>
                  <w:rPr>
                    <w:rFonts w:cs="Times New Roman"/>
                  </w:rPr>
                  <w:t>追加投资</w:t>
                </w:r>
              </w:p>
            </w:tc>
          </w:sdtContent>
        </w:sdt>
        <w:tc>
          <w:tcPr>
            <w:tcW w:w="786" w:type="pct"/>
            <w:vMerge w:val="continue"/>
            <w:tcBorders>
              <w:left w:val="single" w:color="auto" w:sz="4" w:space="0"/>
              <w:bottom w:val="single" w:color="auto" w:sz="4" w:space="0"/>
              <w:right w:val="single" w:color="auto" w:sz="4" w:space="0"/>
            </w:tcBorders>
            <w:vAlign w:val="center"/>
          </w:tcPr>
          <w:p w14:paraId="5E0E5481">
            <w:pPr>
              <w:jc w:val="center"/>
              <w:rPr>
                <w:rFonts w:cs="Times New Roman"/>
              </w:rPr>
            </w:pPr>
          </w:p>
        </w:tc>
        <w:tc>
          <w:tcPr>
            <w:tcW w:w="789" w:type="pct"/>
            <w:vMerge w:val="continue"/>
            <w:tcBorders>
              <w:left w:val="single" w:color="auto" w:sz="4" w:space="0"/>
              <w:bottom w:val="single" w:color="auto" w:sz="4" w:space="0"/>
              <w:right w:val="single" w:color="auto" w:sz="4" w:space="0"/>
            </w:tcBorders>
            <w:vAlign w:val="center"/>
          </w:tcPr>
          <w:p w14:paraId="4812D228">
            <w:pPr>
              <w:jc w:val="center"/>
              <w:rPr>
                <w:rFonts w:cs="Times New Roman"/>
              </w:rPr>
            </w:pPr>
          </w:p>
        </w:tc>
      </w:tr>
      <w:sdt>
        <w:sdtPr>
          <w:rPr>
            <w:rFonts w:cs="Times New Roman"/>
          </w:rPr>
          <w:alias w:val="对子公司投资明细"/>
          <w:tag w:val="_TUP_321065c012a14e8eb3b6aecf92f7a7bb"/>
          <w:id w:val="1560667579"/>
          <w:placeholder>
            <w:docPart w:val="{31e701fb-1afd-481e-b699-3b89320895e4}"/>
          </w:placeholder>
        </w:sdtPr>
        <w:sdtEndPr>
          <w:rPr>
            <w:rFonts w:cs="Times New Roman"/>
          </w:rPr>
        </w:sdtEndPr>
        <w:sdtContent>
          <w:tr w14:paraId="20E6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1DC6E52D">
                <w:pPr>
                  <w:rPr>
                    <w:rFonts w:cs="Times New Roman"/>
                  </w:rPr>
                </w:pPr>
                <w:r>
                  <w:rPr>
                    <w:rFonts w:cs="Times New Roman"/>
                  </w:rPr>
                  <w:t>咸阳际华新三零印染有限公司</w:t>
                </w:r>
              </w:p>
            </w:tc>
            <w:tc>
              <w:tcPr>
                <w:tcW w:w="759" w:type="pct"/>
                <w:tcBorders>
                  <w:top w:val="single" w:color="auto" w:sz="4" w:space="0"/>
                  <w:left w:val="single" w:color="auto" w:sz="4" w:space="0"/>
                  <w:bottom w:val="single" w:color="auto" w:sz="4" w:space="0"/>
                  <w:right w:val="single" w:color="auto" w:sz="4" w:space="0"/>
                </w:tcBorders>
              </w:tcPr>
              <w:p w14:paraId="3344E637">
                <w:pPr>
                  <w:jc w:val="right"/>
                  <w:rPr>
                    <w:rFonts w:cs="Times New Roman"/>
                  </w:rPr>
                </w:pPr>
              </w:p>
            </w:tc>
            <w:tc>
              <w:tcPr>
                <w:tcW w:w="654" w:type="pct"/>
                <w:tcBorders>
                  <w:top w:val="single" w:color="auto" w:sz="4" w:space="0"/>
                  <w:left w:val="single" w:color="auto" w:sz="4" w:space="0"/>
                  <w:bottom w:val="single" w:color="auto" w:sz="4" w:space="0"/>
                  <w:right w:val="single" w:color="auto" w:sz="4" w:space="0"/>
                </w:tcBorders>
                <w:vAlign w:val="center"/>
              </w:tcPr>
              <w:p w14:paraId="45D31494">
                <w:pPr>
                  <w:jc w:val="right"/>
                  <w:rPr>
                    <w:rFonts w:cs="Times New Roman"/>
                  </w:rPr>
                </w:pPr>
                <w:r>
                  <w:rPr>
                    <w:rFonts w:cs="Times New Roman"/>
                  </w:rPr>
                  <w:t>36,907,975.79</w:t>
                </w:r>
              </w:p>
            </w:tc>
            <w:tc>
              <w:tcPr>
                <w:tcW w:w="659" w:type="pct"/>
                <w:tcBorders>
                  <w:top w:val="single" w:color="auto" w:sz="4" w:space="0"/>
                  <w:left w:val="single" w:color="auto" w:sz="4" w:space="0"/>
                  <w:bottom w:val="single" w:color="auto" w:sz="4" w:space="0"/>
                  <w:right w:val="single" w:color="auto" w:sz="4" w:space="0"/>
                </w:tcBorders>
              </w:tcPr>
              <w:p w14:paraId="0647E79D">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tcPr>
              <w:p w14:paraId="072E0841">
                <w:pPr>
                  <w:jc w:val="right"/>
                  <w:rPr>
                    <w:rFonts w:cs="Times New Roman"/>
                  </w:rPr>
                </w:pPr>
              </w:p>
            </w:tc>
            <w:tc>
              <w:tcPr>
                <w:tcW w:w="789" w:type="pct"/>
                <w:tcBorders>
                  <w:top w:val="single" w:color="auto" w:sz="4" w:space="0"/>
                  <w:left w:val="single" w:color="auto" w:sz="4" w:space="0"/>
                  <w:bottom w:val="single" w:color="auto" w:sz="4" w:space="0"/>
                  <w:right w:val="single" w:color="auto" w:sz="4" w:space="0"/>
                </w:tcBorders>
                <w:vAlign w:val="center"/>
              </w:tcPr>
              <w:p w14:paraId="26829BCF">
                <w:pPr>
                  <w:jc w:val="right"/>
                  <w:rPr>
                    <w:rFonts w:cs="Times New Roman"/>
                  </w:rPr>
                </w:pPr>
                <w:r>
                  <w:rPr>
                    <w:rFonts w:cs="Times New Roman"/>
                  </w:rPr>
                  <w:t>36,907,975.79</w:t>
                </w:r>
              </w:p>
            </w:tc>
          </w:tr>
        </w:sdtContent>
      </w:sdt>
      <w:sdt>
        <w:sdtPr>
          <w:rPr>
            <w:rFonts w:cs="Times New Roman"/>
          </w:rPr>
          <w:alias w:val="对子公司投资明细"/>
          <w:tag w:val="_TUP_321065c012a14e8eb3b6aecf92f7a7bb"/>
          <w:id w:val="-1456321959"/>
          <w:placeholder>
            <w:docPart w:val="{31e701fb-1afd-481e-b699-3b89320895e4}"/>
          </w:placeholder>
        </w:sdtPr>
        <w:sdtEndPr>
          <w:rPr>
            <w:rFonts w:cs="Times New Roman"/>
          </w:rPr>
        </w:sdtEndPr>
        <w:sdtContent>
          <w:tr w14:paraId="6115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7B7372D1">
                <w:pPr>
                  <w:rPr>
                    <w:rFonts w:cs="Times New Roman"/>
                  </w:rPr>
                </w:pPr>
                <w:r>
                  <w:rPr>
                    <w:rFonts w:cs="Times New Roman"/>
                  </w:rPr>
                  <w:t>际华连锁商务有限公司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25963CD8">
                <w:pPr>
                  <w:jc w:val="right"/>
                  <w:rPr>
                    <w:rFonts w:cs="Times New Roman"/>
                  </w:rPr>
                </w:pPr>
                <w:r>
                  <w:rPr>
                    <w:rFonts w:cs="Times New Roman"/>
                  </w:rPr>
                  <w:t>51,204,495.33</w:t>
                </w:r>
              </w:p>
            </w:tc>
            <w:tc>
              <w:tcPr>
                <w:tcW w:w="654" w:type="pct"/>
                <w:tcBorders>
                  <w:top w:val="single" w:color="auto" w:sz="4" w:space="0"/>
                  <w:left w:val="single" w:color="auto" w:sz="4" w:space="0"/>
                  <w:bottom w:val="single" w:color="auto" w:sz="4" w:space="0"/>
                  <w:right w:val="single" w:color="auto" w:sz="4" w:space="0"/>
                </w:tcBorders>
              </w:tcPr>
              <w:p w14:paraId="6AC4EFEA">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tcPr>
              <w:p w14:paraId="57540FE7">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65F92A64">
                <w:pPr>
                  <w:jc w:val="right"/>
                  <w:rPr>
                    <w:rFonts w:cs="Times New Roman"/>
                  </w:rPr>
                </w:pPr>
                <w:r>
                  <w:rPr>
                    <w:rFonts w:cs="Times New Roman"/>
                  </w:rPr>
                  <w:t>51,204,495.33</w:t>
                </w:r>
              </w:p>
            </w:tc>
            <w:tc>
              <w:tcPr>
                <w:tcW w:w="789" w:type="pct"/>
                <w:tcBorders>
                  <w:top w:val="single" w:color="auto" w:sz="4" w:space="0"/>
                  <w:left w:val="single" w:color="auto" w:sz="4" w:space="0"/>
                  <w:bottom w:val="single" w:color="auto" w:sz="4" w:space="0"/>
                  <w:right w:val="single" w:color="auto" w:sz="4" w:space="0"/>
                </w:tcBorders>
              </w:tcPr>
              <w:p w14:paraId="3CD77081">
                <w:pPr>
                  <w:jc w:val="right"/>
                  <w:rPr>
                    <w:rFonts w:cs="Times New Roman"/>
                  </w:rPr>
                </w:pPr>
              </w:p>
            </w:tc>
          </w:tr>
        </w:sdtContent>
      </w:sdt>
      <w:sdt>
        <w:sdtPr>
          <w:rPr>
            <w:rFonts w:cs="Times New Roman"/>
          </w:rPr>
          <w:alias w:val="对子公司投资明细"/>
          <w:tag w:val="_TUP_321065c012a14e8eb3b6aecf92f7a7bb"/>
          <w:id w:val="-2143422286"/>
          <w:placeholder>
            <w:docPart w:val="{31e701fb-1afd-481e-b699-3b89320895e4}"/>
          </w:placeholder>
        </w:sdtPr>
        <w:sdtEndPr>
          <w:rPr>
            <w:rFonts w:cs="Times New Roman"/>
          </w:rPr>
        </w:sdtEndPr>
        <w:sdtContent>
          <w:tr w14:paraId="4F47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7835DA0F">
                <w:pPr>
                  <w:rPr>
                    <w:rFonts w:cs="Times New Roman"/>
                  </w:rPr>
                </w:pPr>
                <w:r>
                  <w:rPr>
                    <w:rFonts w:cs="Times New Roman"/>
                  </w:rPr>
                  <w:t>长春际华投资建设有限公司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60B336FD">
                <w:pPr>
                  <w:jc w:val="right"/>
                  <w:rPr>
                    <w:rFonts w:cs="Times New Roman"/>
                  </w:rPr>
                </w:pPr>
                <w:r>
                  <w:rPr>
                    <w:rFonts w:cs="Times New Roman"/>
                  </w:rPr>
                  <w:t>808,168,944.79</w:t>
                </w:r>
              </w:p>
            </w:tc>
            <w:tc>
              <w:tcPr>
                <w:tcW w:w="654" w:type="pct"/>
                <w:tcBorders>
                  <w:top w:val="single" w:color="auto" w:sz="4" w:space="0"/>
                  <w:left w:val="single" w:color="auto" w:sz="4" w:space="0"/>
                  <w:bottom w:val="single" w:color="auto" w:sz="4" w:space="0"/>
                  <w:right w:val="single" w:color="auto" w:sz="4" w:space="0"/>
                </w:tcBorders>
              </w:tcPr>
              <w:p w14:paraId="2625B29A">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tcPr>
              <w:p w14:paraId="22BFF903">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7986AE9">
                <w:pPr>
                  <w:jc w:val="right"/>
                  <w:rPr>
                    <w:rFonts w:cs="Times New Roman"/>
                  </w:rPr>
                </w:pPr>
                <w:r>
                  <w:rPr>
                    <w:rFonts w:cs="Times New Roman"/>
                  </w:rPr>
                  <w:t>808,168,944.79</w:t>
                </w:r>
              </w:p>
            </w:tc>
            <w:tc>
              <w:tcPr>
                <w:tcW w:w="789" w:type="pct"/>
                <w:tcBorders>
                  <w:top w:val="single" w:color="auto" w:sz="4" w:space="0"/>
                  <w:left w:val="single" w:color="auto" w:sz="4" w:space="0"/>
                  <w:bottom w:val="single" w:color="auto" w:sz="4" w:space="0"/>
                  <w:right w:val="single" w:color="auto" w:sz="4" w:space="0"/>
                </w:tcBorders>
              </w:tcPr>
              <w:p w14:paraId="29CEF7C6">
                <w:pPr>
                  <w:jc w:val="right"/>
                  <w:rPr>
                    <w:rFonts w:cs="Times New Roman"/>
                  </w:rPr>
                </w:pPr>
              </w:p>
            </w:tc>
          </w:tr>
        </w:sdtContent>
      </w:sdt>
      <w:sdt>
        <w:sdtPr>
          <w:rPr>
            <w:rFonts w:cs="Times New Roman"/>
          </w:rPr>
          <w:alias w:val="对子公司投资明细"/>
          <w:tag w:val="_TUP_321065c012a14e8eb3b6aecf92f7a7bb"/>
          <w:id w:val="890301244"/>
          <w:placeholder>
            <w:docPart w:val="{31e701fb-1afd-481e-b699-3b89320895e4}"/>
          </w:placeholder>
        </w:sdtPr>
        <w:sdtEndPr>
          <w:rPr>
            <w:rFonts w:cs="Times New Roman"/>
          </w:rPr>
        </w:sdtEndPr>
        <w:sdtContent>
          <w:tr w14:paraId="669B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35FDA6B7">
                <w:pPr>
                  <w:rPr>
                    <w:rFonts w:cs="Times New Roman"/>
                  </w:rPr>
                </w:pPr>
                <w:r>
                  <w:rPr>
                    <w:rFonts w:cs="Times New Roman"/>
                  </w:rPr>
                  <w:t>际华（邢台）投资有限公司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644CB75A">
                <w:pPr>
                  <w:jc w:val="right"/>
                  <w:rPr>
                    <w:rFonts w:cs="Times New Roman"/>
                  </w:rPr>
                </w:pPr>
                <w:r>
                  <w:rPr>
                    <w:rFonts w:cs="Times New Roman"/>
                  </w:rPr>
                  <w:t>66,829,000.00</w:t>
                </w:r>
              </w:p>
            </w:tc>
            <w:tc>
              <w:tcPr>
                <w:tcW w:w="654" w:type="pct"/>
                <w:tcBorders>
                  <w:top w:val="single" w:color="auto" w:sz="4" w:space="0"/>
                  <w:left w:val="single" w:color="auto" w:sz="4" w:space="0"/>
                  <w:bottom w:val="single" w:color="auto" w:sz="4" w:space="0"/>
                  <w:right w:val="single" w:color="auto" w:sz="4" w:space="0"/>
                </w:tcBorders>
              </w:tcPr>
              <w:p w14:paraId="5D90A703">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tcPr>
              <w:p w14:paraId="5FD90970">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609430CC">
                <w:pPr>
                  <w:jc w:val="right"/>
                  <w:rPr>
                    <w:rFonts w:cs="Times New Roman"/>
                  </w:rPr>
                </w:pPr>
                <w:r>
                  <w:rPr>
                    <w:rFonts w:cs="Times New Roman"/>
                  </w:rPr>
                  <w:t>66,829,000.00</w:t>
                </w:r>
              </w:p>
            </w:tc>
            <w:tc>
              <w:tcPr>
                <w:tcW w:w="789" w:type="pct"/>
                <w:tcBorders>
                  <w:top w:val="single" w:color="auto" w:sz="4" w:space="0"/>
                  <w:left w:val="single" w:color="auto" w:sz="4" w:space="0"/>
                  <w:bottom w:val="single" w:color="auto" w:sz="4" w:space="0"/>
                  <w:right w:val="single" w:color="auto" w:sz="4" w:space="0"/>
                </w:tcBorders>
              </w:tcPr>
              <w:p w14:paraId="08E6867B">
                <w:pPr>
                  <w:jc w:val="right"/>
                  <w:rPr>
                    <w:rFonts w:cs="Times New Roman"/>
                  </w:rPr>
                </w:pPr>
              </w:p>
            </w:tc>
          </w:tr>
        </w:sdtContent>
      </w:sdt>
      <w:sdt>
        <w:sdtPr>
          <w:rPr>
            <w:rFonts w:cs="Times New Roman"/>
          </w:rPr>
          <w:alias w:val="对子公司投资明细"/>
          <w:tag w:val="_TUP_321065c012a14e8eb3b6aecf92f7a7bb"/>
          <w:id w:val="-1136339966"/>
          <w:placeholder>
            <w:docPart w:val="{31e701fb-1afd-481e-b699-3b89320895e4}"/>
          </w:placeholder>
        </w:sdtPr>
        <w:sdtEndPr>
          <w:rPr>
            <w:rFonts w:cs="Times New Roman"/>
          </w:rPr>
        </w:sdtEndPr>
        <w:sdtContent>
          <w:tr w14:paraId="3455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2D474940">
                <w:pPr>
                  <w:rPr>
                    <w:rFonts w:cs="Times New Roman"/>
                  </w:rPr>
                </w:pPr>
                <w:r>
                  <w:rPr>
                    <w:rFonts w:cs="Times New Roman"/>
                  </w:rPr>
                  <w:t>新兴际华国际贸易有限公司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6A1C1ABC">
                <w:pPr>
                  <w:jc w:val="right"/>
                  <w:rPr>
                    <w:rFonts w:cs="Times New Roman"/>
                  </w:rPr>
                </w:pPr>
                <w:r>
                  <w:rPr>
                    <w:rFonts w:cs="Times New Roman"/>
                  </w:rPr>
                  <w:t>27,661,232.19</w:t>
                </w:r>
              </w:p>
            </w:tc>
            <w:tc>
              <w:tcPr>
                <w:tcW w:w="654" w:type="pct"/>
                <w:tcBorders>
                  <w:top w:val="single" w:color="auto" w:sz="4" w:space="0"/>
                  <w:left w:val="single" w:color="auto" w:sz="4" w:space="0"/>
                  <w:bottom w:val="single" w:color="auto" w:sz="4" w:space="0"/>
                  <w:right w:val="single" w:color="auto" w:sz="4" w:space="0"/>
                </w:tcBorders>
              </w:tcPr>
              <w:p w14:paraId="042043D8">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tcPr>
              <w:p w14:paraId="3ECE7D17">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349652B6">
                <w:pPr>
                  <w:jc w:val="right"/>
                  <w:rPr>
                    <w:rFonts w:cs="Times New Roman"/>
                  </w:rPr>
                </w:pPr>
                <w:r>
                  <w:rPr>
                    <w:rFonts w:cs="Times New Roman"/>
                  </w:rPr>
                  <w:t>27,661,232.19</w:t>
                </w:r>
              </w:p>
            </w:tc>
            <w:tc>
              <w:tcPr>
                <w:tcW w:w="789" w:type="pct"/>
                <w:tcBorders>
                  <w:top w:val="single" w:color="auto" w:sz="4" w:space="0"/>
                  <w:left w:val="single" w:color="auto" w:sz="4" w:space="0"/>
                  <w:bottom w:val="single" w:color="auto" w:sz="4" w:space="0"/>
                  <w:right w:val="single" w:color="auto" w:sz="4" w:space="0"/>
                </w:tcBorders>
              </w:tcPr>
              <w:p w14:paraId="4B52616E">
                <w:pPr>
                  <w:jc w:val="right"/>
                  <w:rPr>
                    <w:rFonts w:cs="Times New Roman"/>
                  </w:rPr>
                </w:pPr>
              </w:p>
            </w:tc>
          </w:tr>
        </w:sdtContent>
      </w:sdt>
      <w:sdt>
        <w:sdtPr>
          <w:rPr>
            <w:rFonts w:cs="Times New Roman"/>
          </w:rPr>
          <w:alias w:val="对子公司投资明细"/>
          <w:tag w:val="_TUP_321065c012a14e8eb3b6aecf92f7a7bb"/>
          <w:id w:val="-943687059"/>
          <w:placeholder>
            <w:docPart w:val="{31e701fb-1afd-481e-b699-3b89320895e4}"/>
          </w:placeholder>
        </w:sdtPr>
        <w:sdtEndPr>
          <w:rPr>
            <w:rFonts w:cs="Times New Roman"/>
          </w:rPr>
        </w:sdtEndPr>
        <w:sdtContent>
          <w:tr w14:paraId="6B9B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10F7EF8D">
                <w:pPr>
                  <w:rPr>
                    <w:rFonts w:cs="Times New Roman"/>
                  </w:rPr>
                </w:pPr>
                <w:r>
                  <w:rPr>
                    <w:rFonts w:cs="Times New Roman"/>
                  </w:rPr>
                  <w:t>际华三五四三针织服饰有限公司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4D3388E6">
                <w:pPr>
                  <w:jc w:val="right"/>
                  <w:rPr>
                    <w:rFonts w:cs="Times New Roman"/>
                  </w:rPr>
                </w:pPr>
                <w:r>
                  <w:rPr>
                    <w:rFonts w:cs="Times New Roman"/>
                  </w:rPr>
                  <w:t>233,579,122.54</w:t>
                </w:r>
              </w:p>
            </w:tc>
            <w:tc>
              <w:tcPr>
                <w:tcW w:w="654" w:type="pct"/>
                <w:tcBorders>
                  <w:top w:val="single" w:color="auto" w:sz="4" w:space="0"/>
                  <w:left w:val="single" w:color="auto" w:sz="4" w:space="0"/>
                  <w:bottom w:val="single" w:color="auto" w:sz="4" w:space="0"/>
                  <w:right w:val="single" w:color="auto" w:sz="4" w:space="0"/>
                </w:tcBorders>
              </w:tcPr>
              <w:p w14:paraId="6DCDCDB8">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tcPr>
              <w:p w14:paraId="49DBFCD3">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53E17AB">
                <w:pPr>
                  <w:jc w:val="right"/>
                  <w:rPr>
                    <w:rFonts w:cs="Times New Roman"/>
                  </w:rPr>
                </w:pPr>
                <w:r>
                  <w:rPr>
                    <w:rFonts w:cs="Times New Roman"/>
                  </w:rPr>
                  <w:t>233,579,122.54</w:t>
                </w:r>
              </w:p>
            </w:tc>
            <w:tc>
              <w:tcPr>
                <w:tcW w:w="789" w:type="pct"/>
                <w:tcBorders>
                  <w:top w:val="single" w:color="auto" w:sz="4" w:space="0"/>
                  <w:left w:val="single" w:color="auto" w:sz="4" w:space="0"/>
                  <w:bottom w:val="single" w:color="auto" w:sz="4" w:space="0"/>
                  <w:right w:val="single" w:color="auto" w:sz="4" w:space="0"/>
                </w:tcBorders>
              </w:tcPr>
              <w:p w14:paraId="72A24030">
                <w:pPr>
                  <w:jc w:val="right"/>
                  <w:rPr>
                    <w:rFonts w:cs="Times New Roman"/>
                  </w:rPr>
                </w:pPr>
              </w:p>
            </w:tc>
          </w:tr>
        </w:sdtContent>
      </w:sdt>
      <w:sdt>
        <w:sdtPr>
          <w:rPr>
            <w:rFonts w:cs="Times New Roman"/>
          </w:rPr>
          <w:alias w:val="对子公司投资明细"/>
          <w:tag w:val="_TUP_321065c012a14e8eb3b6aecf92f7a7bb"/>
          <w:id w:val="140933604"/>
          <w:placeholder>
            <w:docPart w:val="{31e701fb-1afd-481e-b699-3b89320895e4}"/>
          </w:placeholder>
        </w:sdtPr>
        <w:sdtEndPr>
          <w:rPr>
            <w:rFonts w:cs="Times New Roman"/>
          </w:rPr>
        </w:sdtEndPr>
        <w:sdtContent>
          <w:tr w14:paraId="6C44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18B3C386">
                <w:pPr>
                  <w:rPr>
                    <w:rFonts w:cs="Times New Roman"/>
                  </w:rPr>
                </w:pPr>
                <w:r>
                  <w:rPr>
                    <w:rFonts w:cs="Times New Roman"/>
                  </w:rPr>
                  <w:t>际华三五零二职业装有限公司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3824CF47">
                <w:pPr>
                  <w:jc w:val="right"/>
                  <w:rPr>
                    <w:rFonts w:cs="Times New Roman"/>
                  </w:rPr>
                </w:pPr>
                <w:r>
                  <w:rPr>
                    <w:rFonts w:cs="Times New Roman"/>
                  </w:rPr>
                  <w:t>235,556,667.51</w:t>
                </w:r>
              </w:p>
            </w:tc>
            <w:tc>
              <w:tcPr>
                <w:tcW w:w="654" w:type="pct"/>
                <w:tcBorders>
                  <w:top w:val="single" w:color="auto" w:sz="4" w:space="0"/>
                  <w:left w:val="single" w:color="auto" w:sz="4" w:space="0"/>
                  <w:bottom w:val="single" w:color="auto" w:sz="4" w:space="0"/>
                  <w:right w:val="single" w:color="auto" w:sz="4" w:space="0"/>
                </w:tcBorders>
              </w:tcPr>
              <w:p w14:paraId="5B81D271">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4ADF849">
                <w:pPr>
                  <w:jc w:val="right"/>
                  <w:rPr>
                    <w:rFonts w:cs="Times New Roman"/>
                  </w:rPr>
                </w:pPr>
                <w:r>
                  <w:rPr>
                    <w:rFonts w:cs="Times New Roman"/>
                  </w:rPr>
                  <w:t>10,253,436.07</w:t>
                </w:r>
              </w:p>
            </w:tc>
            <w:tc>
              <w:tcPr>
                <w:tcW w:w="786" w:type="pct"/>
                <w:tcBorders>
                  <w:top w:val="single" w:color="auto" w:sz="4" w:space="0"/>
                  <w:left w:val="single" w:color="auto" w:sz="4" w:space="0"/>
                  <w:bottom w:val="single" w:color="auto" w:sz="4" w:space="0"/>
                  <w:right w:val="single" w:color="auto" w:sz="4" w:space="0"/>
                </w:tcBorders>
                <w:vAlign w:val="center"/>
              </w:tcPr>
              <w:p w14:paraId="79D58EB5">
                <w:pPr>
                  <w:jc w:val="right"/>
                  <w:rPr>
                    <w:rFonts w:cs="Times New Roman"/>
                  </w:rPr>
                </w:pPr>
                <w:r>
                  <w:rPr>
                    <w:rFonts w:cs="Times New Roman"/>
                  </w:rPr>
                  <w:t>245,810,103.58</w:t>
                </w:r>
              </w:p>
            </w:tc>
            <w:tc>
              <w:tcPr>
                <w:tcW w:w="789" w:type="pct"/>
                <w:tcBorders>
                  <w:top w:val="single" w:color="auto" w:sz="4" w:space="0"/>
                  <w:left w:val="single" w:color="auto" w:sz="4" w:space="0"/>
                  <w:bottom w:val="single" w:color="auto" w:sz="4" w:space="0"/>
                  <w:right w:val="single" w:color="auto" w:sz="4" w:space="0"/>
                </w:tcBorders>
              </w:tcPr>
              <w:p w14:paraId="417E6F33">
                <w:pPr>
                  <w:jc w:val="right"/>
                  <w:rPr>
                    <w:rFonts w:cs="Times New Roman"/>
                  </w:rPr>
                </w:pPr>
              </w:p>
            </w:tc>
          </w:tr>
        </w:sdtContent>
      </w:sdt>
      <w:sdt>
        <w:sdtPr>
          <w:rPr>
            <w:rFonts w:cs="Times New Roman"/>
          </w:rPr>
          <w:alias w:val="对子公司投资明细"/>
          <w:tag w:val="_TUP_321065c012a14e8eb3b6aecf92f7a7bb"/>
          <w:id w:val="-2030863779"/>
          <w:placeholder>
            <w:docPart w:val="{31e701fb-1afd-481e-b699-3b89320895e4}"/>
          </w:placeholder>
        </w:sdtPr>
        <w:sdtEndPr>
          <w:rPr>
            <w:rFonts w:cs="Times New Roman"/>
          </w:rPr>
        </w:sdtEndPr>
        <w:sdtContent>
          <w:tr w14:paraId="72AF1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27E279C5">
                <w:pPr>
                  <w:rPr>
                    <w:rFonts w:cs="Times New Roman"/>
                  </w:rPr>
                </w:pPr>
                <w:r>
                  <w:rPr>
                    <w:rFonts w:cs="Times New Roman"/>
                  </w:rPr>
                  <w:t>南京际华三五〇三服装有限公司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52BDCF41">
                <w:pPr>
                  <w:jc w:val="right"/>
                  <w:rPr>
                    <w:rFonts w:cs="Times New Roman"/>
                  </w:rPr>
                </w:pPr>
                <w:r>
                  <w:rPr>
                    <w:rFonts w:cs="Times New Roman"/>
                  </w:rPr>
                  <w:t>56,096,213.14</w:t>
                </w:r>
              </w:p>
            </w:tc>
            <w:tc>
              <w:tcPr>
                <w:tcW w:w="654" w:type="pct"/>
                <w:tcBorders>
                  <w:top w:val="single" w:color="auto" w:sz="4" w:space="0"/>
                  <w:left w:val="single" w:color="auto" w:sz="4" w:space="0"/>
                  <w:bottom w:val="single" w:color="auto" w:sz="4" w:space="0"/>
                  <w:right w:val="single" w:color="auto" w:sz="4" w:space="0"/>
                </w:tcBorders>
              </w:tcPr>
              <w:p w14:paraId="3BDA2C70">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1A98BED">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957E399">
                <w:pPr>
                  <w:jc w:val="right"/>
                  <w:rPr>
                    <w:rFonts w:cs="Times New Roman"/>
                  </w:rPr>
                </w:pPr>
                <w:r>
                  <w:rPr>
                    <w:rFonts w:cs="Times New Roman"/>
                  </w:rPr>
                  <w:t>56,096,213.14</w:t>
                </w:r>
              </w:p>
            </w:tc>
            <w:tc>
              <w:tcPr>
                <w:tcW w:w="789" w:type="pct"/>
                <w:tcBorders>
                  <w:top w:val="single" w:color="auto" w:sz="4" w:space="0"/>
                  <w:left w:val="single" w:color="auto" w:sz="4" w:space="0"/>
                  <w:bottom w:val="single" w:color="auto" w:sz="4" w:space="0"/>
                  <w:right w:val="single" w:color="auto" w:sz="4" w:space="0"/>
                </w:tcBorders>
              </w:tcPr>
              <w:p w14:paraId="15B2E66B">
                <w:pPr>
                  <w:jc w:val="right"/>
                  <w:rPr>
                    <w:rFonts w:cs="Times New Roman"/>
                  </w:rPr>
                </w:pPr>
              </w:p>
            </w:tc>
          </w:tr>
        </w:sdtContent>
      </w:sdt>
      <w:sdt>
        <w:sdtPr>
          <w:rPr>
            <w:rFonts w:cs="Times New Roman"/>
          </w:rPr>
          <w:alias w:val="对子公司投资明细"/>
          <w:tag w:val="_TUP_321065c012a14e8eb3b6aecf92f7a7bb"/>
          <w:id w:val="-1651902035"/>
          <w:placeholder>
            <w:docPart w:val="{31e701fb-1afd-481e-b699-3b89320895e4}"/>
          </w:placeholder>
        </w:sdtPr>
        <w:sdtEndPr>
          <w:rPr>
            <w:rFonts w:cs="Times New Roman"/>
          </w:rPr>
        </w:sdtEndPr>
        <w:sdtContent>
          <w:tr w14:paraId="1F80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1465AE57">
                <w:pPr>
                  <w:rPr>
                    <w:rFonts w:cs="Times New Roman"/>
                  </w:rPr>
                </w:pPr>
                <w:r>
                  <w:rPr>
                    <w:rFonts w:cs="Times New Roman"/>
                  </w:rPr>
                  <w:t>际华三五零六纺织服装有限公司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4FF3AF51">
                <w:pPr>
                  <w:jc w:val="right"/>
                  <w:rPr>
                    <w:rFonts w:cs="Times New Roman"/>
                  </w:rPr>
                </w:pPr>
                <w:r>
                  <w:rPr>
                    <w:rFonts w:cs="Times New Roman"/>
                  </w:rPr>
                  <w:t>160,308,197.52</w:t>
                </w:r>
              </w:p>
            </w:tc>
            <w:tc>
              <w:tcPr>
                <w:tcW w:w="654" w:type="pct"/>
                <w:tcBorders>
                  <w:top w:val="single" w:color="auto" w:sz="4" w:space="0"/>
                  <w:left w:val="single" w:color="auto" w:sz="4" w:space="0"/>
                  <w:bottom w:val="single" w:color="auto" w:sz="4" w:space="0"/>
                  <w:right w:val="single" w:color="auto" w:sz="4" w:space="0"/>
                </w:tcBorders>
              </w:tcPr>
              <w:p w14:paraId="409AF038">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0C07AE29">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6C12831">
                <w:pPr>
                  <w:jc w:val="right"/>
                  <w:rPr>
                    <w:rFonts w:cs="Times New Roman"/>
                  </w:rPr>
                </w:pPr>
                <w:r>
                  <w:rPr>
                    <w:rFonts w:cs="Times New Roman"/>
                  </w:rPr>
                  <w:t>160,308,197.52</w:t>
                </w:r>
              </w:p>
            </w:tc>
            <w:tc>
              <w:tcPr>
                <w:tcW w:w="789" w:type="pct"/>
                <w:tcBorders>
                  <w:top w:val="single" w:color="auto" w:sz="4" w:space="0"/>
                  <w:left w:val="single" w:color="auto" w:sz="4" w:space="0"/>
                  <w:bottom w:val="single" w:color="auto" w:sz="4" w:space="0"/>
                  <w:right w:val="single" w:color="auto" w:sz="4" w:space="0"/>
                </w:tcBorders>
              </w:tcPr>
              <w:p w14:paraId="1A25BF20">
                <w:pPr>
                  <w:jc w:val="right"/>
                  <w:rPr>
                    <w:rFonts w:cs="Times New Roman"/>
                  </w:rPr>
                </w:pPr>
              </w:p>
            </w:tc>
          </w:tr>
        </w:sdtContent>
      </w:sdt>
      <w:sdt>
        <w:sdtPr>
          <w:rPr>
            <w:rFonts w:cs="Times New Roman"/>
          </w:rPr>
          <w:alias w:val="对子公司投资明细"/>
          <w:tag w:val="_TUP_321065c012a14e8eb3b6aecf92f7a7bb"/>
          <w:id w:val="-750115751"/>
          <w:placeholder>
            <w:docPart w:val="{31e701fb-1afd-481e-b699-3b89320895e4}"/>
          </w:placeholder>
        </w:sdtPr>
        <w:sdtEndPr>
          <w:rPr>
            <w:rFonts w:cs="Times New Roman"/>
          </w:rPr>
        </w:sdtEndPr>
        <w:sdtContent>
          <w:tr w14:paraId="6F0F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385FF477">
                <w:pPr>
                  <w:rPr>
                    <w:rFonts w:cs="Times New Roman"/>
                  </w:rPr>
                </w:pPr>
                <w:r>
                  <w:rPr>
                    <w:rFonts w:cs="Times New Roman"/>
                  </w:rPr>
                  <w:t>际华三五三四制衣有限公司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6FF865DE">
                <w:pPr>
                  <w:jc w:val="right"/>
                  <w:rPr>
                    <w:rFonts w:cs="Times New Roman"/>
                  </w:rPr>
                </w:pPr>
                <w:r>
                  <w:rPr>
                    <w:rFonts w:cs="Times New Roman"/>
                  </w:rPr>
                  <w:t>487,663,549.50</w:t>
                </w:r>
              </w:p>
            </w:tc>
            <w:tc>
              <w:tcPr>
                <w:tcW w:w="654" w:type="pct"/>
                <w:tcBorders>
                  <w:top w:val="single" w:color="auto" w:sz="4" w:space="0"/>
                  <w:left w:val="single" w:color="auto" w:sz="4" w:space="0"/>
                  <w:bottom w:val="single" w:color="auto" w:sz="4" w:space="0"/>
                  <w:right w:val="single" w:color="auto" w:sz="4" w:space="0"/>
                </w:tcBorders>
              </w:tcPr>
              <w:p w14:paraId="3CC314DE">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12C88471">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1C8F6EBB">
                <w:pPr>
                  <w:jc w:val="right"/>
                  <w:rPr>
                    <w:rFonts w:cs="Times New Roman"/>
                  </w:rPr>
                </w:pPr>
                <w:r>
                  <w:rPr>
                    <w:rFonts w:cs="Times New Roman"/>
                  </w:rPr>
                  <w:t>487,663,549.50</w:t>
                </w:r>
              </w:p>
            </w:tc>
            <w:tc>
              <w:tcPr>
                <w:tcW w:w="789" w:type="pct"/>
                <w:tcBorders>
                  <w:top w:val="single" w:color="auto" w:sz="4" w:space="0"/>
                  <w:left w:val="single" w:color="auto" w:sz="4" w:space="0"/>
                  <w:bottom w:val="single" w:color="auto" w:sz="4" w:space="0"/>
                  <w:right w:val="single" w:color="auto" w:sz="4" w:space="0"/>
                </w:tcBorders>
              </w:tcPr>
              <w:p w14:paraId="7E8E62DE">
                <w:pPr>
                  <w:jc w:val="right"/>
                  <w:rPr>
                    <w:rFonts w:cs="Times New Roman"/>
                  </w:rPr>
                </w:pPr>
              </w:p>
            </w:tc>
          </w:tr>
        </w:sdtContent>
      </w:sdt>
      <w:sdt>
        <w:sdtPr>
          <w:rPr>
            <w:rFonts w:cs="Times New Roman"/>
          </w:rPr>
          <w:alias w:val="对子公司投资明细"/>
          <w:tag w:val="_TUP_321065c012a14e8eb3b6aecf92f7a7bb"/>
          <w:id w:val="-1148967673"/>
          <w:placeholder>
            <w:docPart w:val="{31e701fb-1afd-481e-b699-3b89320895e4}"/>
          </w:placeholder>
        </w:sdtPr>
        <w:sdtEndPr>
          <w:rPr>
            <w:rFonts w:cs="Times New Roman"/>
          </w:rPr>
        </w:sdtEndPr>
        <w:sdtContent>
          <w:tr w14:paraId="3472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24B0B862">
                <w:pPr>
                  <w:rPr>
                    <w:rFonts w:cs="Times New Roman"/>
                  </w:rPr>
                </w:pPr>
                <w:r>
                  <w:rPr>
                    <w:rFonts w:cs="Times New Roman"/>
                  </w:rPr>
                  <w:t>际华三五三六实业有限公司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01070A38">
                <w:pPr>
                  <w:jc w:val="right"/>
                  <w:rPr>
                    <w:rFonts w:cs="Times New Roman"/>
                  </w:rPr>
                </w:pPr>
                <w:r>
                  <w:rPr>
                    <w:rFonts w:cs="Times New Roman"/>
                  </w:rPr>
                  <w:t>176,429,937.87</w:t>
                </w:r>
              </w:p>
            </w:tc>
            <w:tc>
              <w:tcPr>
                <w:tcW w:w="654" w:type="pct"/>
                <w:tcBorders>
                  <w:top w:val="single" w:color="auto" w:sz="4" w:space="0"/>
                  <w:left w:val="single" w:color="auto" w:sz="4" w:space="0"/>
                  <w:bottom w:val="single" w:color="auto" w:sz="4" w:space="0"/>
                  <w:right w:val="single" w:color="auto" w:sz="4" w:space="0"/>
                </w:tcBorders>
              </w:tcPr>
              <w:p w14:paraId="08648308">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7EB8F9B7">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3E893773">
                <w:pPr>
                  <w:jc w:val="right"/>
                  <w:rPr>
                    <w:rFonts w:cs="Times New Roman"/>
                  </w:rPr>
                </w:pPr>
                <w:r>
                  <w:rPr>
                    <w:rFonts w:cs="Times New Roman"/>
                  </w:rPr>
                  <w:t>176,429,937.87</w:t>
                </w:r>
              </w:p>
            </w:tc>
            <w:tc>
              <w:tcPr>
                <w:tcW w:w="789" w:type="pct"/>
                <w:tcBorders>
                  <w:top w:val="single" w:color="auto" w:sz="4" w:space="0"/>
                  <w:left w:val="single" w:color="auto" w:sz="4" w:space="0"/>
                  <w:bottom w:val="single" w:color="auto" w:sz="4" w:space="0"/>
                  <w:right w:val="single" w:color="auto" w:sz="4" w:space="0"/>
                </w:tcBorders>
              </w:tcPr>
              <w:p w14:paraId="7C1BBB1B">
                <w:pPr>
                  <w:jc w:val="right"/>
                  <w:rPr>
                    <w:rFonts w:cs="Times New Roman"/>
                  </w:rPr>
                </w:pPr>
              </w:p>
            </w:tc>
          </w:tr>
        </w:sdtContent>
      </w:sdt>
      <w:sdt>
        <w:sdtPr>
          <w:rPr>
            <w:rFonts w:cs="Times New Roman"/>
          </w:rPr>
          <w:alias w:val="对子公司投资明细"/>
          <w:tag w:val="_TUP_321065c012a14e8eb3b6aecf92f7a7bb"/>
          <w:id w:val="-874318915"/>
          <w:placeholder>
            <w:docPart w:val="{31e701fb-1afd-481e-b699-3b89320895e4}"/>
          </w:placeholder>
        </w:sdtPr>
        <w:sdtEndPr>
          <w:rPr>
            <w:rFonts w:cs="Times New Roman"/>
          </w:rPr>
        </w:sdtEndPr>
        <w:sdtContent>
          <w:tr w14:paraId="12BF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5AAE2BFD">
                <w:pPr>
                  <w:rPr>
                    <w:rFonts w:cs="Times New Roman"/>
                  </w:rPr>
                </w:pPr>
                <w:r>
                  <w:rPr>
                    <w:rFonts w:cs="Times New Roman"/>
                  </w:rPr>
                  <w:t>新疆际华七五五五职业装有限公司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1D21F837">
                <w:pPr>
                  <w:jc w:val="right"/>
                  <w:rPr>
                    <w:rFonts w:cs="Times New Roman"/>
                  </w:rPr>
                </w:pPr>
                <w:r>
                  <w:rPr>
                    <w:rFonts w:cs="Times New Roman"/>
                  </w:rPr>
                  <w:t>62,179,295.70</w:t>
                </w:r>
              </w:p>
            </w:tc>
            <w:tc>
              <w:tcPr>
                <w:tcW w:w="654" w:type="pct"/>
                <w:tcBorders>
                  <w:top w:val="single" w:color="auto" w:sz="4" w:space="0"/>
                  <w:left w:val="single" w:color="auto" w:sz="4" w:space="0"/>
                  <w:bottom w:val="single" w:color="auto" w:sz="4" w:space="0"/>
                  <w:right w:val="single" w:color="auto" w:sz="4" w:space="0"/>
                </w:tcBorders>
              </w:tcPr>
              <w:p w14:paraId="5C8E19DC">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2FD6F175">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4EF256AE">
                <w:pPr>
                  <w:jc w:val="right"/>
                  <w:rPr>
                    <w:rFonts w:cs="Times New Roman"/>
                  </w:rPr>
                </w:pPr>
                <w:r>
                  <w:rPr>
                    <w:rFonts w:cs="Times New Roman"/>
                  </w:rPr>
                  <w:t>62,179,295.70</w:t>
                </w:r>
              </w:p>
            </w:tc>
            <w:tc>
              <w:tcPr>
                <w:tcW w:w="789" w:type="pct"/>
                <w:tcBorders>
                  <w:top w:val="single" w:color="auto" w:sz="4" w:space="0"/>
                  <w:left w:val="single" w:color="auto" w:sz="4" w:space="0"/>
                  <w:bottom w:val="single" w:color="auto" w:sz="4" w:space="0"/>
                  <w:right w:val="single" w:color="auto" w:sz="4" w:space="0"/>
                </w:tcBorders>
              </w:tcPr>
              <w:p w14:paraId="67E7AE59">
                <w:pPr>
                  <w:jc w:val="right"/>
                  <w:rPr>
                    <w:rFonts w:cs="Times New Roman"/>
                  </w:rPr>
                </w:pPr>
              </w:p>
            </w:tc>
          </w:tr>
        </w:sdtContent>
      </w:sdt>
      <w:sdt>
        <w:sdtPr>
          <w:rPr>
            <w:rFonts w:cs="Times New Roman"/>
          </w:rPr>
          <w:alias w:val="对子公司投资明细"/>
          <w:tag w:val="_TUP_321065c012a14e8eb3b6aecf92f7a7bb"/>
          <w:id w:val="291795199"/>
          <w:placeholder>
            <w:docPart w:val="{31e701fb-1afd-481e-b699-3b89320895e4}"/>
          </w:placeholder>
        </w:sdtPr>
        <w:sdtEndPr>
          <w:rPr>
            <w:rFonts w:cs="Times New Roman"/>
          </w:rPr>
        </w:sdtEndPr>
        <w:sdtContent>
          <w:tr w14:paraId="19BF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3FEBD8B8">
                <w:pPr>
                  <w:rPr>
                    <w:rFonts w:cs="Times New Roman"/>
                  </w:rPr>
                </w:pPr>
                <w:r>
                  <w:rPr>
                    <w:rFonts w:cs="Times New Roman"/>
                  </w:rPr>
                  <w:t>际华三五零九纺织有限公司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6FE1DA5B">
                <w:pPr>
                  <w:jc w:val="right"/>
                  <w:rPr>
                    <w:rFonts w:cs="Times New Roman"/>
                  </w:rPr>
                </w:pPr>
                <w:r>
                  <w:rPr>
                    <w:rFonts w:cs="Times New Roman"/>
                  </w:rPr>
                  <w:t>211,645,686.15</w:t>
                </w:r>
              </w:p>
            </w:tc>
            <w:tc>
              <w:tcPr>
                <w:tcW w:w="654" w:type="pct"/>
                <w:tcBorders>
                  <w:top w:val="single" w:color="auto" w:sz="4" w:space="0"/>
                  <w:left w:val="single" w:color="auto" w:sz="4" w:space="0"/>
                  <w:bottom w:val="single" w:color="auto" w:sz="4" w:space="0"/>
                  <w:right w:val="single" w:color="auto" w:sz="4" w:space="0"/>
                </w:tcBorders>
              </w:tcPr>
              <w:p w14:paraId="05847597">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19B1ACD7">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0C7DAEB0">
                <w:pPr>
                  <w:jc w:val="right"/>
                  <w:rPr>
                    <w:rFonts w:cs="Times New Roman"/>
                  </w:rPr>
                </w:pPr>
                <w:r>
                  <w:rPr>
                    <w:rFonts w:cs="Times New Roman"/>
                  </w:rPr>
                  <w:t>211,645,686.15</w:t>
                </w:r>
              </w:p>
            </w:tc>
            <w:tc>
              <w:tcPr>
                <w:tcW w:w="789" w:type="pct"/>
                <w:tcBorders>
                  <w:top w:val="single" w:color="auto" w:sz="4" w:space="0"/>
                  <w:left w:val="single" w:color="auto" w:sz="4" w:space="0"/>
                  <w:bottom w:val="single" w:color="auto" w:sz="4" w:space="0"/>
                  <w:right w:val="single" w:color="auto" w:sz="4" w:space="0"/>
                </w:tcBorders>
              </w:tcPr>
              <w:p w14:paraId="58F82A78">
                <w:pPr>
                  <w:jc w:val="right"/>
                  <w:rPr>
                    <w:rFonts w:cs="Times New Roman"/>
                  </w:rPr>
                </w:pPr>
              </w:p>
            </w:tc>
          </w:tr>
        </w:sdtContent>
      </w:sdt>
      <w:sdt>
        <w:sdtPr>
          <w:rPr>
            <w:rFonts w:cs="Times New Roman"/>
          </w:rPr>
          <w:alias w:val="对子公司投资明细"/>
          <w:tag w:val="_TUP_321065c012a14e8eb3b6aecf92f7a7bb"/>
          <w:id w:val="1279613569"/>
          <w:placeholder>
            <w:docPart w:val="{31e701fb-1afd-481e-b699-3b89320895e4}"/>
          </w:placeholder>
        </w:sdtPr>
        <w:sdtEndPr>
          <w:rPr>
            <w:rFonts w:cs="Times New Roman"/>
          </w:rPr>
        </w:sdtEndPr>
        <w:sdtContent>
          <w:tr w14:paraId="4EAC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49625193">
                <w:pPr>
                  <w:rPr>
                    <w:rFonts w:cs="Times New Roman"/>
                  </w:rPr>
                </w:pPr>
                <w:r>
                  <w:rPr>
                    <w:rFonts w:cs="Times New Roman"/>
                  </w:rPr>
                  <w:t>际华三五一一实业有限公司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7C7A5BF1">
                <w:pPr>
                  <w:jc w:val="right"/>
                  <w:rPr>
                    <w:rFonts w:cs="Times New Roman"/>
                  </w:rPr>
                </w:pPr>
                <w:r>
                  <w:rPr>
                    <w:rFonts w:cs="Times New Roman"/>
                  </w:rPr>
                  <w:t>58,913,424.40</w:t>
                </w:r>
              </w:p>
            </w:tc>
            <w:tc>
              <w:tcPr>
                <w:tcW w:w="654" w:type="pct"/>
                <w:tcBorders>
                  <w:top w:val="single" w:color="auto" w:sz="4" w:space="0"/>
                  <w:left w:val="single" w:color="auto" w:sz="4" w:space="0"/>
                  <w:bottom w:val="single" w:color="auto" w:sz="4" w:space="0"/>
                  <w:right w:val="single" w:color="auto" w:sz="4" w:space="0"/>
                </w:tcBorders>
              </w:tcPr>
              <w:p w14:paraId="675B1B50">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1103406">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6FF4FF7C">
                <w:pPr>
                  <w:jc w:val="right"/>
                  <w:rPr>
                    <w:rFonts w:cs="Times New Roman"/>
                  </w:rPr>
                </w:pPr>
                <w:r>
                  <w:rPr>
                    <w:rFonts w:cs="Times New Roman"/>
                  </w:rPr>
                  <w:t>58,913,424.40</w:t>
                </w:r>
              </w:p>
            </w:tc>
            <w:tc>
              <w:tcPr>
                <w:tcW w:w="789" w:type="pct"/>
                <w:tcBorders>
                  <w:top w:val="single" w:color="auto" w:sz="4" w:space="0"/>
                  <w:left w:val="single" w:color="auto" w:sz="4" w:space="0"/>
                  <w:bottom w:val="single" w:color="auto" w:sz="4" w:space="0"/>
                  <w:right w:val="single" w:color="auto" w:sz="4" w:space="0"/>
                </w:tcBorders>
              </w:tcPr>
              <w:p w14:paraId="6A836B3E">
                <w:pPr>
                  <w:jc w:val="right"/>
                  <w:rPr>
                    <w:rFonts w:cs="Times New Roman"/>
                  </w:rPr>
                </w:pPr>
              </w:p>
            </w:tc>
          </w:tr>
        </w:sdtContent>
      </w:sdt>
      <w:sdt>
        <w:sdtPr>
          <w:rPr>
            <w:rFonts w:cs="Times New Roman"/>
          </w:rPr>
          <w:alias w:val="对子公司投资明细"/>
          <w:tag w:val="_TUP_321065c012a14e8eb3b6aecf92f7a7bb"/>
          <w:id w:val="1888376642"/>
          <w:placeholder>
            <w:docPart w:val="{31e701fb-1afd-481e-b699-3b89320895e4}"/>
          </w:placeholder>
        </w:sdtPr>
        <w:sdtEndPr>
          <w:rPr>
            <w:rFonts w:cs="Times New Roman"/>
          </w:rPr>
        </w:sdtEndPr>
        <w:sdtContent>
          <w:tr w14:paraId="4BE0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566AD043">
                <w:pPr>
                  <w:rPr>
                    <w:rFonts w:cs="Times New Roman"/>
                  </w:rPr>
                </w:pPr>
                <w:r>
                  <w:rPr>
                    <w:rFonts w:cs="Times New Roman"/>
                  </w:rPr>
                  <w:t>际华三五四二纺织有限公司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66F0E1E6">
                <w:pPr>
                  <w:jc w:val="right"/>
                  <w:rPr>
                    <w:rFonts w:cs="Times New Roman"/>
                  </w:rPr>
                </w:pPr>
                <w:r>
                  <w:rPr>
                    <w:rFonts w:cs="Times New Roman"/>
                  </w:rPr>
                  <w:t>226,184,300.00</w:t>
                </w:r>
              </w:p>
            </w:tc>
            <w:tc>
              <w:tcPr>
                <w:tcW w:w="654" w:type="pct"/>
                <w:tcBorders>
                  <w:top w:val="single" w:color="auto" w:sz="4" w:space="0"/>
                  <w:left w:val="single" w:color="auto" w:sz="4" w:space="0"/>
                  <w:bottom w:val="single" w:color="auto" w:sz="4" w:space="0"/>
                  <w:right w:val="single" w:color="auto" w:sz="4" w:space="0"/>
                </w:tcBorders>
              </w:tcPr>
              <w:p w14:paraId="14702004">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2CE54F62">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9F5F124">
                <w:pPr>
                  <w:jc w:val="right"/>
                  <w:rPr>
                    <w:rFonts w:cs="Times New Roman"/>
                  </w:rPr>
                </w:pPr>
                <w:r>
                  <w:rPr>
                    <w:rFonts w:cs="Times New Roman"/>
                  </w:rPr>
                  <w:t>226,184,300.00</w:t>
                </w:r>
              </w:p>
            </w:tc>
            <w:tc>
              <w:tcPr>
                <w:tcW w:w="789" w:type="pct"/>
                <w:tcBorders>
                  <w:top w:val="single" w:color="auto" w:sz="4" w:space="0"/>
                  <w:left w:val="single" w:color="auto" w:sz="4" w:space="0"/>
                  <w:bottom w:val="single" w:color="auto" w:sz="4" w:space="0"/>
                  <w:right w:val="single" w:color="auto" w:sz="4" w:space="0"/>
                </w:tcBorders>
              </w:tcPr>
              <w:p w14:paraId="1C894B8A">
                <w:pPr>
                  <w:jc w:val="right"/>
                  <w:rPr>
                    <w:rFonts w:cs="Times New Roman"/>
                  </w:rPr>
                </w:pPr>
              </w:p>
            </w:tc>
          </w:tr>
        </w:sdtContent>
      </w:sdt>
      <w:sdt>
        <w:sdtPr>
          <w:rPr>
            <w:rFonts w:cs="Times New Roman"/>
          </w:rPr>
          <w:alias w:val="对子公司投资明细"/>
          <w:tag w:val="_TUP_321065c012a14e8eb3b6aecf92f7a7bb"/>
          <w:id w:val="-687291514"/>
          <w:placeholder>
            <w:docPart w:val="{31e701fb-1afd-481e-b699-3b89320895e4}"/>
          </w:placeholder>
        </w:sdtPr>
        <w:sdtEndPr>
          <w:rPr>
            <w:rFonts w:cs="Times New Roman"/>
          </w:rPr>
        </w:sdtEndPr>
        <w:sdtContent>
          <w:tr w14:paraId="52A8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5FF1385E">
                <w:pPr>
                  <w:rPr>
                    <w:rFonts w:cs="Times New Roman"/>
                  </w:rPr>
                </w:pPr>
                <w:r>
                  <w:rPr>
                    <w:rFonts w:cs="Times New Roman"/>
                  </w:rPr>
                  <w:t>际华三五一二皮革服装有限公司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232CF70D">
                <w:pPr>
                  <w:jc w:val="right"/>
                  <w:rPr>
                    <w:rFonts w:cs="Times New Roman"/>
                  </w:rPr>
                </w:pPr>
                <w:r>
                  <w:rPr>
                    <w:rFonts w:cs="Times New Roman"/>
                  </w:rPr>
                  <w:t>129,862,876.03</w:t>
                </w:r>
              </w:p>
            </w:tc>
            <w:tc>
              <w:tcPr>
                <w:tcW w:w="654" w:type="pct"/>
                <w:tcBorders>
                  <w:top w:val="single" w:color="auto" w:sz="4" w:space="0"/>
                  <w:left w:val="single" w:color="auto" w:sz="4" w:space="0"/>
                  <w:bottom w:val="single" w:color="auto" w:sz="4" w:space="0"/>
                  <w:right w:val="single" w:color="auto" w:sz="4" w:space="0"/>
                </w:tcBorders>
              </w:tcPr>
              <w:p w14:paraId="0D7B20BD">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6189FFB4">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76235FD">
                <w:pPr>
                  <w:jc w:val="right"/>
                  <w:rPr>
                    <w:rFonts w:cs="Times New Roman"/>
                  </w:rPr>
                </w:pPr>
                <w:r>
                  <w:rPr>
                    <w:rFonts w:cs="Times New Roman"/>
                  </w:rPr>
                  <w:t>129,862,876.03</w:t>
                </w:r>
              </w:p>
            </w:tc>
            <w:tc>
              <w:tcPr>
                <w:tcW w:w="789" w:type="pct"/>
                <w:tcBorders>
                  <w:top w:val="single" w:color="auto" w:sz="4" w:space="0"/>
                  <w:left w:val="single" w:color="auto" w:sz="4" w:space="0"/>
                  <w:bottom w:val="single" w:color="auto" w:sz="4" w:space="0"/>
                  <w:right w:val="single" w:color="auto" w:sz="4" w:space="0"/>
                </w:tcBorders>
              </w:tcPr>
              <w:p w14:paraId="25C49C9E">
                <w:pPr>
                  <w:jc w:val="right"/>
                  <w:rPr>
                    <w:rFonts w:cs="Times New Roman"/>
                  </w:rPr>
                </w:pPr>
              </w:p>
            </w:tc>
          </w:tr>
        </w:sdtContent>
      </w:sdt>
      <w:sdt>
        <w:sdtPr>
          <w:rPr>
            <w:rFonts w:cs="Times New Roman"/>
          </w:rPr>
          <w:alias w:val="对子公司投资明细"/>
          <w:tag w:val="_TUP_321065c012a14e8eb3b6aecf92f7a7bb"/>
          <w:id w:val="1381981558"/>
          <w:placeholder>
            <w:docPart w:val="{31e701fb-1afd-481e-b699-3b89320895e4}"/>
          </w:placeholder>
        </w:sdtPr>
        <w:sdtEndPr>
          <w:rPr>
            <w:rFonts w:cs="Times New Roman"/>
          </w:rPr>
        </w:sdtEndPr>
        <w:sdtContent>
          <w:tr w14:paraId="53B3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743BA2BA">
                <w:pPr>
                  <w:rPr>
                    <w:rFonts w:cs="Times New Roman"/>
                  </w:rPr>
                </w:pPr>
                <w:r>
                  <w:rPr>
                    <w:rFonts w:cs="Times New Roman"/>
                  </w:rPr>
                  <w:t>际华三五一三实业有限公司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7F961732">
                <w:pPr>
                  <w:jc w:val="right"/>
                  <w:rPr>
                    <w:rFonts w:cs="Times New Roman"/>
                  </w:rPr>
                </w:pPr>
                <w:r>
                  <w:rPr>
                    <w:rFonts w:cs="Times New Roman"/>
                  </w:rPr>
                  <w:t>167,299,634.29</w:t>
                </w:r>
              </w:p>
            </w:tc>
            <w:tc>
              <w:tcPr>
                <w:tcW w:w="654" w:type="pct"/>
                <w:tcBorders>
                  <w:top w:val="single" w:color="auto" w:sz="4" w:space="0"/>
                  <w:left w:val="single" w:color="auto" w:sz="4" w:space="0"/>
                  <w:bottom w:val="single" w:color="auto" w:sz="4" w:space="0"/>
                  <w:right w:val="single" w:color="auto" w:sz="4" w:space="0"/>
                </w:tcBorders>
              </w:tcPr>
              <w:p w14:paraId="4C270D39">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B67FC83">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79ACE287">
                <w:pPr>
                  <w:jc w:val="right"/>
                  <w:rPr>
                    <w:rFonts w:cs="Times New Roman"/>
                  </w:rPr>
                </w:pPr>
                <w:r>
                  <w:rPr>
                    <w:rFonts w:cs="Times New Roman"/>
                  </w:rPr>
                  <w:t>167,299,634.29</w:t>
                </w:r>
              </w:p>
            </w:tc>
            <w:tc>
              <w:tcPr>
                <w:tcW w:w="789" w:type="pct"/>
                <w:tcBorders>
                  <w:top w:val="single" w:color="auto" w:sz="4" w:space="0"/>
                  <w:left w:val="single" w:color="auto" w:sz="4" w:space="0"/>
                  <w:bottom w:val="single" w:color="auto" w:sz="4" w:space="0"/>
                  <w:right w:val="single" w:color="auto" w:sz="4" w:space="0"/>
                </w:tcBorders>
              </w:tcPr>
              <w:p w14:paraId="6784BDB8">
                <w:pPr>
                  <w:jc w:val="right"/>
                  <w:rPr>
                    <w:rFonts w:cs="Times New Roman"/>
                  </w:rPr>
                </w:pPr>
              </w:p>
            </w:tc>
          </w:tr>
        </w:sdtContent>
      </w:sdt>
      <w:sdt>
        <w:sdtPr>
          <w:rPr>
            <w:rFonts w:cs="Times New Roman"/>
          </w:rPr>
          <w:alias w:val="对子公司投资明细"/>
          <w:tag w:val="_TUP_321065c012a14e8eb3b6aecf92f7a7bb"/>
          <w:id w:val="-995187215"/>
          <w:placeholder>
            <w:docPart w:val="{31e701fb-1afd-481e-b699-3b89320895e4}"/>
          </w:placeholder>
        </w:sdtPr>
        <w:sdtEndPr>
          <w:rPr>
            <w:rFonts w:cs="Times New Roman"/>
          </w:rPr>
        </w:sdtEndPr>
        <w:sdtContent>
          <w:tr w14:paraId="453F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4F527D9B">
                <w:pPr>
                  <w:rPr>
                    <w:rFonts w:cs="Times New Roman"/>
                  </w:rPr>
                </w:pPr>
                <w:r>
                  <w:rPr>
                    <w:rFonts w:cs="Times New Roman"/>
                  </w:rPr>
                  <w:t>际华三五一四制革制鞋有限公司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29DE159F">
                <w:pPr>
                  <w:jc w:val="right"/>
                  <w:rPr>
                    <w:rFonts w:cs="Times New Roman"/>
                  </w:rPr>
                </w:pPr>
                <w:r>
                  <w:rPr>
                    <w:rFonts w:cs="Times New Roman"/>
                  </w:rPr>
                  <w:t>245,394,500.89</w:t>
                </w:r>
              </w:p>
            </w:tc>
            <w:tc>
              <w:tcPr>
                <w:tcW w:w="654" w:type="pct"/>
                <w:tcBorders>
                  <w:top w:val="single" w:color="auto" w:sz="4" w:space="0"/>
                  <w:left w:val="single" w:color="auto" w:sz="4" w:space="0"/>
                  <w:bottom w:val="single" w:color="auto" w:sz="4" w:space="0"/>
                  <w:right w:val="single" w:color="auto" w:sz="4" w:space="0"/>
                </w:tcBorders>
              </w:tcPr>
              <w:p w14:paraId="55378113">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61268350">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5EDAE05">
                <w:pPr>
                  <w:jc w:val="right"/>
                  <w:rPr>
                    <w:rFonts w:cs="Times New Roman"/>
                  </w:rPr>
                </w:pPr>
                <w:r>
                  <w:rPr>
                    <w:rFonts w:cs="Times New Roman"/>
                  </w:rPr>
                  <w:t>245,394,500.89</w:t>
                </w:r>
              </w:p>
            </w:tc>
            <w:tc>
              <w:tcPr>
                <w:tcW w:w="789" w:type="pct"/>
                <w:tcBorders>
                  <w:top w:val="single" w:color="auto" w:sz="4" w:space="0"/>
                  <w:left w:val="single" w:color="auto" w:sz="4" w:space="0"/>
                  <w:bottom w:val="single" w:color="auto" w:sz="4" w:space="0"/>
                  <w:right w:val="single" w:color="auto" w:sz="4" w:space="0"/>
                </w:tcBorders>
              </w:tcPr>
              <w:p w14:paraId="22456362">
                <w:pPr>
                  <w:jc w:val="right"/>
                  <w:rPr>
                    <w:rFonts w:cs="Times New Roman"/>
                  </w:rPr>
                </w:pPr>
              </w:p>
            </w:tc>
          </w:tr>
        </w:sdtContent>
      </w:sdt>
      <w:sdt>
        <w:sdtPr>
          <w:rPr>
            <w:rFonts w:cs="Times New Roman"/>
          </w:rPr>
          <w:alias w:val="对子公司投资明细"/>
          <w:tag w:val="_TUP_321065c012a14e8eb3b6aecf92f7a7bb"/>
          <w:id w:val="-1517763803"/>
          <w:placeholder>
            <w:docPart w:val="{31e701fb-1afd-481e-b699-3b89320895e4}"/>
          </w:placeholder>
        </w:sdtPr>
        <w:sdtEndPr>
          <w:rPr>
            <w:rFonts w:cs="Times New Roman"/>
          </w:rPr>
        </w:sdtEndPr>
        <w:sdtContent>
          <w:tr w14:paraId="3DD5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6734C9A9">
                <w:pPr>
                  <w:rPr>
                    <w:rFonts w:cs="Times New Roman"/>
                  </w:rPr>
                </w:pPr>
                <w:r>
                  <w:rPr>
                    <w:rFonts w:cs="Times New Roman"/>
                  </w:rPr>
                  <w:t>际华三五一五皮革皮鞋有限公司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13E34C74">
                <w:pPr>
                  <w:jc w:val="right"/>
                  <w:rPr>
                    <w:rFonts w:cs="Times New Roman"/>
                  </w:rPr>
                </w:pPr>
                <w:r>
                  <w:rPr>
                    <w:rFonts w:cs="Times New Roman"/>
                  </w:rPr>
                  <w:t>143,421,800.00</w:t>
                </w:r>
              </w:p>
            </w:tc>
            <w:tc>
              <w:tcPr>
                <w:tcW w:w="654" w:type="pct"/>
                <w:tcBorders>
                  <w:top w:val="single" w:color="auto" w:sz="4" w:space="0"/>
                  <w:left w:val="single" w:color="auto" w:sz="4" w:space="0"/>
                  <w:bottom w:val="single" w:color="auto" w:sz="4" w:space="0"/>
                  <w:right w:val="single" w:color="auto" w:sz="4" w:space="0"/>
                </w:tcBorders>
              </w:tcPr>
              <w:p w14:paraId="5460EB25">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DA7A3A8">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46CFD164">
                <w:pPr>
                  <w:jc w:val="right"/>
                  <w:rPr>
                    <w:rFonts w:cs="Times New Roman"/>
                  </w:rPr>
                </w:pPr>
                <w:r>
                  <w:rPr>
                    <w:rFonts w:cs="Times New Roman"/>
                  </w:rPr>
                  <w:t>143,421,800.00</w:t>
                </w:r>
              </w:p>
            </w:tc>
            <w:tc>
              <w:tcPr>
                <w:tcW w:w="789" w:type="pct"/>
                <w:tcBorders>
                  <w:top w:val="single" w:color="auto" w:sz="4" w:space="0"/>
                  <w:left w:val="single" w:color="auto" w:sz="4" w:space="0"/>
                  <w:bottom w:val="single" w:color="auto" w:sz="4" w:space="0"/>
                  <w:right w:val="single" w:color="auto" w:sz="4" w:space="0"/>
                </w:tcBorders>
              </w:tcPr>
              <w:p w14:paraId="7AA8D57F">
                <w:pPr>
                  <w:jc w:val="right"/>
                  <w:rPr>
                    <w:rFonts w:cs="Times New Roman"/>
                  </w:rPr>
                </w:pPr>
              </w:p>
            </w:tc>
          </w:tr>
        </w:sdtContent>
      </w:sdt>
      <w:sdt>
        <w:sdtPr>
          <w:rPr>
            <w:rFonts w:cs="Times New Roman"/>
          </w:rPr>
          <w:alias w:val="对子公司投资明细"/>
          <w:tag w:val="_TUP_321065c012a14e8eb3b6aecf92f7a7bb"/>
          <w:id w:val="-1206870089"/>
          <w:placeholder>
            <w:docPart w:val="{31e701fb-1afd-481e-b699-3b89320895e4}"/>
          </w:placeholder>
        </w:sdtPr>
        <w:sdtEndPr>
          <w:rPr>
            <w:rFonts w:cs="Times New Roman"/>
          </w:rPr>
        </w:sdtEndPr>
        <w:sdtContent>
          <w:tr w14:paraId="7F28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30171CB5">
                <w:pPr>
                  <w:rPr>
                    <w:rFonts w:cs="Times New Roman"/>
                  </w:rPr>
                </w:pPr>
                <w:r>
                  <w:rPr>
                    <w:rFonts w:cs="Times New Roman"/>
                  </w:rPr>
                  <w:t>内蒙古际华森普利服装皮业有限公司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4B76C9C8">
                <w:pPr>
                  <w:jc w:val="right"/>
                  <w:rPr>
                    <w:rFonts w:cs="Times New Roman"/>
                  </w:rPr>
                </w:pPr>
                <w:r>
                  <w:rPr>
                    <w:rFonts w:cs="Times New Roman"/>
                  </w:rPr>
                  <w:t>52,059,300.81</w:t>
                </w:r>
              </w:p>
            </w:tc>
            <w:tc>
              <w:tcPr>
                <w:tcW w:w="654" w:type="pct"/>
                <w:tcBorders>
                  <w:top w:val="single" w:color="auto" w:sz="4" w:space="0"/>
                  <w:left w:val="single" w:color="auto" w:sz="4" w:space="0"/>
                  <w:bottom w:val="single" w:color="auto" w:sz="4" w:space="0"/>
                  <w:right w:val="single" w:color="auto" w:sz="4" w:space="0"/>
                </w:tcBorders>
              </w:tcPr>
              <w:p w14:paraId="014E73FF">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70DC35EA">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334581F1">
                <w:pPr>
                  <w:jc w:val="right"/>
                  <w:rPr>
                    <w:rFonts w:cs="Times New Roman"/>
                  </w:rPr>
                </w:pPr>
                <w:r>
                  <w:rPr>
                    <w:rFonts w:cs="Times New Roman"/>
                  </w:rPr>
                  <w:t>52,059,300.81</w:t>
                </w:r>
              </w:p>
            </w:tc>
            <w:tc>
              <w:tcPr>
                <w:tcW w:w="789" w:type="pct"/>
                <w:tcBorders>
                  <w:top w:val="single" w:color="auto" w:sz="4" w:space="0"/>
                  <w:left w:val="single" w:color="auto" w:sz="4" w:space="0"/>
                  <w:bottom w:val="single" w:color="auto" w:sz="4" w:space="0"/>
                  <w:right w:val="single" w:color="auto" w:sz="4" w:space="0"/>
                </w:tcBorders>
              </w:tcPr>
              <w:p w14:paraId="1FE33B03">
                <w:pPr>
                  <w:jc w:val="right"/>
                  <w:rPr>
                    <w:rFonts w:cs="Times New Roman"/>
                  </w:rPr>
                </w:pPr>
              </w:p>
            </w:tc>
          </w:tr>
        </w:sdtContent>
      </w:sdt>
      <w:sdt>
        <w:sdtPr>
          <w:rPr>
            <w:rFonts w:cs="Times New Roman"/>
          </w:rPr>
          <w:alias w:val="对子公司投资明细"/>
          <w:tag w:val="_TUP_321065c012a14e8eb3b6aecf92f7a7bb"/>
          <w:id w:val="-2140948099"/>
          <w:placeholder>
            <w:docPart w:val="{31e701fb-1afd-481e-b699-3b89320895e4}"/>
          </w:placeholder>
        </w:sdtPr>
        <w:sdtEndPr>
          <w:rPr>
            <w:rFonts w:cs="Times New Roman"/>
          </w:rPr>
        </w:sdtEndPr>
        <w:sdtContent>
          <w:tr w14:paraId="307C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0097AB0B">
                <w:pPr>
                  <w:rPr>
                    <w:rFonts w:cs="Times New Roman"/>
                  </w:rPr>
                </w:pPr>
                <w:r>
                  <w:rPr>
                    <w:rFonts w:cs="Times New Roman"/>
                  </w:rPr>
                  <w:t>际华橡胶工业有限公司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492EC25A">
                <w:pPr>
                  <w:jc w:val="right"/>
                  <w:rPr>
                    <w:rFonts w:cs="Times New Roman"/>
                  </w:rPr>
                </w:pPr>
                <w:r>
                  <w:rPr>
                    <w:rFonts w:cs="Times New Roman"/>
                  </w:rPr>
                  <w:t>706,438,319.49</w:t>
                </w:r>
              </w:p>
            </w:tc>
            <w:tc>
              <w:tcPr>
                <w:tcW w:w="654" w:type="pct"/>
                <w:tcBorders>
                  <w:top w:val="single" w:color="auto" w:sz="4" w:space="0"/>
                  <w:left w:val="single" w:color="auto" w:sz="4" w:space="0"/>
                  <w:bottom w:val="single" w:color="auto" w:sz="4" w:space="0"/>
                  <w:right w:val="single" w:color="auto" w:sz="4" w:space="0"/>
                </w:tcBorders>
              </w:tcPr>
              <w:p w14:paraId="16CB9C0E">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56ED1022">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6B451D31">
                <w:pPr>
                  <w:jc w:val="right"/>
                  <w:rPr>
                    <w:rFonts w:cs="Times New Roman"/>
                  </w:rPr>
                </w:pPr>
                <w:r>
                  <w:rPr>
                    <w:rFonts w:cs="Times New Roman"/>
                  </w:rPr>
                  <w:t>706,438,319.49</w:t>
                </w:r>
              </w:p>
            </w:tc>
            <w:tc>
              <w:tcPr>
                <w:tcW w:w="789" w:type="pct"/>
                <w:tcBorders>
                  <w:top w:val="single" w:color="auto" w:sz="4" w:space="0"/>
                  <w:left w:val="single" w:color="auto" w:sz="4" w:space="0"/>
                  <w:bottom w:val="single" w:color="auto" w:sz="4" w:space="0"/>
                  <w:right w:val="single" w:color="auto" w:sz="4" w:space="0"/>
                </w:tcBorders>
              </w:tcPr>
              <w:p w14:paraId="3C3A5BDC">
                <w:pPr>
                  <w:jc w:val="right"/>
                  <w:rPr>
                    <w:rFonts w:cs="Times New Roman"/>
                  </w:rPr>
                </w:pPr>
              </w:p>
            </w:tc>
          </w:tr>
        </w:sdtContent>
      </w:sdt>
      <w:sdt>
        <w:sdtPr>
          <w:rPr>
            <w:rFonts w:cs="Times New Roman"/>
          </w:rPr>
          <w:alias w:val="对子公司投资明细"/>
          <w:tag w:val="_TUP_321065c012a14e8eb3b6aecf92f7a7bb"/>
          <w:id w:val="1548497680"/>
          <w:placeholder>
            <w:docPart w:val="{31e701fb-1afd-481e-b699-3b89320895e4}"/>
          </w:placeholder>
        </w:sdtPr>
        <w:sdtEndPr>
          <w:rPr>
            <w:rFonts w:cs="Times New Roman"/>
          </w:rPr>
        </w:sdtEndPr>
        <w:sdtContent>
          <w:tr w14:paraId="6B89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79E556CB">
                <w:pPr>
                  <w:rPr>
                    <w:rFonts w:cs="Times New Roman"/>
                  </w:rPr>
                </w:pPr>
                <w:r>
                  <w:rPr>
                    <w:rFonts w:cs="Times New Roman"/>
                  </w:rPr>
                  <w:t>南京际华三五二一特种装备有限公司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2F13DB86">
                <w:pPr>
                  <w:jc w:val="right"/>
                  <w:rPr>
                    <w:rFonts w:cs="Times New Roman"/>
                  </w:rPr>
                </w:pPr>
                <w:r>
                  <w:rPr>
                    <w:rFonts w:cs="Times New Roman"/>
                  </w:rPr>
                  <w:t>777,247,845.87</w:t>
                </w:r>
              </w:p>
            </w:tc>
            <w:tc>
              <w:tcPr>
                <w:tcW w:w="654" w:type="pct"/>
                <w:tcBorders>
                  <w:top w:val="single" w:color="auto" w:sz="4" w:space="0"/>
                  <w:left w:val="single" w:color="auto" w:sz="4" w:space="0"/>
                  <w:bottom w:val="single" w:color="auto" w:sz="4" w:space="0"/>
                  <w:right w:val="single" w:color="auto" w:sz="4" w:space="0"/>
                </w:tcBorders>
              </w:tcPr>
              <w:p w14:paraId="5DA0B42E">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03300DEC">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6915C130">
                <w:pPr>
                  <w:jc w:val="right"/>
                  <w:rPr>
                    <w:rFonts w:cs="Times New Roman"/>
                  </w:rPr>
                </w:pPr>
                <w:r>
                  <w:rPr>
                    <w:rFonts w:cs="Times New Roman"/>
                  </w:rPr>
                  <w:t>777,247,845.87</w:t>
                </w:r>
              </w:p>
            </w:tc>
            <w:tc>
              <w:tcPr>
                <w:tcW w:w="789" w:type="pct"/>
                <w:tcBorders>
                  <w:top w:val="single" w:color="auto" w:sz="4" w:space="0"/>
                  <w:left w:val="single" w:color="auto" w:sz="4" w:space="0"/>
                  <w:bottom w:val="single" w:color="auto" w:sz="4" w:space="0"/>
                  <w:right w:val="single" w:color="auto" w:sz="4" w:space="0"/>
                </w:tcBorders>
              </w:tcPr>
              <w:p w14:paraId="3D6C63D7">
                <w:pPr>
                  <w:jc w:val="right"/>
                  <w:rPr>
                    <w:rFonts w:cs="Times New Roman"/>
                  </w:rPr>
                </w:pPr>
              </w:p>
            </w:tc>
          </w:tr>
        </w:sdtContent>
      </w:sdt>
      <w:sdt>
        <w:sdtPr>
          <w:rPr>
            <w:rFonts w:cs="Times New Roman"/>
          </w:rPr>
          <w:alias w:val="对子公司投资明细"/>
          <w:tag w:val="_TUP_321065c012a14e8eb3b6aecf92f7a7bb"/>
          <w:id w:val="879129053"/>
          <w:placeholder>
            <w:docPart w:val="{31e701fb-1afd-481e-b699-3b89320895e4}"/>
          </w:placeholder>
        </w:sdtPr>
        <w:sdtEndPr>
          <w:rPr>
            <w:rFonts w:cs="Times New Roman"/>
          </w:rPr>
        </w:sdtEndPr>
        <w:sdtContent>
          <w:tr w14:paraId="3892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089AEEC6">
                <w:pPr>
                  <w:rPr>
                    <w:rFonts w:cs="Times New Roman"/>
                  </w:rPr>
                </w:pPr>
                <w:r>
                  <w:rPr>
                    <w:rFonts w:cs="Times New Roman"/>
                  </w:rPr>
                  <w:t>际华三五二二装具饰品有限公司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076258A6">
                <w:pPr>
                  <w:jc w:val="right"/>
                  <w:rPr>
                    <w:rFonts w:cs="Times New Roman"/>
                  </w:rPr>
                </w:pPr>
                <w:r>
                  <w:rPr>
                    <w:rFonts w:cs="Times New Roman"/>
                  </w:rPr>
                  <w:t>199,738,164.19</w:t>
                </w:r>
              </w:p>
            </w:tc>
            <w:tc>
              <w:tcPr>
                <w:tcW w:w="654" w:type="pct"/>
                <w:tcBorders>
                  <w:top w:val="single" w:color="auto" w:sz="4" w:space="0"/>
                  <w:left w:val="single" w:color="auto" w:sz="4" w:space="0"/>
                  <w:bottom w:val="single" w:color="auto" w:sz="4" w:space="0"/>
                  <w:right w:val="single" w:color="auto" w:sz="4" w:space="0"/>
                </w:tcBorders>
              </w:tcPr>
              <w:p w14:paraId="1649536D">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18ECA250">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21D199DF">
                <w:pPr>
                  <w:jc w:val="right"/>
                  <w:rPr>
                    <w:rFonts w:cs="Times New Roman"/>
                  </w:rPr>
                </w:pPr>
                <w:r>
                  <w:rPr>
                    <w:rFonts w:cs="Times New Roman"/>
                  </w:rPr>
                  <w:t>199,738,164.19</w:t>
                </w:r>
              </w:p>
            </w:tc>
            <w:tc>
              <w:tcPr>
                <w:tcW w:w="789" w:type="pct"/>
                <w:tcBorders>
                  <w:top w:val="single" w:color="auto" w:sz="4" w:space="0"/>
                  <w:left w:val="single" w:color="auto" w:sz="4" w:space="0"/>
                  <w:bottom w:val="single" w:color="auto" w:sz="4" w:space="0"/>
                  <w:right w:val="single" w:color="auto" w:sz="4" w:space="0"/>
                </w:tcBorders>
              </w:tcPr>
              <w:p w14:paraId="38845AC6">
                <w:pPr>
                  <w:jc w:val="right"/>
                  <w:rPr>
                    <w:rFonts w:cs="Times New Roman"/>
                  </w:rPr>
                </w:pPr>
              </w:p>
            </w:tc>
          </w:tr>
        </w:sdtContent>
      </w:sdt>
      <w:sdt>
        <w:sdtPr>
          <w:rPr>
            <w:rFonts w:cs="Times New Roman"/>
          </w:rPr>
          <w:alias w:val="对子公司投资明细"/>
          <w:tag w:val="_TUP_321065c012a14e8eb3b6aecf92f7a7bb"/>
          <w:id w:val="-2011816360"/>
          <w:placeholder>
            <w:docPart w:val="{31e701fb-1afd-481e-b699-3b89320895e4}"/>
          </w:placeholder>
        </w:sdtPr>
        <w:sdtEndPr>
          <w:rPr>
            <w:rFonts w:cs="Times New Roman"/>
          </w:rPr>
        </w:sdtEndPr>
        <w:sdtContent>
          <w:tr w14:paraId="03D0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596F915A">
                <w:pPr>
                  <w:rPr>
                    <w:rFonts w:cs="Times New Roman"/>
                  </w:rPr>
                </w:pPr>
                <w:r>
                  <w:rPr>
                    <w:rFonts w:cs="Times New Roman"/>
                  </w:rPr>
                  <w:t>际华（天津）新能源投资有限公司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0E653C7C">
                <w:pPr>
                  <w:jc w:val="right"/>
                  <w:rPr>
                    <w:rFonts w:cs="Times New Roman"/>
                  </w:rPr>
                </w:pPr>
                <w:r>
                  <w:rPr>
                    <w:rFonts w:cs="Times New Roman"/>
                  </w:rPr>
                  <w:t>100,390,894.00</w:t>
                </w:r>
              </w:p>
            </w:tc>
            <w:tc>
              <w:tcPr>
                <w:tcW w:w="654" w:type="pct"/>
                <w:tcBorders>
                  <w:top w:val="single" w:color="auto" w:sz="4" w:space="0"/>
                  <w:left w:val="single" w:color="auto" w:sz="4" w:space="0"/>
                  <w:bottom w:val="single" w:color="auto" w:sz="4" w:space="0"/>
                  <w:right w:val="single" w:color="auto" w:sz="4" w:space="0"/>
                </w:tcBorders>
              </w:tcPr>
              <w:p w14:paraId="36CC791B">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A6175A7">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5807537B">
                <w:pPr>
                  <w:jc w:val="right"/>
                  <w:rPr>
                    <w:rFonts w:cs="Times New Roman"/>
                  </w:rPr>
                </w:pPr>
                <w:r>
                  <w:rPr>
                    <w:rFonts w:cs="Times New Roman"/>
                  </w:rPr>
                  <w:t>100,390,894.00</w:t>
                </w:r>
              </w:p>
            </w:tc>
            <w:tc>
              <w:tcPr>
                <w:tcW w:w="789" w:type="pct"/>
                <w:tcBorders>
                  <w:top w:val="single" w:color="auto" w:sz="4" w:space="0"/>
                  <w:left w:val="single" w:color="auto" w:sz="4" w:space="0"/>
                  <w:bottom w:val="single" w:color="auto" w:sz="4" w:space="0"/>
                  <w:right w:val="single" w:color="auto" w:sz="4" w:space="0"/>
                </w:tcBorders>
              </w:tcPr>
              <w:p w14:paraId="377EF217">
                <w:pPr>
                  <w:jc w:val="right"/>
                  <w:rPr>
                    <w:rFonts w:cs="Times New Roman"/>
                  </w:rPr>
                </w:pPr>
              </w:p>
            </w:tc>
          </w:tr>
        </w:sdtContent>
      </w:sdt>
      <w:sdt>
        <w:sdtPr>
          <w:rPr>
            <w:rFonts w:cs="Times New Roman"/>
          </w:rPr>
          <w:alias w:val="对子公司投资明细"/>
          <w:tag w:val="_TUP_321065c012a14e8eb3b6aecf92f7a7bb"/>
          <w:id w:val="1880808569"/>
          <w:placeholder>
            <w:docPart w:val="{31e701fb-1afd-481e-b699-3b89320895e4}"/>
          </w:placeholder>
        </w:sdtPr>
        <w:sdtEndPr>
          <w:rPr>
            <w:rFonts w:cs="Times New Roman"/>
          </w:rPr>
        </w:sdtEndPr>
        <w:sdtContent>
          <w:tr w14:paraId="0C30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2FF16EB9">
                <w:pPr>
                  <w:rPr>
                    <w:rFonts w:cs="Times New Roman"/>
                  </w:rPr>
                </w:pPr>
                <w:r>
                  <w:rPr>
                    <w:rFonts w:cs="Times New Roman"/>
                  </w:rPr>
                  <w:t>沈阳际华三五四七特种装具有限公司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109B002E">
                <w:pPr>
                  <w:jc w:val="right"/>
                  <w:rPr>
                    <w:rFonts w:cs="Times New Roman"/>
                  </w:rPr>
                </w:pPr>
                <w:r>
                  <w:rPr>
                    <w:rFonts w:cs="Times New Roman"/>
                  </w:rPr>
                  <w:t>111,262,801.45</w:t>
                </w:r>
              </w:p>
            </w:tc>
            <w:tc>
              <w:tcPr>
                <w:tcW w:w="654" w:type="pct"/>
                <w:tcBorders>
                  <w:top w:val="single" w:color="auto" w:sz="4" w:space="0"/>
                  <w:left w:val="single" w:color="auto" w:sz="4" w:space="0"/>
                  <w:bottom w:val="single" w:color="auto" w:sz="4" w:space="0"/>
                  <w:right w:val="single" w:color="auto" w:sz="4" w:space="0"/>
                </w:tcBorders>
              </w:tcPr>
              <w:p w14:paraId="0CC5878A">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0610842D">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5F7D1D6A">
                <w:pPr>
                  <w:jc w:val="right"/>
                  <w:rPr>
                    <w:rFonts w:cs="Times New Roman"/>
                  </w:rPr>
                </w:pPr>
                <w:r>
                  <w:rPr>
                    <w:rFonts w:cs="Times New Roman"/>
                  </w:rPr>
                  <w:t>111,262,801.45</w:t>
                </w:r>
              </w:p>
            </w:tc>
            <w:tc>
              <w:tcPr>
                <w:tcW w:w="789" w:type="pct"/>
                <w:tcBorders>
                  <w:top w:val="single" w:color="auto" w:sz="4" w:space="0"/>
                  <w:left w:val="single" w:color="auto" w:sz="4" w:space="0"/>
                  <w:bottom w:val="single" w:color="auto" w:sz="4" w:space="0"/>
                  <w:right w:val="single" w:color="auto" w:sz="4" w:space="0"/>
                </w:tcBorders>
              </w:tcPr>
              <w:p w14:paraId="675F4AC9">
                <w:pPr>
                  <w:jc w:val="right"/>
                  <w:rPr>
                    <w:rFonts w:cs="Times New Roman"/>
                  </w:rPr>
                </w:pPr>
              </w:p>
            </w:tc>
          </w:tr>
        </w:sdtContent>
      </w:sdt>
      <w:sdt>
        <w:sdtPr>
          <w:rPr>
            <w:rFonts w:cs="Times New Roman"/>
          </w:rPr>
          <w:alias w:val="对子公司投资明细"/>
          <w:tag w:val="_TUP_321065c012a14e8eb3b6aecf92f7a7bb"/>
          <w:id w:val="1710306100"/>
          <w:placeholder>
            <w:docPart w:val="{31e701fb-1afd-481e-b699-3b89320895e4}"/>
          </w:placeholder>
        </w:sdtPr>
        <w:sdtEndPr>
          <w:rPr>
            <w:rFonts w:cs="Times New Roman"/>
          </w:rPr>
        </w:sdtEndPr>
        <w:sdtContent>
          <w:tr w14:paraId="40D8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2FC0ED5A">
                <w:pPr>
                  <w:rPr>
                    <w:rFonts w:cs="Times New Roman"/>
                  </w:rPr>
                </w:pPr>
                <w:r>
                  <w:rPr>
                    <w:rFonts w:cs="Times New Roman"/>
                  </w:rPr>
                  <w:t>际华海外投资有限公司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515283EB">
                <w:pPr>
                  <w:jc w:val="right"/>
                  <w:rPr>
                    <w:rFonts w:cs="Times New Roman"/>
                  </w:rPr>
                </w:pPr>
                <w:r>
                  <w:rPr>
                    <w:rFonts w:cs="Times New Roman"/>
                  </w:rPr>
                  <w:t>145,142,012.89</w:t>
                </w:r>
              </w:p>
            </w:tc>
            <w:tc>
              <w:tcPr>
                <w:tcW w:w="654" w:type="pct"/>
                <w:tcBorders>
                  <w:top w:val="single" w:color="auto" w:sz="4" w:space="0"/>
                  <w:left w:val="single" w:color="auto" w:sz="4" w:space="0"/>
                  <w:bottom w:val="single" w:color="auto" w:sz="4" w:space="0"/>
                  <w:right w:val="single" w:color="auto" w:sz="4" w:space="0"/>
                </w:tcBorders>
              </w:tcPr>
              <w:p w14:paraId="6CE8DDA0">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5A890239">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315045ED">
                <w:pPr>
                  <w:jc w:val="right"/>
                  <w:rPr>
                    <w:rFonts w:cs="Times New Roman"/>
                  </w:rPr>
                </w:pPr>
                <w:r>
                  <w:rPr>
                    <w:rFonts w:cs="Times New Roman"/>
                  </w:rPr>
                  <w:t>145,142,012.89</w:t>
                </w:r>
              </w:p>
            </w:tc>
            <w:tc>
              <w:tcPr>
                <w:tcW w:w="789" w:type="pct"/>
                <w:tcBorders>
                  <w:top w:val="single" w:color="auto" w:sz="4" w:space="0"/>
                  <w:left w:val="single" w:color="auto" w:sz="4" w:space="0"/>
                  <w:bottom w:val="single" w:color="auto" w:sz="4" w:space="0"/>
                  <w:right w:val="single" w:color="auto" w:sz="4" w:space="0"/>
                </w:tcBorders>
              </w:tcPr>
              <w:p w14:paraId="4A402078">
                <w:pPr>
                  <w:jc w:val="right"/>
                  <w:rPr>
                    <w:rFonts w:cs="Times New Roman"/>
                  </w:rPr>
                </w:pPr>
              </w:p>
            </w:tc>
          </w:tr>
        </w:sdtContent>
      </w:sdt>
      <w:sdt>
        <w:sdtPr>
          <w:rPr>
            <w:rFonts w:cs="Times New Roman"/>
          </w:rPr>
          <w:alias w:val="对子公司投资明细"/>
          <w:tag w:val="_TUP_321065c012a14e8eb3b6aecf92f7a7bb"/>
          <w:id w:val="-1789110353"/>
          <w:placeholder>
            <w:docPart w:val="{31e701fb-1afd-481e-b699-3b89320895e4}"/>
          </w:placeholder>
        </w:sdtPr>
        <w:sdtEndPr>
          <w:rPr>
            <w:rFonts w:cs="Times New Roman"/>
          </w:rPr>
        </w:sdtEndPr>
        <w:sdtContent>
          <w:tr w14:paraId="4D51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5DD9885E">
                <w:pPr>
                  <w:rPr>
                    <w:rFonts w:cs="Times New Roman"/>
                  </w:rPr>
                </w:pPr>
                <w:r>
                  <w:rPr>
                    <w:rFonts w:cs="Times New Roman"/>
                  </w:rPr>
                  <w:t>重庆际华目的地中心实业有限公司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39697614">
                <w:pPr>
                  <w:jc w:val="right"/>
                  <w:rPr>
                    <w:rFonts w:cs="Times New Roman"/>
                  </w:rPr>
                </w:pPr>
                <w:r>
                  <w:rPr>
                    <w:rFonts w:cs="Times New Roman"/>
                  </w:rPr>
                  <w:t>728,885,091.33</w:t>
                </w:r>
              </w:p>
            </w:tc>
            <w:tc>
              <w:tcPr>
                <w:tcW w:w="654" w:type="pct"/>
                <w:tcBorders>
                  <w:top w:val="single" w:color="auto" w:sz="4" w:space="0"/>
                  <w:left w:val="single" w:color="auto" w:sz="4" w:space="0"/>
                  <w:bottom w:val="single" w:color="auto" w:sz="4" w:space="0"/>
                  <w:right w:val="single" w:color="auto" w:sz="4" w:space="0"/>
                </w:tcBorders>
              </w:tcPr>
              <w:p w14:paraId="05E02E00">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0666AB18">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72B84964">
                <w:pPr>
                  <w:jc w:val="right"/>
                  <w:rPr>
                    <w:rFonts w:cs="Times New Roman"/>
                  </w:rPr>
                </w:pPr>
                <w:r>
                  <w:rPr>
                    <w:rFonts w:cs="Times New Roman"/>
                  </w:rPr>
                  <w:t>728,885,091.33</w:t>
                </w:r>
              </w:p>
            </w:tc>
            <w:tc>
              <w:tcPr>
                <w:tcW w:w="789" w:type="pct"/>
                <w:tcBorders>
                  <w:top w:val="single" w:color="auto" w:sz="4" w:space="0"/>
                  <w:left w:val="single" w:color="auto" w:sz="4" w:space="0"/>
                  <w:bottom w:val="single" w:color="auto" w:sz="4" w:space="0"/>
                  <w:right w:val="single" w:color="auto" w:sz="4" w:space="0"/>
                </w:tcBorders>
              </w:tcPr>
              <w:p w14:paraId="62E1692F">
                <w:pPr>
                  <w:jc w:val="right"/>
                  <w:rPr>
                    <w:rFonts w:cs="Times New Roman"/>
                  </w:rPr>
                </w:pPr>
              </w:p>
            </w:tc>
          </w:tr>
        </w:sdtContent>
      </w:sdt>
      <w:sdt>
        <w:sdtPr>
          <w:rPr>
            <w:rFonts w:cs="Times New Roman"/>
          </w:rPr>
          <w:alias w:val="对子公司投资明细"/>
          <w:tag w:val="_TUP_321065c012a14e8eb3b6aecf92f7a7bb"/>
          <w:id w:val="911506714"/>
          <w:placeholder>
            <w:docPart w:val="{31e701fb-1afd-481e-b699-3b89320895e4}"/>
          </w:placeholder>
        </w:sdtPr>
        <w:sdtEndPr>
          <w:rPr>
            <w:rFonts w:cs="Times New Roman"/>
          </w:rPr>
        </w:sdtEndPr>
        <w:sdtContent>
          <w:tr w14:paraId="13A0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153E2049">
                <w:pPr>
                  <w:rPr>
                    <w:rFonts w:cs="Times New Roman"/>
                  </w:rPr>
                </w:pPr>
                <w:r>
                  <w:rPr>
                    <w:rFonts w:cs="Times New Roman"/>
                  </w:rPr>
                  <w:t>际华防护科技有限公司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0E1C018C">
                <w:pPr>
                  <w:jc w:val="right"/>
                  <w:rPr>
                    <w:rFonts w:cs="Times New Roman"/>
                  </w:rPr>
                </w:pPr>
                <w:r>
                  <w:rPr>
                    <w:rFonts w:cs="Times New Roman"/>
                  </w:rPr>
                  <w:t>18,000,000.00</w:t>
                </w:r>
              </w:p>
            </w:tc>
            <w:tc>
              <w:tcPr>
                <w:tcW w:w="654" w:type="pct"/>
                <w:tcBorders>
                  <w:top w:val="single" w:color="auto" w:sz="4" w:space="0"/>
                  <w:left w:val="single" w:color="auto" w:sz="4" w:space="0"/>
                  <w:bottom w:val="single" w:color="auto" w:sz="4" w:space="0"/>
                  <w:right w:val="single" w:color="auto" w:sz="4" w:space="0"/>
                </w:tcBorders>
              </w:tcPr>
              <w:p w14:paraId="5616C499">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4DE02C29">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40F1C22B">
                <w:pPr>
                  <w:jc w:val="right"/>
                  <w:rPr>
                    <w:rFonts w:cs="Times New Roman"/>
                  </w:rPr>
                </w:pPr>
                <w:r>
                  <w:rPr>
                    <w:rFonts w:cs="Times New Roman"/>
                  </w:rPr>
                  <w:t>18,000,000.00</w:t>
                </w:r>
              </w:p>
            </w:tc>
            <w:tc>
              <w:tcPr>
                <w:tcW w:w="789" w:type="pct"/>
                <w:tcBorders>
                  <w:top w:val="single" w:color="auto" w:sz="4" w:space="0"/>
                  <w:left w:val="single" w:color="auto" w:sz="4" w:space="0"/>
                  <w:bottom w:val="single" w:color="auto" w:sz="4" w:space="0"/>
                  <w:right w:val="single" w:color="auto" w:sz="4" w:space="0"/>
                </w:tcBorders>
              </w:tcPr>
              <w:p w14:paraId="6AF009C1">
                <w:pPr>
                  <w:jc w:val="right"/>
                  <w:rPr>
                    <w:rFonts w:cs="Times New Roman"/>
                  </w:rPr>
                </w:pPr>
              </w:p>
            </w:tc>
          </w:tr>
        </w:sdtContent>
      </w:sdt>
      <w:sdt>
        <w:sdtPr>
          <w:rPr>
            <w:rFonts w:cs="Times New Roman"/>
          </w:rPr>
          <w:alias w:val="对子公司投资明细"/>
          <w:tag w:val="_TUP_321065c012a14e8eb3b6aecf92f7a7bb"/>
          <w:id w:val="-1655212352"/>
          <w:placeholder>
            <w:docPart w:val="{31e701fb-1afd-481e-b699-3b89320895e4}"/>
          </w:placeholder>
        </w:sdtPr>
        <w:sdtEndPr>
          <w:rPr>
            <w:rFonts w:cs="Times New Roman"/>
          </w:rPr>
        </w:sdtEndPr>
        <w:sdtContent>
          <w:tr w14:paraId="69FA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713CE802">
                <w:pPr>
                  <w:rPr>
                    <w:rFonts w:cs="Times New Roman"/>
                  </w:rPr>
                </w:pPr>
                <w:r>
                  <w:rPr>
                    <w:rFonts w:cs="Times New Roman"/>
                  </w:rPr>
                  <w:t>新疆际华科技产业发展有限公司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4A8B578F">
                <w:pPr>
                  <w:jc w:val="right"/>
                  <w:rPr>
                    <w:rFonts w:cs="Times New Roman"/>
                  </w:rPr>
                </w:pPr>
                <w:r>
                  <w:rPr>
                    <w:rFonts w:cs="Times New Roman"/>
                  </w:rPr>
                  <w:t>5,100,000.00</w:t>
                </w:r>
              </w:p>
            </w:tc>
            <w:tc>
              <w:tcPr>
                <w:tcW w:w="654" w:type="pct"/>
                <w:tcBorders>
                  <w:top w:val="single" w:color="auto" w:sz="4" w:space="0"/>
                  <w:left w:val="single" w:color="auto" w:sz="4" w:space="0"/>
                  <w:bottom w:val="single" w:color="auto" w:sz="4" w:space="0"/>
                  <w:right w:val="single" w:color="auto" w:sz="4" w:space="0"/>
                </w:tcBorders>
              </w:tcPr>
              <w:p w14:paraId="4039D49E">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2F986FD0">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7D3F308E">
                <w:pPr>
                  <w:jc w:val="right"/>
                  <w:rPr>
                    <w:rFonts w:cs="Times New Roman"/>
                  </w:rPr>
                </w:pPr>
                <w:r>
                  <w:rPr>
                    <w:rFonts w:cs="Times New Roman"/>
                  </w:rPr>
                  <w:t>5,100,000.00</w:t>
                </w:r>
              </w:p>
            </w:tc>
            <w:tc>
              <w:tcPr>
                <w:tcW w:w="789" w:type="pct"/>
                <w:tcBorders>
                  <w:top w:val="single" w:color="auto" w:sz="4" w:space="0"/>
                  <w:left w:val="single" w:color="auto" w:sz="4" w:space="0"/>
                  <w:bottom w:val="single" w:color="auto" w:sz="4" w:space="0"/>
                  <w:right w:val="single" w:color="auto" w:sz="4" w:space="0"/>
                </w:tcBorders>
              </w:tcPr>
              <w:p w14:paraId="1B7952A5">
                <w:pPr>
                  <w:jc w:val="right"/>
                  <w:rPr>
                    <w:rFonts w:cs="Times New Roman"/>
                  </w:rPr>
                </w:pPr>
              </w:p>
            </w:tc>
          </w:tr>
        </w:sdtContent>
      </w:sdt>
      <w:sdt>
        <w:sdtPr>
          <w:rPr>
            <w:rFonts w:cs="Times New Roman"/>
          </w:rPr>
          <w:alias w:val="对子公司投资明细"/>
          <w:tag w:val="_TUP_321065c012a14e8eb3b6aecf92f7a7bb"/>
          <w:id w:val="11263191"/>
          <w:placeholder>
            <w:docPart w:val="{31e701fb-1afd-481e-b699-3b89320895e4}"/>
          </w:placeholder>
        </w:sdtPr>
        <w:sdtEndPr>
          <w:rPr>
            <w:rFonts w:cs="Times New Roman"/>
          </w:rPr>
        </w:sdtEndPr>
        <w:sdtContent>
          <w:tr w14:paraId="1894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12456E2E">
                <w:pPr>
                  <w:rPr>
                    <w:rFonts w:cs="Times New Roman"/>
                  </w:rPr>
                </w:pPr>
                <w:r>
                  <w:rPr>
                    <w:rFonts w:cs="Times New Roman"/>
                  </w:rPr>
                  <w:t>际华置业（兰州）有限公司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59B76DF4">
                <w:pPr>
                  <w:jc w:val="right"/>
                  <w:rPr>
                    <w:rFonts w:cs="Times New Roman"/>
                  </w:rPr>
                </w:pPr>
                <w:r>
                  <w:rPr>
                    <w:rFonts w:cs="Times New Roman"/>
                  </w:rPr>
                  <w:t>48,637,625.00</w:t>
                </w:r>
              </w:p>
            </w:tc>
            <w:tc>
              <w:tcPr>
                <w:tcW w:w="654" w:type="pct"/>
                <w:tcBorders>
                  <w:top w:val="single" w:color="auto" w:sz="4" w:space="0"/>
                  <w:left w:val="single" w:color="auto" w:sz="4" w:space="0"/>
                  <w:bottom w:val="single" w:color="auto" w:sz="4" w:space="0"/>
                  <w:right w:val="single" w:color="auto" w:sz="4" w:space="0"/>
                </w:tcBorders>
              </w:tcPr>
              <w:p w14:paraId="5C756199">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578D5EAF">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1308B839">
                <w:pPr>
                  <w:jc w:val="right"/>
                  <w:rPr>
                    <w:rFonts w:cs="Times New Roman"/>
                  </w:rPr>
                </w:pPr>
                <w:r>
                  <w:rPr>
                    <w:rFonts w:cs="Times New Roman"/>
                  </w:rPr>
                  <w:t>48,637,625.00</w:t>
                </w:r>
              </w:p>
            </w:tc>
            <w:tc>
              <w:tcPr>
                <w:tcW w:w="789" w:type="pct"/>
                <w:tcBorders>
                  <w:top w:val="single" w:color="auto" w:sz="4" w:space="0"/>
                  <w:left w:val="single" w:color="auto" w:sz="4" w:space="0"/>
                  <w:bottom w:val="single" w:color="auto" w:sz="4" w:space="0"/>
                  <w:right w:val="single" w:color="auto" w:sz="4" w:space="0"/>
                </w:tcBorders>
              </w:tcPr>
              <w:p w14:paraId="5E16394F">
                <w:pPr>
                  <w:jc w:val="right"/>
                  <w:rPr>
                    <w:rFonts w:cs="Times New Roman"/>
                  </w:rPr>
                </w:pPr>
              </w:p>
            </w:tc>
          </w:tr>
        </w:sdtContent>
      </w:sdt>
      <w:sdt>
        <w:sdtPr>
          <w:rPr>
            <w:rFonts w:cs="Times New Roman"/>
          </w:rPr>
          <w:alias w:val="对子公司投资明细"/>
          <w:tag w:val="_TUP_321065c012a14e8eb3b6aecf92f7a7bb"/>
          <w:id w:val="2132825051"/>
          <w:placeholder>
            <w:docPart w:val="{31e701fb-1afd-481e-b699-3b89320895e4}"/>
          </w:placeholder>
        </w:sdtPr>
        <w:sdtEndPr>
          <w:rPr>
            <w:rFonts w:cs="Times New Roman"/>
          </w:rPr>
        </w:sdtEndPr>
        <w:sdtContent>
          <w:tr w14:paraId="5C82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3D7BC294">
                <w:pPr>
                  <w:rPr>
                    <w:rFonts w:cs="Times New Roman"/>
                  </w:rPr>
                </w:pPr>
                <w:r>
                  <w:rPr>
                    <w:rFonts w:cs="Times New Roman"/>
                  </w:rPr>
                  <w:t>新疆际华服装科技有限公司</w:t>
                </w:r>
              </w:p>
            </w:tc>
            <w:tc>
              <w:tcPr>
                <w:tcW w:w="759" w:type="pct"/>
                <w:tcBorders>
                  <w:top w:val="single" w:color="auto" w:sz="4" w:space="0"/>
                  <w:left w:val="single" w:color="auto" w:sz="4" w:space="0"/>
                  <w:bottom w:val="single" w:color="auto" w:sz="4" w:space="0"/>
                  <w:right w:val="single" w:color="auto" w:sz="4" w:space="0"/>
                </w:tcBorders>
                <w:vAlign w:val="center"/>
              </w:tcPr>
              <w:p w14:paraId="400B1900">
                <w:pPr>
                  <w:jc w:val="right"/>
                  <w:rPr>
                    <w:rFonts w:cs="Times New Roman"/>
                  </w:rPr>
                </w:pPr>
                <w:r>
                  <w:rPr>
                    <w:rFonts w:cs="Times New Roman"/>
                  </w:rPr>
                  <w:t>5,000,000.00</w:t>
                </w:r>
              </w:p>
            </w:tc>
            <w:tc>
              <w:tcPr>
                <w:tcW w:w="654" w:type="pct"/>
                <w:tcBorders>
                  <w:top w:val="single" w:color="auto" w:sz="4" w:space="0"/>
                  <w:left w:val="single" w:color="auto" w:sz="4" w:space="0"/>
                  <w:bottom w:val="single" w:color="auto" w:sz="4" w:space="0"/>
                  <w:right w:val="single" w:color="auto" w:sz="4" w:space="0"/>
                </w:tcBorders>
              </w:tcPr>
              <w:p w14:paraId="27B546F6">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7F12F8C7">
                <w:pPr>
                  <w:jc w:val="right"/>
                  <w:rPr>
                    <w:rFonts w:cs="Times New Roman"/>
                  </w:rPr>
                </w:pPr>
                <w:r>
                  <w:rPr>
                    <w:rFonts w:cs="Times New Roman"/>
                  </w:rPr>
                  <w:t>5,000,000.00</w:t>
                </w:r>
              </w:p>
            </w:tc>
            <w:tc>
              <w:tcPr>
                <w:tcW w:w="786" w:type="pct"/>
                <w:tcBorders>
                  <w:top w:val="single" w:color="auto" w:sz="4" w:space="0"/>
                  <w:left w:val="single" w:color="auto" w:sz="4" w:space="0"/>
                  <w:bottom w:val="single" w:color="auto" w:sz="4" w:space="0"/>
                  <w:right w:val="single" w:color="auto" w:sz="4" w:space="0"/>
                </w:tcBorders>
                <w:vAlign w:val="center"/>
              </w:tcPr>
              <w:p w14:paraId="08063369">
                <w:pPr>
                  <w:jc w:val="right"/>
                  <w:rPr>
                    <w:rFonts w:cs="Times New Roman"/>
                  </w:rPr>
                </w:pPr>
                <w:r>
                  <w:rPr>
                    <w:rFonts w:cs="Times New Roman"/>
                  </w:rPr>
                  <w:t>10,000,000.00</w:t>
                </w:r>
              </w:p>
            </w:tc>
            <w:tc>
              <w:tcPr>
                <w:tcW w:w="789" w:type="pct"/>
                <w:tcBorders>
                  <w:top w:val="single" w:color="auto" w:sz="4" w:space="0"/>
                  <w:left w:val="single" w:color="auto" w:sz="4" w:space="0"/>
                  <w:bottom w:val="single" w:color="auto" w:sz="4" w:space="0"/>
                  <w:right w:val="single" w:color="auto" w:sz="4" w:space="0"/>
                </w:tcBorders>
              </w:tcPr>
              <w:p w14:paraId="5792DFB7">
                <w:pPr>
                  <w:jc w:val="right"/>
                  <w:rPr>
                    <w:rFonts w:cs="Times New Roman"/>
                  </w:rPr>
                </w:pPr>
              </w:p>
            </w:tc>
          </w:tr>
        </w:sdtContent>
      </w:sdt>
      <w:sdt>
        <w:sdtPr>
          <w:rPr>
            <w:rFonts w:cs="Times New Roman"/>
          </w:rPr>
          <w:alias w:val="对子公司投资明细"/>
          <w:tag w:val="_TUP_321065c012a14e8eb3b6aecf92f7a7bb"/>
          <w:id w:val="1159966535"/>
          <w:placeholder>
            <w:docPart w:val="{31e701fb-1afd-481e-b699-3b89320895e4}"/>
          </w:placeholder>
        </w:sdtPr>
        <w:sdtEndPr>
          <w:rPr>
            <w:rFonts w:cs="Times New Roman"/>
          </w:rPr>
        </w:sdtEndPr>
        <w:sdtContent>
          <w:tr w14:paraId="5215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p w14:paraId="50C2C2C7">
                <w:pPr>
                  <w:rPr>
                    <w:rFonts w:cs="Times New Roman"/>
                  </w:rPr>
                </w:pPr>
                <w:r>
                  <w:rPr>
                    <w:rFonts w:cs="Times New Roman"/>
                  </w:rPr>
                  <w:t>新疆华锦生态纺织印染有限责任公司</w:t>
                </w:r>
              </w:p>
            </w:tc>
            <w:tc>
              <w:tcPr>
                <w:tcW w:w="759" w:type="pct"/>
                <w:tcBorders>
                  <w:top w:val="single" w:color="auto" w:sz="4" w:space="0"/>
                  <w:left w:val="single" w:color="auto" w:sz="4" w:space="0"/>
                  <w:bottom w:val="single" w:color="auto" w:sz="4" w:space="0"/>
                  <w:right w:val="single" w:color="auto" w:sz="4" w:space="0"/>
                </w:tcBorders>
                <w:vAlign w:val="center"/>
              </w:tcPr>
              <w:p w14:paraId="7D50C6DC">
                <w:pPr>
                  <w:jc w:val="right"/>
                  <w:rPr>
                    <w:rFonts w:cs="Times New Roman"/>
                  </w:rPr>
                </w:pPr>
                <w:r>
                  <w:rPr>
                    <w:rFonts w:cs="Times New Roman"/>
                  </w:rPr>
                  <w:t>165,000,000.00</w:t>
                </w:r>
              </w:p>
            </w:tc>
            <w:tc>
              <w:tcPr>
                <w:tcW w:w="654" w:type="pct"/>
                <w:tcBorders>
                  <w:top w:val="single" w:color="auto" w:sz="4" w:space="0"/>
                  <w:left w:val="single" w:color="auto" w:sz="4" w:space="0"/>
                  <w:bottom w:val="single" w:color="auto" w:sz="4" w:space="0"/>
                  <w:right w:val="single" w:color="auto" w:sz="4" w:space="0"/>
                </w:tcBorders>
              </w:tcPr>
              <w:p w14:paraId="5767D045">
                <w:pPr>
                  <w:jc w:val="right"/>
                  <w:rPr>
                    <w:rFonts w:cs="Times New Roman"/>
                  </w:rPr>
                </w:pPr>
              </w:p>
            </w:tc>
            <w:tc>
              <w:tcPr>
                <w:tcW w:w="659" w:type="pct"/>
                <w:tcBorders>
                  <w:top w:val="single" w:color="auto" w:sz="4" w:space="0"/>
                  <w:left w:val="single" w:color="auto" w:sz="4" w:space="0"/>
                  <w:bottom w:val="single" w:color="auto" w:sz="4" w:space="0"/>
                  <w:right w:val="single" w:color="auto" w:sz="4" w:space="0"/>
                </w:tcBorders>
                <w:vAlign w:val="center"/>
              </w:tcPr>
              <w:p w14:paraId="25DEB857">
                <w:pPr>
                  <w:jc w:val="right"/>
                  <w:rPr>
                    <w:rFonts w:cs="Times New Roman"/>
                  </w:rPr>
                </w:pPr>
              </w:p>
            </w:tc>
            <w:tc>
              <w:tcPr>
                <w:tcW w:w="786" w:type="pct"/>
                <w:tcBorders>
                  <w:top w:val="single" w:color="auto" w:sz="4" w:space="0"/>
                  <w:left w:val="single" w:color="auto" w:sz="4" w:space="0"/>
                  <w:bottom w:val="single" w:color="auto" w:sz="4" w:space="0"/>
                  <w:right w:val="single" w:color="auto" w:sz="4" w:space="0"/>
                </w:tcBorders>
                <w:vAlign w:val="center"/>
              </w:tcPr>
              <w:p w14:paraId="58B32D8A">
                <w:pPr>
                  <w:jc w:val="right"/>
                  <w:rPr>
                    <w:rFonts w:cs="Times New Roman"/>
                  </w:rPr>
                </w:pPr>
                <w:r>
                  <w:rPr>
                    <w:rFonts w:cs="Times New Roman"/>
                  </w:rPr>
                  <w:t>165,000,000.00</w:t>
                </w:r>
              </w:p>
            </w:tc>
            <w:tc>
              <w:tcPr>
                <w:tcW w:w="789" w:type="pct"/>
                <w:tcBorders>
                  <w:top w:val="single" w:color="auto" w:sz="4" w:space="0"/>
                  <w:left w:val="single" w:color="auto" w:sz="4" w:space="0"/>
                  <w:bottom w:val="single" w:color="auto" w:sz="4" w:space="0"/>
                  <w:right w:val="single" w:color="auto" w:sz="4" w:space="0"/>
                </w:tcBorders>
              </w:tcPr>
              <w:p w14:paraId="278DA8B5">
                <w:pPr>
                  <w:jc w:val="right"/>
                  <w:rPr>
                    <w:rFonts w:cs="Times New Roman"/>
                  </w:rPr>
                </w:pPr>
              </w:p>
            </w:tc>
          </w:tr>
        </w:sdtContent>
      </w:sdt>
      <w:tr w14:paraId="7337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1" w:type="pct"/>
            <w:tcBorders>
              <w:top w:val="single" w:color="auto" w:sz="4" w:space="0"/>
              <w:left w:val="single" w:color="auto" w:sz="4" w:space="0"/>
              <w:bottom w:val="single" w:color="auto" w:sz="4" w:space="0"/>
              <w:right w:val="single" w:color="auto" w:sz="4" w:space="0"/>
            </w:tcBorders>
            <w:vAlign w:val="center"/>
          </w:tcPr>
          <w:sdt>
            <w:sdtPr>
              <w:rPr>
                <w:rFonts w:cs="Times New Roman"/>
              </w:rPr>
              <w:tag w:val="_PLD_f5eb1b77c2554d159ac5f5a87909dfd5"/>
              <w:id w:val="-1674336128"/>
            </w:sdtPr>
            <w:sdtEndPr>
              <w:rPr>
                <w:rFonts w:cs="Times New Roman"/>
              </w:rPr>
            </w:sdtEndPr>
            <w:sdtContent>
              <w:p w14:paraId="0D722516">
                <w:pPr>
                  <w:jc w:val="center"/>
                  <w:rPr>
                    <w:rFonts w:cs="Times New Roman"/>
                  </w:rPr>
                </w:pPr>
                <w:r>
                  <w:rPr>
                    <w:rFonts w:cs="Times New Roman"/>
                  </w:rPr>
                  <w:t>合计</w:t>
                </w:r>
              </w:p>
            </w:sdtContent>
          </w:sdt>
        </w:tc>
        <w:tc>
          <w:tcPr>
            <w:tcW w:w="759" w:type="pct"/>
            <w:tcBorders>
              <w:top w:val="single" w:color="auto" w:sz="4" w:space="0"/>
              <w:left w:val="single" w:color="auto" w:sz="4" w:space="0"/>
              <w:bottom w:val="single" w:color="auto" w:sz="4" w:space="0"/>
              <w:right w:val="single" w:color="auto" w:sz="4" w:space="0"/>
            </w:tcBorders>
            <w:vAlign w:val="center"/>
          </w:tcPr>
          <w:p w14:paraId="67EFD76E">
            <w:pPr>
              <w:jc w:val="right"/>
              <w:rPr>
                <w:rFonts w:cs="Times New Roman"/>
              </w:rPr>
            </w:pPr>
            <w:r>
              <w:rPr>
                <w:rFonts w:cs="Times New Roman"/>
              </w:rPr>
              <w:t>6,611,300,932.88</w:t>
            </w:r>
          </w:p>
        </w:tc>
        <w:tc>
          <w:tcPr>
            <w:tcW w:w="654" w:type="pct"/>
            <w:tcBorders>
              <w:top w:val="single" w:color="auto" w:sz="4" w:space="0"/>
              <w:left w:val="single" w:color="auto" w:sz="4" w:space="0"/>
              <w:bottom w:val="single" w:color="auto" w:sz="4" w:space="0"/>
              <w:right w:val="single" w:color="auto" w:sz="4" w:space="0"/>
            </w:tcBorders>
            <w:vAlign w:val="center"/>
          </w:tcPr>
          <w:p w14:paraId="4F19C93C">
            <w:pPr>
              <w:jc w:val="right"/>
              <w:rPr>
                <w:rFonts w:cs="Times New Roman"/>
              </w:rPr>
            </w:pPr>
            <w:r>
              <w:rPr>
                <w:rFonts w:cs="Times New Roman"/>
              </w:rPr>
              <w:t>36,907,975.79</w:t>
            </w:r>
          </w:p>
        </w:tc>
        <w:tc>
          <w:tcPr>
            <w:tcW w:w="659" w:type="pct"/>
            <w:tcBorders>
              <w:top w:val="single" w:color="auto" w:sz="4" w:space="0"/>
              <w:left w:val="single" w:color="auto" w:sz="4" w:space="0"/>
              <w:bottom w:val="single" w:color="auto" w:sz="4" w:space="0"/>
              <w:right w:val="single" w:color="auto" w:sz="4" w:space="0"/>
            </w:tcBorders>
            <w:vAlign w:val="center"/>
          </w:tcPr>
          <w:p w14:paraId="1C1DD360">
            <w:pPr>
              <w:jc w:val="right"/>
              <w:rPr>
                <w:rFonts w:cs="Times New Roman"/>
              </w:rPr>
            </w:pPr>
            <w:r>
              <w:rPr>
                <w:rFonts w:cs="Times New Roman"/>
              </w:rPr>
              <w:t>15,253,436.07</w:t>
            </w:r>
          </w:p>
        </w:tc>
        <w:tc>
          <w:tcPr>
            <w:tcW w:w="786" w:type="pct"/>
            <w:tcBorders>
              <w:top w:val="single" w:color="auto" w:sz="4" w:space="0"/>
              <w:left w:val="single" w:color="auto" w:sz="4" w:space="0"/>
              <w:bottom w:val="single" w:color="auto" w:sz="4" w:space="0"/>
              <w:right w:val="single" w:color="auto" w:sz="4" w:space="0"/>
            </w:tcBorders>
            <w:vAlign w:val="center"/>
          </w:tcPr>
          <w:p w14:paraId="232DDE6C">
            <w:pPr>
              <w:jc w:val="right"/>
              <w:rPr>
                <w:rFonts w:cs="Times New Roman"/>
              </w:rPr>
            </w:pPr>
            <w:r>
              <w:rPr>
                <w:rFonts w:cs="Times New Roman"/>
              </w:rPr>
              <w:t>6,626,554,368.95</w:t>
            </w:r>
          </w:p>
        </w:tc>
        <w:tc>
          <w:tcPr>
            <w:tcW w:w="789" w:type="pct"/>
            <w:tcBorders>
              <w:top w:val="single" w:color="auto" w:sz="4" w:space="0"/>
              <w:left w:val="single" w:color="auto" w:sz="4" w:space="0"/>
              <w:bottom w:val="single" w:color="auto" w:sz="4" w:space="0"/>
              <w:right w:val="single" w:color="auto" w:sz="4" w:space="0"/>
            </w:tcBorders>
            <w:vAlign w:val="center"/>
          </w:tcPr>
          <w:p w14:paraId="0008EBDE">
            <w:pPr>
              <w:jc w:val="right"/>
              <w:rPr>
                <w:rFonts w:cs="Times New Roman"/>
              </w:rPr>
            </w:pPr>
            <w:r>
              <w:rPr>
                <w:rFonts w:cs="Times New Roman"/>
              </w:rPr>
              <w:t>36,907,975.79</w:t>
            </w:r>
          </w:p>
        </w:tc>
      </w:tr>
    </w:tbl>
    <w:p w14:paraId="0B3467CD">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1326F2B1">
      <w:pPr>
        <w:pStyle w:val="58"/>
        <w:numPr>
          <w:ilvl w:val="0"/>
          <w:numId w:val="121"/>
        </w:num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对联营、合营企业投资</w:t>
      </w:r>
    </w:p>
    <w:sdt>
      <w:sdtPr>
        <w:rPr>
          <w:color w:val="000000" w:themeColor="text1"/>
          <w14:textFill>
            <w14:solidFill>
              <w14:schemeClr w14:val="tx1"/>
            </w14:solidFill>
          </w14:textFill>
        </w:rPr>
        <w:alias w:val="是否适用：母公司对联营、合营企业投资[双击切换]"/>
        <w:tag w:val="_GBC_0837f60a15fc4684b64085618adca8d2"/>
        <w:id w:val="147478536"/>
        <w:placeholder>
          <w:docPart w:val="GBC22222222222222222222222222222"/>
        </w:placeholder>
      </w:sdtPr>
      <w:sdtEndPr>
        <w:rPr>
          <w:color w:val="000000" w:themeColor="text1"/>
          <w14:textFill>
            <w14:solidFill>
              <w14:schemeClr w14:val="tx1"/>
            </w14:solidFill>
          </w14:textFill>
        </w:rPr>
      </w:sdtEndPr>
      <w:sdtContent>
        <w:p w14:paraId="2F43321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A662145">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对联营、合营企业投资"/>
          <w:tag w:val="_GBC_d8af48cd34c54e749df777d4e6a5e2ed"/>
          <w:id w:val="1474747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对联营、合营企业投资"/>
          <w:tag w:val="_GBC_5b4bb22c6cca42989bcd538938127ee2"/>
          <w:id w:val="14745336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1354"/>
        <w:gridCol w:w="932"/>
        <w:gridCol w:w="824"/>
        <w:gridCol w:w="736"/>
        <w:gridCol w:w="1088"/>
        <w:gridCol w:w="952"/>
        <w:gridCol w:w="963"/>
        <w:gridCol w:w="1099"/>
        <w:gridCol w:w="1085"/>
        <w:gridCol w:w="1124"/>
        <w:gridCol w:w="1222"/>
        <w:gridCol w:w="1072"/>
      </w:tblGrid>
      <w:tr w14:paraId="2B15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abfaca7df388426499f44c3fb444b469"/>
            <w:id w:val="147451585"/>
          </w:sdtPr>
          <w:sdtContent>
            <w:tc>
              <w:tcPr>
                <w:tcW w:w="510" w:type="pct"/>
                <w:vMerge w:val="restart"/>
                <w:tcBorders>
                  <w:top w:val="single" w:color="auto" w:sz="4" w:space="0"/>
                  <w:left w:val="single" w:color="auto" w:sz="4" w:space="0"/>
                  <w:right w:val="single" w:color="auto" w:sz="4" w:space="0"/>
                </w:tcBorders>
                <w:vAlign w:val="center"/>
              </w:tcPr>
              <w:p w14:paraId="2CCACDC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投资</w:t>
                </w:r>
              </w:p>
              <w:p w14:paraId="6977380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p>
            </w:tc>
          </w:sdtContent>
        </w:sdt>
        <w:sdt>
          <w:sdtPr>
            <w:tag w:val="_PLD_05798c5c44604c97a951491f90362ede"/>
            <w:id w:val="147475446"/>
          </w:sdtPr>
          <w:sdtContent>
            <w:tc>
              <w:tcPr>
                <w:tcW w:w="489" w:type="pct"/>
                <w:vMerge w:val="restart"/>
                <w:tcBorders>
                  <w:top w:val="single" w:color="auto" w:sz="4" w:space="0"/>
                  <w:left w:val="single" w:color="auto" w:sz="4" w:space="0"/>
                  <w:right w:val="single" w:color="auto" w:sz="4" w:space="0"/>
                </w:tcBorders>
                <w:vAlign w:val="center"/>
              </w:tcPr>
              <w:p w14:paraId="10593D9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14:paraId="24BC2CE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余额（账面价值）</w:t>
                </w:r>
              </w:p>
            </w:tc>
          </w:sdtContent>
        </w:sdt>
        <w:tc>
          <w:tcPr>
            <w:tcW w:w="337" w:type="pct"/>
            <w:vMerge w:val="restart"/>
            <w:tcBorders>
              <w:top w:val="single" w:color="auto" w:sz="4" w:space="0"/>
              <w:left w:val="single" w:color="auto" w:sz="4" w:space="0"/>
              <w:right w:val="single" w:color="auto" w:sz="4" w:space="0"/>
            </w:tcBorders>
            <w:vAlign w:val="center"/>
          </w:tcPr>
          <w:sdt>
            <w:sdtPr>
              <w:tag w:val="_PLD_679614cb179b47cb8eca53d826d545ce"/>
              <w:id w:val="147477803"/>
            </w:sdtPr>
            <w:sdtContent>
              <w:p w14:paraId="372CAD16">
                <w:pPr>
                  <w:tabs>
                    <w:tab w:val="left" w:pos="370"/>
                  </w:tabs>
                  <w:jc w:val="center"/>
                </w:pPr>
                <w:r>
                  <w:rPr>
                    <w:rFonts w:hint="eastAsia"/>
                  </w:rPr>
                  <w:t>减值准备期初余额</w:t>
                </w:r>
              </w:p>
            </w:sdtContent>
          </w:sdt>
        </w:tc>
        <w:sdt>
          <w:sdtPr>
            <w:tag w:val="_PLD_0a2bbaaacf944dc499773ce9e49a7a44"/>
            <w:id w:val="147466657"/>
          </w:sdtPr>
          <w:sdtContent>
            <w:tc>
              <w:tcPr>
                <w:tcW w:w="2844" w:type="pct"/>
                <w:gridSpan w:val="8"/>
                <w:tcBorders>
                  <w:top w:val="single" w:color="auto" w:sz="4" w:space="0"/>
                  <w:left w:val="single" w:color="auto" w:sz="4" w:space="0"/>
                  <w:bottom w:val="single" w:color="auto" w:sz="4" w:space="0"/>
                  <w:right w:val="single" w:color="auto" w:sz="4" w:space="0"/>
                </w:tcBorders>
                <w:vAlign w:val="center"/>
              </w:tcPr>
              <w:p w14:paraId="7CE2CD5B">
                <w:pPr>
                  <w:jc w:val="center"/>
                  <w:rPr>
                    <w:color w:val="000000" w:themeColor="text1"/>
                    <w14:textFill>
                      <w14:solidFill>
                        <w14:schemeClr w14:val="tx1"/>
                      </w14:solidFill>
                    </w14:textFill>
                  </w:rPr>
                </w:pPr>
                <w:bookmarkStart w:id="487" w:name="OLE_LINK7"/>
                <w:r>
                  <w:rPr>
                    <w:rFonts w:hint="eastAsia"/>
                    <w:color w:val="000000" w:themeColor="text1"/>
                    <w14:textFill>
                      <w14:solidFill>
                        <w14:schemeClr w14:val="tx1"/>
                      </w14:solidFill>
                    </w14:textFill>
                  </w:rPr>
                  <w:t>本期增减变动</w:t>
                </w:r>
              </w:p>
              <w:bookmarkEnd w:id="487"/>
            </w:tc>
          </w:sdtContent>
        </w:sdt>
        <w:sdt>
          <w:sdtPr>
            <w:tag w:val="_PLD_08d96ebd050e43e4a66f158230dee5ce"/>
            <w:id w:val="147465294"/>
          </w:sdtPr>
          <w:sdtContent>
            <w:tc>
              <w:tcPr>
                <w:tcW w:w="433" w:type="pct"/>
                <w:vMerge w:val="restart"/>
                <w:tcBorders>
                  <w:top w:val="single" w:color="auto" w:sz="4" w:space="0"/>
                  <w:left w:val="single" w:color="auto" w:sz="4" w:space="0"/>
                  <w:right w:val="single" w:color="auto" w:sz="4" w:space="0"/>
                </w:tcBorders>
                <w:vAlign w:val="center"/>
              </w:tcPr>
              <w:p w14:paraId="6EC9D02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期末余额（账面价值）</w:t>
                </w:r>
              </w:p>
            </w:tc>
          </w:sdtContent>
        </w:sdt>
        <w:sdt>
          <w:sdtPr>
            <w:tag w:val="_PLD_7926cd06c0474fbd9ec1c3b927ae616d"/>
            <w:id w:val="147469101"/>
          </w:sdtPr>
          <w:sdtContent>
            <w:tc>
              <w:tcPr>
                <w:tcW w:w="383" w:type="pct"/>
                <w:vMerge w:val="restart"/>
                <w:tcBorders>
                  <w:top w:val="single" w:color="auto" w:sz="4" w:space="0"/>
                  <w:left w:val="single" w:color="auto" w:sz="4" w:space="0"/>
                  <w:right w:val="single" w:color="auto" w:sz="4" w:space="0"/>
                </w:tcBorders>
                <w:vAlign w:val="center"/>
              </w:tcPr>
              <w:p w14:paraId="00844D8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减值准备期末余额</w:t>
                </w:r>
              </w:p>
            </w:tc>
          </w:sdtContent>
        </w:sdt>
      </w:tr>
      <w:tr w14:paraId="7337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10" w:type="pct"/>
            <w:vMerge w:val="continue"/>
            <w:tcBorders>
              <w:left w:val="single" w:color="auto" w:sz="4" w:space="0"/>
              <w:bottom w:val="single" w:color="auto" w:sz="4" w:space="0"/>
              <w:right w:val="single" w:color="auto" w:sz="4" w:space="0"/>
            </w:tcBorders>
          </w:tcPr>
          <w:p w14:paraId="58F351A3">
            <w:pPr>
              <w:jc w:val="center"/>
              <w:rPr>
                <w:color w:val="000000" w:themeColor="text1"/>
                <w14:textFill>
                  <w14:solidFill>
                    <w14:schemeClr w14:val="tx1"/>
                  </w14:solidFill>
                </w14:textFill>
              </w:rPr>
            </w:pPr>
          </w:p>
        </w:tc>
        <w:tc>
          <w:tcPr>
            <w:tcW w:w="489" w:type="pct"/>
            <w:vMerge w:val="continue"/>
            <w:tcBorders>
              <w:left w:val="single" w:color="auto" w:sz="4" w:space="0"/>
              <w:bottom w:val="single" w:color="auto" w:sz="4" w:space="0"/>
              <w:right w:val="single" w:color="auto" w:sz="4" w:space="0"/>
            </w:tcBorders>
          </w:tcPr>
          <w:p w14:paraId="4C427104">
            <w:pPr>
              <w:jc w:val="center"/>
              <w:rPr>
                <w:color w:val="000000" w:themeColor="text1"/>
                <w14:textFill>
                  <w14:solidFill>
                    <w14:schemeClr w14:val="tx1"/>
                  </w14:solidFill>
                </w14:textFill>
              </w:rPr>
            </w:pPr>
          </w:p>
        </w:tc>
        <w:tc>
          <w:tcPr>
            <w:tcW w:w="337" w:type="pct"/>
            <w:vMerge w:val="continue"/>
            <w:tcBorders>
              <w:left w:val="single" w:color="auto" w:sz="4" w:space="0"/>
              <w:bottom w:val="single" w:color="auto" w:sz="4" w:space="0"/>
              <w:right w:val="single" w:color="auto" w:sz="4" w:space="0"/>
            </w:tcBorders>
          </w:tcPr>
          <w:p w14:paraId="7D3028A6">
            <w:pPr>
              <w:jc w:val="center"/>
              <w:rPr>
                <w:color w:val="000000" w:themeColor="text1"/>
                <w14:textFill>
                  <w14:solidFill>
                    <w14:schemeClr w14:val="tx1"/>
                  </w14:solidFill>
                </w14:textFill>
              </w:rPr>
            </w:pPr>
          </w:p>
        </w:tc>
        <w:sdt>
          <w:sdtPr>
            <w:tag w:val="_PLD_c2a32165f0334d7c8fde829ff4c17575"/>
            <w:id w:val="147481931"/>
          </w:sdtPr>
          <w:sdtContent>
            <w:tc>
              <w:tcPr>
                <w:tcW w:w="298" w:type="pct"/>
                <w:tcBorders>
                  <w:top w:val="single" w:color="auto" w:sz="4" w:space="0"/>
                  <w:left w:val="single" w:color="auto" w:sz="4" w:space="0"/>
                  <w:bottom w:val="single" w:color="auto" w:sz="4" w:space="0"/>
                  <w:right w:val="single" w:color="auto" w:sz="4" w:space="0"/>
                </w:tcBorders>
                <w:vAlign w:val="center"/>
              </w:tcPr>
              <w:p w14:paraId="5F89518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追加投资</w:t>
                </w:r>
              </w:p>
            </w:tc>
          </w:sdtContent>
        </w:sdt>
        <w:sdt>
          <w:sdtPr>
            <w:tag w:val="_PLD_71fe608b4d73467797eee694efbf7ebb"/>
            <w:id w:val="147453271"/>
          </w:sdtPr>
          <w:sdtContent>
            <w:tc>
              <w:tcPr>
                <w:tcW w:w="266" w:type="pct"/>
                <w:tcBorders>
                  <w:top w:val="single" w:color="auto" w:sz="4" w:space="0"/>
                  <w:left w:val="single" w:color="auto" w:sz="4" w:space="0"/>
                  <w:bottom w:val="single" w:color="auto" w:sz="4" w:space="0"/>
                  <w:right w:val="single" w:color="auto" w:sz="4" w:space="0"/>
                </w:tcBorders>
                <w:vAlign w:val="center"/>
              </w:tcPr>
              <w:p w14:paraId="7257E05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减少投资</w:t>
                </w:r>
              </w:p>
            </w:tc>
          </w:sdtContent>
        </w:sdt>
        <w:sdt>
          <w:sdtPr>
            <w:tag w:val="_PLD_f05a50a0bc284599af7a40502cd10a40"/>
            <w:id w:val="147479485"/>
          </w:sdtPr>
          <w:sdtContent>
            <w:tc>
              <w:tcPr>
                <w:tcW w:w="393" w:type="pct"/>
                <w:tcBorders>
                  <w:top w:val="single" w:color="auto" w:sz="4" w:space="0"/>
                  <w:left w:val="single" w:color="auto" w:sz="4" w:space="0"/>
                  <w:bottom w:val="single" w:color="auto" w:sz="4" w:space="0"/>
                  <w:right w:val="single" w:color="auto" w:sz="4" w:space="0"/>
                </w:tcBorders>
                <w:vAlign w:val="center"/>
              </w:tcPr>
              <w:p w14:paraId="5E0573D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权益法下确认的投资损益</w:t>
                </w:r>
              </w:p>
            </w:tc>
          </w:sdtContent>
        </w:sdt>
        <w:sdt>
          <w:sdtPr>
            <w:tag w:val="_PLD_02248a0958484589b824cff096f8d135"/>
            <w:id w:val="147476672"/>
          </w:sdtPr>
          <w:sdtContent>
            <w:tc>
              <w:tcPr>
                <w:tcW w:w="344" w:type="pct"/>
                <w:tcBorders>
                  <w:top w:val="single" w:color="auto" w:sz="4" w:space="0"/>
                  <w:left w:val="single" w:color="auto" w:sz="4" w:space="0"/>
                  <w:bottom w:val="single" w:color="auto" w:sz="4" w:space="0"/>
                  <w:right w:val="single" w:color="auto" w:sz="4" w:space="0"/>
                </w:tcBorders>
                <w:vAlign w:val="center"/>
              </w:tcPr>
              <w:p w14:paraId="50A27BC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其他综合收益调整</w:t>
                </w:r>
              </w:p>
            </w:tc>
          </w:sdtContent>
        </w:sdt>
        <w:sdt>
          <w:sdtPr>
            <w:tag w:val="_PLD_7fb58b4af07a4b58a9b3d08dc004f3ee"/>
            <w:id w:val="147453348"/>
          </w:sdtPr>
          <w:sdtContent>
            <w:tc>
              <w:tcPr>
                <w:tcW w:w="348" w:type="pct"/>
                <w:tcBorders>
                  <w:top w:val="single" w:color="auto" w:sz="4" w:space="0"/>
                  <w:left w:val="single" w:color="auto" w:sz="4" w:space="0"/>
                  <w:bottom w:val="single" w:color="auto" w:sz="4" w:space="0"/>
                  <w:right w:val="single" w:color="auto" w:sz="4" w:space="0"/>
                </w:tcBorders>
                <w:vAlign w:val="center"/>
              </w:tcPr>
              <w:p w14:paraId="2418D1B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其他权益变动</w:t>
                </w:r>
              </w:p>
            </w:tc>
          </w:sdtContent>
        </w:sdt>
        <w:sdt>
          <w:sdtPr>
            <w:tag w:val="_PLD_222556d83dca4844b27c9b0b28e96430"/>
            <w:id w:val="147473789"/>
          </w:sdtPr>
          <w:sdtContent>
            <w:tc>
              <w:tcPr>
                <w:tcW w:w="397" w:type="pct"/>
                <w:tcBorders>
                  <w:top w:val="single" w:color="auto" w:sz="4" w:space="0"/>
                  <w:left w:val="single" w:color="auto" w:sz="4" w:space="0"/>
                  <w:bottom w:val="single" w:color="auto" w:sz="4" w:space="0"/>
                  <w:right w:val="single" w:color="auto" w:sz="4" w:space="0"/>
                </w:tcBorders>
                <w:vAlign w:val="center"/>
              </w:tcPr>
              <w:p w14:paraId="5CFA820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宣告发放现金股利或利润</w:t>
                </w:r>
              </w:p>
            </w:tc>
          </w:sdtContent>
        </w:sdt>
        <w:sdt>
          <w:sdtPr>
            <w:tag w:val="_PLD_3ccc36abfffc49a99807a98ffb9d12d5"/>
            <w:id w:val="147457498"/>
          </w:sdtPr>
          <w:sdtContent>
            <w:tc>
              <w:tcPr>
                <w:tcW w:w="392" w:type="pct"/>
                <w:tcBorders>
                  <w:top w:val="single" w:color="auto" w:sz="4" w:space="0"/>
                  <w:left w:val="single" w:color="auto" w:sz="4" w:space="0"/>
                  <w:bottom w:val="single" w:color="auto" w:sz="4" w:space="0"/>
                  <w:right w:val="single" w:color="auto" w:sz="4" w:space="0"/>
                </w:tcBorders>
                <w:vAlign w:val="center"/>
              </w:tcPr>
              <w:p w14:paraId="1C23DA1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计提减值准备</w:t>
                </w:r>
              </w:p>
            </w:tc>
          </w:sdtContent>
        </w:sdt>
        <w:sdt>
          <w:sdtPr>
            <w:tag w:val="_PLD_a907ceb1e793491d9fd8ecad7300602c"/>
            <w:id w:val="147475282"/>
          </w:sdtPr>
          <w:sdtContent>
            <w:tc>
              <w:tcPr>
                <w:tcW w:w="403" w:type="pct"/>
                <w:tcBorders>
                  <w:top w:val="single" w:color="auto" w:sz="4" w:space="0"/>
                  <w:left w:val="single" w:color="auto" w:sz="4" w:space="0"/>
                  <w:bottom w:val="single" w:color="auto" w:sz="4" w:space="0"/>
                  <w:right w:val="single" w:color="auto" w:sz="4" w:space="0"/>
                </w:tcBorders>
                <w:vAlign w:val="center"/>
              </w:tcPr>
              <w:p w14:paraId="1072C46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433" w:type="pct"/>
            <w:vMerge w:val="continue"/>
            <w:tcBorders>
              <w:left w:val="single" w:color="auto" w:sz="4" w:space="0"/>
              <w:bottom w:val="single" w:color="auto" w:sz="4" w:space="0"/>
              <w:right w:val="single" w:color="auto" w:sz="4" w:space="0"/>
            </w:tcBorders>
          </w:tcPr>
          <w:p w14:paraId="56370FAB">
            <w:pPr>
              <w:jc w:val="center"/>
              <w:rPr>
                <w:color w:val="000000" w:themeColor="text1"/>
                <w14:textFill>
                  <w14:solidFill>
                    <w14:schemeClr w14:val="tx1"/>
                  </w14:solidFill>
                </w14:textFill>
              </w:rPr>
            </w:pPr>
          </w:p>
        </w:tc>
        <w:tc>
          <w:tcPr>
            <w:tcW w:w="383" w:type="pct"/>
            <w:vMerge w:val="continue"/>
            <w:tcBorders>
              <w:left w:val="single" w:color="auto" w:sz="4" w:space="0"/>
              <w:bottom w:val="single" w:color="auto" w:sz="4" w:space="0"/>
              <w:right w:val="single" w:color="auto" w:sz="4" w:space="0"/>
            </w:tcBorders>
          </w:tcPr>
          <w:p w14:paraId="2D0CD6DF">
            <w:pPr>
              <w:jc w:val="center"/>
              <w:rPr>
                <w:color w:val="000000" w:themeColor="text1"/>
                <w14:textFill>
                  <w14:solidFill>
                    <w14:schemeClr w14:val="tx1"/>
                  </w14:solidFill>
                </w14:textFill>
              </w:rPr>
            </w:pPr>
          </w:p>
        </w:tc>
      </w:tr>
      <w:tr w14:paraId="1632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1dc54109424419aa8f35cf797c2d59e"/>
            <w:id w:val="147453822"/>
          </w:sdtPr>
          <w:sdtContent>
            <w:tc>
              <w:tcPr>
                <w:tcW w:w="5000" w:type="pct"/>
                <w:gridSpan w:val="13"/>
                <w:tcBorders>
                  <w:top w:val="single" w:color="auto" w:sz="4" w:space="0"/>
                  <w:left w:val="single" w:color="auto" w:sz="4" w:space="0"/>
                  <w:bottom w:val="single" w:color="auto" w:sz="4" w:space="0"/>
                  <w:right w:val="single" w:color="auto" w:sz="4" w:space="0"/>
                </w:tcBorders>
              </w:tcPr>
              <w:p w14:paraId="693530F0">
                <w:pPr>
                  <w:rPr>
                    <w:color w:val="000000" w:themeColor="text1"/>
                    <w14:textFill>
                      <w14:solidFill>
                        <w14:schemeClr w14:val="tx1"/>
                      </w14:solidFill>
                    </w14:textFill>
                  </w:rPr>
                </w:pPr>
                <w:r>
                  <w:rPr>
                    <w:rFonts w:hint="eastAsia"/>
                    <w:color w:val="000000" w:themeColor="text1"/>
                    <w14:textFill>
                      <w14:solidFill>
                        <w14:schemeClr w14:val="tx1"/>
                      </w14:solidFill>
                    </w14:textFill>
                  </w:rPr>
                  <w:t>一、合营企业</w:t>
                </w:r>
              </w:p>
            </w:tc>
          </w:sdtContent>
        </w:sdt>
      </w:tr>
      <w:tr w14:paraId="2AC4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0cc1e0799634510b44e4e55b4185a5a"/>
            <w:id w:val="147455348"/>
          </w:sdtPr>
          <w:sdtContent>
            <w:tc>
              <w:tcPr>
                <w:tcW w:w="5000" w:type="pct"/>
                <w:gridSpan w:val="13"/>
                <w:tcBorders>
                  <w:top w:val="single" w:color="auto" w:sz="4" w:space="0"/>
                  <w:left w:val="single" w:color="auto" w:sz="4" w:space="0"/>
                  <w:bottom w:val="single" w:color="auto" w:sz="4" w:space="0"/>
                  <w:right w:val="single" w:color="auto" w:sz="4" w:space="0"/>
                </w:tcBorders>
              </w:tcPr>
              <w:p w14:paraId="14653126">
                <w:pPr>
                  <w:rPr>
                    <w:color w:val="000000" w:themeColor="text1"/>
                    <w14:textFill>
                      <w14:solidFill>
                        <w14:schemeClr w14:val="tx1"/>
                      </w14:solidFill>
                    </w14:textFill>
                  </w:rPr>
                </w:pPr>
                <w:r>
                  <w:rPr>
                    <w:rFonts w:hint="eastAsia"/>
                    <w:color w:val="000000" w:themeColor="text1"/>
                    <w14:textFill>
                      <w14:solidFill>
                        <w14:schemeClr w14:val="tx1"/>
                      </w14:solidFill>
                    </w14:textFill>
                  </w:rPr>
                  <w:t>二、联营企业</w:t>
                </w:r>
              </w:p>
            </w:tc>
          </w:sdtContent>
        </w:sdt>
      </w:tr>
      <w:tr w14:paraId="12D3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tcPr>
          <w:p w14:paraId="2F684291">
            <w:pPr>
              <w:jc w:val="both"/>
            </w:pPr>
            <w:r>
              <w:rPr>
                <w:rFonts w:hint="eastAsia"/>
              </w:rPr>
              <w:t>新兴际华科技（天津）有限公司</w:t>
            </w:r>
          </w:p>
        </w:tc>
        <w:tc>
          <w:tcPr>
            <w:tcW w:w="489" w:type="pct"/>
            <w:tcBorders>
              <w:top w:val="single" w:color="auto" w:sz="4" w:space="0"/>
              <w:left w:val="single" w:color="auto" w:sz="4" w:space="0"/>
              <w:bottom w:val="single" w:color="auto" w:sz="4" w:space="0"/>
              <w:right w:val="single" w:color="auto" w:sz="4" w:space="0"/>
            </w:tcBorders>
            <w:vAlign w:val="center"/>
          </w:tcPr>
          <w:p w14:paraId="7F3CE3D8">
            <w:pPr>
              <w:jc w:val="right"/>
              <w:textAlignment w:val="center"/>
            </w:pPr>
            <w:r>
              <w:rPr>
                <w:rFonts w:ascii="Arial Narrow" w:hAnsi="Arial Narrow" w:eastAsia="Arial Narrow" w:cs="Arial Narrow"/>
                <w:color w:val="000000"/>
                <w:lang w:bidi="ar"/>
              </w:rPr>
              <w:t>1,068,839.26</w:t>
            </w:r>
          </w:p>
        </w:tc>
        <w:tc>
          <w:tcPr>
            <w:tcW w:w="337" w:type="pct"/>
            <w:tcBorders>
              <w:top w:val="single" w:color="auto" w:sz="4" w:space="0"/>
              <w:left w:val="single" w:color="auto" w:sz="4" w:space="0"/>
              <w:bottom w:val="single" w:color="auto" w:sz="4" w:space="0"/>
              <w:right w:val="single" w:color="auto" w:sz="4" w:space="0"/>
            </w:tcBorders>
          </w:tcPr>
          <w:p w14:paraId="79E53017">
            <w:pPr>
              <w:jc w:val="right"/>
            </w:pPr>
          </w:p>
        </w:tc>
        <w:tc>
          <w:tcPr>
            <w:tcW w:w="298" w:type="pct"/>
            <w:tcBorders>
              <w:top w:val="single" w:color="auto" w:sz="4" w:space="0"/>
              <w:left w:val="single" w:color="auto" w:sz="4" w:space="0"/>
              <w:bottom w:val="single" w:color="auto" w:sz="4" w:space="0"/>
              <w:right w:val="single" w:color="auto" w:sz="4" w:space="0"/>
            </w:tcBorders>
          </w:tcPr>
          <w:p w14:paraId="024B0E6D">
            <w:pPr>
              <w:jc w:val="right"/>
            </w:pPr>
          </w:p>
        </w:tc>
        <w:tc>
          <w:tcPr>
            <w:tcW w:w="266" w:type="pct"/>
            <w:tcBorders>
              <w:top w:val="single" w:color="auto" w:sz="4" w:space="0"/>
              <w:left w:val="single" w:color="auto" w:sz="4" w:space="0"/>
              <w:bottom w:val="single" w:color="auto" w:sz="4" w:space="0"/>
              <w:right w:val="single" w:color="auto" w:sz="4" w:space="0"/>
            </w:tcBorders>
          </w:tcPr>
          <w:p w14:paraId="275B6B38">
            <w:pPr>
              <w:jc w:val="right"/>
            </w:pPr>
          </w:p>
        </w:tc>
        <w:tc>
          <w:tcPr>
            <w:tcW w:w="393" w:type="pct"/>
            <w:tcBorders>
              <w:top w:val="single" w:color="auto" w:sz="4" w:space="0"/>
              <w:left w:val="single" w:color="auto" w:sz="4" w:space="0"/>
              <w:bottom w:val="single" w:color="auto" w:sz="4" w:space="0"/>
              <w:right w:val="single" w:color="auto" w:sz="4" w:space="0"/>
            </w:tcBorders>
            <w:vAlign w:val="center"/>
          </w:tcPr>
          <w:p w14:paraId="2C871C42">
            <w:pPr>
              <w:jc w:val="right"/>
              <w:textAlignment w:val="center"/>
              <w:rPr>
                <w:rFonts w:eastAsiaTheme="minorEastAsia"/>
              </w:rPr>
            </w:pPr>
            <w:r>
              <w:rPr>
                <w:rFonts w:ascii="Arial Narrow" w:hAnsi="Arial Narrow" w:eastAsia="Arial Narrow" w:cs="Arial Narrow"/>
                <w:color w:val="000000"/>
                <w:lang w:bidi="ar"/>
              </w:rPr>
              <w:t>5,787.5</w:t>
            </w:r>
            <w:r>
              <w:rPr>
                <w:rFonts w:hint="eastAsia" w:ascii="Arial Narrow" w:hAnsi="Arial Narrow" w:cs="Arial Narrow" w:eastAsiaTheme="minorEastAsia"/>
                <w:color w:val="000000"/>
                <w:lang w:bidi="ar"/>
              </w:rPr>
              <w:t>1</w:t>
            </w:r>
          </w:p>
        </w:tc>
        <w:tc>
          <w:tcPr>
            <w:tcW w:w="344" w:type="pct"/>
            <w:tcBorders>
              <w:top w:val="single" w:color="auto" w:sz="4" w:space="0"/>
              <w:left w:val="single" w:color="auto" w:sz="4" w:space="0"/>
              <w:bottom w:val="single" w:color="auto" w:sz="4" w:space="0"/>
              <w:right w:val="single" w:color="auto" w:sz="4" w:space="0"/>
            </w:tcBorders>
          </w:tcPr>
          <w:p w14:paraId="2C9F6EBB">
            <w:pPr>
              <w:jc w:val="right"/>
            </w:pPr>
          </w:p>
        </w:tc>
        <w:tc>
          <w:tcPr>
            <w:tcW w:w="348" w:type="pct"/>
            <w:tcBorders>
              <w:top w:val="single" w:color="auto" w:sz="4" w:space="0"/>
              <w:left w:val="single" w:color="auto" w:sz="4" w:space="0"/>
              <w:bottom w:val="single" w:color="auto" w:sz="4" w:space="0"/>
              <w:right w:val="single" w:color="auto" w:sz="4" w:space="0"/>
            </w:tcBorders>
          </w:tcPr>
          <w:p w14:paraId="0EEB2DB5">
            <w:pPr>
              <w:jc w:val="right"/>
            </w:pPr>
          </w:p>
        </w:tc>
        <w:tc>
          <w:tcPr>
            <w:tcW w:w="397" w:type="pct"/>
            <w:tcBorders>
              <w:top w:val="single" w:color="auto" w:sz="4" w:space="0"/>
              <w:left w:val="single" w:color="auto" w:sz="4" w:space="0"/>
              <w:bottom w:val="single" w:color="auto" w:sz="4" w:space="0"/>
              <w:right w:val="single" w:color="auto" w:sz="4" w:space="0"/>
            </w:tcBorders>
          </w:tcPr>
          <w:p w14:paraId="55346356">
            <w:pPr>
              <w:jc w:val="right"/>
            </w:pPr>
          </w:p>
        </w:tc>
        <w:tc>
          <w:tcPr>
            <w:tcW w:w="392" w:type="pct"/>
            <w:tcBorders>
              <w:top w:val="single" w:color="auto" w:sz="4" w:space="0"/>
              <w:left w:val="single" w:color="auto" w:sz="4" w:space="0"/>
              <w:bottom w:val="single" w:color="auto" w:sz="4" w:space="0"/>
              <w:right w:val="single" w:color="auto" w:sz="4" w:space="0"/>
            </w:tcBorders>
          </w:tcPr>
          <w:p w14:paraId="21CBC3CE">
            <w:pPr>
              <w:jc w:val="right"/>
            </w:pPr>
          </w:p>
        </w:tc>
        <w:tc>
          <w:tcPr>
            <w:tcW w:w="403" w:type="pct"/>
            <w:tcBorders>
              <w:top w:val="single" w:color="auto" w:sz="4" w:space="0"/>
              <w:left w:val="single" w:color="auto" w:sz="4" w:space="0"/>
              <w:bottom w:val="single" w:color="auto" w:sz="4" w:space="0"/>
              <w:right w:val="single" w:color="auto" w:sz="4" w:space="0"/>
            </w:tcBorders>
          </w:tcPr>
          <w:p w14:paraId="17701351">
            <w:pPr>
              <w:jc w:val="right"/>
            </w:pPr>
          </w:p>
        </w:tc>
        <w:tc>
          <w:tcPr>
            <w:tcW w:w="433" w:type="pct"/>
            <w:tcBorders>
              <w:top w:val="single" w:color="auto" w:sz="4" w:space="0"/>
              <w:left w:val="single" w:color="auto" w:sz="4" w:space="0"/>
              <w:bottom w:val="single" w:color="auto" w:sz="4" w:space="0"/>
              <w:right w:val="single" w:color="auto" w:sz="4" w:space="0"/>
            </w:tcBorders>
            <w:vAlign w:val="center"/>
          </w:tcPr>
          <w:p w14:paraId="0FB5CB63">
            <w:pPr>
              <w:jc w:val="right"/>
              <w:textAlignment w:val="center"/>
              <w:rPr>
                <w:rFonts w:eastAsiaTheme="minorEastAsia"/>
              </w:rPr>
            </w:pPr>
            <w:r>
              <w:rPr>
                <w:rFonts w:ascii="Arial Narrow" w:hAnsi="Arial Narrow" w:eastAsia="Arial Narrow" w:cs="Arial Narrow"/>
                <w:color w:val="000000"/>
                <w:lang w:bidi="ar"/>
              </w:rPr>
              <w:t>1,074,626.7</w:t>
            </w:r>
            <w:r>
              <w:rPr>
                <w:rFonts w:hint="eastAsia" w:ascii="Arial Narrow" w:hAnsi="Arial Narrow" w:cs="Arial Narrow" w:eastAsiaTheme="minorEastAsia"/>
                <w:color w:val="000000"/>
                <w:lang w:bidi="ar"/>
              </w:rPr>
              <w:t>7</w:t>
            </w:r>
          </w:p>
        </w:tc>
        <w:tc>
          <w:tcPr>
            <w:tcW w:w="383" w:type="pct"/>
            <w:tcBorders>
              <w:top w:val="single" w:color="auto" w:sz="4" w:space="0"/>
              <w:left w:val="single" w:color="auto" w:sz="4" w:space="0"/>
              <w:bottom w:val="single" w:color="auto" w:sz="4" w:space="0"/>
              <w:right w:val="single" w:color="auto" w:sz="4" w:space="0"/>
            </w:tcBorders>
          </w:tcPr>
          <w:p w14:paraId="648ABAB5">
            <w:pPr>
              <w:jc w:val="right"/>
            </w:pPr>
          </w:p>
        </w:tc>
      </w:tr>
      <w:tr w14:paraId="198C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tcPr>
          <w:p w14:paraId="5A7F7C7B">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489" w:type="pct"/>
            <w:tcBorders>
              <w:top w:val="single" w:color="auto" w:sz="4" w:space="0"/>
              <w:left w:val="single" w:color="auto" w:sz="4" w:space="0"/>
              <w:bottom w:val="single" w:color="auto" w:sz="4" w:space="0"/>
              <w:right w:val="single" w:color="auto" w:sz="4" w:space="0"/>
            </w:tcBorders>
            <w:vAlign w:val="center"/>
          </w:tcPr>
          <w:p w14:paraId="63F07603">
            <w:pPr>
              <w:jc w:val="right"/>
              <w:textAlignment w:val="center"/>
            </w:pPr>
            <w:r>
              <w:rPr>
                <w:rFonts w:ascii="Arial Narrow" w:hAnsi="Arial Narrow" w:eastAsia="Arial Narrow" w:cs="Arial Narrow"/>
                <w:color w:val="000000"/>
                <w:lang w:bidi="ar"/>
              </w:rPr>
              <w:t>1,068,839.26</w:t>
            </w:r>
          </w:p>
        </w:tc>
        <w:tc>
          <w:tcPr>
            <w:tcW w:w="337" w:type="pct"/>
            <w:tcBorders>
              <w:top w:val="single" w:color="auto" w:sz="4" w:space="0"/>
              <w:left w:val="single" w:color="auto" w:sz="4" w:space="0"/>
              <w:bottom w:val="single" w:color="auto" w:sz="4" w:space="0"/>
              <w:right w:val="single" w:color="auto" w:sz="4" w:space="0"/>
            </w:tcBorders>
          </w:tcPr>
          <w:p w14:paraId="4728CE77">
            <w:pPr>
              <w:jc w:val="right"/>
            </w:pPr>
          </w:p>
        </w:tc>
        <w:tc>
          <w:tcPr>
            <w:tcW w:w="298" w:type="pct"/>
            <w:tcBorders>
              <w:top w:val="single" w:color="auto" w:sz="4" w:space="0"/>
              <w:left w:val="single" w:color="auto" w:sz="4" w:space="0"/>
              <w:bottom w:val="single" w:color="auto" w:sz="4" w:space="0"/>
              <w:right w:val="single" w:color="auto" w:sz="4" w:space="0"/>
            </w:tcBorders>
          </w:tcPr>
          <w:p w14:paraId="29CEB95C">
            <w:pPr>
              <w:jc w:val="right"/>
            </w:pPr>
          </w:p>
        </w:tc>
        <w:tc>
          <w:tcPr>
            <w:tcW w:w="266" w:type="pct"/>
            <w:tcBorders>
              <w:top w:val="single" w:color="auto" w:sz="4" w:space="0"/>
              <w:left w:val="single" w:color="auto" w:sz="4" w:space="0"/>
              <w:bottom w:val="single" w:color="auto" w:sz="4" w:space="0"/>
              <w:right w:val="single" w:color="auto" w:sz="4" w:space="0"/>
            </w:tcBorders>
          </w:tcPr>
          <w:p w14:paraId="4ACA68B1">
            <w:pPr>
              <w:jc w:val="right"/>
            </w:pPr>
          </w:p>
        </w:tc>
        <w:tc>
          <w:tcPr>
            <w:tcW w:w="393" w:type="pct"/>
            <w:tcBorders>
              <w:top w:val="single" w:color="auto" w:sz="4" w:space="0"/>
              <w:left w:val="single" w:color="auto" w:sz="4" w:space="0"/>
              <w:bottom w:val="single" w:color="auto" w:sz="4" w:space="0"/>
              <w:right w:val="single" w:color="auto" w:sz="4" w:space="0"/>
            </w:tcBorders>
            <w:vAlign w:val="center"/>
          </w:tcPr>
          <w:p w14:paraId="62744CE7">
            <w:pPr>
              <w:jc w:val="right"/>
              <w:textAlignment w:val="center"/>
              <w:rPr>
                <w:rFonts w:eastAsiaTheme="minorEastAsia"/>
              </w:rPr>
            </w:pPr>
            <w:r>
              <w:rPr>
                <w:rFonts w:ascii="Arial Narrow" w:hAnsi="Arial Narrow" w:eastAsia="Arial Narrow" w:cs="Arial Narrow"/>
                <w:color w:val="000000"/>
                <w:lang w:bidi="ar"/>
              </w:rPr>
              <w:t>5,787.5</w:t>
            </w:r>
            <w:r>
              <w:rPr>
                <w:rFonts w:hint="eastAsia" w:ascii="Arial Narrow" w:hAnsi="Arial Narrow" w:cs="Arial Narrow" w:eastAsiaTheme="minorEastAsia"/>
                <w:color w:val="000000"/>
                <w:lang w:bidi="ar"/>
              </w:rPr>
              <w:t>1</w:t>
            </w:r>
          </w:p>
        </w:tc>
        <w:tc>
          <w:tcPr>
            <w:tcW w:w="344" w:type="pct"/>
            <w:tcBorders>
              <w:top w:val="single" w:color="auto" w:sz="4" w:space="0"/>
              <w:left w:val="single" w:color="auto" w:sz="4" w:space="0"/>
              <w:bottom w:val="single" w:color="auto" w:sz="4" w:space="0"/>
              <w:right w:val="single" w:color="auto" w:sz="4" w:space="0"/>
            </w:tcBorders>
          </w:tcPr>
          <w:p w14:paraId="13B4DA04">
            <w:pPr>
              <w:jc w:val="right"/>
            </w:pPr>
          </w:p>
        </w:tc>
        <w:tc>
          <w:tcPr>
            <w:tcW w:w="348" w:type="pct"/>
            <w:tcBorders>
              <w:top w:val="single" w:color="auto" w:sz="4" w:space="0"/>
              <w:left w:val="single" w:color="auto" w:sz="4" w:space="0"/>
              <w:bottom w:val="single" w:color="auto" w:sz="4" w:space="0"/>
              <w:right w:val="single" w:color="auto" w:sz="4" w:space="0"/>
            </w:tcBorders>
          </w:tcPr>
          <w:p w14:paraId="19978F90">
            <w:pPr>
              <w:jc w:val="right"/>
            </w:pPr>
          </w:p>
        </w:tc>
        <w:tc>
          <w:tcPr>
            <w:tcW w:w="397" w:type="pct"/>
            <w:tcBorders>
              <w:top w:val="single" w:color="auto" w:sz="4" w:space="0"/>
              <w:left w:val="single" w:color="auto" w:sz="4" w:space="0"/>
              <w:bottom w:val="single" w:color="auto" w:sz="4" w:space="0"/>
              <w:right w:val="single" w:color="auto" w:sz="4" w:space="0"/>
            </w:tcBorders>
          </w:tcPr>
          <w:p w14:paraId="00773328">
            <w:pPr>
              <w:jc w:val="right"/>
            </w:pPr>
          </w:p>
        </w:tc>
        <w:tc>
          <w:tcPr>
            <w:tcW w:w="392" w:type="pct"/>
            <w:tcBorders>
              <w:top w:val="single" w:color="auto" w:sz="4" w:space="0"/>
              <w:left w:val="single" w:color="auto" w:sz="4" w:space="0"/>
              <w:bottom w:val="single" w:color="auto" w:sz="4" w:space="0"/>
              <w:right w:val="single" w:color="auto" w:sz="4" w:space="0"/>
            </w:tcBorders>
          </w:tcPr>
          <w:p w14:paraId="5390A555">
            <w:pPr>
              <w:jc w:val="right"/>
            </w:pPr>
          </w:p>
        </w:tc>
        <w:tc>
          <w:tcPr>
            <w:tcW w:w="403" w:type="pct"/>
            <w:tcBorders>
              <w:top w:val="single" w:color="auto" w:sz="4" w:space="0"/>
              <w:left w:val="single" w:color="auto" w:sz="4" w:space="0"/>
              <w:bottom w:val="single" w:color="auto" w:sz="4" w:space="0"/>
              <w:right w:val="single" w:color="auto" w:sz="4" w:space="0"/>
            </w:tcBorders>
          </w:tcPr>
          <w:p w14:paraId="0A9EDCC7">
            <w:pPr>
              <w:jc w:val="right"/>
            </w:pPr>
          </w:p>
        </w:tc>
        <w:tc>
          <w:tcPr>
            <w:tcW w:w="433" w:type="pct"/>
            <w:tcBorders>
              <w:top w:val="single" w:color="auto" w:sz="4" w:space="0"/>
              <w:left w:val="single" w:color="auto" w:sz="4" w:space="0"/>
              <w:bottom w:val="single" w:color="auto" w:sz="4" w:space="0"/>
              <w:right w:val="single" w:color="auto" w:sz="4" w:space="0"/>
            </w:tcBorders>
            <w:vAlign w:val="center"/>
          </w:tcPr>
          <w:p w14:paraId="0ED3636C">
            <w:pPr>
              <w:jc w:val="right"/>
              <w:textAlignment w:val="center"/>
              <w:rPr>
                <w:rFonts w:eastAsiaTheme="minorEastAsia"/>
              </w:rPr>
            </w:pPr>
            <w:r>
              <w:rPr>
                <w:rFonts w:ascii="Arial Narrow" w:hAnsi="Arial Narrow" w:eastAsia="Arial Narrow" w:cs="Arial Narrow"/>
                <w:color w:val="000000"/>
                <w:lang w:bidi="ar"/>
              </w:rPr>
              <w:t>1,074,626.7</w:t>
            </w:r>
            <w:r>
              <w:rPr>
                <w:rFonts w:hint="eastAsia" w:ascii="Arial Narrow" w:hAnsi="Arial Narrow" w:cs="Arial Narrow" w:eastAsiaTheme="minorEastAsia"/>
                <w:color w:val="000000"/>
                <w:lang w:bidi="ar"/>
              </w:rPr>
              <w:t>7</w:t>
            </w:r>
          </w:p>
        </w:tc>
        <w:tc>
          <w:tcPr>
            <w:tcW w:w="383" w:type="pct"/>
            <w:tcBorders>
              <w:top w:val="single" w:color="auto" w:sz="4" w:space="0"/>
              <w:left w:val="single" w:color="auto" w:sz="4" w:space="0"/>
              <w:bottom w:val="single" w:color="auto" w:sz="4" w:space="0"/>
              <w:right w:val="single" w:color="auto" w:sz="4" w:space="0"/>
            </w:tcBorders>
          </w:tcPr>
          <w:p w14:paraId="025734E5">
            <w:pPr>
              <w:jc w:val="right"/>
            </w:pPr>
          </w:p>
        </w:tc>
      </w:tr>
      <w:tr w14:paraId="63B6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pct"/>
            <w:tcBorders>
              <w:top w:val="single" w:color="auto" w:sz="4" w:space="0"/>
              <w:left w:val="single" w:color="auto" w:sz="4" w:space="0"/>
              <w:bottom w:val="single" w:color="auto" w:sz="4" w:space="0"/>
              <w:right w:val="single" w:color="auto" w:sz="4" w:space="0"/>
            </w:tcBorders>
            <w:vAlign w:val="center"/>
          </w:tcPr>
          <w:p w14:paraId="10C1A05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489" w:type="pct"/>
            <w:tcBorders>
              <w:top w:val="single" w:color="auto" w:sz="4" w:space="0"/>
              <w:left w:val="single" w:color="auto" w:sz="4" w:space="0"/>
              <w:bottom w:val="single" w:color="auto" w:sz="4" w:space="0"/>
              <w:right w:val="single" w:color="auto" w:sz="4" w:space="0"/>
            </w:tcBorders>
            <w:vAlign w:val="center"/>
          </w:tcPr>
          <w:p w14:paraId="34D22F5A">
            <w:pPr>
              <w:jc w:val="right"/>
              <w:textAlignment w:val="center"/>
            </w:pPr>
            <w:r>
              <w:rPr>
                <w:rFonts w:ascii="Arial Narrow" w:hAnsi="Arial Narrow" w:eastAsia="Arial Narrow" w:cs="Arial Narrow"/>
                <w:color w:val="000000"/>
                <w:lang w:bidi="ar"/>
              </w:rPr>
              <w:t>1,068,839.26</w:t>
            </w:r>
          </w:p>
        </w:tc>
        <w:tc>
          <w:tcPr>
            <w:tcW w:w="337" w:type="pct"/>
            <w:tcBorders>
              <w:top w:val="single" w:color="auto" w:sz="4" w:space="0"/>
              <w:left w:val="single" w:color="auto" w:sz="4" w:space="0"/>
              <w:bottom w:val="single" w:color="auto" w:sz="4" w:space="0"/>
              <w:right w:val="single" w:color="auto" w:sz="4" w:space="0"/>
            </w:tcBorders>
          </w:tcPr>
          <w:p w14:paraId="1BBB1FD5">
            <w:pPr>
              <w:jc w:val="right"/>
            </w:pPr>
          </w:p>
        </w:tc>
        <w:tc>
          <w:tcPr>
            <w:tcW w:w="298" w:type="pct"/>
            <w:tcBorders>
              <w:top w:val="single" w:color="auto" w:sz="4" w:space="0"/>
              <w:left w:val="single" w:color="auto" w:sz="4" w:space="0"/>
              <w:bottom w:val="single" w:color="auto" w:sz="4" w:space="0"/>
              <w:right w:val="single" w:color="auto" w:sz="4" w:space="0"/>
            </w:tcBorders>
          </w:tcPr>
          <w:p w14:paraId="6EEA90BA">
            <w:pPr>
              <w:jc w:val="right"/>
            </w:pPr>
          </w:p>
        </w:tc>
        <w:tc>
          <w:tcPr>
            <w:tcW w:w="266" w:type="pct"/>
            <w:tcBorders>
              <w:top w:val="single" w:color="auto" w:sz="4" w:space="0"/>
              <w:left w:val="single" w:color="auto" w:sz="4" w:space="0"/>
              <w:bottom w:val="single" w:color="auto" w:sz="4" w:space="0"/>
              <w:right w:val="single" w:color="auto" w:sz="4" w:space="0"/>
            </w:tcBorders>
          </w:tcPr>
          <w:p w14:paraId="6F894061">
            <w:pPr>
              <w:jc w:val="right"/>
            </w:pPr>
          </w:p>
        </w:tc>
        <w:tc>
          <w:tcPr>
            <w:tcW w:w="393" w:type="pct"/>
            <w:tcBorders>
              <w:top w:val="single" w:color="auto" w:sz="4" w:space="0"/>
              <w:left w:val="single" w:color="auto" w:sz="4" w:space="0"/>
              <w:bottom w:val="single" w:color="auto" w:sz="4" w:space="0"/>
              <w:right w:val="single" w:color="auto" w:sz="4" w:space="0"/>
            </w:tcBorders>
            <w:vAlign w:val="center"/>
          </w:tcPr>
          <w:p w14:paraId="165BDF30">
            <w:pPr>
              <w:jc w:val="right"/>
              <w:textAlignment w:val="center"/>
              <w:rPr>
                <w:rFonts w:eastAsiaTheme="minorEastAsia"/>
              </w:rPr>
            </w:pPr>
            <w:r>
              <w:rPr>
                <w:rFonts w:ascii="Arial Narrow" w:hAnsi="Arial Narrow" w:eastAsia="Arial Narrow" w:cs="Arial Narrow"/>
                <w:color w:val="000000"/>
                <w:lang w:bidi="ar"/>
              </w:rPr>
              <w:t>5,787.5</w:t>
            </w:r>
            <w:r>
              <w:rPr>
                <w:rFonts w:hint="eastAsia" w:ascii="Arial Narrow" w:hAnsi="Arial Narrow" w:cs="Arial Narrow" w:eastAsiaTheme="minorEastAsia"/>
                <w:color w:val="000000"/>
                <w:lang w:bidi="ar"/>
              </w:rPr>
              <w:t>1</w:t>
            </w:r>
          </w:p>
        </w:tc>
        <w:tc>
          <w:tcPr>
            <w:tcW w:w="344" w:type="pct"/>
            <w:tcBorders>
              <w:top w:val="single" w:color="auto" w:sz="4" w:space="0"/>
              <w:left w:val="single" w:color="auto" w:sz="4" w:space="0"/>
              <w:bottom w:val="single" w:color="auto" w:sz="4" w:space="0"/>
              <w:right w:val="single" w:color="auto" w:sz="4" w:space="0"/>
            </w:tcBorders>
          </w:tcPr>
          <w:p w14:paraId="2081F36D">
            <w:pPr>
              <w:jc w:val="right"/>
            </w:pPr>
          </w:p>
        </w:tc>
        <w:tc>
          <w:tcPr>
            <w:tcW w:w="348" w:type="pct"/>
            <w:tcBorders>
              <w:top w:val="single" w:color="auto" w:sz="4" w:space="0"/>
              <w:left w:val="single" w:color="auto" w:sz="4" w:space="0"/>
              <w:bottom w:val="single" w:color="auto" w:sz="4" w:space="0"/>
              <w:right w:val="single" w:color="auto" w:sz="4" w:space="0"/>
            </w:tcBorders>
          </w:tcPr>
          <w:p w14:paraId="3D20093E">
            <w:pPr>
              <w:jc w:val="right"/>
            </w:pPr>
          </w:p>
        </w:tc>
        <w:tc>
          <w:tcPr>
            <w:tcW w:w="397" w:type="pct"/>
            <w:tcBorders>
              <w:top w:val="single" w:color="auto" w:sz="4" w:space="0"/>
              <w:left w:val="single" w:color="auto" w:sz="4" w:space="0"/>
              <w:bottom w:val="single" w:color="auto" w:sz="4" w:space="0"/>
              <w:right w:val="single" w:color="auto" w:sz="4" w:space="0"/>
            </w:tcBorders>
          </w:tcPr>
          <w:p w14:paraId="640D314F">
            <w:pPr>
              <w:jc w:val="right"/>
            </w:pPr>
          </w:p>
        </w:tc>
        <w:tc>
          <w:tcPr>
            <w:tcW w:w="392" w:type="pct"/>
            <w:tcBorders>
              <w:top w:val="single" w:color="auto" w:sz="4" w:space="0"/>
              <w:left w:val="single" w:color="auto" w:sz="4" w:space="0"/>
              <w:bottom w:val="single" w:color="auto" w:sz="4" w:space="0"/>
              <w:right w:val="single" w:color="auto" w:sz="4" w:space="0"/>
            </w:tcBorders>
          </w:tcPr>
          <w:p w14:paraId="4D093137">
            <w:pPr>
              <w:jc w:val="right"/>
            </w:pPr>
          </w:p>
        </w:tc>
        <w:tc>
          <w:tcPr>
            <w:tcW w:w="403" w:type="pct"/>
            <w:tcBorders>
              <w:top w:val="single" w:color="auto" w:sz="4" w:space="0"/>
              <w:left w:val="single" w:color="auto" w:sz="4" w:space="0"/>
              <w:bottom w:val="single" w:color="auto" w:sz="4" w:space="0"/>
              <w:right w:val="single" w:color="auto" w:sz="4" w:space="0"/>
            </w:tcBorders>
          </w:tcPr>
          <w:p w14:paraId="47163984">
            <w:pPr>
              <w:jc w:val="right"/>
            </w:pPr>
          </w:p>
        </w:tc>
        <w:tc>
          <w:tcPr>
            <w:tcW w:w="433" w:type="pct"/>
            <w:tcBorders>
              <w:top w:val="single" w:color="auto" w:sz="4" w:space="0"/>
              <w:left w:val="single" w:color="auto" w:sz="4" w:space="0"/>
              <w:bottom w:val="single" w:color="auto" w:sz="4" w:space="0"/>
              <w:right w:val="single" w:color="auto" w:sz="4" w:space="0"/>
            </w:tcBorders>
            <w:vAlign w:val="center"/>
          </w:tcPr>
          <w:p w14:paraId="7CBBD282">
            <w:pPr>
              <w:jc w:val="right"/>
              <w:textAlignment w:val="center"/>
              <w:rPr>
                <w:rFonts w:eastAsiaTheme="minorEastAsia"/>
              </w:rPr>
            </w:pPr>
            <w:r>
              <w:rPr>
                <w:rFonts w:ascii="Arial Narrow" w:hAnsi="Arial Narrow" w:eastAsia="Arial Narrow" w:cs="Arial Narrow"/>
                <w:color w:val="000000"/>
                <w:lang w:bidi="ar"/>
              </w:rPr>
              <w:t>1,074,626.7</w:t>
            </w:r>
            <w:r>
              <w:rPr>
                <w:rFonts w:hint="eastAsia" w:ascii="Arial Narrow" w:hAnsi="Arial Narrow" w:cs="Arial Narrow" w:eastAsiaTheme="minorEastAsia"/>
                <w:color w:val="000000"/>
                <w:lang w:bidi="ar"/>
              </w:rPr>
              <w:t>7</w:t>
            </w:r>
          </w:p>
        </w:tc>
        <w:tc>
          <w:tcPr>
            <w:tcW w:w="383" w:type="pct"/>
            <w:tcBorders>
              <w:top w:val="single" w:color="auto" w:sz="4" w:space="0"/>
              <w:left w:val="single" w:color="auto" w:sz="4" w:space="0"/>
              <w:bottom w:val="single" w:color="auto" w:sz="4" w:space="0"/>
              <w:right w:val="single" w:color="auto" w:sz="4" w:space="0"/>
            </w:tcBorders>
          </w:tcPr>
          <w:p w14:paraId="6D55425C">
            <w:pPr>
              <w:jc w:val="right"/>
            </w:pPr>
          </w:p>
        </w:tc>
      </w:tr>
    </w:tbl>
    <w:p w14:paraId="0D27BFFA">
      <w:pPr>
        <w:rPr>
          <w:color w:val="000000" w:themeColor="text1"/>
          <w14:textFill>
            <w14:solidFill>
              <w14:schemeClr w14:val="tx1"/>
            </w14:solidFill>
          </w14:textFill>
        </w:rPr>
      </w:pPr>
    </w:p>
    <w:bookmarkEnd w:id="485"/>
    <w:bookmarkEnd w:id="486"/>
    <w:p w14:paraId="232C49A2">
      <w:pPr>
        <w:pStyle w:val="58"/>
        <w:numPr>
          <w:ilvl w:val="0"/>
          <w:numId w:val="121"/>
        </w:numPr>
        <w:rPr>
          <w:rFonts w:ascii="宋体" w:hAnsi="宋体"/>
          <w:color w:val="000000" w:themeColor="text1"/>
          <w14:textFill>
            <w14:solidFill>
              <w14:schemeClr w14:val="tx1"/>
            </w14:solidFill>
          </w14:textFill>
        </w:rPr>
      </w:pPr>
      <w:bookmarkStart w:id="488" w:name="_Hlk155165896"/>
      <w:bookmarkStart w:id="489" w:name="_Hlk168057377"/>
      <w:r>
        <w:rPr>
          <w:rFonts w:hint="eastAsia" w:ascii="宋体" w:hAnsi="宋体"/>
          <w:color w:val="000000" w:themeColor="text1"/>
          <w14:textFill>
            <w14:solidFill>
              <w14:schemeClr w14:val="tx1"/>
            </w14:solidFill>
          </w14:textFill>
        </w:rPr>
        <w:t>长期股权投资的减值测试情况</w:t>
      </w:r>
    </w:p>
    <w:sdt>
      <w:sdtPr>
        <w:rPr>
          <w:color w:val="000000" w:themeColor="text1"/>
          <w14:textFill>
            <w14:solidFill>
              <w14:schemeClr w14:val="tx1"/>
            </w14:solidFill>
          </w14:textFill>
        </w:rPr>
        <w:alias w:val="是否适用：减值测试情况[双击切换]"/>
        <w:tag w:val="_GBC_c0857dc1a8eb4f79b18a90f9b4b26d58"/>
        <w:id w:val="147480360"/>
        <w:placeholder>
          <w:docPart w:val="GBC22222222222222222222222222222"/>
        </w:placeholder>
      </w:sdtPr>
      <w:sdtEndPr>
        <w:rPr>
          <w:color w:val="000000" w:themeColor="text1"/>
          <w14:textFill>
            <w14:solidFill>
              <w14:schemeClr w14:val="tx1"/>
            </w14:solidFill>
          </w14:textFill>
        </w:rPr>
      </w:sdtEndPr>
      <w:sdtContent>
        <w:p w14:paraId="0B061B8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88"/>
    <w:bookmarkEnd w:id="489"/>
    <w:p w14:paraId="3F2895AE">
      <w:pPr>
        <w:rPr>
          <w:color w:val="000000" w:themeColor="text1"/>
          <w14:textFill>
            <w14:solidFill>
              <w14:schemeClr w14:val="tx1"/>
            </w14:solidFill>
          </w14:textFill>
        </w:rPr>
      </w:pPr>
    </w:p>
    <w:p w14:paraId="0259E788">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母公司长期股权投资其他说明[双击切换]"/>
        <w:tag w:val="_GBC_8b70582854684459adc77f46cbf4aac7"/>
        <w:id w:val="147483543"/>
        <w:placeholder>
          <w:docPart w:val="GBC22222222222222222222222222222"/>
        </w:placeholder>
      </w:sdtPr>
      <w:sdtEndPr>
        <w:rPr>
          <w:color w:val="000000" w:themeColor="text1"/>
          <w14:textFill>
            <w14:solidFill>
              <w14:schemeClr w14:val="tx1"/>
            </w14:solidFill>
          </w14:textFill>
        </w:rPr>
      </w:sdtEndPr>
      <w:sdtContent>
        <w:p w14:paraId="6B4B116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C6C7E46">
      <w:pPr>
        <w:rPr>
          <w:color w:val="000000" w:themeColor="text1"/>
          <w14:textFill>
            <w14:solidFill>
              <w14:schemeClr w14:val="tx1"/>
            </w14:solidFill>
          </w14:textFill>
        </w:rPr>
      </w:pPr>
    </w:p>
    <w:p w14:paraId="12BBEF01">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14:paraId="39DAE962">
      <w:pPr>
        <w:rPr>
          <w:color w:val="000000" w:themeColor="text1"/>
          <w14:textFill>
            <w14:solidFill>
              <w14:schemeClr w14:val="tx1"/>
            </w14:solidFill>
          </w14:textFill>
        </w:rPr>
      </w:pPr>
    </w:p>
    <w:p w14:paraId="153DF0B2">
      <w:pPr>
        <w:pStyle w:val="57"/>
        <w:numPr>
          <w:ilvl w:val="0"/>
          <w:numId w:val="11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营业收入和营业成本</w:t>
      </w:r>
    </w:p>
    <w:p w14:paraId="6543F610">
      <w:pPr>
        <w:pStyle w:val="58"/>
        <w:numPr>
          <w:ilvl w:val="0"/>
          <w:numId w:val="122"/>
        </w:numPr>
        <w:rPr>
          <w:rFonts w:ascii="宋体" w:hAnsi="宋体"/>
          <w:color w:val="000000" w:themeColor="text1"/>
          <w14:textFill>
            <w14:solidFill>
              <w14:schemeClr w14:val="tx1"/>
            </w14:solidFill>
          </w14:textFill>
        </w:rPr>
      </w:pPr>
      <w:bookmarkStart w:id="490" w:name="_Hlk10548568"/>
      <w:r>
        <w:rPr>
          <w:rFonts w:hint="eastAsia" w:ascii="宋体" w:hAnsi="宋体"/>
          <w:color w:val="000000" w:themeColor="text1"/>
          <w14:textFill>
            <w14:solidFill>
              <w14:schemeClr w14:val="tx1"/>
            </w14:solidFill>
          </w14:textFill>
        </w:rPr>
        <w:t>营业收入和营业成本情况</w:t>
      </w:r>
    </w:p>
    <w:sdt>
      <w:sdtPr>
        <w:rPr>
          <w:color w:val="000000" w:themeColor="text1"/>
          <w14:textFill>
            <w14:solidFill>
              <w14:schemeClr w14:val="tx1"/>
            </w14:solidFill>
          </w14:textFill>
        </w:rPr>
        <w:alias w:val="是否适用：母公司营业收入和营业成本[双击切换]"/>
        <w:tag w:val="_GBC_f62d83b1068f4bfaae3a590b0ac9f4d7"/>
        <w:id w:val="147478052"/>
        <w:placeholder>
          <w:docPart w:val="GBC22222222222222222222222222222"/>
        </w:placeholder>
      </w:sdtPr>
      <w:sdtEndPr>
        <w:rPr>
          <w:color w:val="000000" w:themeColor="text1"/>
          <w14:textFill>
            <w14:solidFill>
              <w14:schemeClr w14:val="tx1"/>
            </w14:solidFill>
          </w14:textFill>
        </w:rPr>
      </w:sdtEndPr>
      <w:sdtContent>
        <w:p w14:paraId="1A4E5640">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803BC71">
      <w:pPr>
        <w:pStyle w:val="63"/>
        <w:ind w:firstLine="0" w:firstLineChars="0"/>
        <w:jc w:val="right"/>
        <w:rPr>
          <w:rFonts w:ascii="宋体" w:hAnsi="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母公司财务附注：营业收入"/>
          <w:tag w:val="_GBC_40a730bb869a41578a25e9cb66f4e28e"/>
          <w:id w:val="1474777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母公司财务附注：营业收入"/>
          <w:tag w:val="_GBC_1b6056b90b2c445a9b1bcdc97aa104ec"/>
          <w:id w:val="14745956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1"/>
        <w:gridCol w:w="1623"/>
        <w:gridCol w:w="1623"/>
        <w:gridCol w:w="1477"/>
        <w:gridCol w:w="1329"/>
      </w:tblGrid>
      <w:tr w14:paraId="3B21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3dc9ae0da47e49d097992a176784945a"/>
            <w:id w:val="147477442"/>
          </w:sdtPr>
          <w:sdtEndPr>
            <w:rPr>
              <w:rFonts w:cs="Times New Roman"/>
            </w:rPr>
          </w:sdtEndPr>
          <w:sdtContent>
            <w:tc>
              <w:tcPr>
                <w:tcW w:w="1570" w:type="pct"/>
                <w:vMerge w:val="restart"/>
                <w:tcBorders>
                  <w:top w:val="single" w:color="auto" w:sz="4" w:space="0"/>
                  <w:left w:val="single" w:color="auto" w:sz="4" w:space="0"/>
                  <w:right w:val="single" w:color="auto" w:sz="4" w:space="0"/>
                </w:tcBorders>
                <w:vAlign w:val="center"/>
              </w:tcPr>
              <w:p w14:paraId="2A6A164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b47efcaea8ca428781485b2625b4c252"/>
            <w:id w:val="147471706"/>
          </w:sdtPr>
          <w:sdtEndPr>
            <w:rPr>
              <w:rFonts w:cs="Times New Roman"/>
            </w:rPr>
          </w:sdtEndPr>
          <w:sdtContent>
            <w:tc>
              <w:tcPr>
                <w:tcW w:w="1840" w:type="pct"/>
                <w:gridSpan w:val="2"/>
                <w:tcBorders>
                  <w:top w:val="single" w:color="auto" w:sz="4" w:space="0"/>
                  <w:left w:val="single" w:color="auto" w:sz="4" w:space="0"/>
                  <w:bottom w:val="single" w:color="auto" w:sz="4" w:space="0"/>
                  <w:right w:val="single" w:color="auto" w:sz="4" w:space="0"/>
                </w:tcBorders>
                <w:vAlign w:val="center"/>
              </w:tcPr>
              <w:p w14:paraId="323B3E3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44320683f4394adcaf1711775bb320ef"/>
            <w:id w:val="147481660"/>
          </w:sdtPr>
          <w:sdtEndPr>
            <w:rPr>
              <w:rFonts w:cs="Times New Roman"/>
            </w:rPr>
          </w:sdtEndPr>
          <w:sdtContent>
            <w:tc>
              <w:tcPr>
                <w:tcW w:w="1590" w:type="pct"/>
                <w:gridSpan w:val="2"/>
                <w:tcBorders>
                  <w:top w:val="single" w:color="auto" w:sz="4" w:space="0"/>
                  <w:left w:val="single" w:color="auto" w:sz="4" w:space="0"/>
                  <w:bottom w:val="single" w:color="auto" w:sz="4" w:space="0"/>
                  <w:right w:val="single" w:color="auto" w:sz="4" w:space="0"/>
                </w:tcBorders>
                <w:vAlign w:val="center"/>
              </w:tcPr>
              <w:p w14:paraId="14EB1C95">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6F6A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Merge w:val="continue"/>
            <w:tcBorders>
              <w:left w:val="single" w:color="auto" w:sz="4" w:space="0"/>
              <w:bottom w:val="single" w:color="auto" w:sz="4" w:space="0"/>
              <w:right w:val="single" w:color="auto" w:sz="4" w:space="0"/>
            </w:tcBorders>
            <w:vAlign w:val="center"/>
          </w:tcPr>
          <w:p w14:paraId="4E727EE9">
            <w:pPr>
              <w:jc w:val="center"/>
              <w:rPr>
                <w:rFonts w:cs="Times New Roman"/>
                <w:color w:val="000000" w:themeColor="text1"/>
                <w14:textFill>
                  <w14:solidFill>
                    <w14:schemeClr w14:val="tx1"/>
                  </w14:solidFill>
                </w14:textFill>
              </w:rPr>
            </w:pPr>
          </w:p>
        </w:tc>
        <w:sdt>
          <w:sdtPr>
            <w:rPr>
              <w:rFonts w:cs="Times New Roman"/>
            </w:rPr>
            <w:tag w:val="_PLD_efb75dfbe3924c3a9f286eefd26b357f"/>
            <w:id w:val="147473767"/>
          </w:sdtPr>
          <w:sdtEndPr>
            <w:rPr>
              <w:rFonts w:cs="Times New Roman"/>
            </w:rPr>
          </w:sdtEndPr>
          <w:sdtContent>
            <w:tc>
              <w:tcPr>
                <w:tcW w:w="920" w:type="pct"/>
                <w:tcBorders>
                  <w:top w:val="single" w:color="auto" w:sz="4" w:space="0"/>
                  <w:left w:val="single" w:color="auto" w:sz="4" w:space="0"/>
                  <w:bottom w:val="single" w:color="auto" w:sz="4" w:space="0"/>
                  <w:right w:val="single" w:color="auto" w:sz="4" w:space="0"/>
                </w:tcBorders>
                <w:vAlign w:val="center"/>
              </w:tcPr>
              <w:p w14:paraId="103E334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收入</w:t>
                </w:r>
              </w:p>
            </w:tc>
          </w:sdtContent>
        </w:sdt>
        <w:sdt>
          <w:sdtPr>
            <w:rPr>
              <w:rFonts w:cs="Times New Roman"/>
            </w:rPr>
            <w:tag w:val="_PLD_9ecc7b9050c24dcebd801ee01e950a91"/>
            <w:id w:val="147480064"/>
          </w:sdtPr>
          <w:sdtEndPr>
            <w:rPr>
              <w:rFonts w:cs="Times New Roman"/>
            </w:rPr>
          </w:sdtEndPr>
          <w:sdtContent>
            <w:tc>
              <w:tcPr>
                <w:tcW w:w="920" w:type="pct"/>
                <w:tcBorders>
                  <w:top w:val="single" w:color="auto" w:sz="4" w:space="0"/>
                  <w:left w:val="single" w:color="auto" w:sz="4" w:space="0"/>
                  <w:bottom w:val="single" w:color="auto" w:sz="4" w:space="0"/>
                  <w:right w:val="single" w:color="auto" w:sz="4" w:space="0"/>
                </w:tcBorders>
                <w:vAlign w:val="center"/>
              </w:tcPr>
              <w:p w14:paraId="6FC4418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成本</w:t>
                </w:r>
              </w:p>
            </w:tc>
          </w:sdtContent>
        </w:sdt>
        <w:sdt>
          <w:sdtPr>
            <w:rPr>
              <w:rFonts w:cs="Times New Roman"/>
            </w:rPr>
            <w:tag w:val="_PLD_b2940b2f59f24f969eea718c85f99dda"/>
            <w:id w:val="147482425"/>
          </w:sdtPr>
          <w:sdtEndPr>
            <w:rPr>
              <w:rFonts w:cs="Times New Roman"/>
            </w:rPr>
          </w:sdtEndPr>
          <w:sdtContent>
            <w:tc>
              <w:tcPr>
                <w:tcW w:w="837" w:type="pct"/>
                <w:tcBorders>
                  <w:top w:val="single" w:color="auto" w:sz="4" w:space="0"/>
                  <w:left w:val="single" w:color="auto" w:sz="4" w:space="0"/>
                  <w:bottom w:val="single" w:color="auto" w:sz="4" w:space="0"/>
                  <w:right w:val="single" w:color="auto" w:sz="4" w:space="0"/>
                </w:tcBorders>
                <w:vAlign w:val="center"/>
              </w:tcPr>
              <w:p w14:paraId="5E60DD2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收入</w:t>
                </w:r>
              </w:p>
            </w:tc>
          </w:sdtContent>
        </w:sdt>
        <w:sdt>
          <w:sdtPr>
            <w:rPr>
              <w:rFonts w:cs="Times New Roman"/>
            </w:rPr>
            <w:tag w:val="_PLD_971c170c70c24975ba7524e53623bf00"/>
            <w:id w:val="147483456"/>
          </w:sdtPr>
          <w:sdtEndPr>
            <w:rPr>
              <w:rFonts w:cs="Times New Roman"/>
            </w:rPr>
          </w:sdtEndPr>
          <w:sdtContent>
            <w:tc>
              <w:tcPr>
                <w:tcW w:w="753" w:type="pct"/>
                <w:tcBorders>
                  <w:top w:val="single" w:color="auto" w:sz="4" w:space="0"/>
                  <w:left w:val="single" w:color="auto" w:sz="4" w:space="0"/>
                  <w:bottom w:val="single" w:color="auto" w:sz="4" w:space="0"/>
                  <w:right w:val="single" w:color="auto" w:sz="4" w:space="0"/>
                </w:tcBorders>
                <w:vAlign w:val="center"/>
              </w:tcPr>
              <w:p w14:paraId="1F6D46CF">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成本</w:t>
                </w:r>
              </w:p>
            </w:tc>
          </w:sdtContent>
        </w:sdt>
      </w:tr>
      <w:tr w14:paraId="0EB7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tcPr>
          <w:p w14:paraId="75776110">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主营业务</w:t>
            </w:r>
          </w:p>
        </w:tc>
        <w:tc>
          <w:tcPr>
            <w:tcW w:w="920" w:type="pct"/>
            <w:tcBorders>
              <w:top w:val="single" w:color="auto" w:sz="4" w:space="0"/>
              <w:left w:val="single" w:color="auto" w:sz="4" w:space="0"/>
              <w:bottom w:val="single" w:color="auto" w:sz="4" w:space="0"/>
              <w:right w:val="single" w:color="auto" w:sz="4" w:space="0"/>
            </w:tcBorders>
          </w:tcPr>
          <w:p w14:paraId="0B74016B">
            <w:pPr>
              <w:jc w:val="right"/>
              <w:rPr>
                <w:rFonts w:cs="Times New Roman"/>
              </w:rPr>
            </w:pPr>
          </w:p>
        </w:tc>
        <w:tc>
          <w:tcPr>
            <w:tcW w:w="920" w:type="pct"/>
            <w:tcBorders>
              <w:top w:val="single" w:color="auto" w:sz="4" w:space="0"/>
              <w:left w:val="single" w:color="auto" w:sz="4" w:space="0"/>
              <w:bottom w:val="single" w:color="auto" w:sz="4" w:space="0"/>
              <w:right w:val="single" w:color="auto" w:sz="4" w:space="0"/>
            </w:tcBorders>
          </w:tcPr>
          <w:p w14:paraId="719FFDA3">
            <w:pPr>
              <w:jc w:val="right"/>
              <w:rPr>
                <w:rFonts w:cs="Times New Roman"/>
              </w:rPr>
            </w:pPr>
          </w:p>
        </w:tc>
        <w:tc>
          <w:tcPr>
            <w:tcW w:w="837" w:type="pct"/>
            <w:tcBorders>
              <w:top w:val="single" w:color="auto" w:sz="4" w:space="0"/>
              <w:left w:val="single" w:color="auto" w:sz="4" w:space="0"/>
              <w:bottom w:val="single" w:color="auto" w:sz="4" w:space="0"/>
              <w:right w:val="single" w:color="auto" w:sz="4" w:space="0"/>
            </w:tcBorders>
          </w:tcPr>
          <w:p w14:paraId="7BA958CF">
            <w:pPr>
              <w:jc w:val="right"/>
              <w:rPr>
                <w:rFonts w:cs="Times New Roman"/>
              </w:rPr>
            </w:pPr>
          </w:p>
        </w:tc>
        <w:tc>
          <w:tcPr>
            <w:tcW w:w="753" w:type="pct"/>
            <w:tcBorders>
              <w:top w:val="single" w:color="auto" w:sz="4" w:space="0"/>
              <w:left w:val="single" w:color="auto" w:sz="4" w:space="0"/>
              <w:bottom w:val="single" w:color="auto" w:sz="4" w:space="0"/>
              <w:right w:val="single" w:color="auto" w:sz="4" w:space="0"/>
            </w:tcBorders>
          </w:tcPr>
          <w:p w14:paraId="21BFDB88">
            <w:pPr>
              <w:jc w:val="right"/>
              <w:rPr>
                <w:rFonts w:cs="Times New Roman"/>
              </w:rPr>
            </w:pPr>
          </w:p>
        </w:tc>
      </w:tr>
      <w:tr w14:paraId="28F5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tcPr>
          <w:p w14:paraId="39610115">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其他业务</w:t>
            </w:r>
          </w:p>
        </w:tc>
        <w:tc>
          <w:tcPr>
            <w:tcW w:w="920" w:type="pct"/>
            <w:tcBorders>
              <w:top w:val="single" w:color="auto" w:sz="4" w:space="0"/>
              <w:left w:val="single" w:color="auto" w:sz="4" w:space="0"/>
              <w:bottom w:val="single" w:color="auto" w:sz="4" w:space="0"/>
              <w:right w:val="single" w:color="auto" w:sz="4" w:space="0"/>
            </w:tcBorders>
            <w:vAlign w:val="center"/>
          </w:tcPr>
          <w:p w14:paraId="19660109">
            <w:pPr>
              <w:jc w:val="right"/>
              <w:rPr>
                <w:rFonts w:cs="Times New Roman"/>
              </w:rPr>
            </w:pPr>
            <w:r>
              <w:rPr>
                <w:rFonts w:cs="Times New Roman"/>
                <w:color w:val="000000"/>
              </w:rPr>
              <w:t>5,334,155.45</w:t>
            </w:r>
          </w:p>
        </w:tc>
        <w:tc>
          <w:tcPr>
            <w:tcW w:w="920" w:type="pct"/>
            <w:tcBorders>
              <w:top w:val="single" w:color="auto" w:sz="4" w:space="0"/>
              <w:left w:val="single" w:color="auto" w:sz="4" w:space="0"/>
              <w:bottom w:val="single" w:color="auto" w:sz="4" w:space="0"/>
              <w:right w:val="single" w:color="auto" w:sz="4" w:space="0"/>
            </w:tcBorders>
            <w:vAlign w:val="center"/>
          </w:tcPr>
          <w:p w14:paraId="2C6A8380">
            <w:pPr>
              <w:jc w:val="right"/>
              <w:rPr>
                <w:rFonts w:cs="Times New Roman"/>
              </w:rPr>
            </w:pPr>
            <w:r>
              <w:rPr>
                <w:rFonts w:cs="Times New Roman"/>
                <w:color w:val="000000"/>
              </w:rPr>
              <w:t>349,612.07</w:t>
            </w:r>
          </w:p>
        </w:tc>
        <w:tc>
          <w:tcPr>
            <w:tcW w:w="837" w:type="pct"/>
            <w:tcBorders>
              <w:top w:val="single" w:color="auto" w:sz="4" w:space="0"/>
              <w:left w:val="single" w:color="auto" w:sz="4" w:space="0"/>
              <w:bottom w:val="single" w:color="auto" w:sz="4" w:space="0"/>
              <w:right w:val="single" w:color="auto" w:sz="4" w:space="0"/>
            </w:tcBorders>
            <w:vAlign w:val="center"/>
          </w:tcPr>
          <w:p w14:paraId="7B1E25A6">
            <w:pPr>
              <w:jc w:val="right"/>
              <w:rPr>
                <w:rFonts w:cs="Times New Roman"/>
              </w:rPr>
            </w:pPr>
            <w:r>
              <w:rPr>
                <w:rFonts w:cs="Times New Roman"/>
                <w:color w:val="000000"/>
              </w:rPr>
              <w:t>3,761,473.78</w:t>
            </w:r>
          </w:p>
        </w:tc>
        <w:tc>
          <w:tcPr>
            <w:tcW w:w="753" w:type="pct"/>
            <w:tcBorders>
              <w:top w:val="single" w:color="auto" w:sz="4" w:space="0"/>
              <w:left w:val="single" w:color="auto" w:sz="4" w:space="0"/>
              <w:bottom w:val="single" w:color="auto" w:sz="4" w:space="0"/>
              <w:right w:val="single" w:color="auto" w:sz="4" w:space="0"/>
            </w:tcBorders>
          </w:tcPr>
          <w:p w14:paraId="4491705D">
            <w:pPr>
              <w:jc w:val="right"/>
              <w:rPr>
                <w:rFonts w:cs="Times New Roman"/>
              </w:rPr>
            </w:pPr>
          </w:p>
        </w:tc>
      </w:tr>
      <w:tr w14:paraId="498E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Borders>
              <w:top w:val="single" w:color="auto" w:sz="4" w:space="0"/>
              <w:left w:val="single" w:color="auto" w:sz="4" w:space="0"/>
              <w:bottom w:val="single" w:color="auto" w:sz="4" w:space="0"/>
              <w:right w:val="single" w:color="auto" w:sz="4" w:space="0"/>
            </w:tcBorders>
            <w:vAlign w:val="center"/>
          </w:tcPr>
          <w:p w14:paraId="1A5E9EC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920" w:type="pct"/>
            <w:tcBorders>
              <w:top w:val="single" w:color="auto" w:sz="4" w:space="0"/>
              <w:left w:val="single" w:color="auto" w:sz="4" w:space="0"/>
              <w:bottom w:val="single" w:color="auto" w:sz="4" w:space="0"/>
              <w:right w:val="single" w:color="auto" w:sz="4" w:space="0"/>
            </w:tcBorders>
            <w:vAlign w:val="center"/>
          </w:tcPr>
          <w:p w14:paraId="2B057243">
            <w:pPr>
              <w:jc w:val="right"/>
              <w:rPr>
                <w:rFonts w:cs="Times New Roman"/>
              </w:rPr>
            </w:pPr>
            <w:r>
              <w:rPr>
                <w:rFonts w:cs="Times New Roman"/>
                <w:color w:val="000000"/>
              </w:rPr>
              <w:t>5,334,155.45</w:t>
            </w:r>
          </w:p>
        </w:tc>
        <w:tc>
          <w:tcPr>
            <w:tcW w:w="920" w:type="pct"/>
            <w:tcBorders>
              <w:top w:val="single" w:color="auto" w:sz="4" w:space="0"/>
              <w:left w:val="single" w:color="auto" w:sz="4" w:space="0"/>
              <w:bottom w:val="single" w:color="auto" w:sz="4" w:space="0"/>
              <w:right w:val="single" w:color="auto" w:sz="4" w:space="0"/>
            </w:tcBorders>
            <w:vAlign w:val="center"/>
          </w:tcPr>
          <w:p w14:paraId="14D900ED">
            <w:pPr>
              <w:jc w:val="right"/>
              <w:rPr>
                <w:rFonts w:cs="Times New Roman"/>
              </w:rPr>
            </w:pPr>
            <w:r>
              <w:rPr>
                <w:rFonts w:cs="Times New Roman"/>
                <w:color w:val="000000"/>
              </w:rPr>
              <w:t>349,612.07</w:t>
            </w:r>
          </w:p>
        </w:tc>
        <w:tc>
          <w:tcPr>
            <w:tcW w:w="837" w:type="pct"/>
            <w:tcBorders>
              <w:top w:val="single" w:color="auto" w:sz="4" w:space="0"/>
              <w:left w:val="single" w:color="auto" w:sz="4" w:space="0"/>
              <w:bottom w:val="single" w:color="auto" w:sz="4" w:space="0"/>
              <w:right w:val="single" w:color="auto" w:sz="4" w:space="0"/>
            </w:tcBorders>
            <w:vAlign w:val="center"/>
          </w:tcPr>
          <w:p w14:paraId="605E72C8">
            <w:pPr>
              <w:jc w:val="right"/>
              <w:rPr>
                <w:rFonts w:cs="Times New Roman"/>
              </w:rPr>
            </w:pPr>
            <w:r>
              <w:rPr>
                <w:rFonts w:cs="Times New Roman"/>
                <w:color w:val="000000"/>
              </w:rPr>
              <w:t>3,761,473.78</w:t>
            </w:r>
          </w:p>
        </w:tc>
        <w:tc>
          <w:tcPr>
            <w:tcW w:w="753" w:type="pct"/>
            <w:tcBorders>
              <w:top w:val="single" w:color="auto" w:sz="4" w:space="0"/>
              <w:left w:val="single" w:color="auto" w:sz="4" w:space="0"/>
              <w:bottom w:val="single" w:color="auto" w:sz="4" w:space="0"/>
              <w:right w:val="single" w:color="auto" w:sz="4" w:space="0"/>
            </w:tcBorders>
          </w:tcPr>
          <w:p w14:paraId="1BB6BCD1">
            <w:pPr>
              <w:jc w:val="right"/>
              <w:rPr>
                <w:rFonts w:cs="Times New Roman"/>
              </w:rPr>
            </w:pPr>
          </w:p>
        </w:tc>
      </w:tr>
    </w:tbl>
    <w:p w14:paraId="710163EE">
      <w:pPr>
        <w:rPr>
          <w:color w:val="000000" w:themeColor="text1"/>
          <w14:textFill>
            <w14:solidFill>
              <w14:schemeClr w14:val="tx1"/>
            </w14:solidFill>
          </w14:textFill>
        </w:rPr>
      </w:pPr>
    </w:p>
    <w:bookmarkEnd w:id="490"/>
    <w:sdt>
      <w:sdtPr>
        <w:rPr>
          <w:rFonts w:hint="eastAsia" w:ascii="宋体" w:hAnsi="宋体" w:cs="宋体"/>
          <w:b w:val="0"/>
          <w:bCs/>
          <w:color w:val="000000" w:themeColor="text1"/>
          <w:kern w:val="0"/>
          <w:sz w:val="21"/>
          <w:szCs w:val="24"/>
          <w14:textFill>
            <w14:solidFill>
              <w14:schemeClr w14:val="tx1"/>
            </w14:solidFill>
          </w14:textFill>
        </w:rPr>
        <w:alias w:val="模块:合同产生的收入的情况"/>
        <w:tag w:val="_SEC_55b67c614f984b14baf467a8376baa6d"/>
        <w:id w:val="147454058"/>
        <w:placeholder>
          <w:docPart w:val="GBC22222222222222222222222222222"/>
        </w:placeholder>
      </w:sdtPr>
      <w:sdtEndPr>
        <w:rPr>
          <w:rFonts w:hint="default" w:ascii="Times New Roman" w:hAnsi="Times New Roman" w:cs="宋体"/>
          <w:b w:val="0"/>
          <w:bCs/>
          <w:color w:val="000000" w:themeColor="text1"/>
          <w:kern w:val="0"/>
          <w:sz w:val="21"/>
          <w:szCs w:val="21"/>
          <w14:textFill>
            <w14:solidFill>
              <w14:schemeClr w14:val="tx1"/>
            </w14:solidFill>
          </w14:textFill>
        </w:rPr>
      </w:sdtEndPr>
      <w:sdtContent>
        <w:p w14:paraId="778D11DB">
          <w:pPr>
            <w:pStyle w:val="58"/>
            <w:numPr>
              <w:ilvl w:val="0"/>
              <w:numId w:val="122"/>
            </w:numPr>
            <w:rPr>
              <w:rFonts w:ascii="宋体" w:hAnsi="宋体"/>
              <w:color w:val="000000" w:themeColor="text1"/>
              <w14:textFill>
                <w14:solidFill>
                  <w14:schemeClr w14:val="tx1"/>
                </w14:solidFill>
              </w14:textFill>
            </w:rPr>
          </w:pPr>
          <w:bookmarkStart w:id="491" w:name="_Hlk153798384"/>
          <w:bookmarkStart w:id="492" w:name="_Hlk533798810"/>
          <w:bookmarkStart w:id="493" w:name="_Hlk168057792"/>
          <w:r>
            <w:rPr>
              <w:rFonts w:hint="eastAsia" w:ascii="宋体" w:hAnsi="宋体"/>
              <w:color w:val="000000" w:themeColor="text1"/>
              <w14:textFill>
                <w14:solidFill>
                  <w14:schemeClr w14:val="tx1"/>
                </w14:solidFill>
              </w14:textFill>
            </w:rPr>
            <w:t xml:space="preserve">营业收入、营业成本的分解信息 </w:t>
          </w:r>
        </w:p>
        <w:sdt>
          <w:sdtPr>
            <w:rPr>
              <w:rFonts w:ascii="宋体" w:hAnsi="宋体"/>
              <w:color w:val="000000" w:themeColor="text1"/>
              <w14:textFill>
                <w14:solidFill>
                  <w14:schemeClr w14:val="tx1"/>
                </w14:solidFill>
              </w14:textFill>
            </w:rPr>
            <w:alias w:val="是否适用：母公司营业收入、营业成本的分解信息 [双击切换]"/>
            <w:tag w:val="_GBC_f916612422c346448db58faef20dc792"/>
            <w:id w:val="147459476"/>
            <w:placeholder>
              <w:docPart w:val="GBC22222222222222222222222222222"/>
            </w:placeholder>
          </w:sdtPr>
          <w:sdtEndPr>
            <w:rPr>
              <w:rFonts w:ascii="宋体" w:hAnsi="宋体"/>
              <w:color w:val="000000" w:themeColor="text1"/>
              <w14:textFill>
                <w14:solidFill>
                  <w14:schemeClr w14:val="tx1"/>
                </w14:solidFill>
              </w14:textFill>
            </w:rPr>
          </w:sdtEndPr>
          <w:sdtContent>
            <w:p w14:paraId="641D79DD">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40C0BE8">
          <w:pPr>
            <w:rPr>
              <w:rFonts w:ascii="宋体" w:hAnsi="宋体"/>
              <w:color w:val="000000" w:themeColor="text1"/>
              <w14:textFill>
                <w14:solidFill>
                  <w14:schemeClr w14:val="tx1"/>
                </w14:solidFill>
              </w14:textFill>
            </w:rPr>
          </w:pPr>
        </w:p>
        <w:p w14:paraId="7E164B0F">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母公司营业收入、营业成本的分解信息说明 [双击切换]"/>
            <w:tag w:val="_GBC_adf50e989b9642a6a5b483866ecd2065"/>
            <w:id w:val="147467232"/>
            <w:placeholder>
              <w:docPart w:val="GBC22222222222222222222222222222"/>
            </w:placeholder>
          </w:sdtPr>
          <w:sdtEndPr>
            <w:rPr>
              <w:color w:val="000000" w:themeColor="text1"/>
              <w14:textFill>
                <w14:solidFill>
                  <w14:schemeClr w14:val="tx1"/>
                </w14:solidFill>
              </w14:textFill>
            </w:rPr>
          </w:sdtEndPr>
          <w:sdtContent>
            <w:p w14:paraId="655130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AD6858A">
          <w:pPr>
            <w:rPr>
              <w:color w:val="000000" w:themeColor="text1"/>
              <w14:textFill>
                <w14:solidFill>
                  <w14:schemeClr w14:val="tx1"/>
                </w14:solidFill>
              </w14:textFill>
            </w:rPr>
          </w:pPr>
        </w:p>
      </w:sdtContent>
    </w:sdt>
    <w:bookmarkEnd w:id="491"/>
    <w:p w14:paraId="190DD71D">
      <w:pPr>
        <w:pStyle w:val="58"/>
        <w:numPr>
          <w:ilvl w:val="0"/>
          <w:numId w:val="122"/>
        </w:numPr>
        <w:rPr>
          <w:rFonts w:ascii="宋体" w:hAnsi="宋体"/>
          <w:color w:val="000000" w:themeColor="text1"/>
          <w14:textFill>
            <w14:solidFill>
              <w14:schemeClr w14:val="tx1"/>
            </w14:solidFill>
          </w14:textFill>
        </w:rPr>
      </w:pPr>
      <w:bookmarkStart w:id="494" w:name="_Hlk155961563"/>
      <w:r>
        <w:rPr>
          <w:rFonts w:hint="eastAsia" w:ascii="宋体" w:hAnsi="宋体"/>
          <w:color w:val="000000" w:themeColor="text1"/>
          <w14:textFill>
            <w14:solidFill>
              <w14:schemeClr w14:val="tx1"/>
            </w14:solidFill>
          </w14:textFill>
        </w:rPr>
        <w:t>履约义务的说明</w:t>
      </w:r>
    </w:p>
    <w:sdt>
      <w:sdtPr>
        <w:rPr>
          <w:color w:val="000000" w:themeColor="text1"/>
          <w14:textFill>
            <w14:solidFill>
              <w14:schemeClr w14:val="tx1"/>
            </w14:solidFill>
          </w14:textFill>
        </w:rPr>
        <w:alias w:val="是否适用：履约义务的说明[双击切换]"/>
        <w:tag w:val="_GBC_7eb65f1aefb848c3be4d6abd4048aef7"/>
        <w:id w:val="147474380"/>
        <w:placeholder>
          <w:docPart w:val="GBC22222222222222222222222222222"/>
        </w:placeholder>
      </w:sdtPr>
      <w:sdtEndPr>
        <w:rPr>
          <w:color w:val="000000" w:themeColor="text1"/>
          <w14:textFill>
            <w14:solidFill>
              <w14:schemeClr w14:val="tx1"/>
            </w14:solidFill>
          </w14:textFill>
        </w:rPr>
      </w:sdtEndPr>
      <w:sdtContent>
        <w:p w14:paraId="206F7E8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2E7D411E">
      <w:pPr>
        <w:rPr>
          <w:color w:val="000000" w:themeColor="text1"/>
          <w14:textFill>
            <w14:solidFill>
              <w14:schemeClr w14:val="tx1"/>
            </w14:solidFill>
          </w14:textFill>
        </w:rPr>
      </w:pPr>
    </w:p>
    <w:bookmarkEnd w:id="492"/>
    <w:bookmarkEnd w:id="494"/>
    <w:p w14:paraId="61B474F8">
      <w:pPr>
        <w:pStyle w:val="58"/>
        <w:numPr>
          <w:ilvl w:val="0"/>
          <w:numId w:val="122"/>
        </w:numPr>
        <w:rPr>
          <w:rFonts w:ascii="宋体" w:hAnsi="宋体"/>
          <w:color w:val="000000" w:themeColor="text1"/>
          <w14:textFill>
            <w14:solidFill>
              <w14:schemeClr w14:val="tx1"/>
            </w14:solidFill>
          </w14:textFill>
        </w:rPr>
      </w:pPr>
      <w:bookmarkStart w:id="495" w:name="_Hlk533798958"/>
      <w:r>
        <w:rPr>
          <w:rFonts w:hint="eastAsia" w:ascii="宋体" w:hAnsi="宋体"/>
          <w:color w:val="000000" w:themeColor="text1"/>
          <w14:textFill>
            <w14:solidFill>
              <w14:schemeClr w14:val="tx1"/>
            </w14:solidFill>
          </w14:textFill>
        </w:rPr>
        <w:t>分摊至剩余履约义务的说明</w:t>
      </w:r>
    </w:p>
    <w:sdt>
      <w:sdtPr>
        <w:rPr>
          <w:color w:val="000000" w:themeColor="text1"/>
          <w14:textFill>
            <w14:solidFill>
              <w14:schemeClr w14:val="tx1"/>
            </w14:solidFill>
          </w14:textFill>
        </w:rPr>
        <w:alias w:val="是否适用：母公司分摊至剩余履约义务的说明[双击切换]"/>
        <w:tag w:val="_GBC_3aac73ec336d4015bdb4b42a7b0d24ea"/>
        <w:id w:val="147466969"/>
        <w:placeholder>
          <w:docPart w:val="GBC22222222222222222222222222222"/>
        </w:placeholder>
      </w:sdtPr>
      <w:sdtEndPr>
        <w:rPr>
          <w:color w:val="000000" w:themeColor="text1"/>
          <w14:textFill>
            <w14:solidFill>
              <w14:schemeClr w14:val="tx1"/>
            </w14:solidFill>
          </w14:textFill>
        </w:rPr>
      </w:sdtEndPr>
      <w:sdtContent>
        <w:p w14:paraId="3B20A4D4">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B75E013">
      <w:pPr>
        <w:rPr>
          <w:rFonts w:ascii="Arial" w:hAnsi="Arial"/>
          <w:color w:val="000000" w:themeColor="text1"/>
          <w14:textFill>
            <w14:solidFill>
              <w14:schemeClr w14:val="tx1"/>
            </w14:solidFill>
          </w14:textFill>
        </w:rPr>
      </w:pPr>
    </w:p>
    <w:bookmarkEnd w:id="495"/>
    <w:p w14:paraId="2AA8AECE">
      <w:pPr>
        <w:pStyle w:val="58"/>
        <w:numPr>
          <w:ilvl w:val="0"/>
          <w:numId w:val="122"/>
        </w:numPr>
        <w:rPr>
          <w:rFonts w:ascii="宋体" w:hAnsi="宋体"/>
          <w:color w:val="000000" w:themeColor="text1"/>
          <w14:textFill>
            <w14:solidFill>
              <w14:schemeClr w14:val="tx1"/>
            </w14:solidFill>
          </w14:textFill>
        </w:rPr>
      </w:pPr>
      <w:bookmarkStart w:id="496" w:name="_Hlk153798573"/>
      <w:r>
        <w:rPr>
          <w:rFonts w:hint="eastAsia" w:ascii="宋体" w:hAnsi="宋体"/>
          <w:color w:val="000000" w:themeColor="text1"/>
          <w14:textFill>
            <w14:solidFill>
              <w14:schemeClr w14:val="tx1"/>
            </w14:solidFill>
          </w14:textFill>
        </w:rPr>
        <w:t>重大合同变更或重大交易价格调整</w:t>
      </w:r>
    </w:p>
    <w:sdt>
      <w:sdtPr>
        <w:rPr>
          <w:color w:val="000000" w:themeColor="text1"/>
          <w14:textFill>
            <w14:solidFill>
              <w14:schemeClr w14:val="tx1"/>
            </w14:solidFill>
          </w14:textFill>
        </w:rPr>
        <w:alias w:val="是否适用：母公司重大合同变更或重大交易价格调整[双击切换]"/>
        <w:tag w:val="_GBC_37b150e92b5a4605be19135cd46e097e"/>
        <w:id w:val="147460652"/>
        <w:placeholder>
          <w:docPart w:val="GBC22222222222222222222222222222"/>
        </w:placeholder>
      </w:sdtPr>
      <w:sdtEndPr>
        <w:rPr>
          <w:color w:val="000000" w:themeColor="text1"/>
          <w14:textFill>
            <w14:solidFill>
              <w14:schemeClr w14:val="tx1"/>
            </w14:solidFill>
          </w14:textFill>
        </w:rPr>
      </w:sdtEndPr>
      <w:sdtContent>
        <w:p w14:paraId="7BCAFDBC">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70379B77">
      <w:pPr>
        <w:rPr>
          <w:color w:val="000000" w:themeColor="text1"/>
          <w14:textFill>
            <w14:solidFill>
              <w14:schemeClr w14:val="tx1"/>
            </w14:solidFill>
          </w14:textFill>
        </w:rPr>
      </w:pPr>
    </w:p>
    <w:bookmarkEnd w:id="496"/>
    <w:p w14:paraId="501216D0">
      <w:pPr>
        <w:spacing w:before="60" w:after="60"/>
        <w:rPr>
          <w:color w:val="000000" w:themeColor="text1"/>
          <w14:textFill>
            <w14:solidFill>
              <w14:schemeClr w14:val="tx1"/>
            </w14:solidFill>
          </w14:textFill>
        </w:rPr>
      </w:pPr>
      <w:bookmarkStart w:id="497" w:name="_Hlk533798751"/>
      <w:r>
        <w:rPr>
          <w:rFonts w:hint="eastAsia"/>
          <w:color w:val="000000" w:themeColor="text1"/>
          <w14:textFill>
            <w14:solidFill>
              <w14:schemeClr w14:val="tx1"/>
            </w14:solidFill>
          </w14:textFill>
        </w:rPr>
        <w:t>其他说明：</w:t>
      </w:r>
    </w:p>
    <w:p w14:paraId="4EBF3B5A">
      <w:pPr>
        <w:rPr>
          <w:color w:val="000000" w:themeColor="text1"/>
          <w14:textFill>
            <w14:solidFill>
              <w14:schemeClr w14:val="tx1"/>
            </w14:solidFill>
          </w14:textFill>
        </w:rPr>
      </w:pPr>
      <w:sdt>
        <w:sdtPr>
          <w:rPr>
            <w:color w:val="000000" w:themeColor="text1"/>
            <w14:textFill>
              <w14:solidFill>
                <w14:schemeClr w14:val="tx1"/>
              </w14:solidFill>
            </w14:textFill>
          </w:rPr>
          <w:alias w:val="主营业务说明"/>
          <w:tag w:val="_GBC_1758332f6c7d4ddf94e12be06682add9"/>
          <w:id w:val="147480211"/>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14:paraId="18A616C2">
      <w:pPr>
        <w:rPr>
          <w:color w:val="000000" w:themeColor="text1"/>
          <w14:textFill>
            <w14:solidFill>
              <w14:schemeClr w14:val="tx1"/>
            </w14:solidFill>
          </w14:textFill>
        </w:rPr>
      </w:pPr>
    </w:p>
    <w:bookmarkEnd w:id="493"/>
    <w:bookmarkEnd w:id="497"/>
    <w:p w14:paraId="551BB274">
      <w:pPr>
        <w:pStyle w:val="57"/>
        <w:numPr>
          <w:ilvl w:val="0"/>
          <w:numId w:val="116"/>
        </w:numPr>
        <w:rPr>
          <w:rFonts w:ascii="宋体" w:hAnsi="宋体"/>
          <w:color w:val="000000" w:themeColor="text1"/>
          <w:szCs w:val="21"/>
          <w14:textFill>
            <w14:solidFill>
              <w14:schemeClr w14:val="tx1"/>
            </w14:solidFill>
          </w14:textFill>
        </w:rPr>
      </w:pPr>
      <w:bookmarkStart w:id="498" w:name="OLE_LINK6"/>
      <w:bookmarkStart w:id="499" w:name="_Hlk10548739"/>
      <w:r>
        <w:rPr>
          <w:rFonts w:hint="eastAsia" w:ascii="宋体" w:hAnsi="宋体"/>
          <w:color w:val="000000" w:themeColor="text1"/>
          <w:szCs w:val="21"/>
          <w14:textFill>
            <w14:solidFill>
              <w14:schemeClr w14:val="tx1"/>
            </w14:solidFill>
          </w14:textFill>
        </w:rPr>
        <w:t>投资收益</w:t>
      </w:r>
      <w:bookmarkEnd w:id="498"/>
    </w:p>
    <w:sdt>
      <w:sdtPr>
        <w:rPr>
          <w:color w:val="000000" w:themeColor="text1"/>
          <w14:textFill>
            <w14:solidFill>
              <w14:schemeClr w14:val="tx1"/>
            </w14:solidFill>
          </w14:textFill>
        </w:rPr>
        <w:alias w:val="是否适用：母公司投资收益[双击切换]"/>
        <w:tag w:val="_GBC_bdba48f0322747499f6908fbbf78a16f"/>
        <w:id w:val="147461836"/>
        <w:placeholder>
          <w:docPart w:val="GBC22222222222222222222222222222"/>
        </w:placeholder>
      </w:sdtPr>
      <w:sdtEndPr>
        <w:rPr>
          <w:color w:val="000000" w:themeColor="text1"/>
          <w14:textFill>
            <w14:solidFill>
              <w14:schemeClr w14:val="tx1"/>
            </w14:solidFill>
          </w14:textFill>
        </w:rPr>
      </w:sdtEndPr>
      <w:sdtContent>
        <w:p w14:paraId="6A3FF058">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66A3DC5D">
      <w:pPr>
        <w:jc w:val="right"/>
        <w:rPr>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财务附注：会计报表中的投资收益项目增加"/>
          <w:tag w:val="_GBC_613aeed04bd941b2899e7b84fac67e3a"/>
          <w:id w:val="1474762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币种：财务附注：会计报表中的投资收益项目增加"/>
          <w:tag w:val="_GBC_8976301949824df2a90aa6f83aad84f0"/>
          <w:id w:val="1474512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8"/>
        <w:gridCol w:w="2628"/>
        <w:gridCol w:w="2637"/>
      </w:tblGrid>
      <w:tr w14:paraId="18D6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Times New Roman"/>
            </w:rPr>
            <w:tag w:val="_PLD_1263506df19847a5a86c9b873a7b7673"/>
            <w:id w:val="147466577"/>
          </w:sdtPr>
          <w:sdtEndPr>
            <w:rPr>
              <w:rFonts w:cs="Times New Roman"/>
            </w:rPr>
          </w:sdtEndPr>
          <w:sdtContent>
            <w:tc>
              <w:tcPr>
                <w:tcW w:w="2016" w:type="pct"/>
                <w:vAlign w:val="center"/>
              </w:tcPr>
              <w:p w14:paraId="23F1A2D1">
                <w:pPr>
                  <w:ind w:left="420" w:hanging="42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w:t>
                </w:r>
              </w:p>
            </w:tc>
          </w:sdtContent>
        </w:sdt>
        <w:sdt>
          <w:sdtPr>
            <w:rPr>
              <w:rFonts w:cs="Times New Roman"/>
            </w:rPr>
            <w:tag w:val="_PLD_6da456fe7d784e789fe8204c2cc499b3"/>
            <w:id w:val="147471608"/>
          </w:sdtPr>
          <w:sdtEndPr>
            <w:rPr>
              <w:rFonts w:cs="Times New Roman"/>
            </w:rPr>
          </w:sdtEndPr>
          <w:sdtContent>
            <w:tc>
              <w:tcPr>
                <w:tcW w:w="1489" w:type="pct"/>
                <w:vAlign w:val="center"/>
              </w:tcPr>
              <w:p w14:paraId="630E8C7A">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本期发生额</w:t>
                </w:r>
              </w:p>
            </w:tc>
          </w:sdtContent>
        </w:sdt>
        <w:sdt>
          <w:sdtPr>
            <w:rPr>
              <w:rFonts w:cs="Times New Roman"/>
            </w:rPr>
            <w:tag w:val="_PLD_d81207d79e9643e0a08aec2616f96432"/>
            <w:id w:val="147466875"/>
          </w:sdtPr>
          <w:sdtEndPr>
            <w:rPr>
              <w:rFonts w:cs="Times New Roman"/>
            </w:rPr>
          </w:sdtEndPr>
          <w:sdtContent>
            <w:tc>
              <w:tcPr>
                <w:tcW w:w="1494" w:type="pct"/>
                <w:vAlign w:val="center"/>
              </w:tcPr>
              <w:p w14:paraId="1C101F00">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上期发生额</w:t>
                </w:r>
              </w:p>
            </w:tc>
          </w:sdtContent>
        </w:sdt>
      </w:tr>
      <w:tr w14:paraId="5AA8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tcPr>
          <w:p w14:paraId="7302E18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成本法核算的长期股权投资收益</w:t>
            </w:r>
          </w:p>
        </w:tc>
        <w:tc>
          <w:tcPr>
            <w:tcW w:w="1489" w:type="pct"/>
            <w:vAlign w:val="center"/>
          </w:tcPr>
          <w:p w14:paraId="4FDB8BFD">
            <w:pPr>
              <w:jc w:val="right"/>
              <w:textAlignment w:val="center"/>
              <w:rPr>
                <w:rFonts w:cs="Times New Roman"/>
              </w:rPr>
            </w:pPr>
            <w:r>
              <w:rPr>
                <w:rFonts w:cs="Times New Roman"/>
                <w:color w:val="000000"/>
              </w:rPr>
              <w:t>150,000,000.00</w:t>
            </w:r>
          </w:p>
        </w:tc>
        <w:tc>
          <w:tcPr>
            <w:tcW w:w="1494" w:type="pct"/>
            <w:vAlign w:val="center"/>
          </w:tcPr>
          <w:p w14:paraId="7DBAEE8B">
            <w:pPr>
              <w:jc w:val="right"/>
              <w:textAlignment w:val="center"/>
              <w:rPr>
                <w:rFonts w:cs="Times New Roman"/>
              </w:rPr>
            </w:pPr>
          </w:p>
        </w:tc>
      </w:tr>
      <w:tr w14:paraId="2A24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tcPr>
          <w:p w14:paraId="6EB4250D">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权益法核算的长期股权投资收益</w:t>
            </w:r>
          </w:p>
        </w:tc>
        <w:tc>
          <w:tcPr>
            <w:tcW w:w="1489" w:type="pct"/>
            <w:vAlign w:val="center"/>
          </w:tcPr>
          <w:p w14:paraId="2AEF90EC">
            <w:pPr>
              <w:jc w:val="right"/>
              <w:textAlignment w:val="center"/>
              <w:rPr>
                <w:rFonts w:cs="Times New Roman"/>
              </w:rPr>
            </w:pPr>
            <w:r>
              <w:rPr>
                <w:rFonts w:cs="Times New Roman"/>
                <w:color w:val="000000"/>
              </w:rPr>
              <w:t>5,787.51</w:t>
            </w:r>
          </w:p>
        </w:tc>
        <w:tc>
          <w:tcPr>
            <w:tcW w:w="1494" w:type="pct"/>
            <w:vAlign w:val="center"/>
          </w:tcPr>
          <w:p w14:paraId="3C53F7F9">
            <w:pPr>
              <w:jc w:val="right"/>
              <w:textAlignment w:val="center"/>
              <w:rPr>
                <w:rFonts w:cs="Times New Roman"/>
              </w:rPr>
            </w:pPr>
            <w:r>
              <w:rPr>
                <w:rFonts w:cs="Times New Roman"/>
                <w:color w:val="000000"/>
              </w:rPr>
              <w:t>-508,432.93</w:t>
            </w:r>
          </w:p>
        </w:tc>
      </w:tr>
      <w:tr w14:paraId="5EEC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tcPr>
          <w:p w14:paraId="2A070C67">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w:t>
            </w:r>
          </w:p>
        </w:tc>
        <w:tc>
          <w:tcPr>
            <w:tcW w:w="1489" w:type="pct"/>
            <w:vAlign w:val="center"/>
          </w:tcPr>
          <w:p w14:paraId="7C1DAEA2">
            <w:pPr>
              <w:jc w:val="right"/>
              <w:rPr>
                <w:rFonts w:cs="Times New Roman"/>
              </w:rPr>
            </w:pPr>
            <w:r>
              <w:rPr>
                <w:rFonts w:cs="Times New Roman"/>
                <w:color w:val="000000"/>
              </w:rPr>
              <w:t>2,746,054.77</w:t>
            </w:r>
          </w:p>
        </w:tc>
        <w:tc>
          <w:tcPr>
            <w:tcW w:w="1494" w:type="pct"/>
            <w:vAlign w:val="center"/>
          </w:tcPr>
          <w:p w14:paraId="35648B63">
            <w:pPr>
              <w:jc w:val="right"/>
              <w:rPr>
                <w:rFonts w:cs="Times New Roman"/>
              </w:rPr>
            </w:pPr>
            <w:r>
              <w:rPr>
                <w:rFonts w:cs="Times New Roman"/>
                <w:color w:val="000000"/>
              </w:rPr>
              <w:t>2,834,772.22</w:t>
            </w:r>
          </w:p>
        </w:tc>
      </w:tr>
      <w:tr w14:paraId="3A33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6" w:type="pct"/>
            <w:vAlign w:val="center"/>
          </w:tcPr>
          <w:p w14:paraId="02AFD7E1">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合计</w:t>
            </w:r>
          </w:p>
        </w:tc>
        <w:tc>
          <w:tcPr>
            <w:tcW w:w="1489" w:type="pct"/>
            <w:vAlign w:val="center"/>
          </w:tcPr>
          <w:p w14:paraId="1A8B0015">
            <w:pPr>
              <w:jc w:val="right"/>
              <w:textAlignment w:val="center"/>
              <w:rPr>
                <w:rFonts w:cs="Times New Roman"/>
              </w:rPr>
            </w:pPr>
            <w:r>
              <w:rPr>
                <w:rFonts w:cs="Times New Roman"/>
                <w:color w:val="000000"/>
              </w:rPr>
              <w:t>152,751,842.28</w:t>
            </w:r>
          </w:p>
        </w:tc>
        <w:tc>
          <w:tcPr>
            <w:tcW w:w="1494" w:type="pct"/>
            <w:vAlign w:val="center"/>
          </w:tcPr>
          <w:p w14:paraId="768CFA7B">
            <w:pPr>
              <w:jc w:val="right"/>
              <w:textAlignment w:val="center"/>
              <w:rPr>
                <w:rFonts w:cs="Times New Roman"/>
              </w:rPr>
            </w:pPr>
            <w:r>
              <w:rPr>
                <w:rFonts w:cs="Times New Roman"/>
                <w:color w:val="000000"/>
              </w:rPr>
              <w:t>2,326,339.29</w:t>
            </w:r>
          </w:p>
        </w:tc>
      </w:tr>
      <w:bookmarkEnd w:id="499"/>
    </w:tbl>
    <w:p w14:paraId="647C2564">
      <w:pPr>
        <w:spacing w:line="360" w:lineRule="exact"/>
        <w:rPr>
          <w:color w:val="000000" w:themeColor="text1"/>
          <w14:textFill>
            <w14:solidFill>
              <w14:schemeClr w14:val="tx1"/>
            </w14:solidFill>
          </w14:textFill>
        </w:rPr>
      </w:pPr>
      <w:bookmarkStart w:id="500" w:name="_Hlk10720480"/>
      <w:r>
        <w:rPr>
          <w:rFonts w:hint="eastAsia"/>
          <w:color w:val="000000" w:themeColor="text1"/>
          <w14:textFill>
            <w14:solidFill>
              <w14:schemeClr w14:val="tx1"/>
            </w14:solidFill>
          </w14:textFill>
        </w:rPr>
        <w:t>其他说明：</w:t>
      </w:r>
      <w:bookmarkEnd w:id="500"/>
    </w:p>
    <w:sdt>
      <w:sdtPr>
        <w:rPr>
          <w:color w:val="000000" w:themeColor="text1"/>
          <w14:textFill>
            <w14:solidFill>
              <w14:schemeClr w14:val="tx1"/>
            </w14:solidFill>
          </w14:textFill>
        </w:rPr>
        <w:alias w:val="投资收益说明"/>
        <w:tag w:val="_GBC_e91b47a8afc84e119383bf071cb9a50d"/>
        <w:id w:val="147455268"/>
        <w:placeholder>
          <w:docPart w:val="GBC22222222222222222222222222222"/>
        </w:placeholder>
      </w:sdtPr>
      <w:sdtEndPr>
        <w:rPr>
          <w:color w:val="000000" w:themeColor="text1"/>
          <w14:textFill>
            <w14:solidFill>
              <w14:schemeClr w14:val="tx1"/>
            </w14:solidFill>
          </w14:textFill>
        </w:rPr>
      </w:sdtEndPr>
      <w:sdtContent>
        <w:p w14:paraId="40EAE20C">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14:paraId="460881B3">
      <w:pPr>
        <w:rPr>
          <w:color w:val="000000" w:themeColor="text1"/>
          <w14:textFill>
            <w14:solidFill>
              <w14:schemeClr w14:val="tx1"/>
            </w14:solidFill>
          </w14:textFill>
        </w:rPr>
      </w:pPr>
    </w:p>
    <w:p w14:paraId="22D1BF65">
      <w:pPr>
        <w:pStyle w:val="57"/>
        <w:numPr>
          <w:ilvl w:val="0"/>
          <w:numId w:val="116"/>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母公司会计报表附注的其他说明事项[双击切换]"/>
        <w:tag w:val="_GBC_198503cdf8c8448ea7bb4de3243a4de8"/>
        <w:id w:val="147464145"/>
        <w:placeholder>
          <w:docPart w:val="GBC22222222222222222222222222222"/>
        </w:placeholder>
      </w:sdtPr>
      <w:sdtEndPr>
        <w:rPr>
          <w:color w:val="000000" w:themeColor="text1"/>
          <w14:textFill>
            <w14:solidFill>
              <w14:schemeClr w14:val="tx1"/>
            </w14:solidFill>
          </w14:textFill>
        </w:rPr>
      </w:sdtEndPr>
      <w:sdtContent>
        <w:p w14:paraId="62FDA6EB">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9AD6E8A">
      <w:pPr>
        <w:rPr>
          <w:color w:val="000000" w:themeColor="text1"/>
          <w14:textFill>
            <w14:solidFill>
              <w14:schemeClr w14:val="tx1"/>
            </w14:solidFill>
          </w14:textFill>
        </w:rPr>
      </w:pPr>
    </w:p>
    <w:p w14:paraId="653D4DA0">
      <w:pPr>
        <w:pStyle w:val="56"/>
        <w:numPr>
          <w:ilvl w:val="0"/>
          <w:numId w:val="43"/>
        </w:numPr>
        <w:ind w:left="420" w:hanging="4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补充资料</w:t>
      </w:r>
    </w:p>
    <w:p w14:paraId="41F27911">
      <w:pPr>
        <w:pStyle w:val="57"/>
        <w:numPr>
          <w:ilvl w:val="0"/>
          <w:numId w:val="123"/>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当期非经常性损益明细表</w:t>
      </w:r>
    </w:p>
    <w:sdt>
      <w:sdtPr>
        <w:rPr>
          <w:color w:val="000000" w:themeColor="text1"/>
          <w14:textFill>
            <w14:solidFill>
              <w14:schemeClr w14:val="tx1"/>
            </w14:solidFill>
          </w14:textFill>
        </w:rPr>
        <w:alias w:val="是否适用：当期非经常性损益明细表[双击切换]"/>
        <w:tag w:val="_GBC_28c90d0fec4248b7be00ea74910120f8"/>
        <w:id w:val="-1412075160"/>
      </w:sdtPr>
      <w:sdtEndPr>
        <w:rPr>
          <w:color w:val="000000" w:themeColor="text1"/>
          <w14:textFill>
            <w14:solidFill>
              <w14:schemeClr w14:val="tx1"/>
            </w14:solidFill>
          </w14:textFill>
        </w:rPr>
      </w:sdtEndPr>
      <w:sdtContent>
        <w:p w14:paraId="33A3F0ED">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MACROBUTTON  SnrToggleCheckbox □不适用 </w:instrText>
          </w:r>
          <w:r>
            <w:rPr>
              <w:rFonts w:ascii="宋体" w:hAnsi="宋体"/>
              <w:color w:val="000000" w:themeColor="text1"/>
              <w14:textFill>
                <w14:solidFill>
                  <w14:schemeClr w14:val="tx1"/>
                </w14:solidFill>
              </w14:textFill>
            </w:rPr>
            <w:fldChar w:fldCharType="end"/>
          </w:r>
        </w:p>
      </w:sdtContent>
    </w:sdt>
    <w:p w14:paraId="7C78E728">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扣除非经常性损益项目和金额"/>
          <w:tag w:val="_GBC_acdddcaac70249d2a73e5ac878d6874b"/>
          <w:id w:val="-277717856"/>
          <w: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扣除非经常性损益项目和金额"/>
          <w:tag w:val="_GBC_84f107bd64a74a689cd74b834aaa0b17"/>
          <w:id w:val="-1138257296"/>
          <w: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3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6"/>
        <w:gridCol w:w="1852"/>
      </w:tblGrid>
      <w:tr w14:paraId="79ED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rPr>
              <w:rFonts w:ascii="Times New Roman" w:hAnsi="Times New Roman"/>
            </w:rPr>
            <w:tag w:val="_PLD_eb975916b80e49408e340b80d53082be"/>
            <w:id w:val="880439979"/>
          </w:sdtPr>
          <w:sdtEndPr>
            <w:rPr>
              <w:rFonts w:ascii="Times New Roman" w:hAnsi="Times New Roman"/>
            </w:rPr>
          </w:sdtEndPr>
          <w:sdtContent>
            <w:tc>
              <w:tcPr>
                <w:tcW w:w="3950" w:type="pct"/>
                <w:vAlign w:val="center"/>
              </w:tcPr>
              <w:p w14:paraId="73177922">
                <w:pPr>
                  <w:pStyle w:val="50"/>
                  <w:ind w:firstLine="0" w:firstLineChars="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项目</w:t>
                </w:r>
              </w:p>
            </w:tc>
          </w:sdtContent>
        </w:sdt>
        <w:sdt>
          <w:sdtPr>
            <w:rPr>
              <w:rFonts w:ascii="Times New Roman" w:hAnsi="Times New Roman"/>
            </w:rPr>
            <w:tag w:val="_PLD_871069ab0242459987d2cd8153c439e3"/>
            <w:id w:val="1375578684"/>
          </w:sdtPr>
          <w:sdtEndPr>
            <w:rPr>
              <w:rFonts w:ascii="Times New Roman" w:hAnsi="Times New Roman"/>
            </w:rPr>
          </w:sdtEndPr>
          <w:sdtContent>
            <w:tc>
              <w:tcPr>
                <w:tcW w:w="1050" w:type="pct"/>
                <w:vAlign w:val="center"/>
              </w:tcPr>
              <w:p w14:paraId="01685B33">
                <w:pPr>
                  <w:pStyle w:val="50"/>
                  <w:ind w:firstLine="0" w:firstLineChars="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金额</w:t>
                </w:r>
              </w:p>
            </w:tc>
          </w:sdtContent>
        </w:sdt>
      </w:tr>
      <w:tr w14:paraId="514D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31da1f40e61d4f948fd233ae4483a660"/>
            <w:id w:val="528303397"/>
          </w:sdtPr>
          <w:sdtEndPr>
            <w:rPr>
              <w:rFonts w:ascii="Times New Roman" w:hAnsi="Times New Roman"/>
            </w:rPr>
          </w:sdtEndPr>
          <w:sdtContent>
            <w:tc>
              <w:tcPr>
                <w:tcW w:w="3950" w:type="pct"/>
              </w:tcPr>
              <w:p w14:paraId="7D757588">
                <w:pPr>
                  <w:pStyle w:val="50"/>
                  <w:ind w:firstLine="0" w:firstLineChars="0"/>
                  <w:jc w:val="lef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非流动性资产处置损益，包括已计提资产减值准备的冲销部分</w:t>
                </w:r>
              </w:p>
            </w:tc>
          </w:sdtContent>
        </w:sdt>
        <w:tc>
          <w:tcPr>
            <w:tcW w:w="1050" w:type="pct"/>
            <w:vAlign w:val="center"/>
          </w:tcPr>
          <w:p w14:paraId="4379A44C">
            <w:pPr>
              <w:widowControl w:val="0"/>
              <w:jc w:val="right"/>
            </w:pPr>
            <w:r>
              <w:t>34,664,918.68</w:t>
            </w:r>
          </w:p>
        </w:tc>
      </w:tr>
      <w:tr w14:paraId="0748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5fdc05b8947844098861136308b9ccb8"/>
            <w:id w:val="-417871424"/>
          </w:sdtPr>
          <w:sdtEndPr>
            <w:rPr>
              <w:rFonts w:ascii="Times New Roman" w:hAnsi="Times New Roman"/>
            </w:rPr>
          </w:sdtEndPr>
          <w:sdtContent>
            <w:tc>
              <w:tcPr>
                <w:tcW w:w="3950" w:type="pct"/>
              </w:tcPr>
              <w:p w14:paraId="3EBAF15F">
                <w:pPr>
                  <w:pStyle w:val="50"/>
                  <w:ind w:firstLine="0" w:firstLineChars="0"/>
                  <w:jc w:val="lef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计入当期损益的政府补助，但与公司正常经营业务密切相关、符合国家政策规定、按照确定的标准享有、对公司损益产生持续影响的政府补助除外</w:t>
                </w:r>
              </w:p>
            </w:tc>
          </w:sdtContent>
        </w:sdt>
        <w:tc>
          <w:tcPr>
            <w:tcW w:w="1050" w:type="pct"/>
            <w:vAlign w:val="center"/>
          </w:tcPr>
          <w:p w14:paraId="7FBBA1BB">
            <w:pPr>
              <w:widowControl w:val="0"/>
              <w:jc w:val="right"/>
            </w:pPr>
            <w:r>
              <w:t>28,704,879.12</w:t>
            </w:r>
          </w:p>
        </w:tc>
      </w:tr>
      <w:tr w14:paraId="51C5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0" w:type="pct"/>
          </w:tcPr>
          <w:sdt>
            <w:sdtPr>
              <w:rPr>
                <w:rFonts w:ascii="Times New Roman" w:hAnsi="Times New Roman"/>
              </w:rPr>
              <w:tag w:val="_PLD_175031c6965548e892f33cb8f0be2416"/>
              <w:id w:val="-1912540295"/>
            </w:sdtPr>
            <w:sdtEndPr>
              <w:rPr>
                <w:rFonts w:ascii="Times New Roman" w:hAnsi="Times New Roman"/>
              </w:rPr>
            </w:sdtEndPr>
            <w:sdtContent>
              <w:p w14:paraId="284B36B4">
                <w:pPr>
                  <w:pStyle w:val="50"/>
                  <w:ind w:firstLine="0" w:firstLineChars="0"/>
                  <w:jc w:val="lef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单独进行减值测试的应收款项减值准备转回</w:t>
                </w:r>
              </w:p>
            </w:sdtContent>
          </w:sdt>
        </w:tc>
        <w:tc>
          <w:tcPr>
            <w:tcW w:w="1050" w:type="pct"/>
            <w:vAlign w:val="center"/>
          </w:tcPr>
          <w:p w14:paraId="7CEC4F38">
            <w:pPr>
              <w:widowControl w:val="0"/>
              <w:jc w:val="right"/>
            </w:pPr>
            <w:r>
              <w:t>1,250,268.22</w:t>
            </w:r>
          </w:p>
        </w:tc>
      </w:tr>
      <w:tr w14:paraId="0E01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0786790d4b5044f08c1764b1e430543b"/>
            <w:id w:val="1103238562"/>
          </w:sdtPr>
          <w:sdtEndPr>
            <w:rPr>
              <w:rFonts w:ascii="Times New Roman" w:hAnsi="Times New Roman"/>
            </w:rPr>
          </w:sdtEndPr>
          <w:sdtContent>
            <w:tc>
              <w:tcPr>
                <w:tcW w:w="3950" w:type="pct"/>
              </w:tcPr>
              <w:p w14:paraId="12519B99">
                <w:pPr>
                  <w:pStyle w:val="50"/>
                  <w:ind w:firstLine="0" w:firstLineChars="0"/>
                  <w:jc w:val="lef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除上述各项之外的其他营业外收入和支出</w:t>
                </w:r>
              </w:p>
            </w:tc>
          </w:sdtContent>
        </w:sdt>
        <w:tc>
          <w:tcPr>
            <w:tcW w:w="1050" w:type="pct"/>
            <w:vAlign w:val="center"/>
          </w:tcPr>
          <w:p w14:paraId="0A5F3101">
            <w:pPr>
              <w:widowControl w:val="0"/>
              <w:jc w:val="right"/>
            </w:pPr>
            <w:r>
              <w:t>3,163,928.95</w:t>
            </w:r>
          </w:p>
        </w:tc>
      </w:tr>
      <w:tr w14:paraId="6CB7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fc7c134f58ac4ab48770f08a5e965246"/>
            <w:id w:val="1741983379"/>
          </w:sdtPr>
          <w:sdtEndPr>
            <w:rPr>
              <w:rFonts w:ascii="Times New Roman" w:hAnsi="Times New Roman"/>
            </w:rPr>
          </w:sdtEndPr>
          <w:sdtContent>
            <w:tc>
              <w:tcPr>
                <w:tcW w:w="3950" w:type="pct"/>
              </w:tcPr>
              <w:p w14:paraId="4E77B5D4">
                <w:pPr>
                  <w:pStyle w:val="50"/>
                  <w:ind w:firstLine="0" w:firstLineChars="0"/>
                  <w:jc w:val="lef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其他符合非经常性损益定义的损益项目</w:t>
                </w:r>
              </w:p>
            </w:tc>
          </w:sdtContent>
        </w:sdt>
        <w:tc>
          <w:tcPr>
            <w:tcW w:w="1050" w:type="pct"/>
            <w:vAlign w:val="center"/>
          </w:tcPr>
          <w:p w14:paraId="697921F0">
            <w:pPr>
              <w:widowControl w:val="0"/>
              <w:jc w:val="right"/>
            </w:pPr>
            <w:r>
              <w:t>303,743.60</w:t>
            </w:r>
          </w:p>
        </w:tc>
      </w:tr>
      <w:tr w14:paraId="21D9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d3a1778f236c469d83c17e6b1c8f8934"/>
            <w:id w:val="1774437642"/>
          </w:sdtPr>
          <w:sdtEndPr>
            <w:rPr>
              <w:rFonts w:ascii="Times New Roman" w:hAnsi="Times New Roman"/>
            </w:rPr>
          </w:sdtEndPr>
          <w:sdtContent>
            <w:tc>
              <w:tcPr>
                <w:tcW w:w="3950" w:type="pct"/>
              </w:tcPr>
              <w:p w14:paraId="35E66BF8">
                <w:pPr>
                  <w:pStyle w:val="50"/>
                  <w:ind w:firstLine="0" w:firstLineChars="0"/>
                  <w:jc w:val="lef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14:textFill>
                      <w14:solidFill>
                        <w14:schemeClr w14:val="tx1"/>
                      </w14:solidFill>
                    </w14:textFill>
                  </w:rPr>
                  <w:t>减：</w:t>
                </w:r>
                <w:r>
                  <w:rPr>
                    <w:rFonts w:ascii="Times New Roman" w:hAnsi="Times New Roman"/>
                    <w:color w:val="000000" w:themeColor="text1"/>
                    <w:szCs w:val="21"/>
                    <w14:textFill>
                      <w14:solidFill>
                        <w14:schemeClr w14:val="tx1"/>
                      </w14:solidFill>
                    </w14:textFill>
                  </w:rPr>
                  <w:t>所得税影响额</w:t>
                </w:r>
              </w:p>
            </w:tc>
          </w:sdtContent>
        </w:sdt>
        <w:tc>
          <w:tcPr>
            <w:tcW w:w="1050" w:type="pct"/>
            <w:vAlign w:val="center"/>
          </w:tcPr>
          <w:p w14:paraId="599421EC">
            <w:pPr>
              <w:widowControl w:val="0"/>
              <w:jc w:val="right"/>
            </w:pPr>
            <w:r>
              <w:t>3,494,132.04</w:t>
            </w:r>
          </w:p>
        </w:tc>
      </w:tr>
      <w:tr w14:paraId="69A6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6d01871371224a5190e8403914cee998"/>
            <w:id w:val="-1656061493"/>
          </w:sdtPr>
          <w:sdtEndPr>
            <w:rPr>
              <w:rFonts w:ascii="Times New Roman" w:hAnsi="Times New Roman"/>
            </w:rPr>
          </w:sdtEndPr>
          <w:sdtContent>
            <w:tc>
              <w:tcPr>
                <w:tcW w:w="3950" w:type="pct"/>
              </w:tcPr>
              <w:p w14:paraId="30523FD0">
                <w:pPr>
                  <w:pStyle w:val="50"/>
                  <w:jc w:val="left"/>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少数股东权益影响额（税后）</w:t>
                </w:r>
              </w:p>
            </w:tc>
          </w:sdtContent>
        </w:sdt>
        <w:tc>
          <w:tcPr>
            <w:tcW w:w="1050" w:type="pct"/>
            <w:vAlign w:val="center"/>
          </w:tcPr>
          <w:p w14:paraId="160F526D">
            <w:pPr>
              <w:widowControl w:val="0"/>
              <w:jc w:val="right"/>
            </w:pPr>
            <w:r>
              <w:t>-2,160,147.61</w:t>
            </w:r>
          </w:p>
        </w:tc>
      </w:tr>
      <w:tr w14:paraId="00CD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Times New Roman" w:hAnsi="Times New Roman"/>
            </w:rPr>
            <w:tag w:val="_PLD_7a205930bc6e482d8bade32b5abc30f1"/>
            <w:id w:val="1394937329"/>
          </w:sdtPr>
          <w:sdtEndPr>
            <w:rPr>
              <w:rFonts w:ascii="Times New Roman" w:hAnsi="Times New Roman"/>
            </w:rPr>
          </w:sdtEndPr>
          <w:sdtContent>
            <w:tc>
              <w:tcPr>
                <w:tcW w:w="3950" w:type="pct"/>
                <w:vAlign w:val="center"/>
              </w:tcPr>
              <w:p w14:paraId="595898AE">
                <w:pPr>
                  <w:pStyle w:val="50"/>
                  <w:ind w:firstLine="0" w:firstLineChars="0"/>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合计</w:t>
                </w:r>
              </w:p>
            </w:tc>
          </w:sdtContent>
        </w:sdt>
        <w:tc>
          <w:tcPr>
            <w:tcW w:w="1050" w:type="pct"/>
            <w:vAlign w:val="center"/>
          </w:tcPr>
          <w:p w14:paraId="1ECA97BD">
            <w:pPr>
              <w:widowControl w:val="0"/>
              <w:jc w:val="right"/>
            </w:pPr>
            <w:r>
              <w:t>66,753,754.14</w:t>
            </w:r>
          </w:p>
        </w:tc>
      </w:tr>
    </w:tbl>
    <w:p w14:paraId="10B88DEB">
      <w:pPr>
        <w:rPr>
          <w:color w:val="000000" w:themeColor="text1"/>
          <w14:textFill>
            <w14:solidFill>
              <w14:schemeClr w14:val="tx1"/>
            </w14:solidFill>
          </w14:textFill>
        </w:rPr>
      </w:pPr>
      <w:r>
        <w:rPr>
          <w:rFonts w:hint="eastAsia"/>
          <w:color w:val="000000" w:themeColor="text1"/>
          <w14:textFill>
            <w14:solidFill>
              <w14:schemeClr w14:val="tx1"/>
            </w14:solidFill>
          </w14:textFill>
        </w:rPr>
        <w:t>对公司</w:t>
      </w:r>
      <w:bookmarkStart w:id="501" w:name="_Hlk169079435"/>
      <w:r>
        <w:rPr>
          <w:rFonts w:hint="eastAsia"/>
          <w:color w:val="000000" w:themeColor="text1"/>
          <w14:textFill>
            <w14:solidFill>
              <w14:schemeClr w14:val="tx1"/>
            </w14:solidFill>
          </w14:textFill>
        </w:rPr>
        <w:t>将《公开发行证券的公司信息披露解释性公告第</w:t>
      </w:r>
      <w:r>
        <w:rPr>
          <w:color w:val="000000" w:themeColor="text1"/>
          <w14:textFill>
            <w14:solidFill>
              <w14:schemeClr w14:val="tx1"/>
            </w14:solidFill>
          </w14:textFill>
        </w:rPr>
        <w:t>1号——非经常性损益》未列举的项目认定为非经常性损益项目且金额重大的，以及将《公开发行证券的公司信息披露解释性公告第1号——非经常性损益》中列举的非经常性损益项目界定为经常性损益的项目，应说明原因。</w:t>
      </w:r>
      <w:bookmarkEnd w:id="501"/>
    </w:p>
    <w:sdt>
      <w:sdtPr>
        <w:rPr>
          <w:color w:val="000000" w:themeColor="text1"/>
          <w14:textFill>
            <w14:solidFill>
              <w14:schemeClr w14:val="tx1"/>
            </w14:solidFill>
          </w14:textFill>
        </w:rPr>
        <w:alias w:val="是否适用：将非经常性损益项目界定为经常性损益项目[双击切换]"/>
        <w:tag w:val="_GBC_5f8a059d4da1440d8ef10197ecd89cd6"/>
        <w:id w:val="147482003"/>
        <w:placeholder>
          <w:docPart w:val="GBC22222222222222222222222222222"/>
        </w:placeholder>
      </w:sdtPr>
      <w:sdtEndPr>
        <w:rPr>
          <w:color w:val="000000" w:themeColor="text1"/>
          <w14:textFill>
            <w14:solidFill>
              <w14:schemeClr w14:val="tx1"/>
            </w14:solidFill>
          </w14:textFill>
        </w:rPr>
      </w:sdtEndPr>
      <w:sdtContent>
        <w:p w14:paraId="292668AA">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1CE48B93">
      <w:pPr>
        <w:rPr>
          <w:color w:val="000000" w:themeColor="text1"/>
          <w14:textFill>
            <w14:solidFill>
              <w14:schemeClr w14:val="tx1"/>
            </w14:solidFill>
          </w14:textFill>
        </w:rPr>
      </w:pPr>
    </w:p>
    <w:p w14:paraId="2B713380">
      <w:pPr>
        <w:spacing w:line="360" w:lineRule="exact"/>
        <w:rPr>
          <w:color w:val="000000" w:themeColor="text1"/>
          <w14:textFill>
            <w14:solidFill>
              <w14:schemeClr w14:val="tx1"/>
            </w14:solidFill>
          </w14:textFill>
        </w:rPr>
      </w:pPr>
      <w:bookmarkStart w:id="502" w:name="_Hlk168058078"/>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非经常性损益的其他说明[双击切换]"/>
        <w:tag w:val="_GBC_98984b33dead4179aa5566c8753f4b5e"/>
        <w:id w:val="147465364"/>
        <w:placeholder>
          <w:docPart w:val="GBC22222222222222222222222222222"/>
        </w:placeholder>
      </w:sdtPr>
      <w:sdtEndPr>
        <w:rPr>
          <w:color w:val="000000" w:themeColor="text1"/>
          <w14:textFill>
            <w14:solidFill>
              <w14:schemeClr w14:val="tx1"/>
            </w14:solidFill>
          </w14:textFill>
        </w:rPr>
      </w:sdtEndPr>
      <w:sdtContent>
        <w:p w14:paraId="72651E53">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0454CF25">
      <w:pPr>
        <w:rPr>
          <w:color w:val="000000" w:themeColor="text1"/>
          <w14:textFill>
            <w14:solidFill>
              <w14:schemeClr w14:val="tx1"/>
            </w14:solidFill>
          </w14:textFill>
        </w:rPr>
      </w:pPr>
    </w:p>
    <w:bookmarkEnd w:id="502"/>
    <w:p w14:paraId="5ECDEBB0">
      <w:pPr>
        <w:pStyle w:val="57"/>
        <w:numPr>
          <w:ilvl w:val="0"/>
          <w:numId w:val="123"/>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净资产收益率及每股收益</w:t>
      </w:r>
    </w:p>
    <w:sdt>
      <w:sdtPr>
        <w:rPr>
          <w:color w:val="000000" w:themeColor="text1"/>
          <w14:textFill>
            <w14:solidFill>
              <w14:schemeClr w14:val="tx1"/>
            </w14:solidFill>
          </w14:textFill>
        </w:rPr>
        <w:alias w:val="是否适用：净资产收益率及每股收益[双击切换]"/>
        <w:tag w:val="_GBC_75866ebc8d184cdd988e79330ad3b083"/>
        <w:id w:val="147453513"/>
        <w:placeholder>
          <w:docPart w:val="GBC22222222222222222222222222222"/>
        </w:placeholder>
      </w:sdtPr>
      <w:sdtEndPr>
        <w:rPr>
          <w:color w:val="000000" w:themeColor="text1"/>
          <w14:textFill>
            <w14:solidFill>
              <w14:schemeClr w14:val="tx1"/>
            </w14:solidFill>
          </w14:textFill>
        </w:rPr>
      </w:sdtEndPr>
      <w:sdtContent>
        <w:p w14:paraId="0F7E99CE">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3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840"/>
        <w:gridCol w:w="1795"/>
        <w:gridCol w:w="2093"/>
        <w:gridCol w:w="2095"/>
      </w:tblGrid>
      <w:tr w14:paraId="00989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sdt>
          <w:sdtPr>
            <w:rPr>
              <w:rFonts w:cs="Times New Roman"/>
            </w:rPr>
            <w:tag w:val="_PLD_680a8ba0e71a45459c0939cd6c78c07f"/>
            <w:id w:val="147480271"/>
          </w:sdtPr>
          <w:sdtEndPr>
            <w:rPr>
              <w:rFonts w:cs="Times New Roman"/>
            </w:rPr>
          </w:sdtEndPr>
          <w:sdtContent>
            <w:tc>
              <w:tcPr>
                <w:tcW w:w="1610" w:type="pct"/>
                <w:vMerge w:val="restart"/>
                <w:tcBorders>
                  <w:top w:val="single" w:color="auto" w:sz="4" w:space="0"/>
                  <w:left w:val="single" w:color="auto" w:sz="4" w:space="0"/>
                  <w:bottom w:val="single" w:color="auto" w:sz="4" w:space="0"/>
                  <w:right w:val="single" w:color="auto" w:sz="4" w:space="0"/>
                </w:tcBorders>
                <w:vAlign w:val="center"/>
              </w:tcPr>
              <w:p w14:paraId="0B55C19B">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报告期利润</w:t>
                </w:r>
              </w:p>
            </w:tc>
          </w:sdtContent>
        </w:sdt>
        <w:sdt>
          <w:sdtPr>
            <w:rPr>
              <w:rFonts w:cs="Times New Roman"/>
            </w:rPr>
            <w:tag w:val="_PLD_608d0086e1154f8ca6d3c34247132ef0"/>
            <w:id w:val="147467992"/>
          </w:sdtPr>
          <w:sdtEndPr>
            <w:rPr>
              <w:rFonts w:cs="Times New Roman"/>
            </w:rPr>
          </w:sdtEndPr>
          <w:sdtContent>
            <w:tc>
              <w:tcPr>
                <w:tcW w:w="1017" w:type="pct"/>
                <w:vMerge w:val="restart"/>
                <w:tcBorders>
                  <w:top w:val="single" w:color="auto" w:sz="4" w:space="0"/>
                  <w:left w:val="single" w:color="auto" w:sz="4" w:space="0"/>
                  <w:right w:val="single" w:color="auto" w:sz="4" w:space="0"/>
                </w:tcBorders>
                <w:vAlign w:val="center"/>
              </w:tcPr>
              <w:p w14:paraId="3F6AEFB8">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加权平均净资产收益率（%）</w:t>
                </w:r>
              </w:p>
            </w:tc>
          </w:sdtContent>
        </w:sdt>
        <w:sdt>
          <w:sdtPr>
            <w:rPr>
              <w:rFonts w:cs="Times New Roman"/>
            </w:rPr>
            <w:tag w:val="_PLD_8b4a0bf973be4a19862ac5168193db93"/>
            <w:id w:val="147454529"/>
          </w:sdtPr>
          <w:sdtEndPr>
            <w:rPr>
              <w:rFonts w:cs="Times New Roman"/>
            </w:rPr>
          </w:sdtEndPr>
          <w:sdtContent>
            <w:tc>
              <w:tcPr>
                <w:tcW w:w="2373" w:type="pct"/>
                <w:gridSpan w:val="2"/>
                <w:tcBorders>
                  <w:top w:val="single" w:color="auto" w:sz="4" w:space="0"/>
                  <w:left w:val="single" w:color="auto" w:sz="4" w:space="0"/>
                  <w:bottom w:val="single" w:color="auto" w:sz="4" w:space="0"/>
                  <w:right w:val="single" w:color="auto" w:sz="4" w:space="0"/>
                </w:tcBorders>
                <w:vAlign w:val="center"/>
              </w:tcPr>
              <w:p w14:paraId="09EF626E">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每股收益</w:t>
                </w:r>
              </w:p>
            </w:tc>
          </w:sdtContent>
        </w:sdt>
      </w:tr>
      <w:tr w14:paraId="74FBC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10" w:type="pct"/>
            <w:vMerge w:val="continue"/>
            <w:tcBorders>
              <w:top w:val="single" w:color="auto" w:sz="4" w:space="0"/>
              <w:left w:val="single" w:color="auto" w:sz="4" w:space="0"/>
              <w:bottom w:val="single" w:color="auto" w:sz="4" w:space="0"/>
              <w:right w:val="single" w:color="auto" w:sz="4" w:space="0"/>
            </w:tcBorders>
            <w:vAlign w:val="center"/>
          </w:tcPr>
          <w:p w14:paraId="3CBC98BC">
            <w:pPr>
              <w:jc w:val="center"/>
              <w:rPr>
                <w:rFonts w:cs="Times New Roman"/>
                <w:color w:val="000000" w:themeColor="text1"/>
                <w14:textFill>
                  <w14:solidFill>
                    <w14:schemeClr w14:val="tx1"/>
                  </w14:solidFill>
                </w14:textFill>
              </w:rPr>
            </w:pPr>
          </w:p>
        </w:tc>
        <w:tc>
          <w:tcPr>
            <w:tcW w:w="1017" w:type="pct"/>
            <w:vMerge w:val="continue"/>
            <w:tcBorders>
              <w:left w:val="single" w:color="auto" w:sz="4" w:space="0"/>
              <w:bottom w:val="single" w:color="auto" w:sz="4" w:space="0"/>
              <w:right w:val="single" w:color="auto" w:sz="4" w:space="0"/>
            </w:tcBorders>
            <w:vAlign w:val="center"/>
          </w:tcPr>
          <w:p w14:paraId="41965FB3">
            <w:pPr>
              <w:jc w:val="center"/>
              <w:rPr>
                <w:rFonts w:cs="Times New Roman"/>
                <w:color w:val="000000" w:themeColor="text1"/>
                <w14:textFill>
                  <w14:solidFill>
                    <w14:schemeClr w14:val="tx1"/>
                  </w14:solidFill>
                </w14:textFill>
              </w:rPr>
            </w:pPr>
          </w:p>
        </w:tc>
        <w:sdt>
          <w:sdtPr>
            <w:rPr>
              <w:rFonts w:cs="Times New Roman"/>
            </w:rPr>
            <w:tag w:val="_PLD_45472770a81744249d77e54c2efc412a"/>
            <w:id w:val="147463309"/>
          </w:sdtPr>
          <w:sdtEndPr>
            <w:rPr>
              <w:rFonts w:cs="Times New Roman"/>
            </w:rPr>
          </w:sdtEndPr>
          <w:sdtContent>
            <w:tc>
              <w:tcPr>
                <w:tcW w:w="1186" w:type="pct"/>
                <w:tcBorders>
                  <w:top w:val="single" w:color="auto" w:sz="4" w:space="0"/>
                  <w:left w:val="single" w:color="auto" w:sz="4" w:space="0"/>
                  <w:bottom w:val="single" w:color="auto" w:sz="4" w:space="0"/>
                  <w:right w:val="single" w:color="auto" w:sz="4" w:space="0"/>
                </w:tcBorders>
                <w:vAlign w:val="center"/>
              </w:tcPr>
              <w:p w14:paraId="5DC1F3ED">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基本每股收益</w:t>
                </w:r>
              </w:p>
            </w:tc>
          </w:sdtContent>
        </w:sdt>
        <w:sdt>
          <w:sdtPr>
            <w:rPr>
              <w:rFonts w:cs="Times New Roman"/>
            </w:rPr>
            <w:tag w:val="_PLD_c4e5be0bbc134fa28e28895e1a12e02c"/>
            <w:id w:val="147473120"/>
          </w:sdtPr>
          <w:sdtEndPr>
            <w:rPr>
              <w:rFonts w:cs="Times New Roman"/>
            </w:rPr>
          </w:sdtEndPr>
          <w:sdtContent>
            <w:tc>
              <w:tcPr>
                <w:tcW w:w="1187" w:type="pct"/>
                <w:tcBorders>
                  <w:top w:val="single" w:color="auto" w:sz="4" w:space="0"/>
                  <w:left w:val="single" w:color="auto" w:sz="4" w:space="0"/>
                  <w:bottom w:val="single" w:color="auto" w:sz="4" w:space="0"/>
                  <w:right w:val="single" w:color="auto" w:sz="4" w:space="0"/>
                </w:tcBorders>
                <w:vAlign w:val="center"/>
              </w:tcPr>
              <w:p w14:paraId="55EA06E9">
                <w:pPr>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稀释每股收益</w:t>
                </w:r>
              </w:p>
            </w:tc>
          </w:sdtContent>
        </w:sdt>
      </w:tr>
      <w:tr w14:paraId="4FAA2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10" w:type="pct"/>
            <w:tcBorders>
              <w:top w:val="single" w:color="auto" w:sz="4" w:space="0"/>
              <w:left w:val="single" w:color="auto" w:sz="4" w:space="0"/>
              <w:bottom w:val="single" w:color="auto" w:sz="4" w:space="0"/>
              <w:right w:val="single" w:color="auto" w:sz="4" w:space="0"/>
            </w:tcBorders>
          </w:tcPr>
          <w:p w14:paraId="7DCD6BFE">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归属于公司普通股股东的净利润</w:t>
            </w:r>
          </w:p>
        </w:tc>
        <w:tc>
          <w:tcPr>
            <w:tcW w:w="1841" w:type="dxa"/>
            <w:tcBorders>
              <w:top w:val="single" w:color="auto" w:sz="4" w:space="0"/>
              <w:left w:val="single" w:color="auto" w:sz="4" w:space="0"/>
              <w:bottom w:val="single" w:color="auto" w:sz="4" w:space="0"/>
              <w:right w:val="single" w:color="auto" w:sz="4" w:space="0"/>
            </w:tcBorders>
            <w:vAlign w:val="center"/>
          </w:tcPr>
          <w:p w14:paraId="532330A8">
            <w:pPr>
              <w:jc w:val="right"/>
              <w:textAlignment w:val="center"/>
              <w:rPr>
                <w:rFonts w:cs="Times New Roman" w:eastAsiaTheme="minorEastAsia"/>
              </w:rPr>
            </w:pPr>
            <w:r>
              <w:rPr>
                <w:rFonts w:eastAsia="Arial Narrow" w:cs="Times New Roman"/>
                <w:color w:val="000000"/>
                <w:lang w:bidi="ar"/>
              </w:rPr>
              <w:t>-0.63</w:t>
            </w:r>
          </w:p>
        </w:tc>
        <w:tc>
          <w:tcPr>
            <w:tcW w:w="2146" w:type="dxa"/>
            <w:tcBorders>
              <w:top w:val="single" w:color="auto" w:sz="4" w:space="0"/>
              <w:left w:val="single" w:color="auto" w:sz="4" w:space="0"/>
              <w:bottom w:val="single" w:color="auto" w:sz="4" w:space="0"/>
              <w:right w:val="single" w:color="auto" w:sz="4" w:space="0"/>
            </w:tcBorders>
            <w:vAlign w:val="center"/>
          </w:tcPr>
          <w:p w14:paraId="230D4F34">
            <w:pPr>
              <w:jc w:val="right"/>
              <w:textAlignment w:val="center"/>
              <w:rPr>
                <w:rFonts w:cs="Times New Roman"/>
              </w:rPr>
            </w:pPr>
            <w:r>
              <w:rPr>
                <w:rFonts w:eastAsia="Arial Narrow" w:cs="Times New Roman"/>
                <w:color w:val="000000"/>
                <w:lang w:bidi="ar"/>
              </w:rPr>
              <w:t>-0.018</w:t>
            </w:r>
          </w:p>
        </w:tc>
        <w:tc>
          <w:tcPr>
            <w:tcW w:w="2148" w:type="dxa"/>
            <w:tcBorders>
              <w:top w:val="single" w:color="auto" w:sz="4" w:space="0"/>
              <w:left w:val="single" w:color="auto" w:sz="4" w:space="0"/>
              <w:bottom w:val="single" w:color="auto" w:sz="4" w:space="0"/>
              <w:right w:val="single" w:color="auto" w:sz="4" w:space="0"/>
            </w:tcBorders>
            <w:vAlign w:val="center"/>
          </w:tcPr>
          <w:p w14:paraId="3CD6CC8B">
            <w:pPr>
              <w:jc w:val="right"/>
              <w:textAlignment w:val="center"/>
              <w:rPr>
                <w:rFonts w:cs="Times New Roman"/>
              </w:rPr>
            </w:pPr>
            <w:r>
              <w:rPr>
                <w:rFonts w:eastAsia="Arial Narrow" w:cs="Times New Roman"/>
                <w:color w:val="000000"/>
                <w:lang w:bidi="ar"/>
              </w:rPr>
              <w:t>-0.018</w:t>
            </w:r>
          </w:p>
        </w:tc>
      </w:tr>
      <w:tr w14:paraId="2BDAC6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10" w:type="pct"/>
            <w:tcBorders>
              <w:top w:val="single" w:color="auto" w:sz="4" w:space="0"/>
              <w:left w:val="single" w:color="auto" w:sz="4" w:space="0"/>
              <w:bottom w:val="single" w:color="auto" w:sz="4" w:space="0"/>
              <w:right w:val="single" w:color="auto" w:sz="4" w:space="0"/>
            </w:tcBorders>
          </w:tcPr>
          <w:p w14:paraId="33687644">
            <w:pP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扣除非经常性损益后归属于公司普通股股东的净利润</w:t>
            </w:r>
          </w:p>
        </w:tc>
        <w:tc>
          <w:tcPr>
            <w:tcW w:w="1841" w:type="dxa"/>
            <w:tcBorders>
              <w:top w:val="single" w:color="auto" w:sz="4" w:space="0"/>
              <w:left w:val="single" w:color="auto" w:sz="4" w:space="0"/>
              <w:bottom w:val="single" w:color="auto" w:sz="4" w:space="0"/>
              <w:right w:val="single" w:color="auto" w:sz="4" w:space="0"/>
            </w:tcBorders>
            <w:vAlign w:val="center"/>
          </w:tcPr>
          <w:p w14:paraId="6102266D">
            <w:pPr>
              <w:jc w:val="right"/>
              <w:textAlignment w:val="center"/>
              <w:rPr>
                <w:rFonts w:cs="Times New Roman"/>
              </w:rPr>
            </w:pPr>
            <w:r>
              <w:rPr>
                <w:rFonts w:eastAsia="Arial Narrow" w:cs="Times New Roman"/>
                <w:color w:val="000000"/>
                <w:lang w:bidi="ar"/>
              </w:rPr>
              <w:t>-1.16</w:t>
            </w:r>
          </w:p>
        </w:tc>
        <w:tc>
          <w:tcPr>
            <w:tcW w:w="2146" w:type="dxa"/>
            <w:tcBorders>
              <w:top w:val="single" w:color="auto" w:sz="4" w:space="0"/>
              <w:left w:val="single" w:color="auto" w:sz="4" w:space="0"/>
              <w:bottom w:val="single" w:color="auto" w:sz="4" w:space="0"/>
              <w:right w:val="single" w:color="auto" w:sz="4" w:space="0"/>
            </w:tcBorders>
            <w:vAlign w:val="center"/>
          </w:tcPr>
          <w:p w14:paraId="1D503FAA">
            <w:pPr>
              <w:jc w:val="right"/>
              <w:textAlignment w:val="center"/>
              <w:rPr>
                <w:rFonts w:cs="Times New Roman"/>
              </w:rPr>
            </w:pPr>
            <w:r>
              <w:rPr>
                <w:rFonts w:eastAsia="Arial Narrow" w:cs="Times New Roman"/>
                <w:color w:val="000000"/>
                <w:lang w:bidi="ar"/>
              </w:rPr>
              <w:t>-0.033</w:t>
            </w:r>
          </w:p>
        </w:tc>
        <w:tc>
          <w:tcPr>
            <w:tcW w:w="2148" w:type="dxa"/>
            <w:tcBorders>
              <w:top w:val="single" w:color="auto" w:sz="4" w:space="0"/>
              <w:left w:val="single" w:color="auto" w:sz="4" w:space="0"/>
              <w:bottom w:val="single" w:color="auto" w:sz="4" w:space="0"/>
              <w:right w:val="single" w:color="auto" w:sz="4" w:space="0"/>
            </w:tcBorders>
            <w:vAlign w:val="center"/>
          </w:tcPr>
          <w:p w14:paraId="3D37702C">
            <w:pPr>
              <w:jc w:val="right"/>
              <w:textAlignment w:val="center"/>
              <w:rPr>
                <w:rFonts w:cs="Times New Roman"/>
              </w:rPr>
            </w:pPr>
            <w:r>
              <w:rPr>
                <w:rFonts w:eastAsia="Arial Narrow" w:cs="Times New Roman"/>
                <w:color w:val="000000"/>
                <w:lang w:bidi="ar"/>
              </w:rPr>
              <w:t>-0.033</w:t>
            </w:r>
          </w:p>
        </w:tc>
      </w:tr>
    </w:tbl>
    <w:p w14:paraId="07E29CD8">
      <w:pPr>
        <w:rPr>
          <w:color w:val="000000" w:themeColor="text1"/>
          <w14:textFill>
            <w14:solidFill>
              <w14:schemeClr w14:val="tx1"/>
            </w14:solidFill>
          </w14:textFill>
        </w:rPr>
      </w:pPr>
    </w:p>
    <w:p w14:paraId="68C9FF78">
      <w:pPr>
        <w:pStyle w:val="57"/>
        <w:numPr>
          <w:ilvl w:val="0"/>
          <w:numId w:val="123"/>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境内外会计准则下会计数据差异</w:t>
      </w:r>
    </w:p>
    <w:sdt>
      <w:sdtPr>
        <w:rPr>
          <w:color w:val="000000" w:themeColor="text1"/>
          <w14:textFill>
            <w14:solidFill>
              <w14:schemeClr w14:val="tx1"/>
            </w14:solidFill>
          </w14:textFill>
        </w:rPr>
        <w:alias w:val="是否适用：境内外会计准则下会计数据差异[双击切换]"/>
        <w:tag w:val="_GBC_3482333eff2948139884cfdd1debc958"/>
        <w:id w:val="147462100"/>
        <w:placeholder>
          <w:docPart w:val="GBC22222222222222222222222222222"/>
        </w:placeholder>
      </w:sdtPr>
      <w:sdtEndPr>
        <w:rPr>
          <w:color w:val="000000" w:themeColor="text1"/>
          <w14:textFill>
            <w14:solidFill>
              <w14:schemeClr w14:val="tx1"/>
            </w14:solidFill>
          </w14:textFill>
        </w:rPr>
      </w:sdtEndPr>
      <w:sdtContent>
        <w:p w14:paraId="3F394951">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5F3976DE">
      <w:pPr>
        <w:rPr>
          <w:color w:val="000000" w:themeColor="text1"/>
          <w14:textFill>
            <w14:solidFill>
              <w14:schemeClr w14:val="tx1"/>
            </w14:solidFill>
          </w14:textFill>
        </w:rPr>
      </w:pPr>
    </w:p>
    <w:p w14:paraId="7D4B3B76">
      <w:pPr>
        <w:pStyle w:val="57"/>
        <w:numPr>
          <w:ilvl w:val="0"/>
          <w:numId w:val="123"/>
        </w:num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补充资料其他说明事项[双击切换]"/>
        <w:tag w:val="_GBC_8954f89f8426424c966f1b658de53fe5"/>
        <w:id w:val="147468932"/>
        <w:placeholder>
          <w:docPart w:val="GBC22222222222222222222222222222"/>
        </w:placeholder>
      </w:sdtPr>
      <w:sdtEndPr>
        <w:rPr>
          <w:color w:val="000000" w:themeColor="text1"/>
          <w14:textFill>
            <w14:solidFill>
              <w14:schemeClr w14:val="tx1"/>
            </w14:solidFill>
          </w14:textFill>
        </w:rPr>
      </w:sdtEndPr>
      <w:sdtContent>
        <w:p w14:paraId="0355FBF1">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14:paraId="4443993E">
      <w:pPr>
        <w:rPr>
          <w:color w:val="000000" w:themeColor="text1"/>
          <w14:textFill>
            <w14:solidFill>
              <w14:schemeClr w14:val="tx1"/>
            </w14:solidFill>
          </w14:textFill>
        </w:rPr>
      </w:pPr>
    </w:p>
    <w:p w14:paraId="0948ED5A">
      <w:pPr>
        <w:spacing w:line="360" w:lineRule="exact"/>
        <w:ind w:right="5"/>
        <w:rPr>
          <w:b/>
          <w:bCs w:val="0"/>
          <w:color w:val="000000" w:themeColor="text1"/>
          <w:sz w:val="24"/>
          <w14:textFill>
            <w14:solidFill>
              <w14:schemeClr w14:val="tx1"/>
            </w14:solidFill>
          </w14:textFill>
        </w:rPr>
      </w:pPr>
      <w:bookmarkStart w:id="503" w:name="_Hlk76135020"/>
    </w:p>
    <w:p w14:paraId="4CCC5B73">
      <w:pPr>
        <w:wordWrap w:val="0"/>
        <w:spacing w:line="360" w:lineRule="exact"/>
        <w:jc w:val="right"/>
        <w:rPr>
          <w:color w:val="000000" w:themeColor="text1"/>
          <w:u w:val="single"/>
          <w14:textFill>
            <w14:solidFill>
              <w14:schemeClr w14:val="tx1"/>
            </w14:solidFill>
          </w14:textFill>
        </w:rPr>
      </w:pPr>
      <w:r>
        <w:rPr>
          <w:color w:val="000000" w:themeColor="text1"/>
          <w14:textFill>
            <w14:solidFill>
              <w14:schemeClr w14:val="tx1"/>
            </w14:solidFill>
          </w14:textFill>
        </w:rPr>
        <w:t>董事长：</w:t>
      </w:r>
      <w:sdt>
        <w:sdtPr>
          <w:rPr>
            <w:color w:val="000000" w:themeColor="text1"/>
            <w14:textFill>
              <w14:solidFill>
                <w14:schemeClr w14:val="tx1"/>
              </w14:solidFill>
            </w14:textFill>
          </w:rPr>
          <w:alias w:val="报告发布人"/>
          <w:tag w:val="_GBC_f07cbb7287a94e798691f7fcb5112f49"/>
          <w:id w:val="147456480"/>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夏前军</w:t>
          </w:r>
        </w:sdtContent>
      </w:sdt>
      <w:r>
        <w:rPr>
          <w:rFonts w:hint="eastAsia"/>
          <w:color w:val="000000" w:themeColor="text1"/>
          <w14:textFill>
            <w14:solidFill>
              <w14:schemeClr w14:val="tx1"/>
            </w14:solidFill>
          </w14:textFill>
        </w:rPr>
        <w:t xml:space="preserve"> </w:t>
      </w:r>
    </w:p>
    <w:p w14:paraId="6455E4B2">
      <w:pPr>
        <w:spacing w:line="360" w:lineRule="exact"/>
        <w:jc w:val="right"/>
        <w:rPr>
          <w:color w:val="000000" w:themeColor="text1"/>
          <w14:textFill>
            <w14:solidFill>
              <w14:schemeClr w14:val="tx1"/>
            </w14:solidFill>
          </w14:textFill>
        </w:rPr>
      </w:pPr>
      <w:r>
        <w:rPr>
          <w:color w:val="000000" w:themeColor="text1"/>
          <w14:textFill>
            <w14:solidFill>
              <w14:schemeClr w14:val="tx1"/>
            </w14:solidFill>
          </w14:textFill>
        </w:rPr>
        <w:t>董事会批准报送日期：</w:t>
      </w:r>
      <w:sdt>
        <w:sdtPr>
          <w:rPr>
            <w:color w:val="000000" w:themeColor="text1"/>
            <w14:textFill>
              <w14:solidFill>
                <w14:schemeClr w14:val="tx1"/>
              </w14:solidFill>
            </w14:textFill>
          </w:rPr>
          <w:alias w:val="报告董事会批准报送日期"/>
          <w:tag w:val="_GBC_56d5d40e768a439aa604555fa2089c42"/>
          <w:id w:val="147468631"/>
          <w:placeholder>
            <w:docPart w:val="GBC22222222222222222222222222222"/>
          </w:placeholder>
          <w:date w:fullDate="2025-08-22T00:00:00Z">
            <w:dateFormat w:val="yyyy'年'M'月'd'日'"/>
            <w:lid w:val="zh-CN"/>
            <w:storeMappedDataAs w:val="datetime"/>
            <w:calendar w:val="gregorian"/>
          </w:date>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2025年8月22日</w:t>
          </w:r>
        </w:sdtContent>
      </w:sdt>
      <w:r>
        <w:rPr>
          <w:rFonts w:hint="eastAsia"/>
          <w:color w:val="000000" w:themeColor="text1"/>
          <w14:textFill>
            <w14:solidFill>
              <w14:schemeClr w14:val="tx1"/>
            </w14:solidFill>
          </w14:textFill>
        </w:rPr>
        <w:t xml:space="preserve"> </w:t>
      </w:r>
    </w:p>
    <w:bookmarkEnd w:id="503"/>
    <w:p w14:paraId="2A012140">
      <w:pPr>
        <w:spacing w:line="360" w:lineRule="exact"/>
        <w:ind w:right="5"/>
        <w:rPr>
          <w:color w:val="000000" w:themeColor="text1"/>
          <w:u w:val="single"/>
          <w14:textFill>
            <w14:solidFill>
              <w14:schemeClr w14:val="tx1"/>
            </w14:solidFill>
          </w14:textFill>
        </w:rPr>
      </w:pPr>
    </w:p>
    <w:p w14:paraId="2C6AB6F6">
      <w:pPr>
        <w:spacing w:line="360" w:lineRule="exact"/>
        <w:ind w:right="5"/>
        <w:rPr>
          <w:b/>
          <w:color w:val="000000" w:themeColor="text1"/>
          <w:sz w:val="24"/>
          <w14:textFill>
            <w14:solidFill>
              <w14:schemeClr w14:val="tx1"/>
            </w14:solidFill>
          </w14:textFill>
        </w:rPr>
      </w:pPr>
      <w:r>
        <w:rPr>
          <w:b/>
          <w:color w:val="000000" w:themeColor="text1"/>
          <w:sz w:val="24"/>
          <w14:textFill>
            <w14:solidFill>
              <w14:schemeClr w14:val="tx1"/>
            </w14:solidFill>
          </w14:textFill>
        </w:rPr>
        <w:t>修订信息</w:t>
      </w:r>
    </w:p>
    <w:sdt>
      <w:sdtPr>
        <w:rPr>
          <w:b/>
          <w:bCs w:val="0"/>
          <w:color w:val="000000" w:themeColor="text1"/>
          <w14:textFill>
            <w14:solidFill>
              <w14:schemeClr w14:val="tx1"/>
            </w14:solidFill>
          </w14:textFill>
        </w:rPr>
        <w:alias w:val="是否适用：修订信息表[双击切换]"/>
        <w:tag w:val="_GBC_77b96fad3b8a43478db82cf4cb9686be"/>
        <w:id w:val="147461859"/>
        <w:placeholder>
          <w:docPart w:val="GBC22222222222222222222222222222"/>
        </w:placeholder>
      </w:sdtPr>
      <w:sdtEndPr>
        <w:rPr>
          <w:b w:val="0"/>
          <w:bCs w:val="0"/>
          <w:color w:val="000000" w:themeColor="text1"/>
          <w14:textFill>
            <w14:solidFill>
              <w14:schemeClr w14:val="tx1"/>
            </w14:solidFill>
          </w14:textFill>
        </w:rPr>
      </w:sdtEndPr>
      <w:sdtContent>
        <w:p w14:paraId="46596E07">
          <w:pPr>
            <w:spacing w:line="360" w:lineRule="exact"/>
            <w:ind w:right="5"/>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sectPr>
      <w:pgSz w:w="11906" w:h="16838"/>
      <w:pgMar w:top="1525" w:right="1276" w:bottom="1440" w:left="1797" w:header="856"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Noto Sans CJK JP Regular">
    <w:altName w:val="微软雅黑"/>
    <w:panose1 w:val="00000000000000000000"/>
    <w:charset w:val="86"/>
    <w:family w:val="swiss"/>
    <w:pitch w:val="default"/>
    <w:sig w:usb0="00000000" w:usb1="00000000" w:usb2="00000016" w:usb3="00000000" w:csb0="002E0107"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Helvetica-Narrow">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ZLTSK--GBK1-0">
    <w:altName w:val="Times New Roman"/>
    <w:panose1 w:val="00000000000000000000"/>
    <w:charset w:val="00"/>
    <w:family w:val="roman"/>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宋体-方正超大字符集">
    <w:altName w:val="宋体"/>
    <w:panose1 w:val="00000000000000000000"/>
    <w:charset w:val="86"/>
    <w:family w:val="script"/>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7408834"/>
    </w:sdtPr>
    <w:sdtContent>
      <w:sdt>
        <w:sdtPr>
          <w:id w:val="98381352"/>
        </w:sdtPr>
        <w:sdtContent>
          <w:p w14:paraId="3DBFD004">
            <w:pPr>
              <w:pStyle w:val="25"/>
              <w:jc w:val="center"/>
            </w:pPr>
            <w:r>
              <w:rPr>
                <w:b/>
                <w:bCs w:val="0"/>
                <w:sz w:val="24"/>
                <w:szCs w:val="24"/>
              </w:rPr>
              <w:fldChar w:fldCharType="begin"/>
            </w:r>
            <w:r>
              <w:rPr>
                <w:b/>
              </w:rPr>
              <w:instrText xml:space="preserve">PAGE</w:instrText>
            </w:r>
            <w:r>
              <w:rPr>
                <w:b/>
                <w:bCs w:val="0"/>
                <w:sz w:val="24"/>
                <w:szCs w:val="24"/>
              </w:rPr>
              <w:fldChar w:fldCharType="separate"/>
            </w:r>
            <w:r>
              <w:rPr>
                <w:b/>
              </w:rPr>
              <w:t>119</w:t>
            </w:r>
            <w:r>
              <w:rPr>
                <w:b/>
                <w:bCs w:val="0"/>
                <w:sz w:val="24"/>
                <w:szCs w:val="24"/>
              </w:rPr>
              <w:fldChar w:fldCharType="end"/>
            </w:r>
            <w:r>
              <w:rPr>
                <w:lang w:val="zh-CN"/>
              </w:rPr>
              <w:t xml:space="preserve"> / </w:t>
            </w:r>
            <w:r>
              <w:rPr>
                <w:b/>
                <w:bCs w:val="0"/>
                <w:sz w:val="24"/>
                <w:szCs w:val="24"/>
              </w:rPr>
              <w:fldChar w:fldCharType="begin"/>
            </w:r>
            <w:r>
              <w:rPr>
                <w:b/>
              </w:rPr>
              <w:instrText xml:space="preserve">NUMPAGES</w:instrText>
            </w:r>
            <w:r>
              <w:rPr>
                <w:b/>
                <w:bCs w:val="0"/>
                <w:sz w:val="24"/>
                <w:szCs w:val="24"/>
              </w:rPr>
              <w:fldChar w:fldCharType="separate"/>
            </w:r>
            <w:r>
              <w:rPr>
                <w:b/>
              </w:rPr>
              <w:t>224</w:t>
            </w:r>
            <w:r>
              <w:rPr>
                <w:b/>
                <w:bCs w:val="0"/>
                <w:sz w:val="24"/>
                <w:szCs w:val="24"/>
              </w:rPr>
              <w:fldChar w:fldCharType="end"/>
            </w:r>
          </w:p>
        </w:sdtContent>
      </w:sdt>
    </w:sdtContent>
  </w:sdt>
  <w:p w14:paraId="6E485D70">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D97F">
    <w:pPr>
      <w:pStyle w:val="26"/>
      <w:tabs>
        <w:tab w:val="left" w:pos="8364"/>
        <w:tab w:val="left" w:pos="8505"/>
        <w:tab w:val="clear" w:pos="8306"/>
      </w:tabs>
      <w:ind w:right="21" w:rightChars="10"/>
      <w:rPr>
        <w:rFonts w:ascii="宋体" w:hAnsi="宋体"/>
      </w:rPr>
    </w:pPr>
    <w:sdt>
      <w:sdtPr>
        <w:rPr>
          <w:rFonts w:hint="eastAsia" w:ascii="宋体" w:hAnsi="宋体"/>
        </w:rPr>
        <w:alias w:val="公司法定中文名称"/>
        <w:tag w:val="_GBC_782d803d917f4432be22f5ded01fbc6d"/>
        <w:id w:val="842976418"/>
        <w:dataBinding w:prefixMappings="xmlns:clcid-cgi='clcid-cgi'" w:xpath="/*/clcid-cgi:GongSiFaDingZhongWenMingCheng[not(@periodRef)]" w:storeItemID="{89EBAB94-44A0-46A2-B712-30D997D04A6D}"/>
        <w:text/>
      </w:sdtPr>
      <w:sdtEndPr>
        <w:rPr>
          <w:rFonts w:hint="eastAsia" w:ascii="宋体" w:hAnsi="宋体"/>
        </w:rPr>
      </w:sdtEndPr>
      <w:sdtContent>
        <w:r>
          <w:rPr>
            <w:rFonts w:hint="eastAsia" w:ascii="宋体" w:hAnsi="宋体"/>
          </w:rPr>
          <w:t>际华集团股份有限公司</w:t>
        </w:r>
      </w:sdtContent>
    </w:sdt>
    <w:r>
      <w:rPr>
        <w:rFonts w:hint="eastAsia" w:ascii="宋体" w:hAnsi="宋体"/>
      </w:rPr>
      <w:t>202</w:t>
    </w:r>
    <w:r>
      <w:rPr>
        <w:rFonts w:ascii="宋体" w:hAnsi="宋体"/>
      </w:rPr>
      <w:t>5</w:t>
    </w:r>
    <w:r>
      <w:rPr>
        <w:rFonts w:hint="eastAsia" w:ascii="宋体" w:hAnsi="宋体"/>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2320E"/>
    <w:multiLevelType w:val="multilevel"/>
    <w:tmpl w:val="8302320E"/>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
    <w:nsid w:val="85F6B375"/>
    <w:multiLevelType w:val="multilevel"/>
    <w:tmpl w:val="85F6B375"/>
    <w:lvl w:ilvl="0" w:tentative="0">
      <w:start w:val="1"/>
      <w:numFmt w:val="decimal"/>
      <w:lvlText w:val="(%1)."/>
      <w:lvlJc w:val="left"/>
      <w:pPr>
        <w:ind w:left="425" w:hanging="425"/>
      </w:pPr>
      <w:rPr>
        <w:rFonts w:hint="eastAsia" w:asciiTheme="majorEastAsia" w:hAnsiTheme="majorEastAsia" w:eastAsia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87F8DB66"/>
    <w:multiLevelType w:val="multilevel"/>
    <w:tmpl w:val="87F8DB66"/>
    <w:lvl w:ilvl="0" w:tentative="0">
      <w:start w:val="1"/>
      <w:numFmt w:val="decimal"/>
      <w:lvlText w:val="(%1)."/>
      <w:lvlJc w:val="left"/>
      <w:pPr>
        <w:ind w:left="545" w:hanging="440"/>
      </w:pPr>
      <w:rPr>
        <w:rFonts w:hint="eastAsia" w:asciiTheme="majorEastAsia" w:hAnsiTheme="majorEastAsia" w:eastAsia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3">
    <w:nsid w:val="8B4D5B52"/>
    <w:multiLevelType w:val="multilevel"/>
    <w:tmpl w:val="8B4D5B52"/>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8CC4BB58"/>
    <w:multiLevelType w:val="multilevel"/>
    <w:tmpl w:val="8CC4BB58"/>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8D5DDBA3"/>
    <w:multiLevelType w:val="multilevel"/>
    <w:tmpl w:val="8D5DDBA3"/>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8DADA5CC"/>
    <w:multiLevelType w:val="multilevel"/>
    <w:tmpl w:val="8DADA5CC"/>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8E8F6E83"/>
    <w:multiLevelType w:val="multilevel"/>
    <w:tmpl w:val="8E8F6E83"/>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8EF8E1E9"/>
    <w:multiLevelType w:val="multilevel"/>
    <w:tmpl w:val="8EF8E1E9"/>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939872BA"/>
    <w:multiLevelType w:val="multilevel"/>
    <w:tmpl w:val="939872BA"/>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0">
    <w:nsid w:val="94FD4300"/>
    <w:multiLevelType w:val="multilevel"/>
    <w:tmpl w:val="94FD4300"/>
    <w:lvl w:ilvl="0" w:tentative="0">
      <w:start w:val="1"/>
      <w:numFmt w:val="decimal"/>
      <w:lvlText w:val="%1、"/>
      <w:lvlJc w:val="left"/>
      <w:pPr>
        <w:ind w:left="425" w:hanging="425"/>
      </w:pPr>
      <w:rPr>
        <w:rFonts w:hint="eastAsia" w:ascii="宋体" w:hAnsi="宋体" w:eastAsia="宋体"/>
        <w:color w:val="auto"/>
        <w:sz w:val="21"/>
        <w:szCs w:val="21"/>
        <w:u w:val="none"/>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95307DD5"/>
    <w:multiLevelType w:val="multilevel"/>
    <w:tmpl w:val="95307DD5"/>
    <w:lvl w:ilvl="0" w:tentative="0">
      <w:start w:val="1"/>
      <w:numFmt w:val="decimal"/>
      <w:suff w:val="space"/>
      <w:lvlText w:val="(%1)."/>
      <w:lvlJc w:val="left"/>
      <w:pPr>
        <w:ind w:left="420" w:hanging="420"/>
      </w:pPr>
      <w:rPr>
        <w:rFonts w:hint="eastAsia"/>
        <w:color w:val="auto"/>
      </w:rPr>
    </w:lvl>
    <w:lvl w:ilvl="1" w:tentative="0">
      <w:start w:val="1"/>
      <w:numFmt w:val="japaneseCounting"/>
      <w:lvlText w:val="%2、"/>
      <w:lvlJc w:val="left"/>
      <w:pPr>
        <w:ind w:left="840" w:hanging="42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95ECACFD"/>
    <w:multiLevelType w:val="multilevel"/>
    <w:tmpl w:val="95ECACFD"/>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96743E63"/>
    <w:multiLevelType w:val="multilevel"/>
    <w:tmpl w:val="96743E63"/>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968291D2"/>
    <w:multiLevelType w:val="multilevel"/>
    <w:tmpl w:val="968291D2"/>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suff w:val="nothing"/>
      <w:lvlText w:val="(%4). "/>
      <w:lvlJc w:val="left"/>
      <w:pPr>
        <w:ind w:left="851" w:hanging="851"/>
      </w:pPr>
      <w:rPr>
        <w:rFonts w:hint="default" w:ascii="宋体" w:hAnsi="宋体" w:eastAsia="宋体"/>
        <w:color w:val="auto"/>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5">
    <w:nsid w:val="9CBFC0D5"/>
    <w:multiLevelType w:val="multilevel"/>
    <w:tmpl w:val="9CBFC0D5"/>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9EB3DC07"/>
    <w:multiLevelType w:val="multilevel"/>
    <w:tmpl w:val="9EB3DC0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9FC46B74"/>
    <w:multiLevelType w:val="multilevel"/>
    <w:tmpl w:val="9FC46B74"/>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A42E7583"/>
    <w:multiLevelType w:val="multilevel"/>
    <w:tmpl w:val="A42E7583"/>
    <w:lvl w:ilvl="0" w:tentative="0">
      <w:start w:val="1"/>
      <w:numFmt w:val="decimal"/>
      <w:lvlText w:val="%1、"/>
      <w:lvlJc w:val="left"/>
      <w:pPr>
        <w:ind w:left="360" w:hanging="360"/>
      </w:pPr>
      <w:rPr>
        <w:rFonts w:hint="default" w:ascii="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A45CC82F"/>
    <w:multiLevelType w:val="multilevel"/>
    <w:tmpl w:val="A45CC82F"/>
    <w:lvl w:ilvl="0" w:tentative="0">
      <w:start w:val="1"/>
      <w:numFmt w:val="decimal"/>
      <w:lvlText w:val="%1、"/>
      <w:lvlJc w:val="left"/>
      <w:pPr>
        <w:ind w:left="425" w:hanging="425"/>
      </w:pPr>
      <w:rPr>
        <w:rFonts w:hint="eastAsia" w:eastAsia="宋体" w:asciiTheme="majorEastAsia" w:hAnsiTheme="majorEastAsia"/>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A643AAF6"/>
    <w:multiLevelType w:val="multilevel"/>
    <w:tmpl w:val="A643AAF6"/>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4112"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1">
    <w:nsid w:val="A64DC241"/>
    <w:multiLevelType w:val="multilevel"/>
    <w:tmpl w:val="A64DC241"/>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2">
    <w:nsid w:val="A82B6065"/>
    <w:multiLevelType w:val="multilevel"/>
    <w:tmpl w:val="A82B6065"/>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3">
    <w:nsid w:val="AD27C12B"/>
    <w:multiLevelType w:val="multilevel"/>
    <w:tmpl w:val="AD27C12B"/>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AEE4CBDB"/>
    <w:multiLevelType w:val="multilevel"/>
    <w:tmpl w:val="AEE4CBDB"/>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5">
    <w:nsid w:val="AF95E972"/>
    <w:multiLevelType w:val="multilevel"/>
    <w:tmpl w:val="AF95E972"/>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6">
    <w:nsid w:val="B4444CDA"/>
    <w:multiLevelType w:val="multilevel"/>
    <w:tmpl w:val="B4444CDA"/>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B4BC0501"/>
    <w:multiLevelType w:val="multilevel"/>
    <w:tmpl w:val="B4BC0501"/>
    <w:lvl w:ilvl="0" w:tentative="0">
      <w:start w:val="1"/>
      <w:numFmt w:val="decimal"/>
      <w:suff w:val="nothing"/>
      <w:lvlText w:val="(%1)."/>
      <w:lvlJc w:val="left"/>
      <w:pPr>
        <w:ind w:left="440" w:hanging="440"/>
      </w:pPr>
      <w:rPr>
        <w:rFonts w:hint="eastAsia" w:eastAsia="宋体" w:asciiTheme="minorEastAsia" w:hAnsiTheme="minorEastAsia"/>
        <w:b/>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8">
    <w:nsid w:val="B7D0D9AC"/>
    <w:multiLevelType w:val="multilevel"/>
    <w:tmpl w:val="B7D0D9AC"/>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B8241E56"/>
    <w:multiLevelType w:val="multilevel"/>
    <w:tmpl w:val="B8241E56"/>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C1BC0ACF"/>
    <w:multiLevelType w:val="multilevel"/>
    <w:tmpl w:val="C1BC0ACF"/>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1">
    <w:nsid w:val="C2510071"/>
    <w:multiLevelType w:val="multilevel"/>
    <w:tmpl w:val="C2510071"/>
    <w:lvl w:ilvl="0" w:tentative="0">
      <w:start w:val="1"/>
      <w:numFmt w:val="decimal"/>
      <w:lvlText w:val="(%1). "/>
      <w:lvlJc w:val="left"/>
      <w:pPr>
        <w:ind w:left="425" w:hanging="425"/>
      </w:pPr>
      <w:rPr>
        <w:rFonts w:hint="eastAsia" w:ascii="宋体" w:hAnsi="宋体" w:eastAsia="宋体"/>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2">
    <w:nsid w:val="C4C3CB19"/>
    <w:multiLevelType w:val="multilevel"/>
    <w:tmpl w:val="C4C3CB19"/>
    <w:lvl w:ilvl="0" w:tentative="0">
      <w:start w:val="1"/>
      <w:numFmt w:val="chineseCountingThousand"/>
      <w:suff w:val="nothing"/>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3">
    <w:nsid w:val="C5C78B1E"/>
    <w:multiLevelType w:val="multilevel"/>
    <w:tmpl w:val="C5C78B1E"/>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4">
    <w:nsid w:val="C60525AB"/>
    <w:multiLevelType w:val="multilevel"/>
    <w:tmpl w:val="C60525AB"/>
    <w:lvl w:ilvl="0" w:tentative="0">
      <w:start w:val="1"/>
      <w:numFmt w:val="chineseCountingThousand"/>
      <w:suff w:val="space"/>
      <w:lvlText w:val="%1、"/>
      <w:lvlJc w:val="left"/>
      <w:pPr>
        <w:ind w:left="704" w:hanging="420"/>
      </w:pPr>
      <w:rPr>
        <w:rFonts w:hint="default"/>
        <w:b/>
        <w:i w:val="0"/>
        <w:color w:val="auto"/>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C9BBF0ED"/>
    <w:multiLevelType w:val="multilevel"/>
    <w:tmpl w:val="C9BBF0ED"/>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6">
    <w:nsid w:val="CA2D9480"/>
    <w:multiLevelType w:val="multilevel"/>
    <w:tmpl w:val="CA2D9480"/>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CB5EF538"/>
    <w:multiLevelType w:val="multilevel"/>
    <w:tmpl w:val="CB5EF538"/>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8">
    <w:nsid w:val="CBB087D1"/>
    <w:multiLevelType w:val="multilevel"/>
    <w:tmpl w:val="CBB087D1"/>
    <w:lvl w:ilvl="0" w:tentative="0">
      <w:start w:val="1"/>
      <w:numFmt w:val="decimal"/>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CCEBFB47"/>
    <w:multiLevelType w:val="multilevel"/>
    <w:tmpl w:val="CCEBFB47"/>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0">
    <w:nsid w:val="D0D62792"/>
    <w:multiLevelType w:val="multilevel"/>
    <w:tmpl w:val="D0D62792"/>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1">
    <w:nsid w:val="D0EDECDE"/>
    <w:multiLevelType w:val="multilevel"/>
    <w:tmpl w:val="D0EDECDE"/>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2">
    <w:nsid w:val="D171BB9D"/>
    <w:multiLevelType w:val="multilevel"/>
    <w:tmpl w:val="D171BB9D"/>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3">
    <w:nsid w:val="D1FC5E6A"/>
    <w:multiLevelType w:val="multilevel"/>
    <w:tmpl w:val="D1FC5E6A"/>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4">
    <w:nsid w:val="D3B5B447"/>
    <w:multiLevelType w:val="multilevel"/>
    <w:tmpl w:val="D3B5B447"/>
    <w:lvl w:ilvl="0" w:tentative="0">
      <w:start w:val="1"/>
      <w:numFmt w:val="decimal"/>
      <w:suff w:val="space"/>
      <w:lvlText w:val="(%1)."/>
      <w:lvlJc w:val="left"/>
      <w:pPr>
        <w:ind w:left="360" w:hanging="36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D995841B"/>
    <w:multiLevelType w:val="multilevel"/>
    <w:tmpl w:val="D995841B"/>
    <w:lvl w:ilvl="0" w:tentative="0">
      <w:start w:val="1"/>
      <w:numFmt w:val="chineseCountingThousand"/>
      <w:lvlText w:val="第%1节"/>
      <w:lvlJc w:val="left"/>
      <w:pPr>
        <w:ind w:left="425" w:hanging="425"/>
      </w:pPr>
      <w:rPr>
        <w:rFonts w:hint="eastAsia"/>
        <w:color w:val="auto"/>
        <w:sz w:val="28"/>
        <w:szCs w:val="28"/>
        <w:u w:val="none"/>
        <w:lang w:val="en-US"/>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6">
    <w:nsid w:val="DDB82A48"/>
    <w:multiLevelType w:val="multilevel"/>
    <w:tmpl w:val="DDB82A48"/>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7">
    <w:nsid w:val="DDE5E530"/>
    <w:multiLevelType w:val="multilevel"/>
    <w:tmpl w:val="DDE5E530"/>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8">
    <w:nsid w:val="DE27F4FB"/>
    <w:multiLevelType w:val="multilevel"/>
    <w:tmpl w:val="DE27F4FB"/>
    <w:lvl w:ilvl="0" w:tentative="0">
      <w:start w:val="1"/>
      <w:numFmt w:val="decimal"/>
      <w:suff w:val="space"/>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E0F56504"/>
    <w:multiLevelType w:val="multilevel"/>
    <w:tmpl w:val="E0F56504"/>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0">
    <w:nsid w:val="E10711DE"/>
    <w:multiLevelType w:val="multilevel"/>
    <w:tmpl w:val="E10711DE"/>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1">
    <w:nsid w:val="E18AC388"/>
    <w:multiLevelType w:val="multilevel"/>
    <w:tmpl w:val="E18AC388"/>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E2BC900C"/>
    <w:multiLevelType w:val="multilevel"/>
    <w:tmpl w:val="E2BC900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E4A10E18"/>
    <w:multiLevelType w:val="multilevel"/>
    <w:tmpl w:val="E4A10E18"/>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4">
    <w:nsid w:val="E6C1A0D3"/>
    <w:multiLevelType w:val="multilevel"/>
    <w:tmpl w:val="E6C1A0D3"/>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EF25EF0E"/>
    <w:multiLevelType w:val="multilevel"/>
    <w:tmpl w:val="EF25EF0E"/>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6">
    <w:nsid w:val="F7B8EF1A"/>
    <w:multiLevelType w:val="multilevel"/>
    <w:tmpl w:val="F7B8EF1A"/>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7">
    <w:nsid w:val="F8EB02B4"/>
    <w:multiLevelType w:val="multilevel"/>
    <w:tmpl w:val="F8EB02B4"/>
    <w:lvl w:ilvl="0" w:tentative="0">
      <w:start w:val="1"/>
      <w:numFmt w:val="decimal"/>
      <w:lvlText w:val="(%1)."/>
      <w:lvlJc w:val="left"/>
      <w:pPr>
        <w:ind w:left="440" w:hanging="440"/>
      </w:pPr>
      <w:rPr>
        <w:rFonts w:hint="eastAsia" w:asciiTheme="majorEastAsia" w:hAnsiTheme="majorEastAsia" w:eastAsia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8">
    <w:nsid w:val="F9A02DFC"/>
    <w:multiLevelType w:val="multilevel"/>
    <w:tmpl w:val="F9A02DFC"/>
    <w:lvl w:ilvl="0" w:tentative="0">
      <w:start w:val="1"/>
      <w:numFmt w:val="decimal"/>
      <w:lvlText w:val="(%1). "/>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9">
    <w:nsid w:val="F9BEB408"/>
    <w:multiLevelType w:val="multilevel"/>
    <w:tmpl w:val="F9BEB40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FD7C9E9F"/>
    <w:multiLevelType w:val="multilevel"/>
    <w:tmpl w:val="FD7C9E9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1">
    <w:nsid w:val="FFC2574A"/>
    <w:multiLevelType w:val="multilevel"/>
    <w:tmpl w:val="FFC2574A"/>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2">
    <w:nsid w:val="0053208E"/>
    <w:multiLevelType w:val="singleLevel"/>
    <w:tmpl w:val="0053208E"/>
    <w:lvl w:ilvl="0" w:tentative="0">
      <w:start w:val="1"/>
      <w:numFmt w:val="bullet"/>
      <w:pStyle w:val="16"/>
      <w:lvlText w:val=""/>
      <w:lvlJc w:val="left"/>
      <w:pPr>
        <w:tabs>
          <w:tab w:val="left" w:pos="1200"/>
        </w:tabs>
        <w:ind w:left="1200" w:hanging="360"/>
      </w:pPr>
      <w:rPr>
        <w:rFonts w:hint="default" w:ascii="Wingdings" w:hAnsi="Wingdings"/>
      </w:rPr>
    </w:lvl>
  </w:abstractNum>
  <w:abstractNum w:abstractNumId="63">
    <w:nsid w:val="040125FC"/>
    <w:multiLevelType w:val="multilevel"/>
    <w:tmpl w:val="040125FC"/>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64">
    <w:nsid w:val="06B70F2E"/>
    <w:multiLevelType w:val="multilevel"/>
    <w:tmpl w:val="06B70F2E"/>
    <w:lvl w:ilvl="0" w:tentative="0">
      <w:start w:val="1"/>
      <w:numFmt w:val="chineseCountingThousand"/>
      <w:lvlText w:val="(%1)"/>
      <w:lvlJc w:val="left"/>
      <w:pPr>
        <w:ind w:left="420" w:hanging="420"/>
      </w:pPr>
      <w:rPr>
        <w:rFonts w:hint="default" w:asciiTheme="minorHAnsi" w:hAnsiTheme="minorHAnsi"/>
      </w:rPr>
    </w:lvl>
    <w:lvl w:ilvl="1" w:tentative="0">
      <w:start w:val="1"/>
      <w:numFmt w:val="chineseCountingThousand"/>
      <w:lvlText w:val="(%2)"/>
      <w:lvlJc w:val="left"/>
      <w:pPr>
        <w:ind w:left="840" w:hanging="420"/>
      </w:p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5">
    <w:nsid w:val="08DB642E"/>
    <w:multiLevelType w:val="multilevel"/>
    <w:tmpl w:val="08DB642E"/>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nothing"/>
      <w:lvlText w:val="(%4)."/>
      <w:lvlJc w:val="left"/>
      <w:pPr>
        <w:ind w:left="0" w:firstLine="0"/>
      </w:pPr>
      <w:rPr>
        <w:rFonts w:hint="eastAsia" w:ascii="宋体" w:hAnsi="宋体" w:eastAsia="宋体"/>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6">
    <w:nsid w:val="096C71D5"/>
    <w:multiLevelType w:val="multilevel"/>
    <w:tmpl w:val="096C71D5"/>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7">
    <w:nsid w:val="0DC620A0"/>
    <w:multiLevelType w:val="multilevel"/>
    <w:tmpl w:val="0DC620A0"/>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8">
    <w:nsid w:val="0DD43CBD"/>
    <w:multiLevelType w:val="multilevel"/>
    <w:tmpl w:val="0DD43CBD"/>
    <w:lvl w:ilvl="0" w:tentative="0">
      <w:start w:val="1"/>
      <w:numFmt w:val="decimal"/>
      <w:lvlText w:val="(%1). "/>
      <w:lvlJc w:val="left"/>
      <w:pPr>
        <w:ind w:left="420" w:hanging="420"/>
      </w:pPr>
      <w:rPr>
        <w:rFonts w:hint="eastAsia" w:ascii="宋体" w:hAnsi="宋体" w:eastAsia="宋体"/>
        <w:color w:val="auto"/>
      </w:rPr>
    </w:lvl>
    <w:lvl w:ilvl="1" w:tentative="0">
      <w:start w:val="1"/>
      <w:numFmt w:val="japaneseCounting"/>
      <w:lvlText w:val="%2、"/>
      <w:lvlJc w:val="left"/>
      <w:pPr>
        <w:ind w:left="840" w:hanging="42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9">
    <w:nsid w:val="1036DE5B"/>
    <w:multiLevelType w:val="multilevel"/>
    <w:tmpl w:val="1036DE5B"/>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0">
    <w:nsid w:val="11E4A654"/>
    <w:multiLevelType w:val="multilevel"/>
    <w:tmpl w:val="11E4A654"/>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1">
    <w:nsid w:val="12C8B9DC"/>
    <w:multiLevelType w:val="multilevel"/>
    <w:tmpl w:val="12C8B9DC"/>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2">
    <w:nsid w:val="12E28DC0"/>
    <w:multiLevelType w:val="multilevel"/>
    <w:tmpl w:val="12E28DC0"/>
    <w:lvl w:ilvl="0" w:tentative="0">
      <w:start w:val="1"/>
      <w:numFmt w:val="japaneseCounting"/>
      <w:lvlText w:val="(%1)"/>
      <w:lvlJc w:val="left"/>
      <w:pPr>
        <w:ind w:left="465" w:hanging="4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3">
    <w:nsid w:val="1554A6AE"/>
    <w:multiLevelType w:val="multilevel"/>
    <w:tmpl w:val="1554A6AE"/>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4">
    <w:nsid w:val="186F41DA"/>
    <w:multiLevelType w:val="multilevel"/>
    <w:tmpl w:val="186F41DA"/>
    <w:lvl w:ilvl="0" w:tentative="0">
      <w:start w:val="1"/>
      <w:numFmt w:val="decimal"/>
      <w:lvlText w:val="(%1)."/>
      <w:lvlJc w:val="left"/>
      <w:pPr>
        <w:ind w:left="545" w:hanging="440"/>
      </w:pPr>
      <w:rPr>
        <w:rFonts w:hint="eastAsia" w:asciiTheme="majorEastAsia" w:hAnsiTheme="majorEastAsia" w:eastAsia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75">
    <w:nsid w:val="196AB7A1"/>
    <w:multiLevelType w:val="multilevel"/>
    <w:tmpl w:val="196AB7A1"/>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6">
    <w:nsid w:val="1BB828E3"/>
    <w:multiLevelType w:val="multilevel"/>
    <w:tmpl w:val="1BB828E3"/>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7">
    <w:nsid w:val="1E51385E"/>
    <w:multiLevelType w:val="multilevel"/>
    <w:tmpl w:val="1E51385E"/>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8">
    <w:nsid w:val="1E891C83"/>
    <w:multiLevelType w:val="multilevel"/>
    <w:tmpl w:val="1E891C83"/>
    <w:lvl w:ilvl="0" w:tentative="0">
      <w:start w:val="1"/>
      <w:numFmt w:val="decimal"/>
      <w:suff w:val="space"/>
      <w:lvlText w:val="%1、 "/>
      <w:lvlJc w:val="left"/>
      <w:pPr>
        <w:ind w:left="420" w:hanging="420"/>
      </w:pPr>
      <w:rPr>
        <w:rFonts w:hint="eastAsia" w:ascii="宋体" w:hAnsi="宋体" w:eastAsia="宋体"/>
        <w:b/>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24C21DC4"/>
    <w:multiLevelType w:val="multilevel"/>
    <w:tmpl w:val="24C21DC4"/>
    <w:lvl w:ilvl="0" w:tentative="0">
      <w:start w:val="1"/>
      <w:numFmt w:val="chineseCountingThousand"/>
      <w:suff w:val="nothing"/>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0">
    <w:nsid w:val="277A3F8F"/>
    <w:multiLevelType w:val="multilevel"/>
    <w:tmpl w:val="277A3F8F"/>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81">
    <w:nsid w:val="2A297676"/>
    <w:multiLevelType w:val="multilevel"/>
    <w:tmpl w:val="2A297676"/>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2">
    <w:nsid w:val="2A6FEC9E"/>
    <w:multiLevelType w:val="multilevel"/>
    <w:tmpl w:val="2A6FEC9E"/>
    <w:lvl w:ilvl="0" w:tentative="0">
      <w:start w:val="1"/>
      <w:numFmt w:val="decimal"/>
      <w:lvlText w:val="(%1)."/>
      <w:lvlJc w:val="left"/>
      <w:pPr>
        <w:ind w:left="545" w:hanging="440"/>
      </w:pPr>
      <w:rPr>
        <w:rFonts w:hint="eastAsia" w:asciiTheme="majorEastAsia" w:hAnsiTheme="majorEastAsia" w:eastAsia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83">
    <w:nsid w:val="2AF651E5"/>
    <w:multiLevelType w:val="multilevel"/>
    <w:tmpl w:val="2AF651E5"/>
    <w:lvl w:ilvl="0" w:tentative="0">
      <w:start w:val="1"/>
      <w:numFmt w:val="decimal"/>
      <w:suff w:val="nothing"/>
      <w:lvlText w:val="(%1). "/>
      <w:lvlJc w:val="left"/>
      <w:pPr>
        <w:ind w:left="420" w:hanging="420"/>
      </w:pPr>
      <w:rPr>
        <w:rFonts w:hint="eastAsia"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4">
    <w:nsid w:val="2B2B5004"/>
    <w:multiLevelType w:val="multilevel"/>
    <w:tmpl w:val="2B2B5004"/>
    <w:lvl w:ilvl="0" w:tentative="0">
      <w:start w:val="1"/>
      <w:numFmt w:val="decimal"/>
      <w:lvlText w:val="(%1)."/>
      <w:lvlJc w:val="left"/>
      <w:pPr>
        <w:ind w:left="440" w:hanging="440"/>
      </w:pPr>
      <w:rPr>
        <w:rFonts w:hint="eastAsia" w:asciiTheme="majorEastAsia" w:hAnsiTheme="majorEastAsia" w:eastAsia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5">
    <w:nsid w:val="2D770D1F"/>
    <w:multiLevelType w:val="multilevel"/>
    <w:tmpl w:val="2D770D1F"/>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6">
    <w:nsid w:val="31AE169F"/>
    <w:multiLevelType w:val="multilevel"/>
    <w:tmpl w:val="31AE169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7">
    <w:nsid w:val="32946081"/>
    <w:multiLevelType w:val="multilevel"/>
    <w:tmpl w:val="32946081"/>
    <w:lvl w:ilvl="0" w:tentative="0">
      <w:start w:val="1"/>
      <w:numFmt w:val="decimal"/>
      <w:lvlText w:val="(%1)."/>
      <w:lvlJc w:val="left"/>
      <w:pPr>
        <w:ind w:left="425" w:hanging="425"/>
      </w:pPr>
      <w:rPr>
        <w:rFonts w:hint="eastAsia"/>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8">
    <w:nsid w:val="36E41DBC"/>
    <w:multiLevelType w:val="multilevel"/>
    <w:tmpl w:val="36E41DBC"/>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9">
    <w:nsid w:val="3D999033"/>
    <w:multiLevelType w:val="multilevel"/>
    <w:tmpl w:val="3D999033"/>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0">
    <w:nsid w:val="3E8F9C8D"/>
    <w:multiLevelType w:val="multilevel"/>
    <w:tmpl w:val="3E8F9C8D"/>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1">
    <w:nsid w:val="42185A15"/>
    <w:multiLevelType w:val="multilevel"/>
    <w:tmpl w:val="42185A15"/>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2">
    <w:nsid w:val="435AA6C4"/>
    <w:multiLevelType w:val="multilevel"/>
    <w:tmpl w:val="435AA6C4"/>
    <w:lvl w:ilvl="0" w:tentative="0">
      <w:start w:val="1"/>
      <w:numFmt w:val="decimal"/>
      <w:suff w:val="space"/>
      <w:lvlText w:val="(%1)."/>
      <w:lvlJc w:val="left"/>
      <w:pPr>
        <w:ind w:left="360" w:hanging="36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3">
    <w:nsid w:val="4610EF93"/>
    <w:multiLevelType w:val="multilevel"/>
    <w:tmpl w:val="4610EF93"/>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nothing"/>
      <w:lvlText w:val="(%4)."/>
      <w:lvlJc w:val="left"/>
      <w:pPr>
        <w:ind w:left="0" w:firstLine="0"/>
      </w:pPr>
      <w:rPr>
        <w:rFonts w:hint="eastAsia" w:ascii="宋体" w:hAnsi="宋体" w:eastAsia="宋体"/>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94">
    <w:nsid w:val="47102C85"/>
    <w:multiLevelType w:val="multilevel"/>
    <w:tmpl w:val="47102C85"/>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5">
    <w:nsid w:val="47C90F5B"/>
    <w:multiLevelType w:val="multilevel"/>
    <w:tmpl w:val="47C90F5B"/>
    <w:lvl w:ilvl="0" w:tentative="0">
      <w:start w:val="1"/>
      <w:numFmt w:val="decimal"/>
      <w:lvlText w:val="(%1)."/>
      <w:lvlJc w:val="left"/>
      <w:pPr>
        <w:ind w:left="440" w:hanging="440"/>
      </w:pPr>
      <w:rPr>
        <w:rFonts w:hint="eastAsia" w:asciiTheme="minorEastAsia" w:hAnsiTheme="minorEastAsia" w:eastAsia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6">
    <w:nsid w:val="4856F484"/>
    <w:multiLevelType w:val="multilevel"/>
    <w:tmpl w:val="4856F484"/>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chineseCountingThousand"/>
      <w:suff w:val="space"/>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7">
    <w:nsid w:val="4B9BDDF5"/>
    <w:multiLevelType w:val="multilevel"/>
    <w:tmpl w:val="4B9BDDF5"/>
    <w:lvl w:ilvl="0" w:tentative="0">
      <w:start w:val="1"/>
      <w:numFmt w:val="decimal"/>
      <w:suff w:val="space"/>
      <w:lvlText w:val="(%1)."/>
      <w:lvlJc w:val="left"/>
      <w:pPr>
        <w:ind w:left="435" w:hanging="435"/>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8">
    <w:nsid w:val="4CEF7978"/>
    <w:multiLevelType w:val="multilevel"/>
    <w:tmpl w:val="4CEF7978"/>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9">
    <w:nsid w:val="4DDC22D8"/>
    <w:multiLevelType w:val="multilevel"/>
    <w:tmpl w:val="4DDC22D8"/>
    <w:lvl w:ilvl="0" w:tentative="0">
      <w:start w:val="1"/>
      <w:numFmt w:val="decimal"/>
      <w:suff w:val="space"/>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0">
    <w:nsid w:val="508C496B"/>
    <w:multiLevelType w:val="multilevel"/>
    <w:tmpl w:val="508C496B"/>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1">
    <w:nsid w:val="50B34A5B"/>
    <w:multiLevelType w:val="multilevel"/>
    <w:tmpl w:val="50B34A5B"/>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2">
    <w:nsid w:val="5342B781"/>
    <w:multiLevelType w:val="multilevel"/>
    <w:tmpl w:val="5342B781"/>
    <w:lvl w:ilvl="0" w:tentative="0">
      <w:start w:val="1"/>
      <w:numFmt w:val="chineseCountingThousand"/>
      <w:lvlText w:val="(%1)"/>
      <w:lvlJc w:val="left"/>
      <w:pPr>
        <w:ind w:left="0" w:firstLine="0"/>
      </w:pPr>
      <w:rPr>
        <w:rFonts w:hint="default"/>
      </w:rPr>
    </w:lvl>
    <w:lvl w:ilvl="1" w:tentative="0">
      <w:start w:val="1"/>
      <w:numFmt w:val="chineseCountingThousand"/>
      <w:suff w:val="space"/>
      <w:lvlText w:val="(%2)"/>
      <w:lvlJc w:val="left"/>
      <w:pPr>
        <w:ind w:left="0" w:firstLine="0"/>
      </w:pPr>
      <w:rPr>
        <w:rFonts w:hint="eastAsia"/>
      </w:rPr>
    </w:lvl>
    <w:lvl w:ilvl="2" w:tentative="0">
      <w:start w:val="1"/>
      <w:numFmt w:val="chineseCountingThousand"/>
      <w:suff w:val="space"/>
      <w:lvlText w:val="(%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3">
    <w:nsid w:val="54CCFF9A"/>
    <w:multiLevelType w:val="multilevel"/>
    <w:tmpl w:val="54CCFF9A"/>
    <w:lvl w:ilvl="0" w:tentative="0">
      <w:start w:val="1"/>
      <w:numFmt w:val="decimal"/>
      <w:suff w:val="space"/>
      <w:lvlText w:val="%1、 "/>
      <w:lvlJc w:val="left"/>
      <w:pPr>
        <w:ind w:left="440" w:hanging="440"/>
      </w:pPr>
      <w:rPr>
        <w:rFonts w:hint="eastAsia" w:ascii="宋体" w:hAnsi="宋体" w:eastAsia="宋体"/>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4">
    <w:nsid w:val="5825E07B"/>
    <w:multiLevelType w:val="multilevel"/>
    <w:tmpl w:val="5825E07B"/>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5">
    <w:nsid w:val="59654876"/>
    <w:multiLevelType w:val="multilevel"/>
    <w:tmpl w:val="59654876"/>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6">
    <w:nsid w:val="5B84F552"/>
    <w:multiLevelType w:val="multilevel"/>
    <w:tmpl w:val="5B84F552"/>
    <w:lvl w:ilvl="0" w:tentative="0">
      <w:start w:val="1"/>
      <w:numFmt w:val="decimal"/>
      <w:lvlText w:val="%1、"/>
      <w:lvlJc w:val="left"/>
      <w:pPr>
        <w:ind w:left="420" w:hanging="420"/>
      </w:pPr>
      <w:rPr>
        <w:rFonts w:hint="eastAsia" w:eastAsia="宋体" w:asciiTheme="majorEastAsia" w:hAnsiTheme="majorEastAsia"/>
        <w:b/>
      </w:rPr>
    </w:lvl>
    <w:lvl w:ilvl="1" w:tentative="0">
      <w:start w:val="1"/>
      <w:numFmt w:val="decimal"/>
      <w:suff w:val="nothing"/>
      <w:lvlText w:val="%2、"/>
      <w:lvlJc w:val="left"/>
      <w:pPr>
        <w:ind w:left="840" w:hanging="420"/>
      </w:pPr>
      <w:rPr>
        <w:rFonts w:hint="eastAsia" w:asciiTheme="minorEastAsia" w:hAnsiTheme="minorEastAsia" w:eastAsiaTheme="minorEastAsia"/>
        <w:b/>
      </w:rPr>
    </w:lvl>
    <w:lvl w:ilvl="2" w:tentative="0">
      <w:start w:val="1"/>
      <w:numFmt w:val="decimal"/>
      <w:lvlText w:val="%3."/>
      <w:lvlJc w:val="left"/>
      <w:pPr>
        <w:ind w:left="1260" w:hanging="420"/>
      </w:pPr>
      <w:rPr>
        <w:rFonts w:hint="eastAsia"/>
      </w:rPr>
    </w:lvl>
    <w:lvl w:ilvl="3" w:tentative="0">
      <w:start w:val="1"/>
      <w:numFmt w:val="decimal"/>
      <w:lvlText w:val="(%4)"/>
      <w:lvlJc w:val="left"/>
      <w:pPr>
        <w:ind w:left="1620" w:hanging="360"/>
      </w:pPr>
      <w:rPr>
        <w:rFonts w:hint="default"/>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07">
    <w:nsid w:val="5BB3F326"/>
    <w:multiLevelType w:val="multilevel"/>
    <w:tmpl w:val="5BB3F326"/>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4112"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08">
    <w:nsid w:val="623E5EB7"/>
    <w:multiLevelType w:val="multilevel"/>
    <w:tmpl w:val="623E5EB7"/>
    <w:lvl w:ilvl="0" w:tentative="0">
      <w:start w:val="1"/>
      <w:numFmt w:val="decimal"/>
      <w:lvlText w:val="(%1)."/>
      <w:lvlJc w:val="left"/>
      <w:pPr>
        <w:ind w:left="420" w:hanging="420"/>
      </w:pPr>
      <w:rPr>
        <w:rFonts w:hint="eastAsia" w:asciiTheme="majorEastAsia" w:hAnsiTheme="majorEastAsia" w:eastAsiaTheme="major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9">
    <w:nsid w:val="63C25BDC"/>
    <w:multiLevelType w:val="multilevel"/>
    <w:tmpl w:val="63C25BDC"/>
    <w:lvl w:ilvl="0" w:tentative="0">
      <w:start w:val="1"/>
      <w:numFmt w:val="decimal"/>
      <w:lvlText w:val="(%1). "/>
      <w:lvlJc w:val="left"/>
      <w:pPr>
        <w:ind w:left="425" w:hanging="425"/>
      </w:pPr>
      <w:rPr>
        <w:rFonts w:hint="eastAsia" w:ascii="宋体" w:hAnsi="宋体" w:eastAsia="宋体"/>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10">
    <w:nsid w:val="650CEFA9"/>
    <w:multiLevelType w:val="multilevel"/>
    <w:tmpl w:val="650CEFA9"/>
    <w:lvl w:ilvl="0" w:tentative="0">
      <w:start w:val="1"/>
      <w:numFmt w:val="decimal"/>
      <w:suff w:val="space"/>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1">
    <w:nsid w:val="69A45905"/>
    <w:multiLevelType w:val="multilevel"/>
    <w:tmpl w:val="69A45905"/>
    <w:lvl w:ilvl="0" w:tentative="0">
      <w:start w:val="1"/>
      <w:numFmt w:val="decimal"/>
      <w:lvlText w:val="(%1). "/>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2">
    <w:nsid w:val="6A75A70D"/>
    <w:multiLevelType w:val="multilevel"/>
    <w:tmpl w:val="6A75A70D"/>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3">
    <w:nsid w:val="6DC5D288"/>
    <w:multiLevelType w:val="multilevel"/>
    <w:tmpl w:val="6DC5D288"/>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4">
    <w:nsid w:val="6F7C0FB3"/>
    <w:multiLevelType w:val="multilevel"/>
    <w:tmpl w:val="6F7C0FB3"/>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5">
    <w:nsid w:val="702E829C"/>
    <w:multiLevelType w:val="multilevel"/>
    <w:tmpl w:val="702E829C"/>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6">
    <w:nsid w:val="74916256"/>
    <w:multiLevelType w:val="multilevel"/>
    <w:tmpl w:val="74916256"/>
    <w:lvl w:ilvl="0" w:tentative="0">
      <w:start w:val="1"/>
      <w:numFmt w:val="chineseCountingThousand"/>
      <w:suff w:val="space"/>
      <w:lvlText w:val="(%1)"/>
      <w:lvlJc w:val="left"/>
      <w:pPr>
        <w:ind w:left="420" w:hanging="420"/>
      </w:pPr>
      <w:rPr>
        <w:rFonts w:hint="eastAsia"/>
      </w:rPr>
    </w:lvl>
    <w:lvl w:ilvl="1" w:tentative="0">
      <w:start w:val="1"/>
      <w:numFmt w:val="decimal"/>
      <w:lvlText w:val="(%2). "/>
      <w:lvlJc w:val="left"/>
      <w:pPr>
        <w:ind w:left="840" w:hanging="420"/>
      </w:pPr>
      <w:rPr>
        <w:rFonts w:hint="eastAsia" w:ascii="宋体" w:hAnsi="宋体" w:eastAsia="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7">
    <w:nsid w:val="74EE8515"/>
    <w:multiLevelType w:val="multilevel"/>
    <w:tmpl w:val="74EE8515"/>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8">
    <w:nsid w:val="7504A67D"/>
    <w:multiLevelType w:val="multilevel"/>
    <w:tmpl w:val="7504A67D"/>
    <w:lvl w:ilvl="0" w:tentative="0">
      <w:start w:val="1"/>
      <w:numFmt w:val="decimal"/>
      <w:lvlText w:val="(%1). "/>
      <w:lvlJc w:val="left"/>
      <w:pPr>
        <w:ind w:left="704"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9">
    <w:nsid w:val="7957B622"/>
    <w:multiLevelType w:val="multilevel"/>
    <w:tmpl w:val="7957B622"/>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0">
    <w:nsid w:val="795B3C8E"/>
    <w:multiLevelType w:val="multilevel"/>
    <w:tmpl w:val="795B3C8E"/>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1">
    <w:nsid w:val="795C878B"/>
    <w:multiLevelType w:val="multilevel"/>
    <w:tmpl w:val="795C878B"/>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ascii="宋体" w:hAnsi="宋体" w:eastAsia="宋体"/>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2">
    <w:nsid w:val="7FA451C9"/>
    <w:multiLevelType w:val="multilevel"/>
    <w:tmpl w:val="7FA451C9"/>
    <w:lvl w:ilvl="0" w:tentative="0">
      <w:start w:val="1"/>
      <w:numFmt w:val="decimal"/>
      <w:lvlText w:val="1.%1"/>
      <w:lvlJc w:val="left"/>
      <w:pPr>
        <w:ind w:left="84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2"/>
  </w:num>
  <w:num w:numId="2">
    <w:abstractNumId w:val="34"/>
  </w:num>
  <w:num w:numId="3">
    <w:abstractNumId w:val="45"/>
  </w:num>
  <w:num w:numId="4">
    <w:abstractNumId w:val="70"/>
  </w:num>
  <w:num w:numId="5">
    <w:abstractNumId w:val="102"/>
  </w:num>
  <w:num w:numId="6">
    <w:abstractNumId w:val="52"/>
  </w:num>
  <w:num w:numId="7">
    <w:abstractNumId w:val="64"/>
  </w:num>
  <w:num w:numId="8">
    <w:abstractNumId w:val="106"/>
  </w:num>
  <w:num w:numId="9">
    <w:abstractNumId w:val="19"/>
  </w:num>
  <w:num w:numId="10">
    <w:abstractNumId w:val="108"/>
  </w:num>
  <w:num w:numId="11">
    <w:abstractNumId w:val="76"/>
  </w:num>
  <w:num w:numId="12">
    <w:abstractNumId w:val="1"/>
  </w:num>
  <w:num w:numId="13">
    <w:abstractNumId w:val="114"/>
  </w:num>
  <w:num w:numId="14">
    <w:abstractNumId w:val="85"/>
  </w:num>
  <w:num w:numId="15">
    <w:abstractNumId w:val="63"/>
  </w:num>
  <w:num w:numId="16">
    <w:abstractNumId w:val="28"/>
  </w:num>
  <w:num w:numId="17">
    <w:abstractNumId w:val="88"/>
  </w:num>
  <w:num w:numId="18">
    <w:abstractNumId w:val="5"/>
  </w:num>
  <w:num w:numId="19">
    <w:abstractNumId w:val="13"/>
  </w:num>
  <w:num w:numId="20">
    <w:abstractNumId w:val="54"/>
  </w:num>
  <w:num w:numId="21">
    <w:abstractNumId w:val="17"/>
  </w:num>
  <w:num w:numId="22">
    <w:abstractNumId w:val="51"/>
  </w:num>
  <w:num w:numId="23">
    <w:abstractNumId w:val="78"/>
  </w:num>
  <w:num w:numId="24">
    <w:abstractNumId w:val="16"/>
  </w:num>
  <w:num w:numId="25">
    <w:abstractNumId w:val="72"/>
  </w:num>
  <w:num w:numId="26">
    <w:abstractNumId w:val="26"/>
  </w:num>
  <w:num w:numId="27">
    <w:abstractNumId w:val="18"/>
  </w:num>
  <w:num w:numId="28">
    <w:abstractNumId w:val="59"/>
  </w:num>
  <w:num w:numId="29">
    <w:abstractNumId w:val="41"/>
  </w:num>
  <w:num w:numId="30">
    <w:abstractNumId w:val="120"/>
  </w:num>
  <w:num w:numId="31">
    <w:abstractNumId w:val="9"/>
  </w:num>
  <w:num w:numId="32">
    <w:abstractNumId w:val="119"/>
  </w:num>
  <w:num w:numId="33">
    <w:abstractNumId w:val="80"/>
  </w:num>
  <w:num w:numId="34">
    <w:abstractNumId w:val="96"/>
  </w:num>
  <w:num w:numId="35">
    <w:abstractNumId w:val="79"/>
  </w:num>
  <w:num w:numId="36">
    <w:abstractNumId w:val="113"/>
  </w:num>
  <w:num w:numId="37">
    <w:abstractNumId w:val="99"/>
  </w:num>
  <w:num w:numId="38">
    <w:abstractNumId w:val="6"/>
  </w:num>
  <w:num w:numId="39">
    <w:abstractNumId w:val="95"/>
  </w:num>
  <w:num w:numId="40">
    <w:abstractNumId w:val="33"/>
  </w:num>
  <w:num w:numId="41">
    <w:abstractNumId w:val="122"/>
  </w:num>
  <w:num w:numId="42">
    <w:abstractNumId w:val="48"/>
  </w:num>
  <w:num w:numId="43">
    <w:abstractNumId w:val="32"/>
  </w:num>
  <w:num w:numId="44">
    <w:abstractNumId w:val="38"/>
  </w:num>
  <w:num w:numId="45">
    <w:abstractNumId w:val="66"/>
  </w:num>
  <w:num w:numId="46">
    <w:abstractNumId w:val="110"/>
  </w:num>
  <w:num w:numId="47">
    <w:abstractNumId w:val="100"/>
  </w:num>
  <w:num w:numId="48">
    <w:abstractNumId w:val="89"/>
  </w:num>
  <w:num w:numId="49">
    <w:abstractNumId w:val="35"/>
  </w:num>
  <w:num w:numId="50">
    <w:abstractNumId w:val="11"/>
  </w:num>
  <w:num w:numId="51">
    <w:abstractNumId w:val="107"/>
  </w:num>
  <w:num w:numId="52">
    <w:abstractNumId w:val="20"/>
  </w:num>
  <w:num w:numId="53">
    <w:abstractNumId w:val="21"/>
  </w:num>
  <w:num w:numId="54">
    <w:abstractNumId w:val="117"/>
  </w:num>
  <w:num w:numId="55">
    <w:abstractNumId w:val="14"/>
  </w:num>
  <w:num w:numId="56">
    <w:abstractNumId w:val="40"/>
  </w:num>
  <w:num w:numId="57">
    <w:abstractNumId w:val="39"/>
  </w:num>
  <w:num w:numId="58">
    <w:abstractNumId w:val="97"/>
  </w:num>
  <w:num w:numId="59">
    <w:abstractNumId w:val="3"/>
  </w:num>
  <w:num w:numId="60">
    <w:abstractNumId w:val="94"/>
  </w:num>
  <w:num w:numId="61">
    <w:abstractNumId w:val="12"/>
  </w:num>
  <w:num w:numId="62">
    <w:abstractNumId w:val="77"/>
  </w:num>
  <w:num w:numId="63">
    <w:abstractNumId w:val="31"/>
  </w:num>
  <w:num w:numId="64">
    <w:abstractNumId w:val="86"/>
  </w:num>
  <w:num w:numId="65">
    <w:abstractNumId w:val="60"/>
  </w:num>
  <w:num w:numId="66">
    <w:abstractNumId w:val="42"/>
  </w:num>
  <w:num w:numId="67">
    <w:abstractNumId w:val="84"/>
  </w:num>
  <w:num w:numId="68">
    <w:abstractNumId w:val="121"/>
  </w:num>
  <w:num w:numId="69">
    <w:abstractNumId w:val="68"/>
  </w:num>
  <w:num w:numId="70">
    <w:abstractNumId w:val="67"/>
  </w:num>
  <w:num w:numId="71">
    <w:abstractNumId w:val="2"/>
  </w:num>
  <w:num w:numId="72">
    <w:abstractNumId w:val="58"/>
  </w:num>
  <w:num w:numId="73">
    <w:abstractNumId w:val="15"/>
  </w:num>
  <w:num w:numId="74">
    <w:abstractNumId w:val="81"/>
  </w:num>
  <w:num w:numId="75">
    <w:abstractNumId w:val="0"/>
  </w:num>
  <w:num w:numId="76">
    <w:abstractNumId w:val="56"/>
  </w:num>
  <w:num w:numId="77">
    <w:abstractNumId w:val="55"/>
  </w:num>
  <w:num w:numId="78">
    <w:abstractNumId w:val="47"/>
  </w:num>
  <w:num w:numId="79">
    <w:abstractNumId w:val="109"/>
  </w:num>
  <w:num w:numId="80">
    <w:abstractNumId w:val="83"/>
  </w:num>
  <w:num w:numId="81">
    <w:abstractNumId w:val="8"/>
  </w:num>
  <w:num w:numId="82">
    <w:abstractNumId w:val="101"/>
  </w:num>
  <w:num w:numId="83">
    <w:abstractNumId w:val="65"/>
  </w:num>
  <w:num w:numId="84">
    <w:abstractNumId w:val="118"/>
  </w:num>
  <w:num w:numId="85">
    <w:abstractNumId w:val="23"/>
  </w:num>
  <w:num w:numId="86">
    <w:abstractNumId w:val="74"/>
  </w:num>
  <w:num w:numId="87">
    <w:abstractNumId w:val="82"/>
  </w:num>
  <w:num w:numId="88">
    <w:abstractNumId w:val="4"/>
  </w:num>
  <w:num w:numId="89">
    <w:abstractNumId w:val="53"/>
  </w:num>
  <w:num w:numId="90">
    <w:abstractNumId w:val="22"/>
  </w:num>
  <w:num w:numId="91">
    <w:abstractNumId w:val="49"/>
  </w:num>
  <w:num w:numId="92">
    <w:abstractNumId w:val="27"/>
  </w:num>
  <w:num w:numId="93">
    <w:abstractNumId w:val="112"/>
  </w:num>
  <w:num w:numId="94">
    <w:abstractNumId w:val="103"/>
  </w:num>
  <w:num w:numId="95">
    <w:abstractNumId w:val="98"/>
  </w:num>
  <w:num w:numId="96">
    <w:abstractNumId w:val="37"/>
  </w:num>
  <w:num w:numId="97">
    <w:abstractNumId w:val="93"/>
  </w:num>
  <w:num w:numId="98">
    <w:abstractNumId w:val="115"/>
  </w:num>
  <w:num w:numId="99">
    <w:abstractNumId w:val="69"/>
  </w:num>
  <w:num w:numId="100">
    <w:abstractNumId w:val="50"/>
  </w:num>
  <w:num w:numId="101">
    <w:abstractNumId w:val="44"/>
  </w:num>
  <w:num w:numId="102">
    <w:abstractNumId w:val="92"/>
  </w:num>
  <w:num w:numId="103">
    <w:abstractNumId w:val="75"/>
  </w:num>
  <w:num w:numId="104">
    <w:abstractNumId w:val="73"/>
  </w:num>
  <w:num w:numId="105">
    <w:abstractNumId w:val="71"/>
  </w:num>
  <w:num w:numId="106">
    <w:abstractNumId w:val="25"/>
  </w:num>
  <w:num w:numId="107">
    <w:abstractNumId w:val="30"/>
  </w:num>
  <w:num w:numId="108">
    <w:abstractNumId w:val="57"/>
  </w:num>
  <w:num w:numId="109">
    <w:abstractNumId w:val="36"/>
  </w:num>
  <w:num w:numId="110">
    <w:abstractNumId w:val="111"/>
  </w:num>
  <w:num w:numId="111">
    <w:abstractNumId w:val="104"/>
  </w:num>
  <w:num w:numId="112">
    <w:abstractNumId w:val="24"/>
  </w:num>
  <w:num w:numId="113">
    <w:abstractNumId w:val="105"/>
  </w:num>
  <w:num w:numId="114">
    <w:abstractNumId w:val="46"/>
  </w:num>
  <w:num w:numId="115">
    <w:abstractNumId w:val="116"/>
  </w:num>
  <w:num w:numId="116">
    <w:abstractNumId w:val="10"/>
  </w:num>
  <w:num w:numId="117">
    <w:abstractNumId w:val="43"/>
  </w:num>
  <w:num w:numId="118">
    <w:abstractNumId w:val="29"/>
  </w:num>
  <w:num w:numId="119">
    <w:abstractNumId w:val="91"/>
  </w:num>
  <w:num w:numId="120">
    <w:abstractNumId w:val="61"/>
  </w:num>
  <w:num w:numId="121">
    <w:abstractNumId w:val="87"/>
  </w:num>
  <w:num w:numId="122">
    <w:abstractNumId w:val="90"/>
  </w:num>
  <w:num w:numId="1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fix_control_content_version" w:val="1.0"/>
    <w:docVar w:name="RemovedBindingXPath" w:val="true"/>
    <w:docVar w:name="RemoveRepeatedWord" w:val="true"/>
  </w:docVars>
  <w:rsids>
    <w:rsidRoot w:val="0069678B"/>
    <w:rsid w:val="000116AA"/>
    <w:rsid w:val="000220BA"/>
    <w:rsid w:val="00030A6F"/>
    <w:rsid w:val="0003350C"/>
    <w:rsid w:val="00034C72"/>
    <w:rsid w:val="00037C21"/>
    <w:rsid w:val="0004725E"/>
    <w:rsid w:val="000476D4"/>
    <w:rsid w:val="000636BA"/>
    <w:rsid w:val="00084736"/>
    <w:rsid w:val="0008504A"/>
    <w:rsid w:val="000866CF"/>
    <w:rsid w:val="00087B64"/>
    <w:rsid w:val="00091094"/>
    <w:rsid w:val="000A5166"/>
    <w:rsid w:val="000C2021"/>
    <w:rsid w:val="000C2678"/>
    <w:rsid w:val="000C294E"/>
    <w:rsid w:val="000D238C"/>
    <w:rsid w:val="000E6EF1"/>
    <w:rsid w:val="000F50BE"/>
    <w:rsid w:val="000F6100"/>
    <w:rsid w:val="00106E49"/>
    <w:rsid w:val="0011064A"/>
    <w:rsid w:val="00110700"/>
    <w:rsid w:val="0011737D"/>
    <w:rsid w:val="001271FF"/>
    <w:rsid w:val="0014430B"/>
    <w:rsid w:val="00150184"/>
    <w:rsid w:val="00154C64"/>
    <w:rsid w:val="00163297"/>
    <w:rsid w:val="001716B3"/>
    <w:rsid w:val="00174941"/>
    <w:rsid w:val="001865C6"/>
    <w:rsid w:val="0018676C"/>
    <w:rsid w:val="001A66C7"/>
    <w:rsid w:val="001A7A71"/>
    <w:rsid w:val="001B71B4"/>
    <w:rsid w:val="001F07ED"/>
    <w:rsid w:val="001F489D"/>
    <w:rsid w:val="002064AA"/>
    <w:rsid w:val="00223658"/>
    <w:rsid w:val="00224329"/>
    <w:rsid w:val="0022459D"/>
    <w:rsid w:val="002849DE"/>
    <w:rsid w:val="002D2717"/>
    <w:rsid w:val="002D411E"/>
    <w:rsid w:val="002F1B38"/>
    <w:rsid w:val="00350BE1"/>
    <w:rsid w:val="003643A6"/>
    <w:rsid w:val="0036602D"/>
    <w:rsid w:val="003705CF"/>
    <w:rsid w:val="0037255D"/>
    <w:rsid w:val="00396911"/>
    <w:rsid w:val="00397938"/>
    <w:rsid w:val="003B21D8"/>
    <w:rsid w:val="003D3186"/>
    <w:rsid w:val="003D369E"/>
    <w:rsid w:val="003E60F4"/>
    <w:rsid w:val="003E6189"/>
    <w:rsid w:val="00400572"/>
    <w:rsid w:val="00430DD0"/>
    <w:rsid w:val="004624FD"/>
    <w:rsid w:val="00484BD0"/>
    <w:rsid w:val="004A7B68"/>
    <w:rsid w:val="004C1C68"/>
    <w:rsid w:val="004C7766"/>
    <w:rsid w:val="004D00B5"/>
    <w:rsid w:val="004D39A2"/>
    <w:rsid w:val="004F6247"/>
    <w:rsid w:val="005252B5"/>
    <w:rsid w:val="00532190"/>
    <w:rsid w:val="005335C9"/>
    <w:rsid w:val="00541E1B"/>
    <w:rsid w:val="0055210E"/>
    <w:rsid w:val="00552833"/>
    <w:rsid w:val="00576BFC"/>
    <w:rsid w:val="005804AF"/>
    <w:rsid w:val="005B4EC4"/>
    <w:rsid w:val="005D0A29"/>
    <w:rsid w:val="005E35E1"/>
    <w:rsid w:val="005E708A"/>
    <w:rsid w:val="00605780"/>
    <w:rsid w:val="00607E8B"/>
    <w:rsid w:val="0061707E"/>
    <w:rsid w:val="00635F8E"/>
    <w:rsid w:val="00650EE6"/>
    <w:rsid w:val="00653488"/>
    <w:rsid w:val="00667EA4"/>
    <w:rsid w:val="00677502"/>
    <w:rsid w:val="00686F80"/>
    <w:rsid w:val="006916FF"/>
    <w:rsid w:val="00694CDB"/>
    <w:rsid w:val="0069678B"/>
    <w:rsid w:val="006B16C7"/>
    <w:rsid w:val="006D60A2"/>
    <w:rsid w:val="006E2F5F"/>
    <w:rsid w:val="006E4223"/>
    <w:rsid w:val="006E468E"/>
    <w:rsid w:val="00720545"/>
    <w:rsid w:val="007378AC"/>
    <w:rsid w:val="00741F15"/>
    <w:rsid w:val="00754734"/>
    <w:rsid w:val="007550C4"/>
    <w:rsid w:val="0077215E"/>
    <w:rsid w:val="007808B5"/>
    <w:rsid w:val="00791B1B"/>
    <w:rsid w:val="00797108"/>
    <w:rsid w:val="007A125D"/>
    <w:rsid w:val="007A133D"/>
    <w:rsid w:val="007A7637"/>
    <w:rsid w:val="007F7903"/>
    <w:rsid w:val="00801E86"/>
    <w:rsid w:val="008035A1"/>
    <w:rsid w:val="00805639"/>
    <w:rsid w:val="00805AD8"/>
    <w:rsid w:val="008318C7"/>
    <w:rsid w:val="00833BD3"/>
    <w:rsid w:val="00834444"/>
    <w:rsid w:val="00835159"/>
    <w:rsid w:val="008511D4"/>
    <w:rsid w:val="00876698"/>
    <w:rsid w:val="00886B16"/>
    <w:rsid w:val="008967DC"/>
    <w:rsid w:val="008B5C21"/>
    <w:rsid w:val="008C01B2"/>
    <w:rsid w:val="008D0B15"/>
    <w:rsid w:val="008D1B1F"/>
    <w:rsid w:val="008D4DFC"/>
    <w:rsid w:val="008D58AF"/>
    <w:rsid w:val="008E3B58"/>
    <w:rsid w:val="00904E4D"/>
    <w:rsid w:val="00913440"/>
    <w:rsid w:val="00923465"/>
    <w:rsid w:val="00943592"/>
    <w:rsid w:val="009444F6"/>
    <w:rsid w:val="009470F4"/>
    <w:rsid w:val="00965051"/>
    <w:rsid w:val="00965FE0"/>
    <w:rsid w:val="0097563F"/>
    <w:rsid w:val="00982371"/>
    <w:rsid w:val="00991B39"/>
    <w:rsid w:val="009C4F74"/>
    <w:rsid w:val="009D0019"/>
    <w:rsid w:val="009D5A70"/>
    <w:rsid w:val="00A018AF"/>
    <w:rsid w:val="00A23C47"/>
    <w:rsid w:val="00A31BDF"/>
    <w:rsid w:val="00A37F9D"/>
    <w:rsid w:val="00A53C3B"/>
    <w:rsid w:val="00A7489E"/>
    <w:rsid w:val="00AA7013"/>
    <w:rsid w:val="00AB4311"/>
    <w:rsid w:val="00AB47BD"/>
    <w:rsid w:val="00AE26F8"/>
    <w:rsid w:val="00AF2E35"/>
    <w:rsid w:val="00B143CF"/>
    <w:rsid w:val="00B244D8"/>
    <w:rsid w:val="00B656C3"/>
    <w:rsid w:val="00B706AB"/>
    <w:rsid w:val="00B71CDD"/>
    <w:rsid w:val="00B76E58"/>
    <w:rsid w:val="00B962E5"/>
    <w:rsid w:val="00BA5B4B"/>
    <w:rsid w:val="00BB0520"/>
    <w:rsid w:val="00BC4A29"/>
    <w:rsid w:val="00BD01A0"/>
    <w:rsid w:val="00BE4E5A"/>
    <w:rsid w:val="00BE7800"/>
    <w:rsid w:val="00BF21C0"/>
    <w:rsid w:val="00BF6DB7"/>
    <w:rsid w:val="00C27025"/>
    <w:rsid w:val="00C61A07"/>
    <w:rsid w:val="00C643F1"/>
    <w:rsid w:val="00C73644"/>
    <w:rsid w:val="00C86E21"/>
    <w:rsid w:val="00C9213B"/>
    <w:rsid w:val="00CA5C1E"/>
    <w:rsid w:val="00CA5C33"/>
    <w:rsid w:val="00CB375A"/>
    <w:rsid w:val="00CB6568"/>
    <w:rsid w:val="00CB7F08"/>
    <w:rsid w:val="00CC7435"/>
    <w:rsid w:val="00CF7D70"/>
    <w:rsid w:val="00D02BDA"/>
    <w:rsid w:val="00D0624C"/>
    <w:rsid w:val="00D078C8"/>
    <w:rsid w:val="00D10251"/>
    <w:rsid w:val="00D10CF9"/>
    <w:rsid w:val="00D16766"/>
    <w:rsid w:val="00D27639"/>
    <w:rsid w:val="00D473E0"/>
    <w:rsid w:val="00D50762"/>
    <w:rsid w:val="00D51A14"/>
    <w:rsid w:val="00D61BDC"/>
    <w:rsid w:val="00D63C9A"/>
    <w:rsid w:val="00DA512A"/>
    <w:rsid w:val="00DA6F2C"/>
    <w:rsid w:val="00DC1A4B"/>
    <w:rsid w:val="00DD04EE"/>
    <w:rsid w:val="00DE7D71"/>
    <w:rsid w:val="00E01DFA"/>
    <w:rsid w:val="00E020D5"/>
    <w:rsid w:val="00E15A76"/>
    <w:rsid w:val="00E227C6"/>
    <w:rsid w:val="00E33457"/>
    <w:rsid w:val="00E36629"/>
    <w:rsid w:val="00E547E1"/>
    <w:rsid w:val="00E64C38"/>
    <w:rsid w:val="00E758E9"/>
    <w:rsid w:val="00E93100"/>
    <w:rsid w:val="00EA4F7A"/>
    <w:rsid w:val="00EB3D9C"/>
    <w:rsid w:val="00EB74B9"/>
    <w:rsid w:val="00EC11E3"/>
    <w:rsid w:val="00EC2E74"/>
    <w:rsid w:val="00EC3000"/>
    <w:rsid w:val="00EE21AC"/>
    <w:rsid w:val="00EF4BAB"/>
    <w:rsid w:val="00EF686D"/>
    <w:rsid w:val="00F00CF4"/>
    <w:rsid w:val="00F016AE"/>
    <w:rsid w:val="00F05FCD"/>
    <w:rsid w:val="00F13580"/>
    <w:rsid w:val="00F22168"/>
    <w:rsid w:val="00F27294"/>
    <w:rsid w:val="00F34B0B"/>
    <w:rsid w:val="00F350D3"/>
    <w:rsid w:val="00F53E9A"/>
    <w:rsid w:val="00F83BE3"/>
    <w:rsid w:val="00F84F53"/>
    <w:rsid w:val="00FA25F3"/>
    <w:rsid w:val="00FA560E"/>
    <w:rsid w:val="00FA59F2"/>
    <w:rsid w:val="00FB037F"/>
    <w:rsid w:val="00FB770C"/>
    <w:rsid w:val="00FB7CE5"/>
    <w:rsid w:val="00FC646F"/>
    <w:rsid w:val="00FE6F42"/>
    <w:rsid w:val="00FF3DE6"/>
    <w:rsid w:val="00FF412F"/>
    <w:rsid w:val="010C32AE"/>
    <w:rsid w:val="01210D96"/>
    <w:rsid w:val="014441C4"/>
    <w:rsid w:val="01514A76"/>
    <w:rsid w:val="01792DC2"/>
    <w:rsid w:val="01B70B7A"/>
    <w:rsid w:val="01D47366"/>
    <w:rsid w:val="0216527D"/>
    <w:rsid w:val="02614B82"/>
    <w:rsid w:val="0269207C"/>
    <w:rsid w:val="02806CC8"/>
    <w:rsid w:val="0294127D"/>
    <w:rsid w:val="029B3435"/>
    <w:rsid w:val="02DB1585"/>
    <w:rsid w:val="02EB1CAA"/>
    <w:rsid w:val="03020012"/>
    <w:rsid w:val="032E14DA"/>
    <w:rsid w:val="03C32E82"/>
    <w:rsid w:val="03CA5CD4"/>
    <w:rsid w:val="042A504B"/>
    <w:rsid w:val="045B13F3"/>
    <w:rsid w:val="046A5974"/>
    <w:rsid w:val="04774514"/>
    <w:rsid w:val="0481027C"/>
    <w:rsid w:val="04870052"/>
    <w:rsid w:val="049743C6"/>
    <w:rsid w:val="04A07605"/>
    <w:rsid w:val="05066DF9"/>
    <w:rsid w:val="050F7598"/>
    <w:rsid w:val="05214E4F"/>
    <w:rsid w:val="0525575C"/>
    <w:rsid w:val="053B2967"/>
    <w:rsid w:val="055B77D1"/>
    <w:rsid w:val="059846AD"/>
    <w:rsid w:val="05E63E66"/>
    <w:rsid w:val="05EE0C56"/>
    <w:rsid w:val="05F71046"/>
    <w:rsid w:val="06394055"/>
    <w:rsid w:val="064D6FE5"/>
    <w:rsid w:val="064F0DD4"/>
    <w:rsid w:val="068848CF"/>
    <w:rsid w:val="06A92350"/>
    <w:rsid w:val="06BD78A3"/>
    <w:rsid w:val="06D84A94"/>
    <w:rsid w:val="06DA3B66"/>
    <w:rsid w:val="071F08C2"/>
    <w:rsid w:val="072C269F"/>
    <w:rsid w:val="077B4A68"/>
    <w:rsid w:val="078E56A7"/>
    <w:rsid w:val="07B61A19"/>
    <w:rsid w:val="07B6298A"/>
    <w:rsid w:val="07DE258E"/>
    <w:rsid w:val="07E04D35"/>
    <w:rsid w:val="07EC5EE5"/>
    <w:rsid w:val="085E2BAB"/>
    <w:rsid w:val="085E6034"/>
    <w:rsid w:val="0863679D"/>
    <w:rsid w:val="08773554"/>
    <w:rsid w:val="089D1818"/>
    <w:rsid w:val="08D32C7B"/>
    <w:rsid w:val="08FA3C0A"/>
    <w:rsid w:val="096C6F66"/>
    <w:rsid w:val="096D2D02"/>
    <w:rsid w:val="0985246B"/>
    <w:rsid w:val="09990B07"/>
    <w:rsid w:val="09A80617"/>
    <w:rsid w:val="0A3C2F77"/>
    <w:rsid w:val="0A543695"/>
    <w:rsid w:val="0A921721"/>
    <w:rsid w:val="0B0E248E"/>
    <w:rsid w:val="0BEB2ABA"/>
    <w:rsid w:val="0C101120"/>
    <w:rsid w:val="0C43093C"/>
    <w:rsid w:val="0C9A2BA6"/>
    <w:rsid w:val="0CB84A74"/>
    <w:rsid w:val="0CC80C10"/>
    <w:rsid w:val="0CD92C3B"/>
    <w:rsid w:val="0CE94DB9"/>
    <w:rsid w:val="0D2E26E7"/>
    <w:rsid w:val="0D5E473C"/>
    <w:rsid w:val="0D8A7DE8"/>
    <w:rsid w:val="0E147A04"/>
    <w:rsid w:val="0E2E4210"/>
    <w:rsid w:val="0E357D34"/>
    <w:rsid w:val="0E4432E5"/>
    <w:rsid w:val="0E4570C5"/>
    <w:rsid w:val="0E5322AE"/>
    <w:rsid w:val="0E5A58B9"/>
    <w:rsid w:val="0E736AED"/>
    <w:rsid w:val="0E916F98"/>
    <w:rsid w:val="0EE15A6D"/>
    <w:rsid w:val="0F225FEB"/>
    <w:rsid w:val="0F4D6639"/>
    <w:rsid w:val="0F6E07DC"/>
    <w:rsid w:val="0FBD1938"/>
    <w:rsid w:val="0FCA15CF"/>
    <w:rsid w:val="0FE358D1"/>
    <w:rsid w:val="104E47D8"/>
    <w:rsid w:val="105E1411"/>
    <w:rsid w:val="10823A81"/>
    <w:rsid w:val="11034E85"/>
    <w:rsid w:val="112A1351"/>
    <w:rsid w:val="114E091D"/>
    <w:rsid w:val="117B1F9E"/>
    <w:rsid w:val="11940575"/>
    <w:rsid w:val="11D517FF"/>
    <w:rsid w:val="11DB04D3"/>
    <w:rsid w:val="11FA7ECB"/>
    <w:rsid w:val="121C10EB"/>
    <w:rsid w:val="126C14EF"/>
    <w:rsid w:val="12D20082"/>
    <w:rsid w:val="13365B66"/>
    <w:rsid w:val="13730C3E"/>
    <w:rsid w:val="13962FC0"/>
    <w:rsid w:val="13CB72E6"/>
    <w:rsid w:val="13F12B52"/>
    <w:rsid w:val="143B78D8"/>
    <w:rsid w:val="14494390"/>
    <w:rsid w:val="144E41F7"/>
    <w:rsid w:val="147D0250"/>
    <w:rsid w:val="14A66811"/>
    <w:rsid w:val="150B1BAC"/>
    <w:rsid w:val="15B22624"/>
    <w:rsid w:val="15B80547"/>
    <w:rsid w:val="15D114E6"/>
    <w:rsid w:val="16130B05"/>
    <w:rsid w:val="165550F2"/>
    <w:rsid w:val="16570813"/>
    <w:rsid w:val="16853A13"/>
    <w:rsid w:val="168B1D27"/>
    <w:rsid w:val="169A2CF3"/>
    <w:rsid w:val="16E56AC0"/>
    <w:rsid w:val="16E83573"/>
    <w:rsid w:val="1723236A"/>
    <w:rsid w:val="176F0389"/>
    <w:rsid w:val="179515C9"/>
    <w:rsid w:val="17D034C9"/>
    <w:rsid w:val="18003442"/>
    <w:rsid w:val="181711F6"/>
    <w:rsid w:val="18392EC6"/>
    <w:rsid w:val="187953DF"/>
    <w:rsid w:val="18B72907"/>
    <w:rsid w:val="19016917"/>
    <w:rsid w:val="191676FC"/>
    <w:rsid w:val="191C263F"/>
    <w:rsid w:val="19372C02"/>
    <w:rsid w:val="19B124BA"/>
    <w:rsid w:val="19BD231D"/>
    <w:rsid w:val="19D079B0"/>
    <w:rsid w:val="19D45368"/>
    <w:rsid w:val="19E6729C"/>
    <w:rsid w:val="1A120F3F"/>
    <w:rsid w:val="1A1E2C76"/>
    <w:rsid w:val="1A3263B8"/>
    <w:rsid w:val="1A3A50C4"/>
    <w:rsid w:val="1A8A4DAE"/>
    <w:rsid w:val="1A8A6AA1"/>
    <w:rsid w:val="1B0B32B6"/>
    <w:rsid w:val="1B67340A"/>
    <w:rsid w:val="1B776297"/>
    <w:rsid w:val="1BE16650"/>
    <w:rsid w:val="1BEA04DE"/>
    <w:rsid w:val="1BEE5E9C"/>
    <w:rsid w:val="1C0E0313"/>
    <w:rsid w:val="1C373CEA"/>
    <w:rsid w:val="1C54798E"/>
    <w:rsid w:val="1C835251"/>
    <w:rsid w:val="1CCE1E31"/>
    <w:rsid w:val="1CDC1EDE"/>
    <w:rsid w:val="1CE85033"/>
    <w:rsid w:val="1CF17063"/>
    <w:rsid w:val="1D1055ED"/>
    <w:rsid w:val="1D482E17"/>
    <w:rsid w:val="1D703BC0"/>
    <w:rsid w:val="1DBF6C1D"/>
    <w:rsid w:val="1DDD5C2B"/>
    <w:rsid w:val="1DE01380"/>
    <w:rsid w:val="1F2C4A92"/>
    <w:rsid w:val="1F2D2F5B"/>
    <w:rsid w:val="1F2E2C8A"/>
    <w:rsid w:val="1F7A7BB8"/>
    <w:rsid w:val="1F927768"/>
    <w:rsid w:val="1FBF2916"/>
    <w:rsid w:val="20052FF8"/>
    <w:rsid w:val="202809E7"/>
    <w:rsid w:val="202C7A0C"/>
    <w:rsid w:val="203C7E6B"/>
    <w:rsid w:val="2075319B"/>
    <w:rsid w:val="21036CD8"/>
    <w:rsid w:val="21361997"/>
    <w:rsid w:val="218C03B4"/>
    <w:rsid w:val="2195764E"/>
    <w:rsid w:val="21AD68A4"/>
    <w:rsid w:val="21BC34DF"/>
    <w:rsid w:val="22C0325C"/>
    <w:rsid w:val="22C91E78"/>
    <w:rsid w:val="22E57342"/>
    <w:rsid w:val="22E749F4"/>
    <w:rsid w:val="22E909D7"/>
    <w:rsid w:val="22F20FD0"/>
    <w:rsid w:val="22F34CDB"/>
    <w:rsid w:val="231045B0"/>
    <w:rsid w:val="234F26EC"/>
    <w:rsid w:val="23501CE7"/>
    <w:rsid w:val="237B18BF"/>
    <w:rsid w:val="24755FF5"/>
    <w:rsid w:val="25687411"/>
    <w:rsid w:val="25B86DA2"/>
    <w:rsid w:val="25EB17E2"/>
    <w:rsid w:val="25F13052"/>
    <w:rsid w:val="26773199"/>
    <w:rsid w:val="26785F55"/>
    <w:rsid w:val="267D5F41"/>
    <w:rsid w:val="268B7284"/>
    <w:rsid w:val="268F2C7A"/>
    <w:rsid w:val="27176AE1"/>
    <w:rsid w:val="274F1762"/>
    <w:rsid w:val="275574CD"/>
    <w:rsid w:val="27645687"/>
    <w:rsid w:val="27B27188"/>
    <w:rsid w:val="27BB4D35"/>
    <w:rsid w:val="2866173C"/>
    <w:rsid w:val="286C53AB"/>
    <w:rsid w:val="28C72DDD"/>
    <w:rsid w:val="29024C1C"/>
    <w:rsid w:val="299A5ADE"/>
    <w:rsid w:val="299F28F8"/>
    <w:rsid w:val="29A96BF9"/>
    <w:rsid w:val="29C73467"/>
    <w:rsid w:val="2A3A624A"/>
    <w:rsid w:val="2A3F5150"/>
    <w:rsid w:val="2AA868A1"/>
    <w:rsid w:val="2AAD047A"/>
    <w:rsid w:val="2AC76A18"/>
    <w:rsid w:val="2AFC433A"/>
    <w:rsid w:val="2B4711AA"/>
    <w:rsid w:val="2BF068B9"/>
    <w:rsid w:val="2C1239AE"/>
    <w:rsid w:val="2C406E24"/>
    <w:rsid w:val="2C427A1A"/>
    <w:rsid w:val="2C524327"/>
    <w:rsid w:val="2C6F45EC"/>
    <w:rsid w:val="2CAF4012"/>
    <w:rsid w:val="2CC97F38"/>
    <w:rsid w:val="2D0013AD"/>
    <w:rsid w:val="2D051F75"/>
    <w:rsid w:val="2D6A22C7"/>
    <w:rsid w:val="2DAF18FB"/>
    <w:rsid w:val="2DBF3330"/>
    <w:rsid w:val="2E3878C6"/>
    <w:rsid w:val="2E737762"/>
    <w:rsid w:val="2E836934"/>
    <w:rsid w:val="2ECA1997"/>
    <w:rsid w:val="2F012E35"/>
    <w:rsid w:val="2F083593"/>
    <w:rsid w:val="2F1F7688"/>
    <w:rsid w:val="2F3B06D6"/>
    <w:rsid w:val="2F5638D0"/>
    <w:rsid w:val="2F8954FD"/>
    <w:rsid w:val="2FA27D94"/>
    <w:rsid w:val="2FB45E8D"/>
    <w:rsid w:val="2FBF01F1"/>
    <w:rsid w:val="2FFE2689"/>
    <w:rsid w:val="30285187"/>
    <w:rsid w:val="30302502"/>
    <w:rsid w:val="30732827"/>
    <w:rsid w:val="30804D72"/>
    <w:rsid w:val="308F2A8C"/>
    <w:rsid w:val="30A0538D"/>
    <w:rsid w:val="30BA2871"/>
    <w:rsid w:val="30D50AC4"/>
    <w:rsid w:val="31356EBE"/>
    <w:rsid w:val="313A7785"/>
    <w:rsid w:val="313C5850"/>
    <w:rsid w:val="31723A5B"/>
    <w:rsid w:val="31756969"/>
    <w:rsid w:val="319130C9"/>
    <w:rsid w:val="31C81C7C"/>
    <w:rsid w:val="31D2310C"/>
    <w:rsid w:val="31FA35B0"/>
    <w:rsid w:val="32074259"/>
    <w:rsid w:val="32872C6E"/>
    <w:rsid w:val="332475D4"/>
    <w:rsid w:val="332A1BE1"/>
    <w:rsid w:val="33C6290C"/>
    <w:rsid w:val="33FD7019"/>
    <w:rsid w:val="33FE39DC"/>
    <w:rsid w:val="342D14DB"/>
    <w:rsid w:val="348B337B"/>
    <w:rsid w:val="3492593A"/>
    <w:rsid w:val="34C5721E"/>
    <w:rsid w:val="351C3517"/>
    <w:rsid w:val="352E2DBD"/>
    <w:rsid w:val="353F2014"/>
    <w:rsid w:val="356362BB"/>
    <w:rsid w:val="357A6915"/>
    <w:rsid w:val="3581787D"/>
    <w:rsid w:val="359B5763"/>
    <w:rsid w:val="35AA5FE2"/>
    <w:rsid w:val="35BA6168"/>
    <w:rsid w:val="35DB5CFA"/>
    <w:rsid w:val="35E22D85"/>
    <w:rsid w:val="36226148"/>
    <w:rsid w:val="36241DDC"/>
    <w:rsid w:val="363D0D07"/>
    <w:rsid w:val="3642117D"/>
    <w:rsid w:val="36DD0E0C"/>
    <w:rsid w:val="36EF2B4E"/>
    <w:rsid w:val="37173A59"/>
    <w:rsid w:val="373040D0"/>
    <w:rsid w:val="3802765C"/>
    <w:rsid w:val="382E22B2"/>
    <w:rsid w:val="384F1998"/>
    <w:rsid w:val="38725493"/>
    <w:rsid w:val="38B8293B"/>
    <w:rsid w:val="38D8337F"/>
    <w:rsid w:val="39405C4C"/>
    <w:rsid w:val="39673616"/>
    <w:rsid w:val="396C2D3D"/>
    <w:rsid w:val="396D0245"/>
    <w:rsid w:val="399A7C8B"/>
    <w:rsid w:val="3A395F9E"/>
    <w:rsid w:val="3ABC0EB3"/>
    <w:rsid w:val="3AEF0B87"/>
    <w:rsid w:val="3B5724BB"/>
    <w:rsid w:val="3BAD3A96"/>
    <w:rsid w:val="3BC10642"/>
    <w:rsid w:val="3BC60524"/>
    <w:rsid w:val="3BF166F5"/>
    <w:rsid w:val="3C2626CF"/>
    <w:rsid w:val="3C9B53CD"/>
    <w:rsid w:val="3CA50DBE"/>
    <w:rsid w:val="3CB31A5E"/>
    <w:rsid w:val="3CDE2238"/>
    <w:rsid w:val="3CE63409"/>
    <w:rsid w:val="3CE970D7"/>
    <w:rsid w:val="3D213426"/>
    <w:rsid w:val="3D3B1B79"/>
    <w:rsid w:val="3D5C229F"/>
    <w:rsid w:val="3E066285"/>
    <w:rsid w:val="3E2D0D8A"/>
    <w:rsid w:val="3E3C39B0"/>
    <w:rsid w:val="3E434007"/>
    <w:rsid w:val="3E624870"/>
    <w:rsid w:val="3E6E2B0C"/>
    <w:rsid w:val="3E6F378C"/>
    <w:rsid w:val="3EAA0563"/>
    <w:rsid w:val="3EDF5B47"/>
    <w:rsid w:val="3F2D40BC"/>
    <w:rsid w:val="3F8A799C"/>
    <w:rsid w:val="3F930926"/>
    <w:rsid w:val="3F9D29F4"/>
    <w:rsid w:val="3FD05826"/>
    <w:rsid w:val="4080440D"/>
    <w:rsid w:val="40875F71"/>
    <w:rsid w:val="40F70181"/>
    <w:rsid w:val="4184116E"/>
    <w:rsid w:val="41C72645"/>
    <w:rsid w:val="41DB0007"/>
    <w:rsid w:val="41FC1F5F"/>
    <w:rsid w:val="42437216"/>
    <w:rsid w:val="426902D4"/>
    <w:rsid w:val="42707B0B"/>
    <w:rsid w:val="436E4CAB"/>
    <w:rsid w:val="43892A2E"/>
    <w:rsid w:val="43B9530B"/>
    <w:rsid w:val="43C57F8A"/>
    <w:rsid w:val="43E912EC"/>
    <w:rsid w:val="43ED2637"/>
    <w:rsid w:val="441225A9"/>
    <w:rsid w:val="441675B3"/>
    <w:rsid w:val="446B749D"/>
    <w:rsid w:val="44857A9C"/>
    <w:rsid w:val="44BD0F3C"/>
    <w:rsid w:val="44D651BC"/>
    <w:rsid w:val="44FA24CE"/>
    <w:rsid w:val="450A29CF"/>
    <w:rsid w:val="45177C06"/>
    <w:rsid w:val="453E6D81"/>
    <w:rsid w:val="458252B0"/>
    <w:rsid w:val="458C7486"/>
    <w:rsid w:val="45AC5F59"/>
    <w:rsid w:val="45B74D74"/>
    <w:rsid w:val="462145BC"/>
    <w:rsid w:val="464960C6"/>
    <w:rsid w:val="466854F2"/>
    <w:rsid w:val="467C4D54"/>
    <w:rsid w:val="46B03885"/>
    <w:rsid w:val="46D95573"/>
    <w:rsid w:val="46F67B2E"/>
    <w:rsid w:val="47184AAD"/>
    <w:rsid w:val="4737549C"/>
    <w:rsid w:val="47632B1D"/>
    <w:rsid w:val="476F603B"/>
    <w:rsid w:val="47711EE3"/>
    <w:rsid w:val="478A1AAB"/>
    <w:rsid w:val="47972E29"/>
    <w:rsid w:val="47AB56DD"/>
    <w:rsid w:val="47D7717A"/>
    <w:rsid w:val="47E91079"/>
    <w:rsid w:val="47EB3A21"/>
    <w:rsid w:val="489D408D"/>
    <w:rsid w:val="48C548F6"/>
    <w:rsid w:val="48C5565D"/>
    <w:rsid w:val="48EF2198"/>
    <w:rsid w:val="48FD598F"/>
    <w:rsid w:val="494E7F66"/>
    <w:rsid w:val="496D0836"/>
    <w:rsid w:val="49E83FA3"/>
    <w:rsid w:val="4A05555F"/>
    <w:rsid w:val="4A2C23E9"/>
    <w:rsid w:val="4A570875"/>
    <w:rsid w:val="4A7C6B93"/>
    <w:rsid w:val="4A973FA2"/>
    <w:rsid w:val="4AAE0A22"/>
    <w:rsid w:val="4ADE7143"/>
    <w:rsid w:val="4AF50E02"/>
    <w:rsid w:val="4B2E02B5"/>
    <w:rsid w:val="4B380D78"/>
    <w:rsid w:val="4B5A1F32"/>
    <w:rsid w:val="4B680269"/>
    <w:rsid w:val="4C2A4530"/>
    <w:rsid w:val="4C6871CD"/>
    <w:rsid w:val="4C7E0389"/>
    <w:rsid w:val="4CB74507"/>
    <w:rsid w:val="4CD50110"/>
    <w:rsid w:val="4D605026"/>
    <w:rsid w:val="4D620D3F"/>
    <w:rsid w:val="4D752A03"/>
    <w:rsid w:val="4D8D7E05"/>
    <w:rsid w:val="4D98230D"/>
    <w:rsid w:val="4DB8178F"/>
    <w:rsid w:val="4DBC5954"/>
    <w:rsid w:val="4E29146E"/>
    <w:rsid w:val="4E581146"/>
    <w:rsid w:val="4E713A08"/>
    <w:rsid w:val="4EBB7674"/>
    <w:rsid w:val="4EE52BAD"/>
    <w:rsid w:val="4EF813D8"/>
    <w:rsid w:val="4F070BD9"/>
    <w:rsid w:val="4F0F543E"/>
    <w:rsid w:val="4F3062BC"/>
    <w:rsid w:val="4F785874"/>
    <w:rsid w:val="4FA87EFF"/>
    <w:rsid w:val="4FCB6654"/>
    <w:rsid w:val="4FEC0EE7"/>
    <w:rsid w:val="500C7773"/>
    <w:rsid w:val="50BD4EBD"/>
    <w:rsid w:val="51065476"/>
    <w:rsid w:val="512132CC"/>
    <w:rsid w:val="5133008F"/>
    <w:rsid w:val="51552EA5"/>
    <w:rsid w:val="515A0B76"/>
    <w:rsid w:val="51A64701"/>
    <w:rsid w:val="51E22A3B"/>
    <w:rsid w:val="52257F93"/>
    <w:rsid w:val="524C27A2"/>
    <w:rsid w:val="52A57FF3"/>
    <w:rsid w:val="52FC5CFB"/>
    <w:rsid w:val="53070286"/>
    <w:rsid w:val="537F2C8F"/>
    <w:rsid w:val="5387634C"/>
    <w:rsid w:val="53C30DC3"/>
    <w:rsid w:val="53DD1D47"/>
    <w:rsid w:val="543355D4"/>
    <w:rsid w:val="54451F17"/>
    <w:rsid w:val="544E5219"/>
    <w:rsid w:val="548D4C49"/>
    <w:rsid w:val="54D2377B"/>
    <w:rsid w:val="550843EE"/>
    <w:rsid w:val="553E4E1D"/>
    <w:rsid w:val="55A05A09"/>
    <w:rsid w:val="55CD37FD"/>
    <w:rsid w:val="55D2779F"/>
    <w:rsid w:val="55E70D0A"/>
    <w:rsid w:val="55FB11ED"/>
    <w:rsid w:val="56440448"/>
    <w:rsid w:val="564E5D0C"/>
    <w:rsid w:val="566B52C9"/>
    <w:rsid w:val="56850077"/>
    <w:rsid w:val="568E071B"/>
    <w:rsid w:val="56D071D2"/>
    <w:rsid w:val="57267EC5"/>
    <w:rsid w:val="574B5930"/>
    <w:rsid w:val="57500BD3"/>
    <w:rsid w:val="57590008"/>
    <w:rsid w:val="575F104F"/>
    <w:rsid w:val="57616E98"/>
    <w:rsid w:val="57690474"/>
    <w:rsid w:val="578F0CB4"/>
    <w:rsid w:val="585974B3"/>
    <w:rsid w:val="587D2F35"/>
    <w:rsid w:val="589E39E5"/>
    <w:rsid w:val="58F42E75"/>
    <w:rsid w:val="592D4B85"/>
    <w:rsid w:val="599338F5"/>
    <w:rsid w:val="5A08494A"/>
    <w:rsid w:val="5A43077D"/>
    <w:rsid w:val="5A5F5CEA"/>
    <w:rsid w:val="5A87493C"/>
    <w:rsid w:val="5A97297A"/>
    <w:rsid w:val="5AD97C92"/>
    <w:rsid w:val="5AFC0372"/>
    <w:rsid w:val="5B114D77"/>
    <w:rsid w:val="5B1867BA"/>
    <w:rsid w:val="5B244DD0"/>
    <w:rsid w:val="5B690D0B"/>
    <w:rsid w:val="5BD270DC"/>
    <w:rsid w:val="5BF90FB7"/>
    <w:rsid w:val="5C7204B5"/>
    <w:rsid w:val="5C995E8E"/>
    <w:rsid w:val="5CAD773E"/>
    <w:rsid w:val="5CD462DB"/>
    <w:rsid w:val="5D214171"/>
    <w:rsid w:val="5D3330A1"/>
    <w:rsid w:val="5D5236FA"/>
    <w:rsid w:val="5D571754"/>
    <w:rsid w:val="5D7C7A9D"/>
    <w:rsid w:val="5D857508"/>
    <w:rsid w:val="5D8E29C8"/>
    <w:rsid w:val="5DCC7C3F"/>
    <w:rsid w:val="5E2C6C07"/>
    <w:rsid w:val="5EA230C4"/>
    <w:rsid w:val="5EB106C2"/>
    <w:rsid w:val="5EE84998"/>
    <w:rsid w:val="5F3963B7"/>
    <w:rsid w:val="5F492008"/>
    <w:rsid w:val="5F753521"/>
    <w:rsid w:val="60810EFC"/>
    <w:rsid w:val="60920150"/>
    <w:rsid w:val="609F004A"/>
    <w:rsid w:val="60D93212"/>
    <w:rsid w:val="6109496D"/>
    <w:rsid w:val="610F3866"/>
    <w:rsid w:val="615A34E0"/>
    <w:rsid w:val="616C21E8"/>
    <w:rsid w:val="619A3B3E"/>
    <w:rsid w:val="61F32110"/>
    <w:rsid w:val="620A67C0"/>
    <w:rsid w:val="62213012"/>
    <w:rsid w:val="624C22B0"/>
    <w:rsid w:val="62F0159D"/>
    <w:rsid w:val="63351317"/>
    <w:rsid w:val="635A1EF1"/>
    <w:rsid w:val="63755514"/>
    <w:rsid w:val="63864BE0"/>
    <w:rsid w:val="63C83B1E"/>
    <w:rsid w:val="64150180"/>
    <w:rsid w:val="64632401"/>
    <w:rsid w:val="649F6723"/>
    <w:rsid w:val="6510687F"/>
    <w:rsid w:val="65193C1A"/>
    <w:rsid w:val="6544648F"/>
    <w:rsid w:val="65590FC4"/>
    <w:rsid w:val="65982737"/>
    <w:rsid w:val="65CB63B9"/>
    <w:rsid w:val="65DE5845"/>
    <w:rsid w:val="660A3240"/>
    <w:rsid w:val="666C10A1"/>
    <w:rsid w:val="6685428E"/>
    <w:rsid w:val="668E51EE"/>
    <w:rsid w:val="66A06388"/>
    <w:rsid w:val="66AF2568"/>
    <w:rsid w:val="66AF5E76"/>
    <w:rsid w:val="66C027A5"/>
    <w:rsid w:val="66D239C0"/>
    <w:rsid w:val="67280105"/>
    <w:rsid w:val="67296561"/>
    <w:rsid w:val="672F5ECE"/>
    <w:rsid w:val="673457AA"/>
    <w:rsid w:val="67795CF5"/>
    <w:rsid w:val="67835E0B"/>
    <w:rsid w:val="67A07DB1"/>
    <w:rsid w:val="67DA39ED"/>
    <w:rsid w:val="68043B2D"/>
    <w:rsid w:val="682851AB"/>
    <w:rsid w:val="68857D5C"/>
    <w:rsid w:val="68C527CD"/>
    <w:rsid w:val="68CE4974"/>
    <w:rsid w:val="68FD21D7"/>
    <w:rsid w:val="693556A2"/>
    <w:rsid w:val="6935708B"/>
    <w:rsid w:val="697D6331"/>
    <w:rsid w:val="698A33F2"/>
    <w:rsid w:val="698E6687"/>
    <w:rsid w:val="69A06E26"/>
    <w:rsid w:val="69B47B68"/>
    <w:rsid w:val="69F04D12"/>
    <w:rsid w:val="6A2E62AC"/>
    <w:rsid w:val="6A5A3BF4"/>
    <w:rsid w:val="6A673B45"/>
    <w:rsid w:val="6AD12D04"/>
    <w:rsid w:val="6AD31471"/>
    <w:rsid w:val="6B2F0C98"/>
    <w:rsid w:val="6B323068"/>
    <w:rsid w:val="6B4C3CB7"/>
    <w:rsid w:val="6B6E5C41"/>
    <w:rsid w:val="6C062E13"/>
    <w:rsid w:val="6C063521"/>
    <w:rsid w:val="6C4819AC"/>
    <w:rsid w:val="6C536764"/>
    <w:rsid w:val="6C7B7DDA"/>
    <w:rsid w:val="6CDA6D91"/>
    <w:rsid w:val="6CEA32D7"/>
    <w:rsid w:val="6CEC46FF"/>
    <w:rsid w:val="6D011E2B"/>
    <w:rsid w:val="6D62494B"/>
    <w:rsid w:val="6D874241"/>
    <w:rsid w:val="6DD46E74"/>
    <w:rsid w:val="6E093DD8"/>
    <w:rsid w:val="6E462553"/>
    <w:rsid w:val="6E565152"/>
    <w:rsid w:val="6E6247CC"/>
    <w:rsid w:val="6E8D7F29"/>
    <w:rsid w:val="6EA90247"/>
    <w:rsid w:val="6EB8654F"/>
    <w:rsid w:val="6F0D42A5"/>
    <w:rsid w:val="6F0F16A0"/>
    <w:rsid w:val="6F150189"/>
    <w:rsid w:val="6F3B3D75"/>
    <w:rsid w:val="6FAA648E"/>
    <w:rsid w:val="6FBF1A03"/>
    <w:rsid w:val="6FD62E1A"/>
    <w:rsid w:val="70661117"/>
    <w:rsid w:val="70873BB2"/>
    <w:rsid w:val="709B3632"/>
    <w:rsid w:val="70CC5943"/>
    <w:rsid w:val="71523BD6"/>
    <w:rsid w:val="71851A33"/>
    <w:rsid w:val="72175AAC"/>
    <w:rsid w:val="723C230A"/>
    <w:rsid w:val="724929B0"/>
    <w:rsid w:val="72630B86"/>
    <w:rsid w:val="7279451C"/>
    <w:rsid w:val="72844598"/>
    <w:rsid w:val="728D6CAD"/>
    <w:rsid w:val="730E26C0"/>
    <w:rsid w:val="73303553"/>
    <w:rsid w:val="733215A3"/>
    <w:rsid w:val="73401463"/>
    <w:rsid w:val="738A1A65"/>
    <w:rsid w:val="739A77CF"/>
    <w:rsid w:val="73C453AE"/>
    <w:rsid w:val="74091E13"/>
    <w:rsid w:val="741419FE"/>
    <w:rsid w:val="74342F21"/>
    <w:rsid w:val="74723D7B"/>
    <w:rsid w:val="74931F25"/>
    <w:rsid w:val="74973A03"/>
    <w:rsid w:val="74B44F4D"/>
    <w:rsid w:val="751E628C"/>
    <w:rsid w:val="754F021B"/>
    <w:rsid w:val="759B687F"/>
    <w:rsid w:val="75D9401B"/>
    <w:rsid w:val="760636BB"/>
    <w:rsid w:val="76467809"/>
    <w:rsid w:val="7649081B"/>
    <w:rsid w:val="7694295F"/>
    <w:rsid w:val="76A04B0F"/>
    <w:rsid w:val="76A85DAE"/>
    <w:rsid w:val="76D23C4C"/>
    <w:rsid w:val="76E615A1"/>
    <w:rsid w:val="770047E9"/>
    <w:rsid w:val="77031E2D"/>
    <w:rsid w:val="774B03F6"/>
    <w:rsid w:val="77DB2F50"/>
    <w:rsid w:val="78125D09"/>
    <w:rsid w:val="784E6F3E"/>
    <w:rsid w:val="785C7717"/>
    <w:rsid w:val="787920D3"/>
    <w:rsid w:val="78C7025C"/>
    <w:rsid w:val="78CB370A"/>
    <w:rsid w:val="79116FD1"/>
    <w:rsid w:val="79292893"/>
    <w:rsid w:val="79386AB2"/>
    <w:rsid w:val="793A4015"/>
    <w:rsid w:val="798569EC"/>
    <w:rsid w:val="79BD27C7"/>
    <w:rsid w:val="79CC51D9"/>
    <w:rsid w:val="79EB5BA3"/>
    <w:rsid w:val="79F2092C"/>
    <w:rsid w:val="79F219F8"/>
    <w:rsid w:val="79F62DAF"/>
    <w:rsid w:val="7A5702EE"/>
    <w:rsid w:val="7A6375EC"/>
    <w:rsid w:val="7A6D4CD1"/>
    <w:rsid w:val="7A80784F"/>
    <w:rsid w:val="7A9E1F48"/>
    <w:rsid w:val="7B181B5A"/>
    <w:rsid w:val="7B1B7DA2"/>
    <w:rsid w:val="7B9120DF"/>
    <w:rsid w:val="7BE80EC4"/>
    <w:rsid w:val="7C200B5A"/>
    <w:rsid w:val="7C213B34"/>
    <w:rsid w:val="7C25582F"/>
    <w:rsid w:val="7C4D5437"/>
    <w:rsid w:val="7C5E54C1"/>
    <w:rsid w:val="7C6157C3"/>
    <w:rsid w:val="7C711525"/>
    <w:rsid w:val="7C956CD4"/>
    <w:rsid w:val="7CC63025"/>
    <w:rsid w:val="7D2A7450"/>
    <w:rsid w:val="7DBD01AA"/>
    <w:rsid w:val="7DDF031A"/>
    <w:rsid w:val="7DF44F46"/>
    <w:rsid w:val="7E00757D"/>
    <w:rsid w:val="7E0375EC"/>
    <w:rsid w:val="7E4773BB"/>
    <w:rsid w:val="7E4F6BF5"/>
    <w:rsid w:val="7EF52335"/>
    <w:rsid w:val="7EF74CAA"/>
    <w:rsid w:val="7EFB3D10"/>
    <w:rsid w:val="7F0C0E5C"/>
    <w:rsid w:val="7F0F5783"/>
    <w:rsid w:val="7F176672"/>
    <w:rsid w:val="7F405316"/>
    <w:rsid w:val="7F5F64D0"/>
    <w:rsid w:val="7F667E3A"/>
    <w:rsid w:val="7F856953"/>
    <w:rsid w:val="7FB34B8D"/>
    <w:rsid w:val="7FBB5F42"/>
    <w:rsid w:val="7FC65219"/>
    <w:rsid w:val="7FCE7F4F"/>
    <w:rsid w:val="7FCF50A2"/>
    <w:rsid w:val="7FF41E6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39" w:name="toc 4"/>
    <w:lsdException w:uiPriority="39" w:name="toc 5"/>
    <w:lsdException w:qFormat="1" w:uiPriority="39" w:name="toc 6"/>
    <w:lsdException w:qFormat="1" w:uiPriority="39" w:name="toc 7"/>
    <w:lsdException w:uiPriority="39" w:name="toc 8"/>
    <w:lsdException w:uiPriority="39" w:name="toc 9"/>
    <w:lsdException w:qFormat="1" w:uiPriority="0" w:name="Normal Indent"/>
    <w:lsdException w:uiPriority="99" w:name="footnote text"/>
    <w:lsdException w:qFormat="1" w:uiPriority="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qFormat="1"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iPriority="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bCs/>
      <w:sz w:val="21"/>
      <w:szCs w:val="21"/>
      <w:lang w:val="en-US" w:eastAsia="zh-CN" w:bidi="ar-SA"/>
    </w:rPr>
  </w:style>
  <w:style w:type="paragraph" w:styleId="2">
    <w:name w:val="heading 1"/>
    <w:basedOn w:val="1"/>
    <w:next w:val="1"/>
    <w:link w:val="95"/>
    <w:qFormat/>
    <w:uiPriority w:val="99"/>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styleId="3">
    <w:name w:val="heading 2"/>
    <w:basedOn w:val="1"/>
    <w:next w:val="1"/>
    <w:link w:val="46"/>
    <w:qFormat/>
    <w:uiPriority w:val="0"/>
    <w:pPr>
      <w:keepNext/>
      <w:keepLines/>
      <w:widowControl w:val="0"/>
      <w:spacing w:before="60" w:after="60"/>
      <w:jc w:val="both"/>
      <w:outlineLvl w:val="1"/>
    </w:pPr>
    <w:rPr>
      <w:rFonts w:ascii="Arial" w:hAnsi="Arial" w:cs="Times New Roman"/>
      <w:b/>
      <w:bCs w:val="0"/>
      <w:kern w:val="2"/>
    </w:rPr>
  </w:style>
  <w:style w:type="paragraph" w:styleId="4">
    <w:name w:val="heading 3"/>
    <w:basedOn w:val="1"/>
    <w:next w:val="1"/>
    <w:link w:val="97"/>
    <w:qFormat/>
    <w:uiPriority w:val="9"/>
    <w:pPr>
      <w:keepNext/>
      <w:keepLines/>
      <w:widowControl w:val="0"/>
      <w:spacing w:before="60" w:after="60"/>
      <w:jc w:val="both"/>
      <w:outlineLvl w:val="2"/>
    </w:pPr>
    <w:rPr>
      <w:rFonts w:ascii="Calibri" w:hAnsi="Calibri" w:cs="Times New Roman"/>
      <w:b/>
      <w:bCs w:val="0"/>
      <w:kern w:val="2"/>
      <w:szCs w:val="32"/>
    </w:rPr>
  </w:style>
  <w:style w:type="paragraph" w:styleId="5">
    <w:name w:val="heading 4"/>
    <w:basedOn w:val="1"/>
    <w:next w:val="1"/>
    <w:link w:val="98"/>
    <w:qFormat/>
    <w:uiPriority w:val="9"/>
    <w:pPr>
      <w:keepNext/>
      <w:keepLines/>
      <w:widowControl w:val="0"/>
      <w:spacing w:before="60" w:after="60"/>
      <w:jc w:val="both"/>
      <w:outlineLvl w:val="3"/>
    </w:pPr>
    <w:rPr>
      <w:rFonts w:ascii="Cambria" w:hAnsi="Cambria" w:cs="Times New Roman"/>
      <w:b/>
      <w:bCs w:val="0"/>
      <w:kern w:val="2"/>
      <w:szCs w:val="28"/>
    </w:rPr>
  </w:style>
  <w:style w:type="paragraph" w:styleId="6">
    <w:name w:val="heading 5"/>
    <w:basedOn w:val="1"/>
    <w:next w:val="1"/>
    <w:link w:val="224"/>
    <w:qFormat/>
    <w:uiPriority w:val="9"/>
    <w:pPr>
      <w:keepNext/>
      <w:keepLines/>
      <w:widowControl w:val="0"/>
      <w:spacing w:before="60" w:after="60"/>
      <w:jc w:val="both"/>
      <w:outlineLvl w:val="4"/>
    </w:pPr>
    <w:rPr>
      <w:rFonts w:ascii="Calibri" w:hAnsi="Calibri" w:cs="Times New Roman"/>
      <w:b/>
      <w:bCs w:val="0"/>
      <w:kern w:val="2"/>
      <w:szCs w:val="28"/>
    </w:rPr>
  </w:style>
  <w:style w:type="paragraph" w:styleId="7">
    <w:name w:val="heading 6"/>
    <w:basedOn w:val="1"/>
    <w:next w:val="1"/>
    <w:link w:val="240"/>
    <w:semiHidden/>
    <w:unhideWhenUsed/>
    <w:qFormat/>
    <w:uiPriority w:val="9"/>
    <w:pPr>
      <w:keepNext/>
      <w:keepLines/>
      <w:spacing w:before="60" w:after="60"/>
      <w:outlineLvl w:val="5"/>
    </w:pPr>
    <w:rPr>
      <w:rFonts w:asciiTheme="majorHAnsi" w:hAnsiTheme="majorHAnsi" w:cstheme="majorBidi"/>
      <w:b/>
      <w:bCs w:val="0"/>
    </w:rPr>
  </w:style>
  <w:style w:type="paragraph" w:styleId="8">
    <w:name w:val="heading 7"/>
    <w:basedOn w:val="1"/>
    <w:next w:val="1"/>
    <w:link w:val="246"/>
    <w:semiHidden/>
    <w:unhideWhenUsed/>
    <w:qFormat/>
    <w:uiPriority w:val="9"/>
    <w:pPr>
      <w:keepNext/>
      <w:keepLines/>
      <w:spacing w:before="240" w:after="64" w:line="320" w:lineRule="auto"/>
      <w:outlineLvl w:val="6"/>
    </w:pPr>
    <w:rPr>
      <w:b/>
      <w:bCs w:val="0"/>
      <w:sz w:val="24"/>
    </w:rPr>
  </w:style>
  <w:style w:type="character" w:default="1" w:styleId="39">
    <w:name w:val="Default Paragraph Font"/>
    <w:semiHidden/>
    <w:unhideWhenUsed/>
    <w:qFormat/>
    <w:uiPriority w:val="1"/>
  </w:style>
  <w:style w:type="table" w:default="1" w:styleId="37">
    <w:name w:val="Normal Table"/>
    <w:semiHidden/>
    <w:unhideWhenUsed/>
    <w:uiPriority w:val="99"/>
    <w:tblPr>
      <w:tblCellMar>
        <w:top w:w="0" w:type="dxa"/>
        <w:left w:w="108" w:type="dxa"/>
        <w:bottom w:w="0" w:type="dxa"/>
        <w:right w:w="108" w:type="dxa"/>
      </w:tblCellMar>
    </w:tblPr>
  </w:style>
  <w:style w:type="paragraph" w:styleId="9">
    <w:name w:val="toc 7"/>
    <w:basedOn w:val="1"/>
    <w:next w:val="1"/>
    <w:semiHidden/>
    <w:unhideWhenUsed/>
    <w:qFormat/>
    <w:uiPriority w:val="39"/>
    <w:pPr>
      <w:ind w:left="1260"/>
    </w:pPr>
    <w:rPr>
      <w:rFonts w:asciiTheme="minorHAnsi" w:hAnsiTheme="minorHAnsi" w:cstheme="minorHAnsi"/>
      <w:bCs w:val="0"/>
      <w:sz w:val="18"/>
      <w:szCs w:val="18"/>
    </w:rPr>
  </w:style>
  <w:style w:type="paragraph" w:styleId="10">
    <w:name w:val="Note Heading"/>
    <w:basedOn w:val="1"/>
    <w:next w:val="1"/>
    <w:link w:val="232"/>
    <w:semiHidden/>
    <w:unhideWhenUsed/>
    <w:uiPriority w:val="99"/>
    <w:pPr>
      <w:widowControl w:val="0"/>
      <w:jc w:val="center"/>
    </w:pPr>
    <w:rPr>
      <w:rFonts w:cs="Times New Roman"/>
      <w:kern w:val="2"/>
    </w:rPr>
  </w:style>
  <w:style w:type="paragraph" w:styleId="11">
    <w:name w:val="Normal Indent"/>
    <w:basedOn w:val="1"/>
    <w:link w:val="215"/>
    <w:semiHidden/>
    <w:unhideWhenUsed/>
    <w:qFormat/>
    <w:uiPriority w:val="0"/>
    <w:pPr>
      <w:widowControl w:val="0"/>
      <w:ind w:firstLine="420" w:firstLineChars="200"/>
      <w:jc w:val="both"/>
    </w:pPr>
    <w:rPr>
      <w:rFonts w:cs="Times New Roman"/>
      <w:kern w:val="2"/>
    </w:rPr>
  </w:style>
  <w:style w:type="paragraph" w:styleId="12">
    <w:name w:val="Document Map"/>
    <w:basedOn w:val="1"/>
    <w:link w:val="237"/>
    <w:semiHidden/>
    <w:unhideWhenUsed/>
    <w:qFormat/>
    <w:uiPriority w:val="99"/>
    <w:pPr>
      <w:widowControl w:val="0"/>
      <w:jc w:val="both"/>
    </w:pPr>
    <w:rPr>
      <w:rFonts w:hAnsi="Calibri" w:cs="Times New Roman"/>
      <w:kern w:val="2"/>
      <w:sz w:val="18"/>
      <w:szCs w:val="18"/>
    </w:rPr>
  </w:style>
  <w:style w:type="paragraph" w:styleId="13">
    <w:name w:val="toa heading"/>
    <w:basedOn w:val="1"/>
    <w:next w:val="1"/>
    <w:semiHidden/>
    <w:unhideWhenUsed/>
    <w:qFormat/>
    <w:uiPriority w:val="0"/>
    <w:pPr>
      <w:widowControl w:val="0"/>
      <w:spacing w:before="120"/>
      <w:jc w:val="both"/>
    </w:pPr>
    <w:rPr>
      <w:rFonts w:ascii="Arial" w:hAnsi="Arial" w:cs="Times New Roman"/>
      <w:b/>
      <w:bCs w:val="0"/>
      <w:kern w:val="2"/>
    </w:rPr>
  </w:style>
  <w:style w:type="paragraph" w:styleId="14">
    <w:name w:val="annotation text"/>
    <w:basedOn w:val="1"/>
    <w:link w:val="70"/>
    <w:semiHidden/>
    <w:unhideWhenUsed/>
    <w:qFormat/>
    <w:uiPriority w:val="0"/>
  </w:style>
  <w:style w:type="paragraph" w:styleId="15">
    <w:name w:val="Salutation"/>
    <w:basedOn w:val="1"/>
    <w:next w:val="1"/>
    <w:link w:val="216"/>
    <w:semiHidden/>
    <w:unhideWhenUsed/>
    <w:qFormat/>
    <w:uiPriority w:val="99"/>
    <w:pPr>
      <w:widowControl w:val="0"/>
      <w:jc w:val="both"/>
    </w:pPr>
    <w:rPr>
      <w:rFonts w:cs="Times New Roman"/>
      <w:kern w:val="2"/>
    </w:rPr>
  </w:style>
  <w:style w:type="paragraph" w:styleId="16">
    <w:name w:val="List Bullet 3"/>
    <w:basedOn w:val="1"/>
    <w:link w:val="103"/>
    <w:semiHidden/>
    <w:unhideWhenUsed/>
    <w:qFormat/>
    <w:uiPriority w:val="0"/>
    <w:pPr>
      <w:numPr>
        <w:ilvl w:val="0"/>
        <w:numId w:val="1"/>
      </w:numPr>
    </w:pPr>
  </w:style>
  <w:style w:type="paragraph" w:styleId="17">
    <w:name w:val="Body Text"/>
    <w:basedOn w:val="1"/>
    <w:link w:val="229"/>
    <w:semiHidden/>
    <w:unhideWhenUsed/>
    <w:uiPriority w:val="99"/>
    <w:pPr>
      <w:widowControl w:val="0"/>
      <w:spacing w:after="120"/>
      <w:jc w:val="both"/>
    </w:pPr>
    <w:rPr>
      <w:rFonts w:cs="Times New Roman"/>
      <w:kern w:val="2"/>
    </w:rPr>
  </w:style>
  <w:style w:type="paragraph" w:styleId="18">
    <w:name w:val="toc 5"/>
    <w:basedOn w:val="1"/>
    <w:next w:val="1"/>
    <w:semiHidden/>
    <w:unhideWhenUsed/>
    <w:uiPriority w:val="39"/>
    <w:pPr>
      <w:ind w:left="840"/>
    </w:pPr>
    <w:rPr>
      <w:rFonts w:asciiTheme="minorHAnsi" w:hAnsiTheme="minorHAnsi" w:cstheme="minorHAnsi"/>
      <w:bCs w:val="0"/>
      <w:sz w:val="18"/>
      <w:szCs w:val="18"/>
    </w:rPr>
  </w:style>
  <w:style w:type="paragraph" w:styleId="19">
    <w:name w:val="toc 3"/>
    <w:basedOn w:val="1"/>
    <w:next w:val="1"/>
    <w:semiHidden/>
    <w:unhideWhenUsed/>
    <w:qFormat/>
    <w:uiPriority w:val="39"/>
    <w:pPr>
      <w:ind w:left="420"/>
    </w:pPr>
    <w:rPr>
      <w:rFonts w:asciiTheme="minorHAnsi" w:hAnsiTheme="minorHAnsi" w:cstheme="minorHAnsi"/>
      <w:bCs w:val="0"/>
      <w:i/>
      <w:iCs/>
      <w:sz w:val="20"/>
      <w:szCs w:val="20"/>
    </w:rPr>
  </w:style>
  <w:style w:type="paragraph" w:styleId="20">
    <w:name w:val="Plain Text"/>
    <w:basedOn w:val="1"/>
    <w:link w:val="53"/>
    <w:semiHidden/>
    <w:unhideWhenUsed/>
    <w:qFormat/>
    <w:uiPriority w:val="0"/>
    <w:pPr>
      <w:widowControl w:val="0"/>
      <w:jc w:val="both"/>
    </w:pPr>
    <w:rPr>
      <w:rFonts w:hAnsi="Courier New" w:cs="Times New Roman"/>
      <w:kern w:val="2"/>
      <w:szCs w:val="20"/>
    </w:rPr>
  </w:style>
  <w:style w:type="paragraph" w:styleId="21">
    <w:name w:val="toc 8"/>
    <w:basedOn w:val="1"/>
    <w:next w:val="1"/>
    <w:semiHidden/>
    <w:unhideWhenUsed/>
    <w:uiPriority w:val="39"/>
    <w:pPr>
      <w:ind w:left="1470"/>
    </w:pPr>
    <w:rPr>
      <w:rFonts w:asciiTheme="minorHAnsi" w:hAnsiTheme="minorHAnsi" w:cstheme="minorHAnsi"/>
      <w:bCs w:val="0"/>
      <w:sz w:val="18"/>
      <w:szCs w:val="18"/>
    </w:rPr>
  </w:style>
  <w:style w:type="paragraph" w:styleId="22">
    <w:name w:val="Date"/>
    <w:basedOn w:val="1"/>
    <w:next w:val="1"/>
    <w:link w:val="231"/>
    <w:semiHidden/>
    <w:unhideWhenUsed/>
    <w:uiPriority w:val="99"/>
    <w:pPr>
      <w:widowControl w:val="0"/>
      <w:ind w:left="100" w:leftChars="2500"/>
      <w:jc w:val="both"/>
    </w:pPr>
    <w:rPr>
      <w:rFonts w:cs="Times New Roman"/>
      <w:kern w:val="2"/>
    </w:rPr>
  </w:style>
  <w:style w:type="paragraph" w:styleId="23">
    <w:name w:val="endnote text"/>
    <w:basedOn w:val="1"/>
    <w:link w:val="241"/>
    <w:semiHidden/>
    <w:unhideWhenUsed/>
    <w:qFormat/>
    <w:uiPriority w:val="99"/>
    <w:pPr>
      <w:snapToGrid w:val="0"/>
    </w:pPr>
  </w:style>
  <w:style w:type="paragraph" w:styleId="24">
    <w:name w:val="Balloon Text"/>
    <w:basedOn w:val="1"/>
    <w:link w:val="222"/>
    <w:semiHidden/>
    <w:unhideWhenUsed/>
    <w:uiPriority w:val="99"/>
    <w:rPr>
      <w:sz w:val="18"/>
      <w:szCs w:val="18"/>
    </w:rPr>
  </w:style>
  <w:style w:type="paragraph" w:styleId="25">
    <w:name w:val="footer"/>
    <w:basedOn w:val="1"/>
    <w:link w:val="52"/>
    <w:unhideWhenUsed/>
    <w:qFormat/>
    <w:uiPriority w:val="99"/>
    <w:pPr>
      <w:widowControl w:val="0"/>
      <w:tabs>
        <w:tab w:val="center" w:pos="4153"/>
        <w:tab w:val="right" w:pos="8306"/>
      </w:tabs>
      <w:snapToGrid w:val="0"/>
    </w:pPr>
    <w:rPr>
      <w:rFonts w:ascii="Calibri" w:hAnsi="Calibri" w:cs="Times New Roman"/>
      <w:kern w:val="2"/>
      <w:sz w:val="18"/>
      <w:szCs w:val="18"/>
    </w:rPr>
  </w:style>
  <w:style w:type="paragraph" w:styleId="26">
    <w:name w:val="header"/>
    <w:basedOn w:val="1"/>
    <w:link w:val="51"/>
    <w:unhideWhenUsed/>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styleId="27">
    <w:name w:val="toc 1"/>
    <w:basedOn w:val="1"/>
    <w:next w:val="1"/>
    <w:semiHidden/>
    <w:unhideWhenUsed/>
    <w:qFormat/>
    <w:uiPriority w:val="39"/>
    <w:pPr>
      <w:spacing w:line="360" w:lineRule="auto"/>
      <w:ind w:left="200" w:hanging="200" w:hangingChars="200"/>
    </w:pPr>
    <w:rPr>
      <w:rFonts w:cstheme="minorHAnsi"/>
      <w:b/>
      <w:caps/>
      <w:szCs w:val="20"/>
    </w:rPr>
  </w:style>
  <w:style w:type="paragraph" w:styleId="28">
    <w:name w:val="toc 4"/>
    <w:basedOn w:val="1"/>
    <w:next w:val="1"/>
    <w:semiHidden/>
    <w:unhideWhenUsed/>
    <w:qFormat/>
    <w:uiPriority w:val="39"/>
    <w:pPr>
      <w:ind w:left="630"/>
    </w:pPr>
    <w:rPr>
      <w:rFonts w:asciiTheme="minorHAnsi" w:hAnsiTheme="minorHAnsi" w:cstheme="minorHAnsi"/>
      <w:bCs w:val="0"/>
      <w:sz w:val="18"/>
      <w:szCs w:val="18"/>
    </w:rPr>
  </w:style>
  <w:style w:type="paragraph" w:styleId="29">
    <w:name w:val="footnote text"/>
    <w:basedOn w:val="1"/>
    <w:link w:val="273"/>
    <w:semiHidden/>
    <w:unhideWhenUsed/>
    <w:uiPriority w:val="99"/>
    <w:pPr>
      <w:widowControl w:val="0"/>
      <w:snapToGrid w:val="0"/>
    </w:pPr>
    <w:rPr>
      <w:rFonts w:ascii="Calibri" w:hAnsi="Calibri" w:cs="Times New Roman"/>
      <w:bCs w:val="0"/>
      <w:kern w:val="2"/>
      <w:sz w:val="18"/>
      <w:szCs w:val="18"/>
    </w:rPr>
  </w:style>
  <w:style w:type="paragraph" w:styleId="30">
    <w:name w:val="toc 6"/>
    <w:basedOn w:val="1"/>
    <w:next w:val="1"/>
    <w:semiHidden/>
    <w:unhideWhenUsed/>
    <w:qFormat/>
    <w:uiPriority w:val="39"/>
    <w:pPr>
      <w:ind w:left="1050"/>
    </w:pPr>
    <w:rPr>
      <w:rFonts w:asciiTheme="minorHAnsi" w:hAnsiTheme="minorHAnsi" w:cstheme="minorHAnsi"/>
      <w:bCs w:val="0"/>
      <w:sz w:val="18"/>
      <w:szCs w:val="18"/>
    </w:rPr>
  </w:style>
  <w:style w:type="paragraph" w:styleId="31">
    <w:name w:val="toc 2"/>
    <w:basedOn w:val="1"/>
    <w:next w:val="1"/>
    <w:semiHidden/>
    <w:unhideWhenUsed/>
    <w:qFormat/>
    <w:uiPriority w:val="39"/>
    <w:pPr>
      <w:ind w:left="210"/>
    </w:pPr>
    <w:rPr>
      <w:rFonts w:asciiTheme="minorHAnsi" w:hAnsiTheme="minorHAnsi" w:cstheme="minorHAnsi"/>
      <w:bCs w:val="0"/>
      <w:smallCaps/>
      <w:sz w:val="20"/>
      <w:szCs w:val="20"/>
    </w:rPr>
  </w:style>
  <w:style w:type="paragraph" w:styleId="32">
    <w:name w:val="toc 9"/>
    <w:basedOn w:val="1"/>
    <w:next w:val="1"/>
    <w:semiHidden/>
    <w:unhideWhenUsed/>
    <w:uiPriority w:val="39"/>
    <w:pPr>
      <w:ind w:left="1680"/>
    </w:pPr>
    <w:rPr>
      <w:rFonts w:asciiTheme="minorHAnsi" w:hAnsiTheme="minorHAnsi" w:cstheme="minorHAnsi"/>
      <w:bCs w:val="0"/>
      <w:sz w:val="18"/>
      <w:szCs w:val="18"/>
    </w:rPr>
  </w:style>
  <w:style w:type="paragraph" w:styleId="33">
    <w:name w:val="Normal (Web)"/>
    <w:basedOn w:val="1"/>
    <w:link w:val="65"/>
    <w:semiHidden/>
    <w:unhideWhenUsed/>
    <w:uiPriority w:val="99"/>
    <w:pPr>
      <w:spacing w:before="100" w:beforeAutospacing="1" w:after="100" w:afterAutospacing="1"/>
    </w:pPr>
    <w:rPr>
      <w:sz w:val="24"/>
    </w:rPr>
  </w:style>
  <w:style w:type="paragraph" w:styleId="34">
    <w:name w:val="index 1"/>
    <w:basedOn w:val="1"/>
    <w:next w:val="1"/>
    <w:semiHidden/>
    <w:unhideWhenUsed/>
    <w:qFormat/>
    <w:uiPriority w:val="0"/>
    <w:pPr>
      <w:ind w:firstLine="420" w:firstLineChars="200"/>
    </w:pPr>
    <w:rPr>
      <w:rFonts w:cs="Times New Roman"/>
      <w:color w:val="000000"/>
    </w:rPr>
  </w:style>
  <w:style w:type="paragraph" w:styleId="35">
    <w:name w:val="Title"/>
    <w:basedOn w:val="1"/>
    <w:next w:val="1"/>
    <w:link w:val="238"/>
    <w:qFormat/>
    <w:uiPriority w:val="10"/>
    <w:pPr>
      <w:widowControl w:val="0"/>
      <w:spacing w:before="240" w:after="60"/>
      <w:jc w:val="center"/>
      <w:outlineLvl w:val="0"/>
    </w:pPr>
    <w:rPr>
      <w:rFonts w:asciiTheme="majorHAnsi" w:hAnsiTheme="majorHAnsi" w:cstheme="majorBidi"/>
      <w:b/>
      <w:bCs w:val="0"/>
      <w:kern w:val="2"/>
      <w:sz w:val="32"/>
      <w:szCs w:val="32"/>
    </w:rPr>
  </w:style>
  <w:style w:type="paragraph" w:styleId="36">
    <w:name w:val="annotation subject"/>
    <w:basedOn w:val="14"/>
    <w:next w:val="14"/>
    <w:link w:val="71"/>
    <w:semiHidden/>
    <w:unhideWhenUsed/>
    <w:qFormat/>
    <w:uiPriority w:val="99"/>
    <w:rPr>
      <w:b/>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endnote reference"/>
    <w:basedOn w:val="39"/>
    <w:semiHidden/>
    <w:unhideWhenUsed/>
    <w:uiPriority w:val="99"/>
    <w:rPr>
      <w:rFonts w:ascii="Times New Roman" w:hAnsi="Times New Roman" w:eastAsia="宋体" w:cs="宋体"/>
      <w:bCs/>
      <w:sz w:val="21"/>
      <w:szCs w:val="21"/>
      <w:vertAlign w:val="superscript"/>
      <w:lang w:val="en-US" w:eastAsia="zh-CN" w:bidi="ar-SA"/>
    </w:rPr>
  </w:style>
  <w:style w:type="character" w:styleId="41">
    <w:name w:val="Hyperlink"/>
    <w:basedOn w:val="39"/>
    <w:semiHidden/>
    <w:unhideWhenUsed/>
    <w:uiPriority w:val="99"/>
    <w:rPr>
      <w:rFonts w:ascii="Times New Roman" w:hAnsi="Times New Roman" w:eastAsia="宋体" w:cs="Times New Roman"/>
      <w:bCs/>
      <w:color w:val="0000FF"/>
      <w:sz w:val="21"/>
      <w:szCs w:val="21"/>
      <w:u w:val="single"/>
      <w:lang w:val="en-US" w:eastAsia="zh-CN" w:bidi="ar-SA"/>
    </w:rPr>
  </w:style>
  <w:style w:type="character" w:styleId="42">
    <w:name w:val="annotation reference"/>
    <w:basedOn w:val="39"/>
    <w:semiHidden/>
    <w:unhideWhenUsed/>
    <w:qFormat/>
    <w:uiPriority w:val="99"/>
    <w:rPr>
      <w:sz w:val="21"/>
      <w:szCs w:val="21"/>
    </w:rPr>
  </w:style>
  <w:style w:type="character" w:styleId="43">
    <w:name w:val="footnote reference"/>
    <w:semiHidden/>
    <w:unhideWhenUsed/>
    <w:uiPriority w:val="99"/>
    <w:rPr>
      <w:rFonts w:ascii="Times New Roman" w:hAnsi="Times New Roman" w:eastAsia="宋体" w:cs="宋体"/>
      <w:bCs/>
      <w:sz w:val="21"/>
      <w:szCs w:val="21"/>
      <w:vertAlign w:val="superscript"/>
      <w:lang w:val="en-US" w:eastAsia="zh-CN" w:bidi="ar-SA"/>
    </w:rPr>
  </w:style>
  <w:style w:type="paragraph" w:customStyle="1" w:styleId="44">
    <w:name w:val="_Style 60"/>
    <w:basedOn w:val="1"/>
    <w:qFormat/>
    <w:uiPriority w:val="0"/>
    <w:pPr>
      <w:widowControl w:val="0"/>
      <w:jc w:val="both"/>
    </w:pPr>
    <w:rPr>
      <w:rFonts w:hAnsi="Calibri" w:cs="Times New Roman"/>
      <w:kern w:val="2"/>
      <w:sz w:val="18"/>
      <w:szCs w:val="18"/>
    </w:rPr>
  </w:style>
  <w:style w:type="character" w:customStyle="1" w:styleId="45">
    <w:name w:val="标题 1 字符"/>
    <w:basedOn w:val="39"/>
    <w:qFormat/>
    <w:uiPriority w:val="99"/>
    <w:rPr>
      <w:rFonts w:eastAsia="黑体"/>
      <w:b/>
      <w:kern w:val="44"/>
      <w:sz w:val="28"/>
      <w:szCs w:val="44"/>
    </w:rPr>
  </w:style>
  <w:style w:type="character" w:customStyle="1" w:styleId="46">
    <w:name w:val="标题 2 字符"/>
    <w:basedOn w:val="39"/>
    <w:link w:val="3"/>
    <w:qFormat/>
    <w:uiPriority w:val="0"/>
    <w:rPr>
      <w:rFonts w:ascii="Arial" w:hAnsi="Arial" w:cs="Times New Roman"/>
      <w:b/>
      <w:kern w:val="2"/>
    </w:rPr>
  </w:style>
  <w:style w:type="character" w:customStyle="1" w:styleId="47">
    <w:name w:val="标题 3 字符"/>
    <w:basedOn w:val="39"/>
    <w:qFormat/>
    <w:uiPriority w:val="9"/>
    <w:rPr>
      <w:b/>
      <w:kern w:val="2"/>
      <w:sz w:val="21"/>
      <w:szCs w:val="32"/>
    </w:rPr>
  </w:style>
  <w:style w:type="character" w:customStyle="1" w:styleId="48">
    <w:name w:val="标题 4 字符"/>
    <w:basedOn w:val="39"/>
    <w:qFormat/>
    <w:uiPriority w:val="9"/>
    <w:rPr>
      <w:rFonts w:ascii="Cambria" w:hAnsi="Cambria"/>
      <w:b/>
      <w:kern w:val="2"/>
      <w:sz w:val="21"/>
      <w:szCs w:val="28"/>
    </w:rPr>
  </w:style>
  <w:style w:type="character" w:customStyle="1" w:styleId="49">
    <w:name w:val="称呼 字符"/>
    <w:basedOn w:val="39"/>
    <w:qFormat/>
    <w:uiPriority w:val="99"/>
    <w:rPr>
      <w:rFonts w:ascii="Times New Roman" w:hAnsi="Times New Roman" w:eastAsia="宋体" w:cs="Times New Roman"/>
      <w:szCs w:val="21"/>
    </w:rPr>
  </w:style>
  <w:style w:type="paragraph" w:styleId="50">
    <w:name w:val="List Paragraph"/>
    <w:basedOn w:val="1"/>
    <w:qFormat/>
    <w:uiPriority w:val="34"/>
    <w:pPr>
      <w:widowControl w:val="0"/>
      <w:ind w:firstLine="420" w:firstLineChars="200"/>
      <w:jc w:val="both"/>
    </w:pPr>
    <w:rPr>
      <w:rFonts w:ascii="Calibri" w:hAnsi="Calibri" w:cs="Times New Roman"/>
      <w:kern w:val="2"/>
      <w:szCs w:val="22"/>
    </w:rPr>
  </w:style>
  <w:style w:type="character" w:customStyle="1" w:styleId="51">
    <w:name w:val="页眉 字符"/>
    <w:basedOn w:val="39"/>
    <w:link w:val="26"/>
    <w:qFormat/>
    <w:uiPriority w:val="99"/>
    <w:rPr>
      <w:rFonts w:ascii="Calibri" w:hAnsi="Calibri" w:eastAsia="宋体" w:cs="Times New Roman"/>
      <w:sz w:val="18"/>
      <w:szCs w:val="18"/>
    </w:rPr>
  </w:style>
  <w:style w:type="character" w:customStyle="1" w:styleId="52">
    <w:name w:val="页脚 字符"/>
    <w:basedOn w:val="39"/>
    <w:link w:val="25"/>
    <w:qFormat/>
    <w:uiPriority w:val="99"/>
    <w:rPr>
      <w:rFonts w:ascii="Calibri" w:hAnsi="Calibri" w:eastAsia="宋体" w:cs="Times New Roman"/>
      <w:sz w:val="18"/>
      <w:szCs w:val="18"/>
    </w:rPr>
  </w:style>
  <w:style w:type="character" w:customStyle="1" w:styleId="53">
    <w:name w:val="纯文本 字符"/>
    <w:basedOn w:val="39"/>
    <w:link w:val="20"/>
    <w:qFormat/>
    <w:uiPriority w:val="0"/>
    <w:rPr>
      <w:rFonts w:ascii="宋体" w:hAnsi="Courier New" w:eastAsia="宋体" w:cs="Times New Roman"/>
      <w:szCs w:val="20"/>
    </w:rPr>
  </w:style>
  <w:style w:type="table" w:customStyle="1" w:styleId="54">
    <w:name w:val="g2"/>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5">
    <w:name w:val="_Style 38"/>
    <w:qFormat/>
    <w:uiPriority w:val="0"/>
    <w:pPr>
      <w:spacing w:after="160" w:line="278" w:lineRule="auto"/>
    </w:pPr>
    <w:rPr>
      <w:rFonts w:ascii="Times New Roman" w:hAnsi="Times New Roman" w:eastAsia="宋体" w:cs="宋体"/>
      <w:lang w:val="en-US" w:eastAsia="zh-CN" w:bidi="ar-SA"/>
    </w:rPr>
  </w:style>
  <w:style w:type="paragraph" w:customStyle="1" w:styleId="56">
    <w:name w:val="标题 2 Char Char Char"/>
    <w:basedOn w:val="55"/>
    <w:next w:val="1"/>
    <w:qFormat/>
    <w:uiPriority w:val="0"/>
    <w:pPr>
      <w:keepNext/>
      <w:keepLines/>
      <w:widowControl w:val="0"/>
      <w:spacing w:before="60" w:after="60"/>
      <w:jc w:val="both"/>
      <w:outlineLvl w:val="1"/>
    </w:pPr>
    <w:rPr>
      <w:rFonts w:ascii="Arial" w:hAnsi="Arial" w:cs="Times New Roman"/>
      <w:b/>
      <w:kern w:val="2"/>
    </w:rPr>
  </w:style>
  <w:style w:type="paragraph" w:customStyle="1" w:styleId="57">
    <w:name w:val="_Style 41"/>
    <w:basedOn w:val="55"/>
    <w:next w:val="1"/>
    <w:qFormat/>
    <w:uiPriority w:val="9"/>
    <w:pPr>
      <w:keepNext/>
      <w:keepLines/>
      <w:widowControl w:val="0"/>
      <w:spacing w:before="60" w:after="60"/>
      <w:jc w:val="both"/>
      <w:outlineLvl w:val="2"/>
    </w:pPr>
    <w:rPr>
      <w:rFonts w:ascii="Calibri" w:hAnsi="Calibri" w:cs="Times New Roman"/>
      <w:b/>
      <w:kern w:val="2"/>
      <w:szCs w:val="32"/>
    </w:rPr>
  </w:style>
  <w:style w:type="paragraph" w:customStyle="1" w:styleId="58">
    <w:name w:val="_Style 42"/>
    <w:basedOn w:val="55"/>
    <w:next w:val="1"/>
    <w:qFormat/>
    <w:uiPriority w:val="9"/>
    <w:pPr>
      <w:keepNext/>
      <w:keepLines/>
      <w:widowControl w:val="0"/>
      <w:spacing w:before="60" w:after="60"/>
      <w:jc w:val="both"/>
      <w:outlineLvl w:val="3"/>
    </w:pPr>
    <w:rPr>
      <w:rFonts w:ascii="Cambria" w:hAnsi="Cambria" w:cs="Times New Roman"/>
      <w:b/>
      <w:kern w:val="2"/>
      <w:szCs w:val="28"/>
    </w:rPr>
  </w:style>
  <w:style w:type="paragraph" w:customStyle="1" w:styleId="59">
    <w:name w:val="_Style 43"/>
    <w:basedOn w:val="55"/>
    <w:next w:val="1"/>
    <w:qFormat/>
    <w:uiPriority w:val="9"/>
    <w:pPr>
      <w:keepNext/>
      <w:keepLines/>
      <w:widowControl w:val="0"/>
      <w:spacing w:before="60" w:after="60"/>
      <w:jc w:val="both"/>
      <w:outlineLvl w:val="4"/>
    </w:pPr>
    <w:rPr>
      <w:rFonts w:ascii="Calibri" w:hAnsi="Calibri" w:cs="Times New Roman"/>
      <w:b/>
      <w:kern w:val="2"/>
      <w:szCs w:val="28"/>
    </w:rPr>
  </w:style>
  <w:style w:type="paragraph" w:customStyle="1" w:styleId="60">
    <w:name w:val="_Style 56"/>
    <w:basedOn w:val="55"/>
    <w:qFormat/>
    <w:uiPriority w:val="0"/>
    <w:pPr>
      <w:widowControl w:val="0"/>
    </w:pPr>
    <w:rPr>
      <w:rFonts w:cs="Times New Roman"/>
      <w:kern w:val="2"/>
    </w:rPr>
  </w:style>
  <w:style w:type="character" w:customStyle="1" w:styleId="61">
    <w:name w:val="正文缩进 字符"/>
    <w:basedOn w:val="39"/>
    <w:qFormat/>
    <w:uiPriority w:val="0"/>
    <w:rPr>
      <w:rFonts w:ascii="Times New Roman" w:hAnsi="Times New Roman" w:eastAsia="宋体" w:cs="Times New Roman"/>
      <w:szCs w:val="21"/>
    </w:rPr>
  </w:style>
  <w:style w:type="paragraph" w:customStyle="1" w:styleId="62">
    <w:name w:val="_Style 61"/>
    <w:basedOn w:val="55"/>
    <w:next w:val="1"/>
    <w:qFormat/>
    <w:uiPriority w:val="99"/>
    <w:pPr>
      <w:widowControl w:val="0"/>
      <w:jc w:val="both"/>
    </w:pPr>
    <w:rPr>
      <w:rFonts w:cs="Times New Roman"/>
      <w:kern w:val="2"/>
    </w:rPr>
  </w:style>
  <w:style w:type="paragraph" w:customStyle="1" w:styleId="63">
    <w:name w:val="_Style 64"/>
    <w:basedOn w:val="55"/>
    <w:qFormat/>
    <w:uiPriority w:val="34"/>
    <w:pPr>
      <w:widowControl w:val="0"/>
      <w:ind w:firstLine="420" w:firstLineChars="200"/>
      <w:jc w:val="both"/>
    </w:pPr>
    <w:rPr>
      <w:rFonts w:ascii="Calibri" w:hAnsi="Calibri" w:cs="Times New Roman"/>
      <w:kern w:val="2"/>
      <w:szCs w:val="22"/>
    </w:rPr>
  </w:style>
  <w:style w:type="paragraph" w:customStyle="1" w:styleId="64">
    <w:name w:val="_Style 66"/>
    <w:basedOn w:val="60"/>
    <w:next w:val="11"/>
    <w:unhideWhenUsed/>
    <w:qFormat/>
    <w:uiPriority w:val="99"/>
    <w:rPr>
      <w:rFonts w:ascii="Calibri" w:hAnsi="Calibri"/>
      <w:b/>
      <w:szCs w:val="22"/>
    </w:rPr>
  </w:style>
  <w:style w:type="character" w:customStyle="1" w:styleId="65">
    <w:name w:val="普通(网站) 字符"/>
    <w:basedOn w:val="39"/>
    <w:link w:val="33"/>
    <w:qFormat/>
    <w:uiPriority w:val="0"/>
    <w:rPr>
      <w:kern w:val="2"/>
      <w:sz w:val="21"/>
      <w:szCs w:val="24"/>
    </w:rPr>
  </w:style>
  <w:style w:type="paragraph" w:customStyle="1" w:styleId="66">
    <w:name w:val="_Style 85"/>
    <w:basedOn w:val="55"/>
    <w:qFormat/>
    <w:uiPriority w:val="0"/>
    <w:pPr>
      <w:widowControl w:val="0"/>
      <w:spacing w:before="100" w:after="100"/>
      <w:jc w:val="both"/>
    </w:pPr>
    <w:rPr>
      <w:rFonts w:ascii="Calibri" w:hAnsi="Calibri" w:cs="Times New Roman"/>
      <w:kern w:val="2"/>
    </w:rPr>
  </w:style>
  <w:style w:type="paragraph" w:customStyle="1" w:styleId="67">
    <w:name w:val="_Style 91"/>
    <w:qFormat/>
    <w:uiPriority w:val="1"/>
    <w:pPr>
      <w:widowControl w:val="0"/>
      <w:spacing w:after="160" w:line="278" w:lineRule="auto"/>
      <w:jc w:val="both"/>
    </w:pPr>
    <w:rPr>
      <w:rFonts w:ascii="Times New Roman" w:hAnsi="Times New Roman" w:eastAsia="宋体" w:cs="宋体"/>
      <w:kern w:val="2"/>
      <w:szCs w:val="22"/>
      <w:lang w:val="en-US" w:eastAsia="zh-CN" w:bidi="ar-SA"/>
    </w:rPr>
  </w:style>
  <w:style w:type="paragraph" w:customStyle="1" w:styleId="68">
    <w:name w:val="_Style 117"/>
    <w:basedOn w:val="55"/>
    <w:qFormat/>
    <w:uiPriority w:val="34"/>
    <w:pPr>
      <w:widowControl w:val="0"/>
      <w:ind w:firstLine="420" w:firstLineChars="200"/>
      <w:jc w:val="both"/>
    </w:pPr>
    <w:rPr>
      <w:rFonts w:ascii="Calibri" w:hAnsi="Calibri" w:cs="Times New Roman"/>
      <w:kern w:val="2"/>
      <w:szCs w:val="22"/>
    </w:rPr>
  </w:style>
  <w:style w:type="paragraph" w:customStyle="1" w:styleId="69">
    <w:name w:val="_Style 118"/>
    <w:basedOn w:val="55"/>
    <w:qFormat/>
    <w:uiPriority w:val="1"/>
    <w:pPr>
      <w:widowControl w:val="0"/>
      <w:autoSpaceDE w:val="0"/>
      <w:autoSpaceDN w:val="0"/>
      <w:spacing w:line="259" w:lineRule="auto"/>
    </w:pPr>
    <w:rPr>
      <w:rFonts w:ascii="Noto Sans CJK JP Regular" w:hAnsi="Noto Sans CJK JP Regular" w:eastAsia="Noto Sans CJK JP Regular" w:cs="Noto Sans CJK JP Regular"/>
      <w:sz w:val="22"/>
      <w:szCs w:val="22"/>
      <w:lang w:eastAsia="en-US"/>
    </w:rPr>
  </w:style>
  <w:style w:type="character" w:customStyle="1" w:styleId="70">
    <w:name w:val="批注文字 字符"/>
    <w:basedOn w:val="39"/>
    <w:link w:val="14"/>
    <w:qFormat/>
    <w:uiPriority w:val="0"/>
    <w:rPr>
      <w:bCs/>
      <w:sz w:val="21"/>
      <w:szCs w:val="21"/>
    </w:rPr>
  </w:style>
  <w:style w:type="character" w:customStyle="1" w:styleId="71">
    <w:name w:val="批注主题 字符"/>
    <w:basedOn w:val="70"/>
    <w:link w:val="36"/>
    <w:qFormat/>
    <w:uiPriority w:val="99"/>
    <w:rPr>
      <w:rFonts w:cs="宋体"/>
      <w:b/>
      <w:sz w:val="21"/>
      <w:szCs w:val="21"/>
    </w:rPr>
  </w:style>
  <w:style w:type="table" w:customStyle="1" w:styleId="72">
    <w:name w:val="g1"/>
    <w:semiHidden/>
    <w:unhideWhenUsed/>
    <w:qFormat/>
    <w:uiPriority w:val="99"/>
    <w:tblPr>
      <w:tblCellMar>
        <w:top w:w="0" w:type="dxa"/>
        <w:left w:w="108" w:type="dxa"/>
        <w:bottom w:w="0" w:type="dxa"/>
        <w:right w:w="108" w:type="dxa"/>
      </w:tblCellMar>
    </w:tblPr>
  </w:style>
  <w:style w:type="paragraph" w:customStyle="1" w:styleId="73">
    <w:name w:val="_Style 50"/>
    <w:basedOn w:val="1"/>
    <w:next w:val="1"/>
    <w:qFormat/>
    <w:uiPriority w:val="0"/>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customStyle="1" w:styleId="74">
    <w:name w:val="_Style 51"/>
    <w:basedOn w:val="1"/>
    <w:next w:val="1"/>
    <w:semiHidden/>
    <w:unhideWhenUsed/>
    <w:qFormat/>
    <w:uiPriority w:val="0"/>
    <w:pPr>
      <w:keepNext/>
      <w:keepLines/>
      <w:widowControl w:val="0"/>
      <w:spacing w:before="60" w:after="60"/>
      <w:jc w:val="both"/>
      <w:outlineLvl w:val="1"/>
    </w:pPr>
    <w:rPr>
      <w:rFonts w:ascii="Arial" w:hAnsi="Arial" w:cs="Times New Roman"/>
      <w:b/>
      <w:bCs w:val="0"/>
      <w:kern w:val="2"/>
    </w:rPr>
  </w:style>
  <w:style w:type="paragraph" w:customStyle="1" w:styleId="75">
    <w:name w:val="_Style 52"/>
    <w:basedOn w:val="1"/>
    <w:next w:val="1"/>
    <w:semiHidden/>
    <w:unhideWhenUsed/>
    <w:qFormat/>
    <w:uiPriority w:val="0"/>
    <w:pPr>
      <w:keepNext/>
      <w:keepLines/>
      <w:widowControl w:val="0"/>
      <w:spacing w:before="60" w:after="60"/>
      <w:jc w:val="both"/>
      <w:outlineLvl w:val="2"/>
    </w:pPr>
    <w:rPr>
      <w:rFonts w:ascii="Calibri" w:hAnsi="Calibri" w:cs="Times New Roman"/>
      <w:b/>
      <w:bCs w:val="0"/>
      <w:kern w:val="2"/>
      <w:szCs w:val="32"/>
    </w:rPr>
  </w:style>
  <w:style w:type="paragraph" w:customStyle="1" w:styleId="76">
    <w:name w:val="_Style 53"/>
    <w:basedOn w:val="1"/>
    <w:next w:val="1"/>
    <w:semiHidden/>
    <w:unhideWhenUsed/>
    <w:qFormat/>
    <w:uiPriority w:val="0"/>
    <w:pPr>
      <w:keepNext/>
      <w:keepLines/>
      <w:widowControl w:val="0"/>
      <w:spacing w:before="60" w:after="60"/>
      <w:jc w:val="both"/>
      <w:outlineLvl w:val="3"/>
    </w:pPr>
    <w:rPr>
      <w:rFonts w:ascii="Cambria" w:hAnsi="Cambria" w:cs="Times New Roman"/>
      <w:b/>
      <w:bCs w:val="0"/>
      <w:kern w:val="2"/>
      <w:szCs w:val="28"/>
    </w:rPr>
  </w:style>
  <w:style w:type="paragraph" w:customStyle="1" w:styleId="77">
    <w:name w:val="_Style 54"/>
    <w:basedOn w:val="1"/>
    <w:next w:val="1"/>
    <w:semiHidden/>
    <w:unhideWhenUsed/>
    <w:qFormat/>
    <w:uiPriority w:val="0"/>
    <w:pPr>
      <w:keepNext/>
      <w:keepLines/>
      <w:widowControl w:val="0"/>
      <w:spacing w:before="60" w:after="60"/>
      <w:jc w:val="both"/>
      <w:outlineLvl w:val="4"/>
    </w:pPr>
    <w:rPr>
      <w:rFonts w:ascii="Calibri" w:hAnsi="Calibri" w:cs="Times New Roman"/>
      <w:b/>
      <w:bCs w:val="0"/>
      <w:kern w:val="2"/>
      <w:szCs w:val="28"/>
    </w:rPr>
  </w:style>
  <w:style w:type="paragraph" w:customStyle="1" w:styleId="78">
    <w:name w:val="_Style 55"/>
    <w:basedOn w:val="1"/>
    <w:next w:val="1"/>
    <w:semiHidden/>
    <w:unhideWhenUsed/>
    <w:qFormat/>
    <w:uiPriority w:val="0"/>
    <w:pPr>
      <w:keepNext/>
      <w:keepLines/>
      <w:spacing w:before="60" w:after="60"/>
      <w:outlineLvl w:val="5"/>
    </w:pPr>
    <w:rPr>
      <w:rFonts w:asciiTheme="majorHAnsi" w:hAnsiTheme="majorHAnsi" w:cstheme="majorBidi"/>
      <w:b/>
      <w:bCs w:val="0"/>
    </w:rPr>
  </w:style>
  <w:style w:type="character" w:customStyle="1" w:styleId="79">
    <w:name w:val="_Style 561"/>
    <w:semiHidden/>
    <w:unhideWhenUsed/>
    <w:qFormat/>
    <w:uiPriority w:val="1"/>
  </w:style>
  <w:style w:type="table" w:customStyle="1" w:styleId="80">
    <w:name w:val="_Style 57"/>
    <w:semiHidden/>
    <w:unhideWhenUsed/>
    <w:qFormat/>
    <w:uiPriority w:val="99"/>
    <w:tblPr>
      <w:tblCellMar>
        <w:top w:w="0" w:type="dxa"/>
        <w:left w:w="108" w:type="dxa"/>
        <w:bottom w:w="0" w:type="dxa"/>
        <w:right w:w="108" w:type="dxa"/>
      </w:tblCellMar>
    </w:tblPr>
  </w:style>
  <w:style w:type="paragraph" w:customStyle="1" w:styleId="81">
    <w:name w:val="_Style 58"/>
    <w:basedOn w:val="1"/>
    <w:next w:val="1"/>
    <w:qFormat/>
    <w:uiPriority w:val="0"/>
    <w:pPr>
      <w:widowControl w:val="0"/>
      <w:jc w:val="center"/>
    </w:pPr>
    <w:rPr>
      <w:rFonts w:cs="Times New Roman"/>
      <w:kern w:val="2"/>
    </w:rPr>
  </w:style>
  <w:style w:type="paragraph" w:customStyle="1" w:styleId="82">
    <w:name w:val="_Style 59"/>
    <w:basedOn w:val="1"/>
    <w:qFormat/>
    <w:uiPriority w:val="0"/>
    <w:pPr>
      <w:widowControl w:val="0"/>
      <w:ind w:firstLine="420" w:firstLineChars="200"/>
      <w:jc w:val="both"/>
    </w:pPr>
    <w:rPr>
      <w:rFonts w:cs="Times New Roman"/>
      <w:kern w:val="2"/>
    </w:rPr>
  </w:style>
  <w:style w:type="paragraph" w:customStyle="1" w:styleId="83">
    <w:name w:val="_Style 611"/>
    <w:basedOn w:val="1"/>
    <w:qFormat/>
    <w:uiPriority w:val="0"/>
  </w:style>
  <w:style w:type="paragraph" w:customStyle="1" w:styleId="84">
    <w:name w:val="_Style 62"/>
    <w:basedOn w:val="1"/>
    <w:next w:val="1"/>
    <w:qFormat/>
    <w:uiPriority w:val="0"/>
    <w:pPr>
      <w:widowControl w:val="0"/>
      <w:jc w:val="both"/>
    </w:pPr>
    <w:rPr>
      <w:rFonts w:cs="Times New Roman"/>
      <w:kern w:val="2"/>
    </w:rPr>
  </w:style>
  <w:style w:type="paragraph" w:customStyle="1" w:styleId="85">
    <w:name w:val="_Style 63"/>
    <w:basedOn w:val="1"/>
    <w:qFormat/>
    <w:uiPriority w:val="0"/>
    <w:pPr>
      <w:widowControl w:val="0"/>
      <w:spacing w:after="120"/>
      <w:jc w:val="both"/>
    </w:pPr>
    <w:rPr>
      <w:rFonts w:cs="Times New Roman"/>
      <w:kern w:val="2"/>
    </w:rPr>
  </w:style>
  <w:style w:type="paragraph" w:customStyle="1" w:styleId="86">
    <w:name w:val="_Style 641"/>
    <w:basedOn w:val="1"/>
    <w:qFormat/>
    <w:uiPriority w:val="0"/>
    <w:pPr>
      <w:widowControl w:val="0"/>
      <w:jc w:val="both"/>
    </w:pPr>
    <w:rPr>
      <w:rFonts w:hAnsi="Courier New" w:cs="Times New Roman"/>
      <w:kern w:val="2"/>
      <w:szCs w:val="20"/>
    </w:rPr>
  </w:style>
  <w:style w:type="paragraph" w:customStyle="1" w:styleId="87">
    <w:name w:val="_Style 65"/>
    <w:basedOn w:val="1"/>
    <w:qFormat/>
    <w:uiPriority w:val="0"/>
    <w:rPr>
      <w:sz w:val="18"/>
      <w:szCs w:val="18"/>
    </w:rPr>
  </w:style>
  <w:style w:type="paragraph" w:customStyle="1" w:styleId="88">
    <w:name w:val="_Style 661"/>
    <w:basedOn w:val="1"/>
    <w:qFormat/>
    <w:uiPriority w:val="0"/>
    <w:pPr>
      <w:widowControl w:val="0"/>
      <w:tabs>
        <w:tab w:val="center" w:pos="4153"/>
        <w:tab w:val="right" w:pos="8306"/>
      </w:tabs>
      <w:snapToGrid w:val="0"/>
    </w:pPr>
    <w:rPr>
      <w:rFonts w:ascii="Calibri" w:hAnsi="Calibri" w:cs="Times New Roman"/>
      <w:kern w:val="2"/>
      <w:sz w:val="18"/>
      <w:szCs w:val="18"/>
    </w:rPr>
  </w:style>
  <w:style w:type="paragraph" w:customStyle="1" w:styleId="89">
    <w:name w:val="_Style 67"/>
    <w:basedOn w:val="1"/>
    <w:qFormat/>
    <w:uiPriority w:val="0"/>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customStyle="1" w:styleId="90">
    <w:name w:val="_Style 68"/>
    <w:basedOn w:val="1"/>
    <w:next w:val="1"/>
    <w:qFormat/>
    <w:uiPriority w:val="0"/>
    <w:pPr>
      <w:spacing w:line="360" w:lineRule="auto"/>
      <w:ind w:left="200" w:hanging="200" w:hangingChars="200"/>
    </w:pPr>
    <w:rPr>
      <w:rFonts w:cstheme="minorHAnsi"/>
      <w:b/>
      <w:caps/>
      <w:szCs w:val="20"/>
    </w:rPr>
  </w:style>
  <w:style w:type="paragraph" w:customStyle="1" w:styleId="91">
    <w:name w:val="_Style 69"/>
    <w:basedOn w:val="1"/>
    <w:qFormat/>
    <w:uiPriority w:val="0"/>
    <w:pPr>
      <w:spacing w:before="100" w:beforeAutospacing="1" w:after="100" w:afterAutospacing="1"/>
    </w:pPr>
    <w:rPr>
      <w:sz w:val="24"/>
    </w:rPr>
  </w:style>
  <w:style w:type="paragraph" w:customStyle="1" w:styleId="92">
    <w:name w:val="_Style 70"/>
    <w:basedOn w:val="83"/>
    <w:next w:val="11"/>
    <w:qFormat/>
    <w:uiPriority w:val="0"/>
    <w:rPr>
      <w:b/>
    </w:rPr>
  </w:style>
  <w:style w:type="table" w:customStyle="1" w:styleId="93">
    <w:name w:val="_Style 71"/>
    <w:basedOn w:val="8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4">
    <w:name w:val="_Style 72"/>
    <w:basedOn w:val="79"/>
    <w:qFormat/>
    <w:uiPriority w:val="0"/>
    <w:rPr>
      <w:sz w:val="21"/>
      <w:szCs w:val="21"/>
    </w:rPr>
  </w:style>
  <w:style w:type="character" w:customStyle="1" w:styleId="95">
    <w:name w:val="标题 1 字符1"/>
    <w:basedOn w:val="79"/>
    <w:link w:val="2"/>
    <w:qFormat/>
    <w:uiPriority w:val="99"/>
    <w:rPr>
      <w:rFonts w:eastAsia="黑体"/>
      <w:b/>
      <w:kern w:val="44"/>
      <w:sz w:val="28"/>
      <w:szCs w:val="44"/>
    </w:rPr>
  </w:style>
  <w:style w:type="character" w:customStyle="1" w:styleId="96">
    <w:name w:val="标题 2 字符1"/>
    <w:basedOn w:val="79"/>
    <w:qFormat/>
    <w:uiPriority w:val="0"/>
    <w:rPr>
      <w:rFonts w:ascii="Arial" w:hAnsi="Arial" w:cs="Times New Roman"/>
      <w:b/>
      <w:kern w:val="2"/>
    </w:rPr>
  </w:style>
  <w:style w:type="character" w:customStyle="1" w:styleId="97">
    <w:name w:val="标题 3 字符1"/>
    <w:basedOn w:val="79"/>
    <w:link w:val="4"/>
    <w:qFormat/>
    <w:uiPriority w:val="9"/>
    <w:rPr>
      <w:b/>
      <w:kern w:val="2"/>
      <w:sz w:val="21"/>
      <w:szCs w:val="32"/>
    </w:rPr>
  </w:style>
  <w:style w:type="character" w:customStyle="1" w:styleId="98">
    <w:name w:val="标题 4 字符1"/>
    <w:basedOn w:val="79"/>
    <w:link w:val="5"/>
    <w:qFormat/>
    <w:uiPriority w:val="9"/>
    <w:rPr>
      <w:rFonts w:ascii="Cambria" w:hAnsi="Cambria"/>
      <w:b/>
      <w:kern w:val="2"/>
      <w:sz w:val="21"/>
      <w:szCs w:val="28"/>
    </w:rPr>
  </w:style>
  <w:style w:type="character" w:customStyle="1" w:styleId="99">
    <w:name w:val="_Style 77"/>
    <w:basedOn w:val="79"/>
    <w:qFormat/>
    <w:uiPriority w:val="9"/>
    <w:rPr>
      <w:b/>
      <w:kern w:val="2"/>
      <w:sz w:val="21"/>
      <w:szCs w:val="28"/>
    </w:rPr>
  </w:style>
  <w:style w:type="character" w:customStyle="1" w:styleId="100">
    <w:name w:val="_Style 78"/>
    <w:basedOn w:val="79"/>
    <w:qFormat/>
    <w:uiPriority w:val="99"/>
    <w:rPr>
      <w:rFonts w:ascii="Times New Roman" w:hAnsi="Times New Roman" w:eastAsia="宋体" w:cs="Times New Roman"/>
      <w:szCs w:val="21"/>
    </w:rPr>
  </w:style>
  <w:style w:type="paragraph" w:customStyle="1" w:styleId="101">
    <w:name w:val="_Style 79"/>
    <w:basedOn w:val="1"/>
    <w:qFormat/>
    <w:uiPriority w:val="34"/>
    <w:pPr>
      <w:widowControl w:val="0"/>
      <w:ind w:firstLine="420" w:firstLineChars="200"/>
      <w:jc w:val="both"/>
    </w:pPr>
    <w:rPr>
      <w:rFonts w:ascii="Calibri" w:hAnsi="Calibri" w:cs="Times New Roman"/>
      <w:kern w:val="2"/>
      <w:szCs w:val="22"/>
    </w:rPr>
  </w:style>
  <w:style w:type="character" w:customStyle="1" w:styleId="102">
    <w:name w:val="_Style 80"/>
    <w:basedOn w:val="79"/>
    <w:qFormat/>
    <w:uiPriority w:val="99"/>
    <w:rPr>
      <w:rFonts w:ascii="Calibri" w:hAnsi="Calibri" w:eastAsia="宋体" w:cs="Times New Roman"/>
      <w:sz w:val="18"/>
      <w:szCs w:val="18"/>
    </w:rPr>
  </w:style>
  <w:style w:type="character" w:customStyle="1" w:styleId="103">
    <w:name w:val="列表项目符号 3 字符"/>
    <w:basedOn w:val="79"/>
    <w:link w:val="16"/>
    <w:qFormat/>
    <w:uiPriority w:val="99"/>
    <w:rPr>
      <w:rFonts w:ascii="Calibri" w:hAnsi="Calibri" w:eastAsia="宋体" w:cs="Times New Roman"/>
      <w:sz w:val="18"/>
      <w:szCs w:val="18"/>
    </w:rPr>
  </w:style>
  <w:style w:type="character" w:customStyle="1" w:styleId="104">
    <w:name w:val="批注文字 字符1"/>
    <w:basedOn w:val="79"/>
    <w:qFormat/>
    <w:uiPriority w:val="0"/>
    <w:rPr>
      <w:rFonts w:ascii="宋体" w:hAnsi="Courier New" w:eastAsia="宋体" w:cs="Times New Roman"/>
      <w:szCs w:val="20"/>
    </w:rPr>
  </w:style>
  <w:style w:type="character" w:customStyle="1" w:styleId="105">
    <w:name w:val="_Style 83"/>
    <w:basedOn w:val="79"/>
    <w:qFormat/>
    <w:uiPriority w:val="99"/>
    <w:rPr>
      <w:rFonts w:ascii="Times New Roman" w:hAnsi="Times New Roman" w:eastAsia="宋体" w:cs="Times New Roman"/>
      <w:szCs w:val="21"/>
    </w:rPr>
  </w:style>
  <w:style w:type="character" w:customStyle="1" w:styleId="106">
    <w:name w:val="_Style 84"/>
    <w:basedOn w:val="79"/>
    <w:qFormat/>
    <w:uiPriority w:val="99"/>
    <w:rPr>
      <w:rFonts w:ascii="Times New Roman" w:hAnsi="Times New Roman" w:eastAsia="宋体" w:cs="Times New Roman"/>
      <w:szCs w:val="21"/>
    </w:rPr>
  </w:style>
  <w:style w:type="character" w:customStyle="1" w:styleId="107">
    <w:name w:val="_Style 851"/>
    <w:basedOn w:val="79"/>
    <w:qFormat/>
    <w:uiPriority w:val="0"/>
    <w:rPr>
      <w:kern w:val="2"/>
      <w:sz w:val="21"/>
      <w:szCs w:val="24"/>
    </w:rPr>
  </w:style>
  <w:style w:type="paragraph" w:customStyle="1" w:styleId="108">
    <w:name w:val="_Style 86"/>
    <w:basedOn w:val="1"/>
    <w:qFormat/>
    <w:uiPriority w:val="0"/>
    <w:pPr>
      <w:widowControl w:val="0"/>
      <w:spacing w:before="100" w:after="100"/>
      <w:jc w:val="both"/>
    </w:pPr>
    <w:rPr>
      <w:rFonts w:ascii="Calibri" w:hAnsi="Calibri" w:cs="Times New Roman"/>
      <w:kern w:val="2"/>
    </w:rPr>
  </w:style>
  <w:style w:type="character" w:customStyle="1" w:styleId="109">
    <w:name w:val="_Style 87"/>
    <w:basedOn w:val="79"/>
    <w:semiHidden/>
    <w:qFormat/>
    <w:uiPriority w:val="99"/>
    <w:rPr>
      <w:rFonts w:ascii="宋体"/>
      <w:kern w:val="2"/>
      <w:sz w:val="18"/>
      <w:szCs w:val="18"/>
    </w:rPr>
  </w:style>
  <w:style w:type="paragraph" w:customStyle="1" w:styleId="110">
    <w:name w:val="_Style 88"/>
    <w:qFormat/>
    <w:uiPriority w:val="1"/>
    <w:pPr>
      <w:widowControl w:val="0"/>
      <w:jc w:val="both"/>
    </w:pPr>
    <w:rPr>
      <w:rFonts w:ascii="Times New Roman" w:hAnsi="Times New Roman" w:eastAsia="宋体" w:cs="宋体"/>
      <w:bCs/>
      <w:kern w:val="2"/>
      <w:sz w:val="21"/>
      <w:szCs w:val="22"/>
      <w:lang w:val="en-US" w:eastAsia="zh-CN" w:bidi="ar-SA"/>
    </w:rPr>
  </w:style>
  <w:style w:type="character" w:customStyle="1" w:styleId="111">
    <w:name w:val="_Style 89"/>
    <w:basedOn w:val="79"/>
    <w:qFormat/>
    <w:uiPriority w:val="9"/>
    <w:rPr>
      <w:rFonts w:asciiTheme="majorHAnsi" w:hAnsiTheme="majorHAnsi" w:cstheme="majorBidi"/>
      <w:b/>
      <w:sz w:val="21"/>
      <w:szCs w:val="24"/>
    </w:rPr>
  </w:style>
  <w:style w:type="table" w:customStyle="1" w:styleId="112">
    <w:name w:val="_Style 90"/>
    <w:basedOn w:val="8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3">
    <w:name w:val="_Style 911"/>
    <w:qFormat/>
    <w:uiPriority w:val="0"/>
    <w:rPr>
      <w:rFonts w:ascii="Times New Roman" w:hAnsi="Times New Roman" w:eastAsia="宋体" w:cs="宋体"/>
      <w:lang w:val="en-US" w:eastAsia="zh-CN" w:bidi="ar-SA"/>
    </w:rPr>
  </w:style>
  <w:style w:type="paragraph" w:customStyle="1" w:styleId="114">
    <w:name w:val="_Style 92"/>
    <w:basedOn w:val="113"/>
    <w:next w:val="1"/>
    <w:qFormat/>
    <w:uiPriority w:val="99"/>
    <w:pPr>
      <w:keepNext/>
      <w:keepLines/>
      <w:widowControl w:val="0"/>
      <w:spacing w:before="60" w:after="60" w:line="360" w:lineRule="auto"/>
      <w:jc w:val="center"/>
      <w:outlineLvl w:val="0"/>
    </w:pPr>
    <w:rPr>
      <w:rFonts w:ascii="Calibri" w:hAnsi="Calibri" w:eastAsia="黑体" w:cs="Times New Roman"/>
      <w:b/>
      <w:kern w:val="44"/>
      <w:sz w:val="28"/>
      <w:szCs w:val="44"/>
    </w:rPr>
  </w:style>
  <w:style w:type="paragraph" w:customStyle="1" w:styleId="115">
    <w:name w:val="_Style 93"/>
    <w:basedOn w:val="113"/>
    <w:next w:val="1"/>
    <w:qFormat/>
    <w:uiPriority w:val="0"/>
    <w:pPr>
      <w:keepNext/>
      <w:keepLines/>
      <w:widowControl w:val="0"/>
      <w:spacing w:before="60" w:after="60"/>
      <w:jc w:val="both"/>
      <w:outlineLvl w:val="1"/>
    </w:pPr>
    <w:rPr>
      <w:rFonts w:ascii="Arial" w:hAnsi="Arial" w:cs="Times New Roman"/>
      <w:b/>
      <w:kern w:val="2"/>
    </w:rPr>
  </w:style>
  <w:style w:type="paragraph" w:customStyle="1" w:styleId="116">
    <w:name w:val="_Style 94"/>
    <w:basedOn w:val="113"/>
    <w:next w:val="1"/>
    <w:qFormat/>
    <w:uiPriority w:val="9"/>
    <w:pPr>
      <w:keepNext/>
      <w:keepLines/>
      <w:widowControl w:val="0"/>
      <w:spacing w:before="60" w:after="60"/>
      <w:jc w:val="both"/>
      <w:outlineLvl w:val="2"/>
    </w:pPr>
    <w:rPr>
      <w:rFonts w:ascii="Calibri" w:hAnsi="Calibri" w:cs="Times New Roman"/>
      <w:b/>
      <w:kern w:val="2"/>
      <w:szCs w:val="32"/>
    </w:rPr>
  </w:style>
  <w:style w:type="paragraph" w:customStyle="1" w:styleId="117">
    <w:name w:val="_Style 95"/>
    <w:basedOn w:val="113"/>
    <w:next w:val="1"/>
    <w:qFormat/>
    <w:uiPriority w:val="9"/>
    <w:pPr>
      <w:keepNext/>
      <w:keepLines/>
      <w:widowControl w:val="0"/>
      <w:spacing w:before="60" w:after="60"/>
      <w:jc w:val="both"/>
      <w:outlineLvl w:val="3"/>
    </w:pPr>
    <w:rPr>
      <w:rFonts w:ascii="Cambria" w:hAnsi="Cambria" w:cs="Times New Roman"/>
      <w:b/>
      <w:kern w:val="2"/>
      <w:szCs w:val="28"/>
    </w:rPr>
  </w:style>
  <w:style w:type="paragraph" w:customStyle="1" w:styleId="118">
    <w:name w:val="_Style 96"/>
    <w:basedOn w:val="113"/>
    <w:next w:val="1"/>
    <w:qFormat/>
    <w:uiPriority w:val="9"/>
    <w:pPr>
      <w:keepNext/>
      <w:keepLines/>
      <w:widowControl w:val="0"/>
      <w:spacing w:before="60" w:after="60"/>
      <w:jc w:val="both"/>
      <w:outlineLvl w:val="4"/>
    </w:pPr>
    <w:rPr>
      <w:rFonts w:ascii="Calibri" w:hAnsi="Calibri" w:cs="Times New Roman"/>
      <w:b/>
      <w:kern w:val="2"/>
      <w:szCs w:val="28"/>
    </w:rPr>
  </w:style>
  <w:style w:type="paragraph" w:customStyle="1" w:styleId="119">
    <w:name w:val="_Style 97"/>
    <w:basedOn w:val="113"/>
    <w:next w:val="1"/>
    <w:unhideWhenUsed/>
    <w:qFormat/>
    <w:uiPriority w:val="9"/>
    <w:pPr>
      <w:keepNext/>
      <w:keepLines/>
      <w:spacing w:before="60" w:after="60"/>
      <w:outlineLvl w:val="5"/>
    </w:pPr>
    <w:rPr>
      <w:rFonts w:asciiTheme="majorHAnsi" w:hAnsiTheme="majorHAnsi" w:cstheme="majorBidi"/>
      <w:b/>
    </w:rPr>
  </w:style>
  <w:style w:type="paragraph" w:customStyle="1" w:styleId="120">
    <w:name w:val="_Style 98"/>
    <w:basedOn w:val="113"/>
    <w:next w:val="1"/>
    <w:unhideWhenUsed/>
    <w:qFormat/>
    <w:uiPriority w:val="9"/>
    <w:pPr>
      <w:keepNext/>
      <w:keepLines/>
      <w:spacing w:before="240" w:after="64" w:line="320" w:lineRule="auto"/>
      <w:outlineLvl w:val="6"/>
    </w:pPr>
    <w:rPr>
      <w:b/>
      <w:sz w:val="24"/>
    </w:rPr>
  </w:style>
  <w:style w:type="character" w:customStyle="1" w:styleId="121">
    <w:name w:val="_Style 99"/>
    <w:basedOn w:val="79"/>
    <w:qFormat/>
    <w:uiPriority w:val="99"/>
    <w:rPr>
      <w:rFonts w:eastAsia="黑体"/>
      <w:b/>
      <w:kern w:val="44"/>
      <w:sz w:val="28"/>
      <w:szCs w:val="44"/>
    </w:rPr>
  </w:style>
  <w:style w:type="character" w:customStyle="1" w:styleId="122">
    <w:name w:val="_Style 100"/>
    <w:basedOn w:val="79"/>
    <w:qFormat/>
    <w:uiPriority w:val="0"/>
    <w:rPr>
      <w:rFonts w:ascii="Arial" w:hAnsi="Arial" w:cs="Times New Roman"/>
      <w:b/>
      <w:kern w:val="2"/>
    </w:rPr>
  </w:style>
  <w:style w:type="character" w:customStyle="1" w:styleId="123">
    <w:name w:val="_Style 101"/>
    <w:basedOn w:val="79"/>
    <w:qFormat/>
    <w:uiPriority w:val="9"/>
    <w:rPr>
      <w:b/>
      <w:kern w:val="2"/>
      <w:sz w:val="21"/>
      <w:szCs w:val="32"/>
    </w:rPr>
  </w:style>
  <w:style w:type="character" w:customStyle="1" w:styleId="124">
    <w:name w:val="_Style 102"/>
    <w:basedOn w:val="79"/>
    <w:qFormat/>
    <w:uiPriority w:val="9"/>
    <w:rPr>
      <w:rFonts w:ascii="Cambria" w:hAnsi="Cambria"/>
      <w:b/>
      <w:kern w:val="2"/>
      <w:sz w:val="21"/>
      <w:szCs w:val="28"/>
    </w:rPr>
  </w:style>
  <w:style w:type="character" w:customStyle="1" w:styleId="125">
    <w:name w:val="_Style 103"/>
    <w:basedOn w:val="79"/>
    <w:qFormat/>
    <w:uiPriority w:val="9"/>
    <w:rPr>
      <w:b/>
      <w:kern w:val="2"/>
      <w:sz w:val="21"/>
      <w:szCs w:val="28"/>
    </w:rPr>
  </w:style>
  <w:style w:type="paragraph" w:customStyle="1" w:styleId="126">
    <w:name w:val="_Style 104"/>
    <w:basedOn w:val="114"/>
    <w:next w:val="1"/>
    <w:qFormat/>
    <w:uiPriority w:val="39"/>
    <w:pPr>
      <w:widowControl/>
      <w:spacing w:before="480" w:after="0" w:line="276" w:lineRule="auto"/>
      <w:outlineLvl w:val="9"/>
    </w:pPr>
    <w:rPr>
      <w:rFonts w:ascii="Cambria" w:hAnsi="Cambria" w:eastAsia="宋体"/>
      <w:color w:val="365F91"/>
      <w:kern w:val="0"/>
      <w:szCs w:val="28"/>
    </w:rPr>
  </w:style>
  <w:style w:type="paragraph" w:customStyle="1" w:styleId="127">
    <w:name w:val="_Style 105"/>
    <w:basedOn w:val="113"/>
    <w:next w:val="1"/>
    <w:qFormat/>
    <w:uiPriority w:val="39"/>
    <w:pPr>
      <w:spacing w:line="360" w:lineRule="auto"/>
      <w:ind w:left="200" w:hanging="200" w:hangingChars="200"/>
    </w:pPr>
    <w:rPr>
      <w:rFonts w:cstheme="minorHAnsi"/>
      <w:b/>
      <w:caps/>
    </w:rPr>
  </w:style>
  <w:style w:type="paragraph" w:customStyle="1" w:styleId="128">
    <w:name w:val="_Style 106"/>
    <w:basedOn w:val="113"/>
    <w:next w:val="1"/>
    <w:qFormat/>
    <w:uiPriority w:val="39"/>
    <w:pPr>
      <w:ind w:left="210"/>
    </w:pPr>
    <w:rPr>
      <w:rFonts w:asciiTheme="minorHAnsi" w:hAnsiTheme="minorHAnsi" w:cstheme="minorHAnsi"/>
      <w:smallCaps/>
    </w:rPr>
  </w:style>
  <w:style w:type="character" w:customStyle="1" w:styleId="129">
    <w:name w:val="_Style 107"/>
    <w:basedOn w:val="79"/>
    <w:qFormat/>
    <w:uiPriority w:val="99"/>
    <w:rPr>
      <w:rFonts w:cs="Times New Roman"/>
      <w:color w:val="0000FF"/>
      <w:u w:val="single"/>
    </w:rPr>
  </w:style>
  <w:style w:type="character" w:customStyle="1" w:styleId="130">
    <w:name w:val="_Style 108"/>
    <w:basedOn w:val="79"/>
    <w:qFormat/>
    <w:uiPriority w:val="99"/>
    <w:rPr>
      <w:rFonts w:eastAsia="宋体" w:cs="Times New Roman"/>
      <w:kern w:val="2"/>
      <w:sz w:val="21"/>
      <w:szCs w:val="21"/>
      <w:lang w:val="en-US" w:eastAsia="zh-CN" w:bidi="ar-SA"/>
    </w:rPr>
  </w:style>
  <w:style w:type="paragraph" w:customStyle="1" w:styleId="131">
    <w:name w:val="_Style 109"/>
    <w:basedOn w:val="113"/>
    <w:qFormat/>
    <w:uiPriority w:val="0"/>
    <w:pPr>
      <w:widowControl w:val="0"/>
    </w:pPr>
    <w:rPr>
      <w:rFonts w:cs="Times New Roman"/>
      <w:kern w:val="2"/>
    </w:rPr>
  </w:style>
  <w:style w:type="character" w:customStyle="1" w:styleId="132">
    <w:name w:val="_Style 110"/>
    <w:basedOn w:val="79"/>
    <w:qFormat/>
    <w:uiPriority w:val="0"/>
    <w:rPr>
      <w:rFonts w:ascii="Times New Roman" w:hAnsi="Times New Roman" w:eastAsia="宋体" w:cs="Times New Roman"/>
      <w:szCs w:val="21"/>
    </w:rPr>
  </w:style>
  <w:style w:type="table" w:customStyle="1" w:styleId="133">
    <w:name w:val="_Style 111"/>
    <w:basedOn w:val="8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4">
    <w:name w:val="_Style 112"/>
    <w:basedOn w:val="113"/>
    <w:unhideWhenUsed/>
    <w:qFormat/>
    <w:uiPriority w:val="99"/>
    <w:pPr>
      <w:widowControl w:val="0"/>
      <w:jc w:val="both"/>
    </w:pPr>
    <w:rPr>
      <w:rFonts w:ascii="Calibri" w:hAnsi="Calibri" w:cs="Times New Roman"/>
      <w:kern w:val="2"/>
      <w:sz w:val="18"/>
      <w:szCs w:val="18"/>
    </w:rPr>
  </w:style>
  <w:style w:type="character" w:customStyle="1" w:styleId="135">
    <w:name w:val="_Style 113"/>
    <w:basedOn w:val="79"/>
    <w:qFormat/>
    <w:uiPriority w:val="99"/>
    <w:rPr>
      <w:rFonts w:ascii="Calibri" w:hAnsi="Calibri" w:eastAsia="宋体" w:cs="Times New Roman"/>
      <w:sz w:val="18"/>
      <w:szCs w:val="18"/>
    </w:rPr>
  </w:style>
  <w:style w:type="paragraph" w:customStyle="1" w:styleId="136">
    <w:name w:val="_Style 114"/>
    <w:basedOn w:val="113"/>
    <w:next w:val="1"/>
    <w:qFormat/>
    <w:uiPriority w:val="99"/>
    <w:pPr>
      <w:widowControl w:val="0"/>
      <w:jc w:val="both"/>
    </w:pPr>
    <w:rPr>
      <w:rFonts w:cs="Times New Roman"/>
      <w:kern w:val="2"/>
    </w:rPr>
  </w:style>
  <w:style w:type="character" w:customStyle="1" w:styleId="137">
    <w:name w:val="_Style 115"/>
    <w:basedOn w:val="79"/>
    <w:qFormat/>
    <w:uiPriority w:val="99"/>
    <w:rPr>
      <w:rFonts w:ascii="Times New Roman" w:hAnsi="Times New Roman" w:eastAsia="宋体" w:cs="Times New Roman"/>
      <w:szCs w:val="21"/>
    </w:rPr>
  </w:style>
  <w:style w:type="paragraph" w:customStyle="1" w:styleId="138">
    <w:name w:val="_Style 116"/>
    <w:basedOn w:val="113"/>
    <w:qFormat/>
    <w:uiPriority w:val="99"/>
    <w:pPr>
      <w:spacing w:before="100" w:after="100"/>
      <w:jc w:val="right"/>
    </w:pPr>
    <w:rPr>
      <w:rFonts w:ascii="Arial Unicode MS" w:eastAsia="Arial Unicode MS" w:cs="Times New Roman"/>
      <w:sz w:val="18"/>
      <w:szCs w:val="18"/>
    </w:rPr>
  </w:style>
  <w:style w:type="paragraph" w:customStyle="1" w:styleId="139">
    <w:name w:val="_Style 1171"/>
    <w:basedOn w:val="113"/>
    <w:qFormat/>
    <w:uiPriority w:val="34"/>
    <w:pPr>
      <w:widowControl w:val="0"/>
      <w:ind w:firstLine="420" w:firstLineChars="200"/>
      <w:jc w:val="both"/>
    </w:pPr>
    <w:rPr>
      <w:rFonts w:ascii="Calibri" w:hAnsi="Calibri" w:cs="Times New Roman"/>
      <w:kern w:val="2"/>
      <w:szCs w:val="22"/>
    </w:rPr>
  </w:style>
  <w:style w:type="character" w:customStyle="1" w:styleId="140">
    <w:name w:val="_Style 1181"/>
    <w:basedOn w:val="132"/>
    <w:qFormat/>
    <w:uiPriority w:val="99"/>
    <w:rPr>
      <w:rFonts w:ascii="Calibri" w:hAnsi="Calibri" w:eastAsia="宋体" w:cs="Times New Roman"/>
      <w:b/>
      <w:szCs w:val="21"/>
    </w:rPr>
  </w:style>
  <w:style w:type="paragraph" w:customStyle="1" w:styleId="141">
    <w:name w:val="_Style 119"/>
    <w:basedOn w:val="131"/>
    <w:unhideWhenUsed/>
    <w:qFormat/>
    <w:uiPriority w:val="99"/>
    <w:rPr>
      <w:rFonts w:ascii="Calibri" w:hAnsi="Calibri"/>
      <w:b/>
      <w:szCs w:val="22"/>
    </w:rPr>
  </w:style>
  <w:style w:type="paragraph" w:customStyle="1" w:styleId="142">
    <w:name w:val="_Style 120"/>
    <w:basedOn w:val="113"/>
    <w:next w:val="1"/>
    <w:unhideWhenUsed/>
    <w:qFormat/>
    <w:uiPriority w:val="39"/>
    <w:pPr>
      <w:ind w:left="420"/>
    </w:pPr>
    <w:rPr>
      <w:rFonts w:asciiTheme="minorHAnsi" w:hAnsiTheme="minorHAnsi" w:cstheme="minorHAnsi"/>
      <w:i/>
      <w:iCs/>
    </w:rPr>
  </w:style>
  <w:style w:type="paragraph" w:customStyle="1" w:styleId="143">
    <w:name w:val="_Style 121"/>
    <w:basedOn w:val="113"/>
    <w:unhideWhenUsed/>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character" w:customStyle="1" w:styleId="144">
    <w:name w:val="_Style 122"/>
    <w:basedOn w:val="79"/>
    <w:qFormat/>
    <w:uiPriority w:val="99"/>
    <w:rPr>
      <w:rFonts w:ascii="Calibri" w:hAnsi="Calibri" w:eastAsia="宋体" w:cs="Times New Roman"/>
      <w:sz w:val="18"/>
      <w:szCs w:val="18"/>
    </w:rPr>
  </w:style>
  <w:style w:type="paragraph" w:customStyle="1" w:styleId="145">
    <w:name w:val="_Style 123"/>
    <w:basedOn w:val="113"/>
    <w:unhideWhenUsed/>
    <w:qFormat/>
    <w:uiPriority w:val="99"/>
    <w:pPr>
      <w:widowControl w:val="0"/>
      <w:tabs>
        <w:tab w:val="center" w:pos="4153"/>
        <w:tab w:val="right" w:pos="8306"/>
      </w:tabs>
      <w:snapToGrid w:val="0"/>
    </w:pPr>
    <w:rPr>
      <w:rFonts w:ascii="Calibri" w:hAnsi="Calibri" w:cs="Times New Roman"/>
      <w:kern w:val="2"/>
      <w:sz w:val="18"/>
      <w:szCs w:val="18"/>
    </w:rPr>
  </w:style>
  <w:style w:type="character" w:customStyle="1" w:styleId="146">
    <w:name w:val="_Style 124"/>
    <w:basedOn w:val="79"/>
    <w:qFormat/>
    <w:uiPriority w:val="99"/>
    <w:rPr>
      <w:rFonts w:ascii="Calibri" w:hAnsi="Calibri" w:eastAsia="宋体" w:cs="Times New Roman"/>
      <w:sz w:val="18"/>
      <w:szCs w:val="18"/>
    </w:rPr>
  </w:style>
  <w:style w:type="paragraph" w:customStyle="1" w:styleId="147">
    <w:name w:val="_Style 125"/>
    <w:basedOn w:val="113"/>
    <w:qFormat/>
    <w:uiPriority w:val="0"/>
    <w:pPr>
      <w:widowControl w:val="0"/>
      <w:jc w:val="both"/>
    </w:pPr>
    <w:rPr>
      <w:rFonts w:hAnsi="Courier New" w:cs="Times New Roman"/>
      <w:kern w:val="2"/>
    </w:rPr>
  </w:style>
  <w:style w:type="character" w:customStyle="1" w:styleId="148">
    <w:name w:val="_Style 126"/>
    <w:basedOn w:val="79"/>
    <w:qFormat/>
    <w:uiPriority w:val="0"/>
    <w:rPr>
      <w:rFonts w:ascii="宋体" w:hAnsi="Courier New" w:eastAsia="宋体" w:cs="Times New Roman"/>
      <w:szCs w:val="20"/>
    </w:rPr>
  </w:style>
  <w:style w:type="paragraph" w:customStyle="1" w:styleId="149">
    <w:name w:val="_Style 127"/>
    <w:basedOn w:val="113"/>
    <w:qFormat/>
    <w:uiPriority w:val="99"/>
    <w:pPr>
      <w:widowControl w:val="0"/>
      <w:spacing w:after="120"/>
      <w:jc w:val="both"/>
    </w:pPr>
    <w:rPr>
      <w:rFonts w:cs="Times New Roman"/>
      <w:kern w:val="2"/>
    </w:rPr>
  </w:style>
  <w:style w:type="character" w:customStyle="1" w:styleId="150">
    <w:name w:val="_Style 128"/>
    <w:basedOn w:val="79"/>
    <w:qFormat/>
    <w:uiPriority w:val="99"/>
    <w:rPr>
      <w:rFonts w:ascii="Times New Roman" w:hAnsi="Times New Roman" w:eastAsia="宋体" w:cs="Times New Roman"/>
      <w:szCs w:val="21"/>
    </w:rPr>
  </w:style>
  <w:style w:type="paragraph" w:customStyle="1" w:styleId="151">
    <w:name w:val="_Style 129"/>
    <w:basedOn w:val="113"/>
    <w:qFormat/>
    <w:uiPriority w:val="99"/>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customStyle="1" w:styleId="152">
    <w:name w:val="_Style 130"/>
    <w:basedOn w:val="113"/>
    <w:next w:val="1"/>
    <w:qFormat/>
    <w:uiPriority w:val="99"/>
    <w:pPr>
      <w:widowControl w:val="0"/>
      <w:ind w:left="100" w:leftChars="2500"/>
      <w:jc w:val="both"/>
    </w:pPr>
    <w:rPr>
      <w:rFonts w:cs="Times New Roman"/>
      <w:kern w:val="2"/>
    </w:rPr>
  </w:style>
  <w:style w:type="character" w:customStyle="1" w:styleId="153">
    <w:name w:val="_Style 131"/>
    <w:basedOn w:val="79"/>
    <w:qFormat/>
    <w:uiPriority w:val="99"/>
    <w:rPr>
      <w:rFonts w:ascii="Times New Roman" w:hAnsi="Times New Roman" w:eastAsia="宋体" w:cs="Times New Roman"/>
      <w:szCs w:val="21"/>
    </w:rPr>
  </w:style>
  <w:style w:type="paragraph" w:customStyle="1" w:styleId="154">
    <w:name w:val="_Style 132"/>
    <w:basedOn w:val="113"/>
    <w:next w:val="1"/>
    <w:qFormat/>
    <w:uiPriority w:val="99"/>
    <w:pPr>
      <w:widowControl w:val="0"/>
      <w:jc w:val="center"/>
    </w:pPr>
    <w:rPr>
      <w:rFonts w:cs="Times New Roman"/>
      <w:kern w:val="2"/>
    </w:rPr>
  </w:style>
  <w:style w:type="character" w:customStyle="1" w:styleId="155">
    <w:name w:val="_Style 133"/>
    <w:basedOn w:val="79"/>
    <w:qFormat/>
    <w:uiPriority w:val="99"/>
    <w:rPr>
      <w:rFonts w:ascii="Times New Roman" w:hAnsi="Times New Roman" w:eastAsia="宋体" w:cs="Times New Roman"/>
      <w:szCs w:val="21"/>
    </w:rPr>
  </w:style>
  <w:style w:type="paragraph" w:customStyle="1" w:styleId="156">
    <w:name w:val="_Style 134"/>
    <w:basedOn w:val="113"/>
    <w:next w:val="1"/>
    <w:semiHidden/>
    <w:qFormat/>
    <w:uiPriority w:val="0"/>
    <w:pPr>
      <w:widowControl w:val="0"/>
      <w:spacing w:before="120"/>
      <w:jc w:val="both"/>
    </w:pPr>
    <w:rPr>
      <w:rFonts w:ascii="Arial" w:hAnsi="Arial" w:cs="Times New Roman"/>
      <w:b/>
      <w:kern w:val="2"/>
    </w:rPr>
  </w:style>
  <w:style w:type="paragraph" w:customStyle="1" w:styleId="157">
    <w:name w:val="_Style 135"/>
    <w:basedOn w:val="113"/>
    <w:qFormat/>
    <w:uiPriority w:val="0"/>
    <w:pPr>
      <w:keepNext/>
      <w:keepLines/>
      <w:widowControl w:val="0"/>
      <w:spacing w:before="60" w:after="60"/>
      <w:ind w:hanging="420" w:hangingChars="200"/>
      <w:jc w:val="both"/>
      <w:outlineLvl w:val="4"/>
    </w:pPr>
    <w:rPr>
      <w:rFonts w:cs="Times New Roman"/>
      <w:b/>
      <w:kern w:val="2"/>
    </w:rPr>
  </w:style>
  <w:style w:type="paragraph" w:customStyle="1" w:styleId="158">
    <w:name w:val="_Style 136"/>
    <w:hidden/>
    <w:semiHidden/>
    <w:qFormat/>
    <w:uiPriority w:val="99"/>
    <w:rPr>
      <w:rFonts w:ascii="Times New Roman" w:hAnsi="Times New Roman" w:eastAsia="宋体" w:cs="宋体"/>
      <w:kern w:val="2"/>
      <w:szCs w:val="22"/>
      <w:lang w:val="en-US" w:eastAsia="zh-CN" w:bidi="ar-SA"/>
    </w:rPr>
  </w:style>
  <w:style w:type="character" w:customStyle="1" w:styleId="159">
    <w:name w:val="_Style 137"/>
    <w:basedOn w:val="79"/>
    <w:qFormat/>
    <w:uiPriority w:val="0"/>
    <w:rPr>
      <w:kern w:val="2"/>
      <w:sz w:val="21"/>
      <w:szCs w:val="24"/>
    </w:rPr>
  </w:style>
  <w:style w:type="paragraph" w:customStyle="1" w:styleId="160">
    <w:name w:val="_Style 138"/>
    <w:basedOn w:val="113"/>
    <w:qFormat/>
    <w:uiPriority w:val="0"/>
    <w:pPr>
      <w:widowControl w:val="0"/>
      <w:spacing w:before="100" w:after="100"/>
      <w:jc w:val="both"/>
    </w:pPr>
    <w:rPr>
      <w:rFonts w:ascii="Calibri" w:hAnsi="Calibri" w:cs="Times New Roman"/>
      <w:kern w:val="2"/>
    </w:rPr>
  </w:style>
  <w:style w:type="paragraph" w:customStyle="1" w:styleId="161">
    <w:name w:val="_Style 139"/>
    <w:basedOn w:val="113"/>
    <w:semiHidden/>
    <w:unhideWhenUsed/>
    <w:qFormat/>
    <w:uiPriority w:val="99"/>
    <w:pPr>
      <w:widowControl w:val="0"/>
      <w:jc w:val="both"/>
    </w:pPr>
    <w:rPr>
      <w:rFonts w:hAnsi="Calibri" w:cs="Times New Roman"/>
      <w:kern w:val="2"/>
      <w:sz w:val="18"/>
      <w:szCs w:val="18"/>
    </w:rPr>
  </w:style>
  <w:style w:type="character" w:customStyle="1" w:styleId="162">
    <w:name w:val="_Style 140"/>
    <w:basedOn w:val="79"/>
    <w:semiHidden/>
    <w:qFormat/>
    <w:uiPriority w:val="99"/>
    <w:rPr>
      <w:rFonts w:ascii="宋体"/>
      <w:kern w:val="2"/>
      <w:sz w:val="18"/>
      <w:szCs w:val="18"/>
    </w:rPr>
  </w:style>
  <w:style w:type="character" w:customStyle="1" w:styleId="163">
    <w:name w:val="_Style 141"/>
    <w:basedOn w:val="79"/>
    <w:qFormat/>
    <w:uiPriority w:val="99"/>
    <w:rPr>
      <w:color w:val="auto"/>
    </w:rPr>
  </w:style>
  <w:style w:type="paragraph" w:customStyle="1" w:styleId="164">
    <w:name w:val="_Style 142"/>
    <w:basedOn w:val="113"/>
    <w:next w:val="1"/>
    <w:qFormat/>
    <w:uiPriority w:val="10"/>
    <w:pPr>
      <w:widowControl w:val="0"/>
      <w:spacing w:before="240" w:after="60"/>
      <w:jc w:val="center"/>
      <w:outlineLvl w:val="0"/>
    </w:pPr>
    <w:rPr>
      <w:rFonts w:asciiTheme="majorHAnsi" w:hAnsiTheme="majorHAnsi" w:cstheme="majorBidi"/>
      <w:b/>
      <w:kern w:val="2"/>
      <w:sz w:val="32"/>
      <w:szCs w:val="32"/>
    </w:rPr>
  </w:style>
  <w:style w:type="character" w:customStyle="1" w:styleId="165">
    <w:name w:val="_Style 143"/>
    <w:basedOn w:val="79"/>
    <w:qFormat/>
    <w:uiPriority w:val="10"/>
    <w:rPr>
      <w:rFonts w:asciiTheme="majorHAnsi" w:hAnsiTheme="majorHAnsi" w:cstheme="majorBidi"/>
      <w:b/>
      <w:kern w:val="2"/>
      <w:sz w:val="32"/>
      <w:szCs w:val="32"/>
    </w:rPr>
  </w:style>
  <w:style w:type="paragraph" w:customStyle="1" w:styleId="166">
    <w:name w:val="_Style 144"/>
    <w:qFormat/>
    <w:uiPriority w:val="1"/>
    <w:pPr>
      <w:widowControl w:val="0"/>
      <w:jc w:val="both"/>
    </w:pPr>
    <w:rPr>
      <w:rFonts w:ascii="Times New Roman" w:hAnsi="Times New Roman" w:eastAsia="宋体" w:cs="宋体"/>
      <w:kern w:val="2"/>
      <w:szCs w:val="22"/>
      <w:lang w:val="en-US" w:eastAsia="zh-CN" w:bidi="ar-SA"/>
    </w:rPr>
  </w:style>
  <w:style w:type="paragraph" w:customStyle="1" w:styleId="167">
    <w:name w:val="_Style 145"/>
    <w:basedOn w:val="113"/>
    <w:next w:val="1"/>
    <w:unhideWhenUsed/>
    <w:qFormat/>
    <w:uiPriority w:val="39"/>
    <w:pPr>
      <w:ind w:left="630"/>
    </w:pPr>
    <w:rPr>
      <w:rFonts w:asciiTheme="minorHAnsi" w:hAnsiTheme="minorHAnsi" w:cstheme="minorHAnsi"/>
      <w:sz w:val="18"/>
      <w:szCs w:val="18"/>
    </w:rPr>
  </w:style>
  <w:style w:type="paragraph" w:customStyle="1" w:styleId="168">
    <w:name w:val="_Style 146"/>
    <w:basedOn w:val="113"/>
    <w:next w:val="1"/>
    <w:unhideWhenUsed/>
    <w:qFormat/>
    <w:uiPriority w:val="39"/>
    <w:pPr>
      <w:ind w:left="840"/>
    </w:pPr>
    <w:rPr>
      <w:rFonts w:asciiTheme="minorHAnsi" w:hAnsiTheme="minorHAnsi" w:cstheme="minorHAnsi"/>
      <w:sz w:val="18"/>
      <w:szCs w:val="18"/>
    </w:rPr>
  </w:style>
  <w:style w:type="paragraph" w:customStyle="1" w:styleId="169">
    <w:name w:val="_Style 147"/>
    <w:basedOn w:val="113"/>
    <w:next w:val="1"/>
    <w:unhideWhenUsed/>
    <w:qFormat/>
    <w:uiPriority w:val="39"/>
    <w:pPr>
      <w:ind w:left="1050"/>
    </w:pPr>
    <w:rPr>
      <w:rFonts w:asciiTheme="minorHAnsi" w:hAnsiTheme="minorHAnsi" w:cstheme="minorHAnsi"/>
      <w:sz w:val="18"/>
      <w:szCs w:val="18"/>
    </w:rPr>
  </w:style>
  <w:style w:type="paragraph" w:customStyle="1" w:styleId="170">
    <w:name w:val="_Style 148"/>
    <w:basedOn w:val="113"/>
    <w:next w:val="1"/>
    <w:unhideWhenUsed/>
    <w:qFormat/>
    <w:uiPriority w:val="39"/>
    <w:pPr>
      <w:ind w:left="1260"/>
    </w:pPr>
    <w:rPr>
      <w:rFonts w:asciiTheme="minorHAnsi" w:hAnsiTheme="minorHAnsi" w:cstheme="minorHAnsi"/>
      <w:sz w:val="18"/>
      <w:szCs w:val="18"/>
    </w:rPr>
  </w:style>
  <w:style w:type="paragraph" w:customStyle="1" w:styleId="171">
    <w:name w:val="_Style 149"/>
    <w:basedOn w:val="113"/>
    <w:next w:val="1"/>
    <w:unhideWhenUsed/>
    <w:qFormat/>
    <w:uiPriority w:val="39"/>
    <w:pPr>
      <w:ind w:left="1470"/>
    </w:pPr>
    <w:rPr>
      <w:rFonts w:asciiTheme="minorHAnsi" w:hAnsiTheme="minorHAnsi" w:cstheme="minorHAnsi"/>
      <w:sz w:val="18"/>
      <w:szCs w:val="18"/>
    </w:rPr>
  </w:style>
  <w:style w:type="paragraph" w:customStyle="1" w:styleId="172">
    <w:name w:val="_Style 150"/>
    <w:basedOn w:val="113"/>
    <w:next w:val="1"/>
    <w:unhideWhenUsed/>
    <w:qFormat/>
    <w:uiPriority w:val="39"/>
    <w:pPr>
      <w:ind w:left="1680"/>
    </w:pPr>
    <w:rPr>
      <w:rFonts w:asciiTheme="minorHAnsi" w:hAnsiTheme="minorHAnsi" w:cstheme="minorHAnsi"/>
      <w:sz w:val="18"/>
      <w:szCs w:val="18"/>
    </w:rPr>
  </w:style>
  <w:style w:type="character" w:customStyle="1" w:styleId="173">
    <w:name w:val="_Style 151"/>
    <w:basedOn w:val="79"/>
    <w:qFormat/>
    <w:uiPriority w:val="9"/>
    <w:rPr>
      <w:rFonts w:asciiTheme="majorHAnsi" w:hAnsiTheme="majorHAnsi" w:cstheme="majorBidi"/>
      <w:b/>
      <w:sz w:val="21"/>
      <w:szCs w:val="24"/>
    </w:rPr>
  </w:style>
  <w:style w:type="paragraph" w:customStyle="1" w:styleId="174">
    <w:name w:val="_Style 152"/>
    <w:basedOn w:val="113"/>
    <w:qFormat/>
    <w:uiPriority w:val="99"/>
    <w:pPr>
      <w:spacing w:before="100" w:beforeAutospacing="1" w:after="100" w:afterAutospacing="1"/>
    </w:pPr>
    <w:rPr>
      <w:sz w:val="24"/>
    </w:rPr>
  </w:style>
  <w:style w:type="paragraph" w:customStyle="1" w:styleId="175">
    <w:name w:val="_Style 153"/>
    <w:basedOn w:val="113"/>
    <w:semiHidden/>
    <w:unhideWhenUsed/>
    <w:qFormat/>
    <w:uiPriority w:val="99"/>
    <w:pPr>
      <w:snapToGrid w:val="0"/>
    </w:pPr>
  </w:style>
  <w:style w:type="character" w:customStyle="1" w:styleId="176">
    <w:name w:val="_Style 154"/>
    <w:basedOn w:val="79"/>
    <w:semiHidden/>
    <w:qFormat/>
    <w:uiPriority w:val="99"/>
    <w:rPr>
      <w:rFonts w:ascii="宋体" w:hAnsi="宋体" w:cs="宋体"/>
      <w:sz w:val="21"/>
      <w:szCs w:val="24"/>
    </w:rPr>
  </w:style>
  <w:style w:type="character" w:customStyle="1" w:styleId="177">
    <w:name w:val="_Style 155"/>
    <w:basedOn w:val="79"/>
    <w:semiHidden/>
    <w:unhideWhenUsed/>
    <w:qFormat/>
    <w:uiPriority w:val="99"/>
    <w:rPr>
      <w:vertAlign w:val="superscript"/>
    </w:rPr>
  </w:style>
  <w:style w:type="character" w:customStyle="1" w:styleId="178">
    <w:name w:val="_Style 156"/>
    <w:basedOn w:val="132"/>
    <w:semiHidden/>
    <w:qFormat/>
    <w:uiPriority w:val="99"/>
    <w:rPr>
      <w:rFonts w:ascii="Times New Roman" w:hAnsi="Times New Roman" w:eastAsia="宋体" w:cs="Times New Roman"/>
      <w:b/>
      <w:szCs w:val="21"/>
    </w:rPr>
  </w:style>
  <w:style w:type="paragraph" w:customStyle="1" w:styleId="179">
    <w:name w:val="_Style 157"/>
    <w:basedOn w:val="113"/>
    <w:next w:val="1"/>
    <w:qFormat/>
    <w:uiPriority w:val="0"/>
    <w:pPr>
      <w:keepNext/>
      <w:keepLines/>
      <w:widowControl w:val="0"/>
      <w:spacing w:before="100" w:beforeAutospacing="1" w:after="100" w:afterAutospacing="1" w:line="415" w:lineRule="auto"/>
      <w:jc w:val="both"/>
    </w:pPr>
    <w:rPr>
      <w:rFonts w:cs="Times New Roman"/>
      <w:b/>
      <w:kern w:val="2"/>
    </w:rPr>
  </w:style>
  <w:style w:type="character" w:customStyle="1" w:styleId="180">
    <w:name w:val="_Style 158"/>
    <w:basedOn w:val="79"/>
    <w:qFormat/>
    <w:uiPriority w:val="0"/>
    <w:rPr>
      <w:rFonts w:ascii="Times New Roman" w:hAnsi="Times New Roman"/>
      <w:b/>
      <w:kern w:val="2"/>
      <w:sz w:val="21"/>
      <w:szCs w:val="24"/>
    </w:rPr>
  </w:style>
  <w:style w:type="character" w:customStyle="1" w:styleId="181">
    <w:name w:val="_Style 159"/>
    <w:basedOn w:val="132"/>
    <w:semiHidden/>
    <w:qFormat/>
    <w:uiPriority w:val="99"/>
    <w:rPr>
      <w:rFonts w:ascii="Times New Roman" w:hAnsi="Times New Roman" w:eastAsia="宋体" w:cs="Times New Roman"/>
      <w:b/>
      <w:szCs w:val="21"/>
    </w:rPr>
  </w:style>
  <w:style w:type="character" w:customStyle="1" w:styleId="182">
    <w:name w:val="_Style 160"/>
    <w:basedOn w:val="79"/>
    <w:qFormat/>
    <w:uiPriority w:val="9"/>
    <w:rPr>
      <w:rFonts w:ascii="宋体" w:hAnsi="宋体" w:cs="宋体"/>
      <w:b/>
      <w:sz w:val="24"/>
      <w:szCs w:val="24"/>
    </w:rPr>
  </w:style>
  <w:style w:type="paragraph" w:customStyle="1" w:styleId="183">
    <w:name w:val="_Style 161"/>
    <w:basedOn w:val="113"/>
    <w:next w:val="1"/>
    <w:semiHidden/>
    <w:qFormat/>
    <w:uiPriority w:val="0"/>
    <w:pPr>
      <w:ind w:firstLine="420" w:firstLineChars="200"/>
    </w:pPr>
    <w:rPr>
      <w:rFonts w:cs="Times New Roman"/>
      <w:color w:val="000000"/>
    </w:rPr>
  </w:style>
  <w:style w:type="paragraph" w:customStyle="1" w:styleId="184">
    <w:name w:val="_Style 162"/>
    <w:basedOn w:val="113"/>
    <w:qFormat/>
    <w:uiPriority w:val="0"/>
    <w:pPr>
      <w:widowControl w:val="0"/>
      <w:ind w:firstLine="420" w:firstLineChars="200"/>
      <w:jc w:val="both"/>
    </w:pPr>
    <w:rPr>
      <w:rFonts w:cs="Times New Roman"/>
      <w:kern w:val="2"/>
    </w:rPr>
  </w:style>
  <w:style w:type="paragraph" w:customStyle="1" w:styleId="185">
    <w:name w:val="_Style 163"/>
    <w:basedOn w:val="113"/>
    <w:qFormat/>
    <w:uiPriority w:val="0"/>
    <w:pPr>
      <w:widowControl w:val="0"/>
      <w:tabs>
        <w:tab w:val="left" w:pos="1200"/>
      </w:tabs>
      <w:jc w:val="both"/>
    </w:pPr>
    <w:rPr>
      <w:rFonts w:cs="Times New Roman"/>
      <w:kern w:val="2"/>
    </w:rPr>
  </w:style>
  <w:style w:type="character" w:customStyle="1" w:styleId="186">
    <w:name w:val="_Style 164"/>
    <w:qFormat/>
    <w:uiPriority w:val="9"/>
    <w:rPr>
      <w:rFonts w:ascii="Cambria" w:hAnsi="Cambria"/>
      <w:b/>
      <w:kern w:val="2"/>
      <w:sz w:val="21"/>
      <w:szCs w:val="28"/>
    </w:rPr>
  </w:style>
  <w:style w:type="paragraph" w:customStyle="1" w:styleId="187">
    <w:name w:val="_Style 165"/>
    <w:basedOn w:val="113"/>
    <w:qFormat/>
    <w:uiPriority w:val="34"/>
    <w:pPr>
      <w:widowControl w:val="0"/>
      <w:ind w:firstLine="420" w:firstLineChars="200"/>
      <w:jc w:val="both"/>
    </w:pPr>
    <w:rPr>
      <w:rFonts w:ascii="Calibri" w:hAnsi="Calibri" w:cs="Times New Roman"/>
      <w:kern w:val="2"/>
      <w:szCs w:val="22"/>
    </w:rPr>
  </w:style>
  <w:style w:type="table" w:customStyle="1" w:styleId="188">
    <w:name w:val="_Style 166"/>
    <w:basedOn w:val="80"/>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89">
    <w:name w:val="_Style 167"/>
    <w:basedOn w:val="113"/>
    <w:qFormat/>
    <w:uiPriority w:val="34"/>
    <w:pPr>
      <w:widowControl w:val="0"/>
      <w:ind w:firstLine="420" w:firstLineChars="200"/>
      <w:jc w:val="both"/>
    </w:pPr>
    <w:rPr>
      <w:rFonts w:ascii="Calibri" w:hAnsi="Calibri" w:cs="Times New Roman"/>
      <w:kern w:val="2"/>
      <w:szCs w:val="22"/>
    </w:rPr>
  </w:style>
  <w:style w:type="character" w:customStyle="1" w:styleId="190">
    <w:name w:val="_Style 168"/>
    <w:qFormat/>
    <w:uiPriority w:val="9"/>
    <w:rPr>
      <w:b/>
      <w:kern w:val="2"/>
      <w:sz w:val="21"/>
      <w:szCs w:val="32"/>
    </w:rPr>
  </w:style>
  <w:style w:type="paragraph" w:customStyle="1" w:styleId="191">
    <w:name w:val="_Style 169"/>
    <w:basedOn w:val="113"/>
    <w:qFormat/>
    <w:uiPriority w:val="34"/>
    <w:pPr>
      <w:widowControl w:val="0"/>
      <w:ind w:firstLine="420" w:firstLineChars="200"/>
      <w:jc w:val="both"/>
    </w:pPr>
    <w:rPr>
      <w:rFonts w:ascii="Calibri" w:hAnsi="Calibri" w:cs="Times New Roman"/>
      <w:kern w:val="2"/>
      <w:szCs w:val="22"/>
    </w:rPr>
  </w:style>
  <w:style w:type="paragraph" w:customStyle="1" w:styleId="192">
    <w:name w:val="_Style 170"/>
    <w:basedOn w:val="113"/>
    <w:qFormat/>
    <w:uiPriority w:val="34"/>
    <w:pPr>
      <w:widowControl w:val="0"/>
      <w:ind w:firstLine="420" w:firstLineChars="200"/>
      <w:jc w:val="both"/>
    </w:pPr>
    <w:rPr>
      <w:rFonts w:ascii="Calibri" w:hAnsi="Calibri" w:cs="Times New Roman"/>
      <w:kern w:val="2"/>
      <w:szCs w:val="22"/>
    </w:rPr>
  </w:style>
  <w:style w:type="paragraph" w:customStyle="1" w:styleId="193">
    <w:name w:val="_Style 171"/>
    <w:basedOn w:val="113"/>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194">
    <w:name w:val="_Style 172"/>
    <w:qFormat/>
    <w:uiPriority w:val="9"/>
    <w:rPr>
      <w:b/>
      <w:kern w:val="2"/>
      <w:sz w:val="21"/>
      <w:szCs w:val="28"/>
    </w:rPr>
  </w:style>
  <w:style w:type="paragraph" w:customStyle="1" w:styleId="195">
    <w:name w:val="_Style 173"/>
    <w:basedOn w:val="113"/>
    <w:qFormat/>
    <w:uiPriority w:val="34"/>
    <w:pPr>
      <w:widowControl w:val="0"/>
      <w:ind w:firstLine="420" w:firstLineChars="200"/>
      <w:jc w:val="both"/>
    </w:pPr>
    <w:rPr>
      <w:rFonts w:ascii="Calibri" w:hAnsi="Calibri" w:cs="Times New Roman"/>
      <w:kern w:val="2"/>
      <w:szCs w:val="22"/>
    </w:rPr>
  </w:style>
  <w:style w:type="character" w:customStyle="1" w:styleId="196">
    <w:name w:val="_Style 174"/>
    <w:qFormat/>
    <w:uiPriority w:val="9"/>
    <w:rPr>
      <w:b/>
      <w:kern w:val="2"/>
      <w:sz w:val="21"/>
      <w:szCs w:val="32"/>
    </w:rPr>
  </w:style>
  <w:style w:type="character" w:customStyle="1" w:styleId="197">
    <w:name w:val="_Style 175"/>
    <w:qFormat/>
    <w:uiPriority w:val="0"/>
    <w:rPr>
      <w:rFonts w:ascii="Arial" w:hAnsi="Arial"/>
      <w:b/>
      <w:kern w:val="2"/>
      <w:sz w:val="21"/>
      <w:szCs w:val="21"/>
    </w:rPr>
  </w:style>
  <w:style w:type="character" w:customStyle="1" w:styleId="198">
    <w:name w:val="_Style 176"/>
    <w:qFormat/>
    <w:uiPriority w:val="9"/>
    <w:rPr>
      <w:rFonts w:ascii="Cambria" w:hAnsi="Cambria"/>
      <w:b/>
      <w:kern w:val="2"/>
      <w:sz w:val="21"/>
      <w:szCs w:val="28"/>
    </w:rPr>
  </w:style>
  <w:style w:type="character" w:customStyle="1" w:styleId="199">
    <w:name w:val="_Style 177"/>
    <w:qFormat/>
    <w:uiPriority w:val="9"/>
    <w:rPr>
      <w:b/>
      <w:kern w:val="2"/>
      <w:sz w:val="21"/>
      <w:szCs w:val="28"/>
    </w:rPr>
  </w:style>
  <w:style w:type="paragraph" w:customStyle="1" w:styleId="200">
    <w:name w:val="_Style 178"/>
    <w:basedOn w:val="113"/>
    <w:qFormat/>
    <w:uiPriority w:val="34"/>
    <w:pPr>
      <w:widowControl w:val="0"/>
      <w:ind w:firstLine="420" w:firstLineChars="200"/>
      <w:jc w:val="both"/>
    </w:pPr>
    <w:rPr>
      <w:rFonts w:ascii="Calibri" w:hAnsi="Calibri" w:cs="Times New Roman"/>
      <w:kern w:val="2"/>
      <w:szCs w:val="22"/>
    </w:rPr>
  </w:style>
  <w:style w:type="character" w:customStyle="1" w:styleId="201">
    <w:name w:val="_Style 179"/>
    <w:qFormat/>
    <w:uiPriority w:val="0"/>
    <w:rPr>
      <w:rFonts w:ascii="Times New Roman" w:hAnsi="Times New Roman" w:cs="Times New Roman"/>
      <w:kern w:val="2"/>
      <w:sz w:val="21"/>
      <w:szCs w:val="21"/>
    </w:rPr>
  </w:style>
  <w:style w:type="character" w:customStyle="1" w:styleId="202">
    <w:name w:val="_Style 180"/>
    <w:qFormat/>
    <w:uiPriority w:val="0"/>
    <w:rPr>
      <w:rFonts w:hint="default" w:ascii="FZLTSK--GBK1-0" w:hAnsi="FZLTSK--GBK1-0"/>
      <w:bCs/>
      <w:color w:val="000000"/>
      <w:sz w:val="20"/>
      <w:szCs w:val="20"/>
    </w:rPr>
  </w:style>
  <w:style w:type="character" w:customStyle="1" w:styleId="203">
    <w:name w:val="_Style 181"/>
    <w:qFormat/>
    <w:uiPriority w:val="0"/>
    <w:rPr>
      <w:rFonts w:ascii="Arial" w:hAnsi="Arial"/>
      <w:b/>
      <w:kern w:val="2"/>
      <w:sz w:val="21"/>
      <w:szCs w:val="21"/>
    </w:rPr>
  </w:style>
  <w:style w:type="character" w:customStyle="1" w:styleId="204">
    <w:name w:val="_Style 182"/>
    <w:qFormat/>
    <w:uiPriority w:val="9"/>
    <w:rPr>
      <w:b/>
      <w:kern w:val="2"/>
      <w:sz w:val="21"/>
      <w:szCs w:val="28"/>
    </w:rPr>
  </w:style>
  <w:style w:type="character" w:customStyle="1" w:styleId="205">
    <w:name w:val="_Style 183"/>
    <w:qFormat/>
    <w:uiPriority w:val="9"/>
    <w:rPr>
      <w:b/>
      <w:kern w:val="2"/>
      <w:sz w:val="21"/>
      <w:szCs w:val="32"/>
    </w:rPr>
  </w:style>
  <w:style w:type="character" w:customStyle="1" w:styleId="206">
    <w:name w:val="_Style 184"/>
    <w:qFormat/>
    <w:uiPriority w:val="9"/>
    <w:rPr>
      <w:b/>
      <w:kern w:val="2"/>
      <w:sz w:val="21"/>
      <w:szCs w:val="32"/>
    </w:rPr>
  </w:style>
  <w:style w:type="paragraph" w:customStyle="1" w:styleId="207">
    <w:name w:val="_Style 185"/>
    <w:basedOn w:val="113"/>
    <w:semiHidden/>
    <w:unhideWhenUsed/>
    <w:qFormat/>
    <w:uiPriority w:val="99"/>
    <w:pPr>
      <w:widowControl w:val="0"/>
      <w:snapToGrid w:val="0"/>
    </w:pPr>
    <w:rPr>
      <w:rFonts w:ascii="Calibri" w:hAnsi="Calibri" w:cs="Times New Roman"/>
      <w:kern w:val="2"/>
      <w:sz w:val="18"/>
      <w:szCs w:val="18"/>
    </w:rPr>
  </w:style>
  <w:style w:type="character" w:customStyle="1" w:styleId="208">
    <w:name w:val="_Style 186"/>
    <w:basedOn w:val="79"/>
    <w:semiHidden/>
    <w:qFormat/>
    <w:uiPriority w:val="99"/>
    <w:rPr>
      <w:rFonts w:ascii="Calibri" w:hAnsi="Calibri" w:cs="Times New Roman"/>
      <w:kern w:val="2"/>
      <w:sz w:val="18"/>
      <w:szCs w:val="18"/>
    </w:rPr>
  </w:style>
  <w:style w:type="character" w:customStyle="1" w:styleId="209">
    <w:name w:val="_Style 187"/>
    <w:semiHidden/>
    <w:unhideWhenUsed/>
    <w:qFormat/>
    <w:uiPriority w:val="99"/>
    <w:rPr>
      <w:vertAlign w:val="superscript"/>
    </w:rPr>
  </w:style>
  <w:style w:type="character" w:customStyle="1" w:styleId="210">
    <w:name w:val="_Style 188"/>
    <w:basedOn w:val="79"/>
    <w:qFormat/>
    <w:uiPriority w:val="0"/>
    <w:rPr>
      <w:rFonts w:hint="eastAsia" w:ascii="宋体" w:hAnsi="宋体" w:eastAsia="宋体"/>
      <w:bCs/>
      <w:color w:val="000000"/>
      <w:sz w:val="21"/>
      <w:szCs w:val="21"/>
      <w:u w:val="none"/>
    </w:rPr>
  </w:style>
  <w:style w:type="character" w:customStyle="1" w:styleId="211">
    <w:name w:val="_Style 189"/>
    <w:basedOn w:val="79"/>
    <w:qFormat/>
    <w:uiPriority w:val="0"/>
    <w:rPr>
      <w:rFonts w:hint="default" w:ascii="Arial Narrow" w:hAnsi="Arial Narrow"/>
      <w:bCs/>
      <w:color w:val="000000"/>
      <w:sz w:val="21"/>
      <w:szCs w:val="21"/>
      <w:u w:val="none"/>
    </w:rPr>
  </w:style>
  <w:style w:type="character" w:customStyle="1" w:styleId="212">
    <w:name w:val="_Style 190"/>
    <w:basedOn w:val="79"/>
    <w:qFormat/>
    <w:uiPriority w:val="0"/>
    <w:rPr>
      <w:rFonts w:hint="default" w:ascii="Times New Roman" w:hAnsi="Times New Roman" w:cs="Times New Roman"/>
      <w:bCs/>
      <w:color w:val="000000"/>
      <w:sz w:val="21"/>
      <w:szCs w:val="21"/>
      <w:u w:val="none"/>
    </w:rPr>
  </w:style>
  <w:style w:type="character" w:customStyle="1" w:styleId="213">
    <w:name w:val="_Style 191"/>
    <w:basedOn w:val="79"/>
    <w:qFormat/>
    <w:uiPriority w:val="0"/>
    <w:rPr>
      <w:rFonts w:hint="eastAsia" w:ascii="宋体" w:hAnsi="宋体" w:eastAsia="宋体"/>
      <w:bCs/>
      <w:color w:val="000000"/>
      <w:sz w:val="21"/>
      <w:szCs w:val="21"/>
      <w:u w:val="none"/>
    </w:rPr>
  </w:style>
  <w:style w:type="character" w:customStyle="1" w:styleId="214">
    <w:name w:val="_Style 192"/>
    <w:basedOn w:val="79"/>
    <w:qFormat/>
    <w:uiPriority w:val="0"/>
    <w:rPr>
      <w:rFonts w:hint="eastAsia" w:ascii="宋体" w:hAnsi="宋体" w:eastAsia="宋体"/>
      <w:bCs/>
      <w:color w:val="000000"/>
      <w:sz w:val="21"/>
      <w:szCs w:val="21"/>
      <w:u w:val="none"/>
    </w:rPr>
  </w:style>
  <w:style w:type="character" w:customStyle="1" w:styleId="215">
    <w:name w:val="正文缩进 字符1"/>
    <w:basedOn w:val="79"/>
    <w:link w:val="11"/>
    <w:qFormat/>
    <w:uiPriority w:val="0"/>
    <w:rPr>
      <w:bCs/>
      <w:sz w:val="21"/>
      <w:szCs w:val="21"/>
    </w:rPr>
  </w:style>
  <w:style w:type="character" w:customStyle="1" w:styleId="216">
    <w:name w:val="称呼 字符1"/>
    <w:basedOn w:val="79"/>
    <w:link w:val="15"/>
    <w:qFormat/>
    <w:uiPriority w:val="99"/>
    <w:rPr>
      <w:bCs/>
      <w:sz w:val="18"/>
      <w:szCs w:val="18"/>
    </w:rPr>
  </w:style>
  <w:style w:type="character" w:customStyle="1" w:styleId="217">
    <w:name w:val="_Style 195"/>
    <w:basedOn w:val="79"/>
    <w:qFormat/>
    <w:uiPriority w:val="0"/>
    <w:rPr>
      <w:rFonts w:hint="default" w:ascii="Arial Narrow" w:hAnsi="Arial Narrow"/>
      <w:color w:val="000000"/>
      <w:sz w:val="21"/>
      <w:szCs w:val="21"/>
      <w:u w:val="none"/>
    </w:rPr>
  </w:style>
  <w:style w:type="character" w:customStyle="1" w:styleId="218">
    <w:name w:val="_Style 196"/>
    <w:basedOn w:val="79"/>
    <w:qFormat/>
    <w:uiPriority w:val="0"/>
    <w:rPr>
      <w:rFonts w:hint="default" w:ascii="Times New Roman" w:hAnsi="Times New Roman" w:cs="Times New Roman"/>
      <w:color w:val="000000"/>
      <w:sz w:val="21"/>
      <w:szCs w:val="21"/>
      <w:u w:val="none"/>
    </w:rPr>
  </w:style>
  <w:style w:type="character" w:customStyle="1" w:styleId="219">
    <w:name w:val="_Style 197"/>
    <w:basedOn w:val="79"/>
    <w:qFormat/>
    <w:uiPriority w:val="0"/>
    <w:rPr>
      <w:rFonts w:hint="eastAsia" w:ascii="宋体" w:hAnsi="宋体" w:eastAsia="宋体" w:cs="宋体"/>
      <w:color w:val="000000"/>
      <w:sz w:val="21"/>
      <w:szCs w:val="21"/>
      <w:u w:val="none"/>
    </w:rPr>
  </w:style>
  <w:style w:type="character" w:customStyle="1" w:styleId="220">
    <w:name w:val="_Style 198"/>
    <w:basedOn w:val="79"/>
    <w:qFormat/>
    <w:uiPriority w:val="99"/>
    <w:rPr>
      <w:color w:val="auto"/>
    </w:rPr>
  </w:style>
  <w:style w:type="character" w:customStyle="1" w:styleId="221">
    <w:name w:val="纯文本 字符1"/>
    <w:basedOn w:val="215"/>
    <w:qFormat/>
    <w:uiPriority w:val="0"/>
    <w:rPr>
      <w:rFonts w:cs="宋体"/>
      <w:b/>
      <w:sz w:val="21"/>
      <w:szCs w:val="21"/>
    </w:rPr>
  </w:style>
  <w:style w:type="character" w:customStyle="1" w:styleId="222">
    <w:name w:val="批注框文本 字符"/>
    <w:basedOn w:val="39"/>
    <w:link w:val="24"/>
    <w:semiHidden/>
    <w:qFormat/>
    <w:uiPriority w:val="99"/>
    <w:rPr>
      <w:rFonts w:cs="宋体"/>
      <w:bCs/>
      <w:sz w:val="18"/>
      <w:szCs w:val="18"/>
    </w:rPr>
  </w:style>
  <w:style w:type="character" w:styleId="223">
    <w:name w:val="Placeholder Text"/>
    <w:basedOn w:val="39"/>
    <w:qFormat/>
    <w:uiPriority w:val="99"/>
    <w:rPr>
      <w:color w:val="808080"/>
    </w:rPr>
  </w:style>
  <w:style w:type="character" w:customStyle="1" w:styleId="224">
    <w:name w:val="标题 5 字符"/>
    <w:basedOn w:val="39"/>
    <w:link w:val="6"/>
    <w:qFormat/>
    <w:uiPriority w:val="9"/>
    <w:rPr>
      <w:rFonts w:ascii="Calibri" w:hAnsi="Calibri" w:eastAsia="宋体" w:cs="Times New Roman"/>
      <w:b/>
      <w:kern w:val="2"/>
      <w:sz w:val="21"/>
      <w:szCs w:val="28"/>
      <w:lang w:val="en-US" w:eastAsia="zh-CN" w:bidi="ar-SA"/>
    </w:rPr>
  </w:style>
  <w:style w:type="paragraph" w:customStyle="1" w:styleId="225">
    <w:name w:val="TOC 标题1"/>
    <w:basedOn w:val="2"/>
    <w:next w:val="1"/>
    <w:qFormat/>
    <w:uiPriority w:val="39"/>
    <w:pPr>
      <w:widowControl/>
      <w:spacing w:before="480" w:after="0" w:line="276" w:lineRule="auto"/>
      <w:outlineLvl w:val="9"/>
    </w:pPr>
    <w:rPr>
      <w:rFonts w:ascii="Cambria" w:hAnsi="Cambria" w:eastAsia="宋体"/>
      <w:color w:val="365F91"/>
      <w:kern w:val="0"/>
      <w:szCs w:val="28"/>
    </w:rPr>
  </w:style>
  <w:style w:type="character" w:customStyle="1" w:styleId="226">
    <w:name w:val="notnullcss1"/>
    <w:basedOn w:val="39"/>
    <w:qFormat/>
    <w:uiPriority w:val="99"/>
    <w:rPr>
      <w:rFonts w:ascii="Times New Roman" w:hAnsi="Times New Roman" w:eastAsia="宋体" w:cs="Times New Roman"/>
      <w:bCs/>
      <w:color w:val="FF0000"/>
      <w:kern w:val="2"/>
      <w:sz w:val="24"/>
      <w:szCs w:val="24"/>
      <w:lang w:val="en-US" w:eastAsia="zh-CN" w:bidi="ar-SA"/>
    </w:rPr>
  </w:style>
  <w:style w:type="paragraph" w:customStyle="1" w:styleId="227">
    <w:name w:val="xl61"/>
    <w:basedOn w:val="1"/>
    <w:uiPriority w:val="99"/>
    <w:pPr>
      <w:spacing w:before="100" w:after="100"/>
      <w:jc w:val="right"/>
    </w:pPr>
    <w:rPr>
      <w:rFonts w:ascii="Arial Unicode MS" w:eastAsia="Arial Unicode MS" w:cs="Times New Roman"/>
      <w:sz w:val="18"/>
      <w:szCs w:val="18"/>
    </w:rPr>
  </w:style>
  <w:style w:type="character" w:customStyle="1" w:styleId="228">
    <w:name w:val="headline-content2"/>
    <w:basedOn w:val="39"/>
    <w:qFormat/>
    <w:uiPriority w:val="0"/>
    <w:rPr>
      <w:rFonts w:ascii="Times New Roman" w:hAnsi="Times New Roman" w:eastAsia="宋体" w:cs="Times New Roman"/>
      <w:bCs/>
      <w:kern w:val="2"/>
      <w:sz w:val="24"/>
      <w:szCs w:val="24"/>
      <w:lang w:val="en-US" w:eastAsia="zh-CN" w:bidi="ar-SA"/>
    </w:rPr>
  </w:style>
  <w:style w:type="character" w:customStyle="1" w:styleId="229">
    <w:name w:val="正文文本 字符"/>
    <w:basedOn w:val="39"/>
    <w:link w:val="17"/>
    <w:qFormat/>
    <w:uiPriority w:val="99"/>
    <w:rPr>
      <w:rFonts w:ascii="Times New Roman" w:hAnsi="Times New Roman" w:eastAsia="宋体" w:cs="Times New Roman"/>
      <w:bCs/>
      <w:kern w:val="2"/>
      <w:sz w:val="21"/>
      <w:szCs w:val="21"/>
      <w:lang w:val="en-US" w:eastAsia="zh-CN" w:bidi="ar-SA"/>
    </w:rPr>
  </w:style>
  <w:style w:type="paragraph" w:customStyle="1" w:styleId="230">
    <w:name w:val="write2"/>
    <w:basedOn w:val="1"/>
    <w:qFormat/>
    <w:uiPriority w:val="99"/>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231">
    <w:name w:val="日期 字符"/>
    <w:basedOn w:val="39"/>
    <w:link w:val="22"/>
    <w:qFormat/>
    <w:uiPriority w:val="99"/>
    <w:rPr>
      <w:rFonts w:ascii="Times New Roman" w:hAnsi="Times New Roman" w:eastAsia="宋体" w:cs="Times New Roman"/>
      <w:bCs/>
      <w:kern w:val="2"/>
      <w:sz w:val="21"/>
      <w:szCs w:val="21"/>
      <w:lang w:val="en-US" w:eastAsia="zh-CN" w:bidi="ar-SA"/>
    </w:rPr>
  </w:style>
  <w:style w:type="character" w:customStyle="1" w:styleId="232">
    <w:name w:val="注释标题 字符"/>
    <w:basedOn w:val="39"/>
    <w:link w:val="10"/>
    <w:qFormat/>
    <w:uiPriority w:val="99"/>
    <w:rPr>
      <w:rFonts w:ascii="Times New Roman" w:hAnsi="Times New Roman" w:eastAsia="宋体" w:cs="Times New Roman"/>
      <w:bCs/>
      <w:kern w:val="2"/>
      <w:sz w:val="21"/>
      <w:szCs w:val="21"/>
      <w:lang w:val="en-US" w:eastAsia="zh-CN" w:bidi="ar-SA"/>
    </w:rPr>
  </w:style>
  <w:style w:type="paragraph" w:customStyle="1" w:styleId="233">
    <w:name w:val="标题5"/>
    <w:basedOn w:val="1"/>
    <w:qFormat/>
    <w:uiPriority w:val="0"/>
    <w:pPr>
      <w:keepNext/>
      <w:keepLines/>
      <w:widowControl w:val="0"/>
      <w:spacing w:before="60" w:after="60"/>
      <w:ind w:hanging="420" w:hangingChars="200"/>
      <w:jc w:val="both"/>
      <w:outlineLvl w:val="4"/>
    </w:pPr>
    <w:rPr>
      <w:rFonts w:cs="Times New Roman"/>
      <w:b/>
      <w:bCs w:val="0"/>
      <w:kern w:val="2"/>
    </w:rPr>
  </w:style>
  <w:style w:type="paragraph" w:customStyle="1" w:styleId="234">
    <w:name w:val="修订1"/>
    <w:hidden/>
    <w:semiHidden/>
    <w:qFormat/>
    <w:uiPriority w:val="99"/>
    <w:rPr>
      <w:rFonts w:ascii="Times New Roman" w:hAnsi="Times New Roman" w:eastAsia="宋体" w:cs="宋体"/>
      <w:bCs/>
      <w:kern w:val="2"/>
      <w:sz w:val="21"/>
      <w:szCs w:val="22"/>
      <w:lang w:val="en-US" w:eastAsia="zh-CN" w:bidi="ar-SA"/>
    </w:rPr>
  </w:style>
  <w:style w:type="character" w:customStyle="1" w:styleId="235">
    <w:name w:val="正文的样式 Char"/>
    <w:basedOn w:val="39"/>
    <w:link w:val="236"/>
    <w:qFormat/>
    <w:uiPriority w:val="0"/>
    <w:rPr>
      <w:rFonts w:ascii="Calibri" w:hAnsi="Calibri" w:eastAsia="宋体" w:cs="Times New Roman"/>
      <w:bCs/>
      <w:kern w:val="2"/>
      <w:sz w:val="21"/>
      <w:szCs w:val="21"/>
      <w:lang w:val="en-US" w:eastAsia="zh-CN" w:bidi="ar-SA"/>
    </w:rPr>
  </w:style>
  <w:style w:type="paragraph" w:customStyle="1" w:styleId="236">
    <w:name w:val="正文的样式"/>
    <w:basedOn w:val="1"/>
    <w:link w:val="235"/>
    <w:qFormat/>
    <w:uiPriority w:val="0"/>
    <w:pPr>
      <w:widowControl w:val="0"/>
      <w:spacing w:before="100" w:after="100"/>
      <w:jc w:val="both"/>
    </w:pPr>
    <w:rPr>
      <w:rFonts w:ascii="Calibri" w:hAnsi="Calibri" w:cs="Times New Roman"/>
      <w:kern w:val="2"/>
    </w:rPr>
  </w:style>
  <w:style w:type="character" w:customStyle="1" w:styleId="237">
    <w:name w:val="文档结构图 字符"/>
    <w:basedOn w:val="39"/>
    <w:link w:val="12"/>
    <w:semiHidden/>
    <w:uiPriority w:val="99"/>
    <w:rPr>
      <w:rFonts w:ascii="Times New Roman" w:hAnsi="Calibri" w:eastAsia="宋体" w:cs="Times New Roman"/>
      <w:bCs/>
      <w:kern w:val="2"/>
      <w:sz w:val="18"/>
      <w:szCs w:val="18"/>
      <w:lang w:val="en-US" w:eastAsia="zh-CN" w:bidi="ar-SA"/>
    </w:rPr>
  </w:style>
  <w:style w:type="character" w:customStyle="1" w:styleId="238">
    <w:name w:val="标题 字符"/>
    <w:basedOn w:val="39"/>
    <w:link w:val="35"/>
    <w:qFormat/>
    <w:uiPriority w:val="10"/>
    <w:rPr>
      <w:rFonts w:eastAsia="宋体" w:asciiTheme="majorHAnsi" w:hAnsiTheme="majorHAnsi" w:cstheme="majorBidi"/>
      <w:b/>
      <w:kern w:val="2"/>
      <w:sz w:val="32"/>
      <w:szCs w:val="32"/>
      <w:lang w:val="en-US" w:eastAsia="zh-CN" w:bidi="ar-SA"/>
    </w:rPr>
  </w:style>
  <w:style w:type="paragraph" w:styleId="239">
    <w:name w:val="No Spacing"/>
    <w:qFormat/>
    <w:uiPriority w:val="1"/>
    <w:pPr>
      <w:widowControl w:val="0"/>
      <w:jc w:val="both"/>
    </w:pPr>
    <w:rPr>
      <w:rFonts w:ascii="Times New Roman" w:hAnsi="Times New Roman" w:eastAsia="宋体" w:cs="宋体"/>
      <w:bCs/>
      <w:kern w:val="2"/>
      <w:sz w:val="21"/>
      <w:szCs w:val="22"/>
      <w:lang w:val="en-US" w:eastAsia="zh-CN" w:bidi="ar-SA"/>
    </w:rPr>
  </w:style>
  <w:style w:type="character" w:customStyle="1" w:styleId="240">
    <w:name w:val="标题 6 字符"/>
    <w:basedOn w:val="39"/>
    <w:link w:val="7"/>
    <w:uiPriority w:val="9"/>
    <w:rPr>
      <w:rFonts w:eastAsia="宋体" w:asciiTheme="majorHAnsi" w:hAnsiTheme="majorHAnsi" w:cstheme="majorBidi"/>
      <w:b/>
      <w:sz w:val="21"/>
      <w:szCs w:val="21"/>
      <w:lang w:val="en-US" w:eastAsia="zh-CN" w:bidi="ar-SA"/>
    </w:rPr>
  </w:style>
  <w:style w:type="character" w:customStyle="1" w:styleId="241">
    <w:name w:val="尾注文本 字符"/>
    <w:basedOn w:val="39"/>
    <w:link w:val="23"/>
    <w:semiHidden/>
    <w:qFormat/>
    <w:uiPriority w:val="99"/>
    <w:rPr>
      <w:rFonts w:ascii="Times New Roman" w:hAnsi="Times New Roman" w:eastAsia="宋体" w:cs="宋体"/>
      <w:bCs/>
      <w:sz w:val="21"/>
      <w:szCs w:val="21"/>
      <w:lang w:val="en-US" w:eastAsia="zh-CN" w:bidi="ar-SA"/>
    </w:rPr>
  </w:style>
  <w:style w:type="character" w:customStyle="1" w:styleId="242">
    <w:name w:val="批注主题 Char1"/>
    <w:basedOn w:val="70"/>
    <w:semiHidden/>
    <w:uiPriority w:val="99"/>
    <w:rPr>
      <w:rFonts w:ascii="Times New Roman" w:hAnsi="Times New Roman" w:eastAsia="宋体" w:cs="Times New Roman"/>
      <w:b/>
      <w:bCs w:val="0"/>
      <w:sz w:val="21"/>
      <w:szCs w:val="21"/>
      <w:lang w:val="en-US" w:eastAsia="zh-CN" w:bidi="ar-SA"/>
    </w:rPr>
  </w:style>
  <w:style w:type="paragraph" w:customStyle="1" w:styleId="243">
    <w:name w:val="标题  3"/>
    <w:basedOn w:val="1"/>
    <w:next w:val="1"/>
    <w:link w:val="244"/>
    <w:qFormat/>
    <w:uiPriority w:val="0"/>
    <w:pPr>
      <w:keepNext/>
      <w:keepLines/>
      <w:widowControl w:val="0"/>
      <w:spacing w:before="100" w:beforeAutospacing="1" w:after="100" w:afterAutospacing="1" w:line="415" w:lineRule="auto"/>
      <w:jc w:val="both"/>
    </w:pPr>
    <w:rPr>
      <w:rFonts w:cs="Times New Roman"/>
      <w:b/>
      <w:kern w:val="2"/>
    </w:rPr>
  </w:style>
  <w:style w:type="character" w:customStyle="1" w:styleId="244">
    <w:name w:val="标题  3 Char"/>
    <w:basedOn w:val="39"/>
    <w:link w:val="243"/>
    <w:qFormat/>
    <w:uiPriority w:val="0"/>
    <w:rPr>
      <w:rFonts w:ascii="Times New Roman" w:hAnsi="Times New Roman" w:eastAsia="宋体" w:cs="Times New Roman"/>
      <w:b/>
      <w:bCs/>
      <w:kern w:val="2"/>
      <w:sz w:val="21"/>
      <w:szCs w:val="21"/>
      <w:lang w:val="en-US" w:eastAsia="zh-CN" w:bidi="ar-SA"/>
    </w:rPr>
  </w:style>
  <w:style w:type="character" w:customStyle="1" w:styleId="245">
    <w:name w:val="批注主题 字符1"/>
    <w:basedOn w:val="70"/>
    <w:semiHidden/>
    <w:uiPriority w:val="99"/>
    <w:rPr>
      <w:rFonts w:ascii="Times New Roman" w:hAnsi="Times New Roman" w:eastAsia="宋体" w:cs="Times New Roman"/>
      <w:b/>
      <w:bCs w:val="0"/>
      <w:sz w:val="21"/>
      <w:szCs w:val="21"/>
      <w:lang w:val="en-US" w:eastAsia="zh-CN" w:bidi="ar-SA"/>
    </w:rPr>
  </w:style>
  <w:style w:type="character" w:customStyle="1" w:styleId="246">
    <w:name w:val="标题 7 字符"/>
    <w:basedOn w:val="39"/>
    <w:link w:val="8"/>
    <w:qFormat/>
    <w:uiPriority w:val="9"/>
    <w:rPr>
      <w:rFonts w:ascii="Times New Roman" w:hAnsi="Times New Roman" w:eastAsia="宋体" w:cs="宋体"/>
      <w:b/>
      <w:sz w:val="24"/>
      <w:szCs w:val="21"/>
      <w:lang w:val="en-US" w:eastAsia="zh-CN" w:bidi="ar-SA"/>
    </w:rPr>
  </w:style>
  <w:style w:type="character" w:customStyle="1" w:styleId="247">
    <w:name w:val="span_"/>
    <w:basedOn w:val="39"/>
    <w:qFormat/>
    <w:uiPriority w:val="0"/>
    <w:rPr>
      <w:rFonts w:ascii="Times New Roman" w:hAnsi="Times New Roman" w:eastAsia="宋体" w:cs="宋体"/>
      <w:bCs/>
      <w:sz w:val="21"/>
      <w:szCs w:val="21"/>
      <w:lang w:val="en-US" w:eastAsia="zh-CN" w:bidi="ar-SA"/>
    </w:rPr>
  </w:style>
  <w:style w:type="character" w:customStyle="1" w:styleId="248">
    <w:name w:val="标题 4 Char"/>
    <w:qFormat/>
    <w:uiPriority w:val="9"/>
    <w:rPr>
      <w:rFonts w:ascii="Cambria" w:hAnsi="Cambria" w:eastAsia="宋体" w:cs="宋体"/>
      <w:b/>
      <w:kern w:val="2"/>
      <w:sz w:val="21"/>
      <w:szCs w:val="28"/>
      <w:lang w:val="en-US" w:eastAsia="zh-CN" w:bidi="ar-SA"/>
    </w:rPr>
  </w:style>
  <w:style w:type="paragraph" w:customStyle="1" w:styleId="249">
    <w:name w:val="4"/>
    <w:basedOn w:val="1"/>
    <w:next w:val="50"/>
    <w:qFormat/>
    <w:uiPriority w:val="34"/>
    <w:pPr>
      <w:widowControl w:val="0"/>
      <w:ind w:firstLine="420" w:firstLineChars="200"/>
      <w:jc w:val="both"/>
    </w:pPr>
    <w:rPr>
      <w:rFonts w:ascii="Calibri" w:hAnsi="Calibri" w:cs="Times New Roman"/>
      <w:kern w:val="2"/>
      <w:szCs w:val="22"/>
    </w:rPr>
  </w:style>
  <w:style w:type="table" w:customStyle="1" w:styleId="250">
    <w:name w:val="无格式表格 21"/>
    <w:basedOn w:val="37"/>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251">
    <w:name w:val="3"/>
    <w:basedOn w:val="1"/>
    <w:next w:val="50"/>
    <w:qFormat/>
    <w:uiPriority w:val="34"/>
    <w:pPr>
      <w:widowControl w:val="0"/>
      <w:ind w:firstLine="420" w:firstLineChars="200"/>
      <w:jc w:val="both"/>
    </w:pPr>
    <w:rPr>
      <w:rFonts w:ascii="Calibri" w:hAnsi="Calibri" w:cs="Times New Roman"/>
      <w:kern w:val="2"/>
      <w:szCs w:val="22"/>
    </w:rPr>
  </w:style>
  <w:style w:type="character" w:customStyle="1" w:styleId="252">
    <w:name w:val="标题 3 Char"/>
    <w:qFormat/>
    <w:uiPriority w:val="9"/>
    <w:rPr>
      <w:rFonts w:ascii="Times New Roman" w:hAnsi="Times New Roman" w:eastAsia="宋体" w:cs="宋体"/>
      <w:b/>
      <w:kern w:val="2"/>
      <w:sz w:val="21"/>
      <w:szCs w:val="32"/>
      <w:lang w:val="en-US" w:eastAsia="zh-CN" w:bidi="ar-SA"/>
    </w:rPr>
  </w:style>
  <w:style w:type="paragraph" w:customStyle="1" w:styleId="253">
    <w:name w:val="2"/>
    <w:basedOn w:val="1"/>
    <w:next w:val="50"/>
    <w:qFormat/>
    <w:uiPriority w:val="34"/>
    <w:pPr>
      <w:widowControl w:val="0"/>
      <w:ind w:firstLine="420" w:firstLineChars="200"/>
      <w:jc w:val="both"/>
    </w:pPr>
    <w:rPr>
      <w:rFonts w:ascii="Calibri" w:hAnsi="Calibri" w:cs="Times New Roman"/>
      <w:kern w:val="2"/>
      <w:szCs w:val="22"/>
    </w:rPr>
  </w:style>
  <w:style w:type="paragraph" w:customStyle="1" w:styleId="254">
    <w:name w:val="1"/>
    <w:basedOn w:val="1"/>
    <w:next w:val="50"/>
    <w:qFormat/>
    <w:uiPriority w:val="34"/>
    <w:pPr>
      <w:widowControl w:val="0"/>
      <w:ind w:firstLine="420" w:firstLineChars="200"/>
      <w:jc w:val="both"/>
    </w:pPr>
    <w:rPr>
      <w:rFonts w:ascii="Calibri" w:hAnsi="Calibri" w:cs="Times New Roman"/>
      <w:kern w:val="2"/>
      <w:szCs w:val="22"/>
    </w:rPr>
  </w:style>
  <w:style w:type="paragraph" w:customStyle="1" w:styleId="255">
    <w:name w:val="Table Paragraph"/>
    <w:basedOn w:val="1"/>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256">
    <w:name w:val="批注文字 Char"/>
    <w:qFormat/>
    <w:uiPriority w:val="0"/>
    <w:rPr>
      <w:rFonts w:ascii="Times New Roman" w:hAnsi="Times New Roman" w:eastAsia="宋体" w:cs="宋体"/>
      <w:bCs/>
      <w:kern w:val="2"/>
      <w:sz w:val="21"/>
      <w:szCs w:val="21"/>
      <w:lang w:val="en-US" w:eastAsia="zh-CN" w:bidi="ar-SA"/>
    </w:rPr>
  </w:style>
  <w:style w:type="character" w:customStyle="1" w:styleId="257">
    <w:name w:val="标题 5 Char"/>
    <w:qFormat/>
    <w:uiPriority w:val="9"/>
    <w:rPr>
      <w:rFonts w:ascii="Times New Roman" w:hAnsi="Times New Roman" w:eastAsia="宋体" w:cs="宋体"/>
      <w:b/>
      <w:kern w:val="2"/>
      <w:sz w:val="21"/>
      <w:szCs w:val="28"/>
      <w:lang w:val="en-US" w:eastAsia="zh-CN" w:bidi="ar-SA"/>
    </w:rPr>
  </w:style>
  <w:style w:type="paragraph" w:customStyle="1" w:styleId="258">
    <w:name w:val="6"/>
    <w:basedOn w:val="1"/>
    <w:next w:val="50"/>
    <w:qFormat/>
    <w:uiPriority w:val="34"/>
    <w:pPr>
      <w:widowControl w:val="0"/>
      <w:ind w:firstLine="420" w:firstLineChars="200"/>
      <w:jc w:val="both"/>
    </w:pPr>
    <w:rPr>
      <w:rFonts w:ascii="Calibri" w:hAnsi="Calibri" w:cs="Times New Roman"/>
      <w:kern w:val="2"/>
      <w:szCs w:val="22"/>
    </w:rPr>
  </w:style>
  <w:style w:type="character" w:customStyle="1" w:styleId="259">
    <w:name w:val="批注文字 Char1"/>
    <w:qFormat/>
    <w:uiPriority w:val="0"/>
    <w:rPr>
      <w:rFonts w:ascii="Times New Roman" w:hAnsi="Times New Roman" w:eastAsia="宋体" w:cs="宋体"/>
      <w:bCs/>
      <w:kern w:val="2"/>
      <w:sz w:val="21"/>
      <w:szCs w:val="21"/>
      <w:lang w:val="en-US" w:eastAsia="zh-CN" w:bidi="ar-SA"/>
    </w:rPr>
  </w:style>
  <w:style w:type="character" w:customStyle="1" w:styleId="260">
    <w:name w:val="标题 3 Char1"/>
    <w:qFormat/>
    <w:uiPriority w:val="9"/>
    <w:rPr>
      <w:rFonts w:ascii="Times New Roman" w:hAnsi="Times New Roman" w:eastAsia="宋体" w:cs="宋体"/>
      <w:b/>
      <w:kern w:val="2"/>
      <w:sz w:val="21"/>
      <w:szCs w:val="32"/>
      <w:lang w:val="en-US" w:eastAsia="zh-CN" w:bidi="ar-SA"/>
    </w:rPr>
  </w:style>
  <w:style w:type="character" w:customStyle="1" w:styleId="261">
    <w:name w:val="标题 2 Char"/>
    <w:qFormat/>
    <w:uiPriority w:val="0"/>
    <w:rPr>
      <w:rFonts w:ascii="Arial" w:hAnsi="Arial" w:eastAsia="宋体" w:cs="宋体"/>
      <w:b/>
      <w:kern w:val="2"/>
      <w:sz w:val="21"/>
      <w:szCs w:val="21"/>
      <w:lang w:val="en-US" w:eastAsia="zh-CN" w:bidi="ar-SA"/>
    </w:rPr>
  </w:style>
  <w:style w:type="character" w:customStyle="1" w:styleId="262">
    <w:name w:val="标题 4 Char1"/>
    <w:qFormat/>
    <w:uiPriority w:val="9"/>
    <w:rPr>
      <w:rFonts w:ascii="Cambria" w:hAnsi="Cambria" w:eastAsia="宋体" w:cs="宋体"/>
      <w:b/>
      <w:kern w:val="2"/>
      <w:sz w:val="21"/>
      <w:szCs w:val="28"/>
      <w:lang w:val="en-US" w:eastAsia="zh-CN" w:bidi="ar-SA"/>
    </w:rPr>
  </w:style>
  <w:style w:type="character" w:customStyle="1" w:styleId="263">
    <w:name w:val="标题 5 Char1"/>
    <w:qFormat/>
    <w:uiPriority w:val="9"/>
    <w:rPr>
      <w:rFonts w:ascii="Times New Roman" w:hAnsi="Times New Roman" w:eastAsia="宋体" w:cs="宋体"/>
      <w:b/>
      <w:kern w:val="2"/>
      <w:sz w:val="21"/>
      <w:szCs w:val="28"/>
      <w:lang w:val="en-US" w:eastAsia="zh-CN" w:bidi="ar-SA"/>
    </w:rPr>
  </w:style>
  <w:style w:type="paragraph" w:customStyle="1" w:styleId="264">
    <w:name w:val="5"/>
    <w:basedOn w:val="1"/>
    <w:next w:val="50"/>
    <w:qFormat/>
    <w:uiPriority w:val="34"/>
    <w:pPr>
      <w:widowControl w:val="0"/>
      <w:ind w:firstLine="420" w:firstLineChars="200"/>
      <w:jc w:val="both"/>
    </w:pPr>
    <w:rPr>
      <w:rFonts w:ascii="Calibri" w:hAnsi="Calibri" w:cs="Times New Roman"/>
      <w:kern w:val="2"/>
      <w:szCs w:val="22"/>
    </w:rPr>
  </w:style>
  <w:style w:type="character" w:customStyle="1" w:styleId="265">
    <w:name w:val="批注文字 Char2"/>
    <w:qFormat/>
    <w:uiPriority w:val="99"/>
    <w:rPr>
      <w:rFonts w:ascii="Times New Roman" w:hAnsi="Times New Roman" w:eastAsia="宋体" w:cs="宋体"/>
      <w:bCs/>
      <w:kern w:val="2"/>
      <w:sz w:val="21"/>
      <w:szCs w:val="21"/>
      <w:lang w:val="en-US" w:eastAsia="zh-CN" w:bidi="ar-SA"/>
    </w:rPr>
  </w:style>
  <w:style w:type="character" w:customStyle="1" w:styleId="266">
    <w:name w:val="批注文字 Char3"/>
    <w:qFormat/>
    <w:uiPriority w:val="0"/>
    <w:rPr>
      <w:rFonts w:ascii="Times New Roman" w:hAnsi="Times New Roman" w:eastAsia="宋体" w:cs="Times New Roman"/>
      <w:kern w:val="2"/>
      <w:sz w:val="21"/>
      <w:szCs w:val="21"/>
      <w:lang w:val="en-US" w:eastAsia="zh-CN" w:bidi="ar-SA"/>
    </w:rPr>
  </w:style>
  <w:style w:type="character" w:customStyle="1" w:styleId="267">
    <w:name w:val="称呼 Char"/>
    <w:qFormat/>
    <w:uiPriority w:val="99"/>
    <w:rPr>
      <w:rFonts w:ascii="Times New Roman" w:hAnsi="Times New Roman" w:eastAsia="宋体" w:cs="宋体"/>
      <w:bCs/>
      <w:kern w:val="2"/>
      <w:sz w:val="21"/>
      <w:szCs w:val="21"/>
      <w:lang w:val="en-US" w:eastAsia="zh-CN" w:bidi="ar-SA"/>
    </w:rPr>
  </w:style>
  <w:style w:type="character" w:customStyle="1" w:styleId="268">
    <w:name w:val="fontstyle01"/>
    <w:qFormat/>
    <w:uiPriority w:val="0"/>
    <w:rPr>
      <w:rFonts w:hint="default" w:ascii="FZLTSK--GBK1-0" w:hAnsi="FZLTSK--GBK1-0" w:eastAsia="宋体" w:cs="宋体"/>
      <w:bCs/>
      <w:color w:val="000000"/>
      <w:sz w:val="20"/>
      <w:szCs w:val="20"/>
      <w:lang w:val="en-US" w:eastAsia="zh-CN" w:bidi="ar-SA"/>
    </w:rPr>
  </w:style>
  <w:style w:type="character" w:customStyle="1" w:styleId="269">
    <w:name w:val="标题 2 Char1"/>
    <w:qFormat/>
    <w:uiPriority w:val="0"/>
    <w:rPr>
      <w:rFonts w:ascii="Arial" w:hAnsi="Arial" w:eastAsia="宋体" w:cs="宋体"/>
      <w:b/>
      <w:kern w:val="2"/>
      <w:sz w:val="21"/>
      <w:szCs w:val="21"/>
      <w:lang w:val="en-US" w:eastAsia="zh-CN" w:bidi="ar-SA"/>
    </w:rPr>
  </w:style>
  <w:style w:type="character" w:customStyle="1" w:styleId="270">
    <w:name w:val="标题 5 Char2"/>
    <w:qFormat/>
    <w:uiPriority w:val="9"/>
    <w:rPr>
      <w:rFonts w:ascii="Times New Roman" w:hAnsi="Times New Roman" w:eastAsia="宋体" w:cs="宋体"/>
      <w:b/>
      <w:kern w:val="2"/>
      <w:sz w:val="21"/>
      <w:szCs w:val="28"/>
      <w:lang w:val="en-US" w:eastAsia="zh-CN" w:bidi="ar-SA"/>
    </w:rPr>
  </w:style>
  <w:style w:type="character" w:customStyle="1" w:styleId="271">
    <w:name w:val="标题 3 Char2"/>
    <w:qFormat/>
    <w:uiPriority w:val="9"/>
    <w:rPr>
      <w:rFonts w:ascii="Times New Roman" w:hAnsi="Times New Roman" w:eastAsia="宋体" w:cs="宋体"/>
      <w:b/>
      <w:kern w:val="2"/>
      <w:sz w:val="21"/>
      <w:szCs w:val="32"/>
      <w:lang w:val="en-US" w:eastAsia="zh-CN" w:bidi="ar-SA"/>
    </w:rPr>
  </w:style>
  <w:style w:type="character" w:customStyle="1" w:styleId="272">
    <w:name w:val="标题 3 Char3"/>
    <w:qFormat/>
    <w:uiPriority w:val="9"/>
    <w:rPr>
      <w:rFonts w:ascii="Times New Roman" w:hAnsi="Times New Roman" w:eastAsia="宋体" w:cs="宋体"/>
      <w:b/>
      <w:kern w:val="2"/>
      <w:sz w:val="21"/>
      <w:szCs w:val="32"/>
      <w:lang w:val="en-US" w:eastAsia="zh-CN" w:bidi="ar-SA"/>
    </w:rPr>
  </w:style>
  <w:style w:type="character" w:customStyle="1" w:styleId="273">
    <w:name w:val="脚注文本 字符"/>
    <w:basedOn w:val="39"/>
    <w:link w:val="29"/>
    <w:semiHidden/>
    <w:qFormat/>
    <w:uiPriority w:val="99"/>
    <w:rPr>
      <w:rFonts w:ascii="Calibri" w:hAnsi="Calibri" w:eastAsia="宋体" w:cs="Times New Roman"/>
      <w:kern w:val="2"/>
      <w:sz w:val="18"/>
      <w:szCs w:val="18"/>
      <w:lang w:val="en-US" w:eastAsia="zh-CN" w:bidi="ar-SA"/>
    </w:rPr>
  </w:style>
  <w:style w:type="character" w:customStyle="1" w:styleId="274">
    <w:name w:val="font11"/>
    <w:basedOn w:val="39"/>
    <w:uiPriority w:val="0"/>
    <w:rPr>
      <w:rFonts w:ascii="Arial Narrow" w:hAnsi="Arial Narrow" w:eastAsia="Arial Narrow" w:cs="Arial Narrow"/>
      <w:color w:val="000000"/>
      <w:sz w:val="21"/>
      <w:szCs w:val="21"/>
      <w:u w:val="none"/>
    </w:rPr>
  </w:style>
  <w:style w:type="character" w:customStyle="1" w:styleId="275">
    <w:name w:val="font21"/>
    <w:basedOn w:val="39"/>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446;&#20025;\AppData\Roaming\Microsoft\Templates\SSEReport.dotm"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B960C2E6-8E28-4930-AAD5-AA36AFD6E523}"/>
      </w:docPartPr>
      <w:docPartBody>
        <w:p w14:paraId="4119E2C2">
          <w:r>
            <w:rPr>
              <w:rStyle w:val="4"/>
              <w:rFonts w:hint="eastAsia"/>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54795268-88DE-4BB2-A320-6C6C52CBF450}"/>
      </w:docPartPr>
      <w:docPartBody>
        <w:p w14:paraId="6639F9EC">
          <w:r>
            <w:rPr>
              <w:rStyle w:val="4"/>
              <w:color w:val="333399"/>
              <w:u w:val="single"/>
            </w:rPr>
            <w:t>　　　</w:t>
          </w:r>
        </w:p>
      </w:docPartBody>
    </w:docPart>
    <w:docPart>
      <w:docPartPr>
        <w:name w:val="{e8052cd7-3ff4-4ee4-8671-f5758410817c}"/>
        <w:style w:val=""/>
        <w:category>
          <w:name w:val="常规"/>
          <w:gallery w:val="placeholder"/>
        </w:category>
        <w:types>
          <w:type w:val="bbPlcHdr"/>
        </w:types>
        <w:behaviors>
          <w:behavior w:val="content"/>
        </w:behaviors>
        <w:description w:val=""/>
        <w:guid w:val="{E8052CD7-3FF4-4EE4-8671-F5758410817C}"/>
      </w:docPartPr>
      <w:docPartBody>
        <w:p w14:paraId="12D8099D">
          <w:r>
            <w:rPr>
              <w:rStyle w:val="4"/>
              <w:color w:val="333399"/>
              <w:u w:val="single"/>
            </w:rPr>
            <w:t>　　　</w:t>
          </w:r>
        </w:p>
      </w:docPartBody>
    </w:docPart>
    <w:docPart>
      <w:docPartPr>
        <w:name w:val="{8dabe584-f165-47b9-9724-d3b049b84780}"/>
        <w:style w:val=""/>
        <w:category>
          <w:name w:val="常规"/>
          <w:gallery w:val="placeholder"/>
        </w:category>
        <w:types>
          <w:type w:val="bbPlcHdr"/>
        </w:types>
        <w:behaviors>
          <w:behavior w:val="content"/>
        </w:behaviors>
        <w:description w:val=""/>
        <w:guid w:val="{8DABE584-F165-47B9-9724-D3B049B84780}"/>
      </w:docPartPr>
      <w:docPartBody>
        <w:p w14:paraId="6579A03F">
          <w:r>
            <w:rPr>
              <w:rStyle w:val="4"/>
              <w:color w:val="333399"/>
              <w:u w:val="single"/>
            </w:rPr>
            <w:t>　　　</w:t>
          </w:r>
        </w:p>
      </w:docPartBody>
    </w:docPart>
    <w:docPart>
      <w:docPartPr>
        <w:name w:val="{503833e8-437e-4ecf-9419-794de4febf9c}"/>
        <w:style w:val=""/>
        <w:category>
          <w:name w:val="常规"/>
          <w:gallery w:val="placeholder"/>
        </w:category>
        <w:types>
          <w:type w:val="bbPlcHdr"/>
        </w:types>
        <w:behaviors>
          <w:behavior w:val="content"/>
        </w:behaviors>
        <w:description w:val=""/>
        <w:guid w:val="{503833E8-437E-4ECF-9419-794DE4FEBF9C}"/>
      </w:docPartPr>
      <w:docPartBody>
        <w:p w14:paraId="29E43FF1">
          <w:r>
            <w:rPr>
              <w:rStyle w:val="4"/>
              <w:color w:val="333399"/>
              <w:u w:val="single"/>
            </w:rPr>
            <w:t>　　　</w:t>
          </w:r>
        </w:p>
      </w:docPartBody>
    </w:docPart>
    <w:docPart>
      <w:docPartPr>
        <w:name w:val="{beeb64fa-c02e-4f99-87dc-bf4e389d90c6}"/>
        <w:style w:val=""/>
        <w:category>
          <w:name w:val="常规"/>
          <w:gallery w:val="placeholder"/>
        </w:category>
        <w:types>
          <w:type w:val="bbPlcHdr"/>
        </w:types>
        <w:behaviors>
          <w:behavior w:val="content"/>
        </w:behaviors>
        <w:description w:val=""/>
        <w:guid w:val="{BEEB64FA-C02E-4F99-87DC-BF4E389D90C6}"/>
      </w:docPartPr>
      <w:docPartBody>
        <w:p w14:paraId="6A32B6C1">
          <w:r>
            <w:rPr>
              <w:rStyle w:val="4"/>
              <w:color w:val="333399"/>
              <w:u w:val="single"/>
            </w:rPr>
            <w:t>　　　</w:t>
          </w:r>
        </w:p>
      </w:docPartBody>
    </w:docPart>
    <w:docPart>
      <w:docPartPr>
        <w:name w:val="{cd80f4b4-a2bf-43c4-b169-4fd9cf19172a}"/>
        <w:style w:val=""/>
        <w:category>
          <w:name w:val="常规"/>
          <w:gallery w:val="placeholder"/>
        </w:category>
        <w:types>
          <w:type w:val="bbPlcHdr"/>
        </w:types>
        <w:behaviors>
          <w:behavior w:val="content"/>
        </w:behaviors>
        <w:description w:val=""/>
        <w:guid w:val="{CD80F4B4-A2BF-43C4-B169-4FD9CF19172A}"/>
      </w:docPartPr>
      <w:docPartBody>
        <w:p w14:paraId="077E36A2">
          <w:r>
            <w:rPr>
              <w:rStyle w:val="4"/>
              <w:color w:val="333399"/>
              <w:u w:val="single"/>
            </w:rPr>
            <w:t>　　　</w:t>
          </w:r>
        </w:p>
      </w:docPartBody>
    </w:docPart>
    <w:docPart>
      <w:docPartPr>
        <w:name w:val="{d4e0da34-b711-4907-bd17-07fd96e59605}"/>
        <w:style w:val=""/>
        <w:category>
          <w:name w:val="常规"/>
          <w:gallery w:val="placeholder"/>
        </w:category>
        <w:types>
          <w:type w:val="bbPlcHdr"/>
        </w:types>
        <w:behaviors>
          <w:behavior w:val="content"/>
        </w:behaviors>
        <w:description w:val=""/>
        <w:guid w:val="{D4E0DA34-B711-4907-BD17-07FD96E59605}"/>
      </w:docPartPr>
      <w:docPartBody>
        <w:p w14:paraId="0EE91D62">
          <w:r>
            <w:rPr>
              <w:rStyle w:val="4"/>
              <w:color w:val="333399"/>
              <w:u w:val="single"/>
            </w:rPr>
            <w:t>　　　</w:t>
          </w:r>
        </w:p>
      </w:docPartBody>
    </w:docPart>
    <w:docPart>
      <w:docPartPr>
        <w:name w:val="{33573e51-eb93-4283-a3ad-7ec12f67c762}"/>
        <w:style w:val=""/>
        <w:category>
          <w:name w:val="常规"/>
          <w:gallery w:val="placeholder"/>
        </w:category>
        <w:types>
          <w:type w:val="bbPlcHdr"/>
        </w:types>
        <w:behaviors>
          <w:behavior w:val="content"/>
        </w:behaviors>
        <w:description w:val=""/>
        <w:guid w:val="{33573E51-EB93-4283-A3AD-7EC12F67C762}"/>
      </w:docPartPr>
      <w:docPartBody>
        <w:p w14:paraId="6207F7B6">
          <w:r>
            <w:rPr>
              <w:rStyle w:val="4"/>
              <w:rFonts w:hint="eastAsia"/>
              <w:color w:val="333399"/>
              <w:u w:val="single"/>
            </w:rPr>
            <w:t>　　　</w:t>
          </w:r>
        </w:p>
      </w:docPartBody>
    </w:docPart>
    <w:docPart>
      <w:docPartPr>
        <w:name w:val="{178369bf-19eb-4e0e-9999-b0c5a82a2cd7}"/>
        <w:style w:val=""/>
        <w:category>
          <w:name w:val="常规"/>
          <w:gallery w:val="placeholder"/>
        </w:category>
        <w:types>
          <w:type w:val="bbPlcHdr"/>
        </w:types>
        <w:behaviors>
          <w:behavior w:val="content"/>
        </w:behaviors>
        <w:description w:val=""/>
        <w:guid w:val="{178369BF-19EB-4E0E-9999-B0C5A82A2CD7}"/>
      </w:docPartPr>
      <w:docPartBody>
        <w:p w14:paraId="59AB333C">
          <w:pPr>
            <w:pStyle w:val="14"/>
          </w:pPr>
          <w:r>
            <w:rPr>
              <w:rStyle w:val="4"/>
              <w:rFonts w:hint="eastAsia"/>
              <w:color w:val="333399"/>
              <w:u w:val="single"/>
            </w:rPr>
            <w:t>　　　</w:t>
          </w:r>
        </w:p>
      </w:docPartBody>
    </w:docPart>
    <w:docPart>
      <w:docPartPr>
        <w:name w:val="85AE56D4083A439B8E436FDA6AB447BB"/>
        <w:style w:val=""/>
        <w:category>
          <w:name w:val="常规"/>
          <w:gallery w:val="placeholder"/>
        </w:category>
        <w:types>
          <w:type w:val="bbPlcHdr"/>
        </w:types>
        <w:behaviors>
          <w:behavior w:val="content"/>
        </w:behaviors>
        <w:description w:val=""/>
        <w:guid w:val="{49A7D02A-1CAF-44FB-9FB9-F7375F7A8FAF}"/>
      </w:docPartPr>
      <w:docPartBody>
        <w:p w14:paraId="114F07A9">
          <w:pPr>
            <w:pStyle w:val="8"/>
          </w:pPr>
          <w:r>
            <w:rPr>
              <w:rStyle w:val="4"/>
              <w:color w:val="333399"/>
              <w:u w:val="single"/>
            </w:rPr>
            <w:t>　　　</w:t>
          </w:r>
        </w:p>
      </w:docPartBody>
    </w:docPart>
    <w:docPart>
      <w:docPartPr>
        <w:name w:val="293C4F5161224371B220A7EC35459B32"/>
        <w:style w:val=""/>
        <w:category>
          <w:name w:val="常规"/>
          <w:gallery w:val="placeholder"/>
        </w:category>
        <w:types>
          <w:type w:val="bbPlcHdr"/>
        </w:types>
        <w:behaviors>
          <w:behavior w:val="content"/>
        </w:behaviors>
        <w:description w:val=""/>
        <w:guid w:val="{43A6DA48-FCB9-49C7-8B69-1BA7ACB66694}"/>
      </w:docPartPr>
      <w:docPartBody>
        <w:p w14:paraId="5346EFAC">
          <w:pPr>
            <w:pStyle w:val="13"/>
          </w:pPr>
          <w:r>
            <w:rPr>
              <w:color w:val="808080"/>
            </w:rPr>
            <w:t>　</w:t>
          </w:r>
        </w:p>
      </w:docPartBody>
    </w:docPart>
    <w:docPart>
      <w:docPartPr>
        <w:name w:val="{b6f0efa9-5a0c-4ad6-9409-e6dd685b4eab}"/>
        <w:style w:val=""/>
        <w:category>
          <w:name w:val="常规"/>
          <w:gallery w:val="placeholder"/>
        </w:category>
        <w:types>
          <w:type w:val="bbPlcHdr"/>
        </w:types>
        <w:behaviors>
          <w:behavior w:val="content"/>
        </w:behaviors>
        <w:description w:val=""/>
        <w:guid w:val="{B6F0EFA9-5A0C-4AD6-9409-E6DD685B4EAB}"/>
      </w:docPartPr>
      <w:docPartBody>
        <w:p w14:paraId="13A74E15">
          <w:r>
            <w:rPr>
              <w:rStyle w:val="4"/>
              <w:color w:val="333399"/>
              <w:u w:val="single"/>
            </w:rPr>
            <w:t>　　　</w:t>
          </w:r>
        </w:p>
      </w:docPartBody>
    </w:docPart>
    <w:docPart>
      <w:docPartPr>
        <w:name w:val="75FCC87414EC4602AD9AE92B9FF2EFDC"/>
        <w:style w:val=""/>
        <w:category>
          <w:name w:val="常规"/>
          <w:gallery w:val="placeholder"/>
        </w:category>
        <w:types>
          <w:type w:val="bbPlcHdr"/>
        </w:types>
        <w:behaviors>
          <w:behavior w:val="content"/>
        </w:behaviors>
        <w:description w:val=""/>
        <w:guid w:val="{A4D80E0E-DA7C-4639-BD13-F88B78994F66}"/>
      </w:docPartPr>
      <w:docPartBody>
        <w:p w14:paraId="5E4CDA6E">
          <w:pPr>
            <w:pStyle w:val="16"/>
          </w:pPr>
          <w:r>
            <w:rPr>
              <w:rStyle w:val="4"/>
              <w:rFonts w:hint="eastAsia"/>
            </w:rPr>
            <w:t>　</w:t>
          </w:r>
        </w:p>
      </w:docPartBody>
    </w:docPart>
    <w:docPart>
      <w:docPartPr>
        <w:name w:val="{2103f560-d9c2-456c-b39e-efce37321a20}"/>
        <w:style w:val=""/>
        <w:category>
          <w:name w:val="常规"/>
          <w:gallery w:val="placeholder"/>
        </w:category>
        <w:types>
          <w:type w:val="bbPlcHdr"/>
        </w:types>
        <w:behaviors>
          <w:behavior w:val="content"/>
        </w:behaviors>
        <w:description w:val=""/>
        <w:guid w:val="{2103F560-D9C2-456C-B39E-EFCE37321A20}"/>
      </w:docPartPr>
      <w:docPartBody>
        <w:p w14:paraId="222941C9">
          <w:r>
            <w:rPr>
              <w:rStyle w:val="4"/>
              <w:rFonts w:hint="eastAsia"/>
            </w:rPr>
            <w:t>　</w:t>
          </w:r>
        </w:p>
      </w:docPartBody>
    </w:docPart>
    <w:docPart>
      <w:docPartPr>
        <w:name w:val="{6aa2cdac-137b-457c-b997-7fd91eb72e14}"/>
        <w:style w:val=""/>
        <w:category>
          <w:name w:val="常规"/>
          <w:gallery w:val="placeholder"/>
        </w:category>
        <w:types>
          <w:type w:val="bbPlcHdr"/>
        </w:types>
        <w:behaviors>
          <w:behavior w:val="content"/>
        </w:behaviors>
        <w:description w:val=""/>
        <w:guid w:val="{6AA2CDAC-137B-457C-B997-7FD91EB72E14}"/>
      </w:docPartPr>
      <w:docPartBody>
        <w:p w14:paraId="58E40E0D">
          <w:r>
            <w:rPr>
              <w:rStyle w:val="4"/>
              <w:rFonts w:hint="eastAsia"/>
            </w:rPr>
            <w:t>　</w:t>
          </w:r>
        </w:p>
      </w:docPartBody>
    </w:docPart>
    <w:docPart>
      <w:docPartPr>
        <w:name w:val="{dcf70f01-c3ae-432d-86f7-4e2564dde453}"/>
        <w:style w:val=""/>
        <w:category>
          <w:name w:val="常规"/>
          <w:gallery w:val="placeholder"/>
        </w:category>
        <w:types>
          <w:type w:val="bbPlcHdr"/>
        </w:types>
        <w:behaviors>
          <w:behavior w:val="content"/>
        </w:behaviors>
        <w:description w:val=""/>
        <w:guid w:val="{DCF70F01-C3AE-432D-86F7-4E2564DDE453}"/>
      </w:docPartPr>
      <w:docPartBody>
        <w:p w14:paraId="1A9C37AC">
          <w:r>
            <w:rPr>
              <w:rStyle w:val="4"/>
              <w:rFonts w:hint="eastAsia"/>
            </w:rPr>
            <w:t>　</w:t>
          </w:r>
        </w:p>
      </w:docPartBody>
    </w:docPart>
    <w:docPart>
      <w:docPartPr>
        <w:name w:val="{cd1c4de7-43a1-48e7-8225-68fe5757986f}"/>
        <w:style w:val=""/>
        <w:category>
          <w:name w:val="常规"/>
          <w:gallery w:val="placeholder"/>
        </w:category>
        <w:types>
          <w:type w:val="bbPlcHdr"/>
        </w:types>
        <w:behaviors>
          <w:behavior w:val="content"/>
        </w:behaviors>
        <w:description w:val=""/>
        <w:guid w:val="{CD1C4DE7-43A1-48E7-8225-68FE5757986F}"/>
      </w:docPartPr>
      <w:docPartBody>
        <w:p w14:paraId="23F9415B">
          <w:r>
            <w:rPr>
              <w:rStyle w:val="4"/>
              <w:rFonts w:hint="eastAsia"/>
            </w:rPr>
            <w:t>　</w:t>
          </w:r>
        </w:p>
      </w:docPartBody>
    </w:docPart>
    <w:docPart>
      <w:docPartPr>
        <w:name w:val="{b3f4be12-da9a-4108-a3cb-af77807cbc1c}"/>
        <w:style w:val=""/>
        <w:category>
          <w:name w:val="常规"/>
          <w:gallery w:val="placeholder"/>
        </w:category>
        <w:types>
          <w:type w:val="bbPlcHdr"/>
        </w:types>
        <w:behaviors>
          <w:behavior w:val="content"/>
        </w:behaviors>
        <w:description w:val=""/>
        <w:guid w:val="{B3F4BE12-DA9A-4108-A3CB-AF77807CBC1C}"/>
      </w:docPartPr>
      <w:docPartBody>
        <w:p w14:paraId="64239CB3">
          <w:r>
            <w:rPr>
              <w:rStyle w:val="4"/>
              <w:rFonts w:hint="eastAsia"/>
            </w:rPr>
            <w:t>　</w:t>
          </w:r>
        </w:p>
      </w:docPartBody>
    </w:docPart>
    <w:docPart>
      <w:docPartPr>
        <w:name w:val="{df921bb6-cb27-449a-a3c8-f8e19e099680}"/>
        <w:style w:val=""/>
        <w:category>
          <w:name w:val="常规"/>
          <w:gallery w:val="placeholder"/>
        </w:category>
        <w:types>
          <w:type w:val="bbPlcHdr"/>
        </w:types>
        <w:behaviors>
          <w:behavior w:val="content"/>
        </w:behaviors>
        <w:description w:val=""/>
        <w:guid w:val="{DF921BB6-CB27-449A-A3C8-F8E19E099680}"/>
      </w:docPartPr>
      <w:docPartBody>
        <w:p w14:paraId="00593B19">
          <w:r>
            <w:rPr>
              <w:rStyle w:val="4"/>
              <w:rFonts w:hint="eastAsia"/>
            </w:rPr>
            <w:t>　</w:t>
          </w:r>
        </w:p>
      </w:docPartBody>
    </w:docPart>
    <w:docPart>
      <w:docPartPr>
        <w:name w:val="{e80a722c-aae6-436f-8b25-62d32db9cd08}"/>
        <w:style w:val=""/>
        <w:category>
          <w:name w:val="常规"/>
          <w:gallery w:val="placeholder"/>
        </w:category>
        <w:types>
          <w:type w:val="bbPlcHdr"/>
        </w:types>
        <w:behaviors>
          <w:behavior w:val="content"/>
        </w:behaviors>
        <w:description w:val=""/>
        <w:guid w:val="{E80A722C-AAE6-436F-8B25-62D32DB9CD08}"/>
      </w:docPartPr>
      <w:docPartBody>
        <w:p w14:paraId="2CD421A2">
          <w:r>
            <w:rPr>
              <w:rStyle w:val="4"/>
              <w:rFonts w:hint="eastAsia"/>
            </w:rPr>
            <w:t>　</w:t>
          </w:r>
        </w:p>
      </w:docPartBody>
    </w:docPart>
    <w:docPart>
      <w:docPartPr>
        <w:name w:val="{3192be38-0d7d-4a77-b68b-13c7f0caf2e1}"/>
        <w:style w:val=""/>
        <w:category>
          <w:name w:val="常规"/>
          <w:gallery w:val="placeholder"/>
        </w:category>
        <w:types>
          <w:type w:val="bbPlcHdr"/>
        </w:types>
        <w:behaviors>
          <w:behavior w:val="content"/>
        </w:behaviors>
        <w:description w:val=""/>
        <w:guid w:val="{3192BE38-0D7D-4A77-B68B-13C7F0CAF2E1}"/>
      </w:docPartPr>
      <w:docPartBody>
        <w:p w14:paraId="20E593B3">
          <w:r>
            <w:rPr>
              <w:rStyle w:val="4"/>
              <w:color w:val="333399"/>
              <w:u w:val="single"/>
            </w:rPr>
            <w:t>　　　</w:t>
          </w:r>
        </w:p>
      </w:docPartBody>
    </w:docPart>
    <w:docPart>
      <w:docPartPr>
        <w:name w:val="{ae7d60a6-b0f4-4814-9bed-12a3bf4c5322}"/>
        <w:style w:val=""/>
        <w:category>
          <w:name w:val="常规"/>
          <w:gallery w:val="placeholder"/>
        </w:category>
        <w:types>
          <w:type w:val="bbPlcHdr"/>
        </w:types>
        <w:behaviors>
          <w:behavior w:val="content"/>
        </w:behaviors>
        <w:description w:val=""/>
        <w:guid w:val="{AE7D60A6-B0F4-4814-9BED-12A3BF4C5322}"/>
      </w:docPartPr>
      <w:docPartBody>
        <w:p w14:paraId="1985F2B1">
          <w:r>
            <w:rPr>
              <w:rStyle w:val="4"/>
              <w:rFonts w:hint="eastAsia"/>
            </w:rPr>
            <w:t>　</w:t>
          </w:r>
        </w:p>
      </w:docPartBody>
    </w:docPart>
    <w:docPart>
      <w:docPartPr>
        <w:name w:val="{925fd01c-26ac-4a40-af8f-15992ad9861c}"/>
        <w:style w:val=""/>
        <w:category>
          <w:name w:val="常规"/>
          <w:gallery w:val="placeholder"/>
        </w:category>
        <w:types>
          <w:type w:val="bbPlcHdr"/>
        </w:types>
        <w:behaviors>
          <w:behavior w:val="content"/>
        </w:behaviors>
        <w:description w:val=""/>
        <w:guid w:val="{925FD01C-26AC-4A40-AF8F-15992AD9861C}"/>
      </w:docPartPr>
      <w:docPartBody>
        <w:p w14:paraId="063E8320">
          <w:r>
            <w:rPr>
              <w:rStyle w:val="4"/>
              <w:rFonts w:hint="eastAsia"/>
            </w:rPr>
            <w:t>　</w:t>
          </w:r>
        </w:p>
      </w:docPartBody>
    </w:docPart>
    <w:docPart>
      <w:docPartPr>
        <w:name w:val="{e1ccbac6-b974-4cb2-913d-db31be313061}"/>
        <w:style w:val=""/>
        <w:category>
          <w:name w:val="常规"/>
          <w:gallery w:val="placeholder"/>
        </w:category>
        <w:types>
          <w:type w:val="bbPlcHdr"/>
        </w:types>
        <w:behaviors>
          <w:behavior w:val="content"/>
        </w:behaviors>
        <w:description w:val=""/>
        <w:guid w:val="{E1CCBAC6-B974-4CB2-913D-DB31BE313061}"/>
      </w:docPartPr>
      <w:docPartBody>
        <w:p w14:paraId="25A5C22A">
          <w:r>
            <w:rPr>
              <w:rStyle w:val="4"/>
              <w:rFonts w:hint="eastAsia"/>
            </w:rPr>
            <w:t>　</w:t>
          </w:r>
        </w:p>
      </w:docPartBody>
    </w:docPart>
    <w:docPart>
      <w:docPartPr>
        <w:name w:val="{712bd3a6-7736-4c48-8e07-037148df6ccb}"/>
        <w:style w:val=""/>
        <w:category>
          <w:name w:val="常规"/>
          <w:gallery w:val="placeholder"/>
        </w:category>
        <w:types>
          <w:type w:val="bbPlcHdr"/>
        </w:types>
        <w:behaviors>
          <w:behavior w:val="content"/>
        </w:behaviors>
        <w:description w:val=""/>
        <w:guid w:val="{712BD3A6-7736-4C48-8E07-037148DF6CCB}"/>
      </w:docPartPr>
      <w:docPartBody>
        <w:p w14:paraId="092DC93C">
          <w:r>
            <w:rPr>
              <w:rStyle w:val="4"/>
              <w:rFonts w:hint="eastAsia"/>
            </w:rPr>
            <w:t>　</w:t>
          </w:r>
        </w:p>
      </w:docPartBody>
    </w:docPart>
    <w:docPart>
      <w:docPartPr>
        <w:name w:val="{81cd5e11-2568-4bb7-ba75-1405636d41fb}"/>
        <w:style w:val=""/>
        <w:category>
          <w:name w:val="常规"/>
          <w:gallery w:val="placeholder"/>
        </w:category>
        <w:types>
          <w:type w:val="bbPlcHdr"/>
        </w:types>
        <w:behaviors>
          <w:behavior w:val="content"/>
        </w:behaviors>
        <w:description w:val=""/>
        <w:guid w:val="{81CD5E11-2568-4BB7-BA75-1405636D41FB}"/>
      </w:docPartPr>
      <w:docPartBody>
        <w:p w14:paraId="17C48190">
          <w:r>
            <w:rPr>
              <w:rStyle w:val="4"/>
              <w:rFonts w:hint="eastAsia"/>
            </w:rPr>
            <w:t>　</w:t>
          </w:r>
        </w:p>
      </w:docPartBody>
    </w:docPart>
    <w:docPart>
      <w:docPartPr>
        <w:name w:val="{fe68423a-b750-454a-984c-30d8cbaec379}"/>
        <w:style w:val=""/>
        <w:category>
          <w:name w:val="常规"/>
          <w:gallery w:val="placeholder"/>
        </w:category>
        <w:types>
          <w:type w:val="bbPlcHdr"/>
        </w:types>
        <w:behaviors>
          <w:behavior w:val="content"/>
        </w:behaviors>
        <w:description w:val=""/>
        <w:guid w:val="{FE68423A-B750-454A-984C-30D8CBAEC379}"/>
      </w:docPartPr>
      <w:docPartBody>
        <w:p w14:paraId="534243E0">
          <w:r>
            <w:rPr>
              <w:rStyle w:val="4"/>
              <w:rFonts w:hint="eastAsia"/>
            </w:rPr>
            <w:t>　</w:t>
          </w:r>
        </w:p>
      </w:docPartBody>
    </w:docPart>
    <w:docPart>
      <w:docPartPr>
        <w:name w:val="{a301e795-e998-4deb-8684-a6910ffe556f}"/>
        <w:style w:val=""/>
        <w:category>
          <w:name w:val="常规"/>
          <w:gallery w:val="placeholder"/>
        </w:category>
        <w:types>
          <w:type w:val="bbPlcHdr"/>
        </w:types>
        <w:behaviors>
          <w:behavior w:val="content"/>
        </w:behaviors>
        <w:description w:val=""/>
        <w:guid w:val="{A301E795-E998-4DEB-8684-A6910FFE556F}"/>
      </w:docPartPr>
      <w:docPartBody>
        <w:p w14:paraId="33C0B849">
          <w:r>
            <w:rPr>
              <w:rStyle w:val="4"/>
              <w:rFonts w:hint="eastAsia"/>
            </w:rPr>
            <w:t>　</w:t>
          </w:r>
        </w:p>
      </w:docPartBody>
    </w:docPart>
    <w:docPart>
      <w:docPartPr>
        <w:name w:val="{5b714b37-0811-4c63-b97b-7224f2d7e8a0}"/>
        <w:style w:val=""/>
        <w:category>
          <w:name w:val="常规"/>
          <w:gallery w:val="placeholder"/>
        </w:category>
        <w:types>
          <w:type w:val="bbPlcHdr"/>
        </w:types>
        <w:behaviors>
          <w:behavior w:val="content"/>
        </w:behaviors>
        <w:description w:val=""/>
        <w:guid w:val="{5B714B37-0811-4C63-B97B-7224F2D7E8A0}"/>
      </w:docPartPr>
      <w:docPartBody>
        <w:p w14:paraId="48BFB32A">
          <w:r>
            <w:rPr>
              <w:rStyle w:val="4"/>
              <w:rFonts w:hint="eastAsia"/>
            </w:rPr>
            <w:t>　</w:t>
          </w:r>
        </w:p>
      </w:docPartBody>
    </w:docPart>
    <w:docPart>
      <w:docPartPr>
        <w:name w:val="{b1467952-0f0f-4b1e-a167-fdb4424c5074}"/>
        <w:style w:val=""/>
        <w:category>
          <w:name w:val="常规"/>
          <w:gallery w:val="placeholder"/>
        </w:category>
        <w:types>
          <w:type w:val="bbPlcHdr"/>
        </w:types>
        <w:behaviors>
          <w:behavior w:val="content"/>
        </w:behaviors>
        <w:description w:val=""/>
        <w:guid w:val="{B1467952-0F0F-4B1E-A167-FDB4424C5074}"/>
      </w:docPartPr>
      <w:docPartBody>
        <w:p w14:paraId="5C376515">
          <w:r>
            <w:rPr>
              <w:rStyle w:val="4"/>
              <w:rFonts w:hint="eastAsia"/>
            </w:rPr>
            <w:t>　</w:t>
          </w:r>
        </w:p>
      </w:docPartBody>
    </w:docPart>
    <w:docPart>
      <w:docPartPr>
        <w:name w:val="{65ebdb65-e673-4b5c-9d50-260e4db791de}"/>
        <w:style w:val=""/>
        <w:category>
          <w:name w:val="常规"/>
          <w:gallery w:val="placeholder"/>
        </w:category>
        <w:types>
          <w:type w:val="bbPlcHdr"/>
        </w:types>
        <w:behaviors>
          <w:behavior w:val="content"/>
        </w:behaviors>
        <w:description w:val=""/>
        <w:guid w:val="{65EBDB65-E673-4B5C-9D50-260E4DB791DE}"/>
      </w:docPartPr>
      <w:docPartBody>
        <w:p w14:paraId="2BD4DA9C">
          <w:r>
            <w:rPr>
              <w:rStyle w:val="4"/>
              <w:rFonts w:hint="eastAsia"/>
            </w:rPr>
            <w:t>　</w:t>
          </w:r>
        </w:p>
      </w:docPartBody>
    </w:docPart>
    <w:docPart>
      <w:docPartPr>
        <w:name w:val="{33a79c4d-434e-484b-b287-76db1c31fa9d}"/>
        <w:style w:val=""/>
        <w:category>
          <w:name w:val="常规"/>
          <w:gallery w:val="placeholder"/>
        </w:category>
        <w:types>
          <w:type w:val="bbPlcHdr"/>
        </w:types>
        <w:behaviors>
          <w:behavior w:val="content"/>
        </w:behaviors>
        <w:description w:val=""/>
        <w:guid w:val="{33A79C4D-434E-484B-B287-76DB1C31FA9D}"/>
      </w:docPartPr>
      <w:docPartBody>
        <w:p w14:paraId="68363962">
          <w:r>
            <w:rPr>
              <w:rStyle w:val="4"/>
              <w:rFonts w:hint="eastAsia"/>
            </w:rPr>
            <w:t>　</w:t>
          </w:r>
        </w:p>
      </w:docPartBody>
    </w:docPart>
    <w:docPart>
      <w:docPartPr>
        <w:name w:val="{14b795c2-6743-44fe-abc0-425cd7151248}"/>
        <w:style w:val=""/>
        <w:category>
          <w:name w:val="常规"/>
          <w:gallery w:val="placeholder"/>
        </w:category>
        <w:types>
          <w:type w:val="bbPlcHdr"/>
        </w:types>
        <w:behaviors>
          <w:behavior w:val="content"/>
        </w:behaviors>
        <w:description w:val=""/>
        <w:guid w:val="{14B795C2-6743-44FE-ABC0-425CD7151248}"/>
      </w:docPartPr>
      <w:docPartBody>
        <w:p w14:paraId="0922A2CF">
          <w:r>
            <w:rPr>
              <w:rStyle w:val="4"/>
              <w:rFonts w:hint="eastAsia"/>
            </w:rPr>
            <w:t>　</w:t>
          </w:r>
        </w:p>
      </w:docPartBody>
    </w:docPart>
    <w:docPart>
      <w:docPartPr>
        <w:name w:val="{3f5a80b8-9fdb-4bf0-8ff3-8b04cdbaa619}"/>
        <w:style w:val=""/>
        <w:category>
          <w:name w:val="常规"/>
          <w:gallery w:val="placeholder"/>
        </w:category>
        <w:types>
          <w:type w:val="bbPlcHdr"/>
        </w:types>
        <w:behaviors>
          <w:behavior w:val="content"/>
        </w:behaviors>
        <w:description w:val=""/>
        <w:guid w:val="{3F5A80B8-9FDB-4BF0-8FF3-8B04CDBAA619}"/>
      </w:docPartPr>
      <w:docPartBody>
        <w:p w14:paraId="1C8E732E">
          <w:r>
            <w:rPr>
              <w:rStyle w:val="4"/>
              <w:rFonts w:hint="eastAsia"/>
            </w:rPr>
            <w:t>　</w:t>
          </w:r>
        </w:p>
      </w:docPartBody>
    </w:docPart>
    <w:docPart>
      <w:docPartPr>
        <w:name w:val="{e57c6a27-ff94-440e-8baf-13a3927d767d}"/>
        <w:style w:val=""/>
        <w:category>
          <w:name w:val="常规"/>
          <w:gallery w:val="placeholder"/>
        </w:category>
        <w:types>
          <w:type w:val="bbPlcHdr"/>
        </w:types>
        <w:behaviors>
          <w:behavior w:val="content"/>
        </w:behaviors>
        <w:description w:val=""/>
        <w:guid w:val="{E57C6A27-FF94-440E-8BAF-13A3927D767D}"/>
      </w:docPartPr>
      <w:docPartBody>
        <w:p w14:paraId="537C24FE">
          <w:r>
            <w:rPr>
              <w:rStyle w:val="4"/>
              <w:rFonts w:hint="eastAsia"/>
            </w:rPr>
            <w:t>　</w:t>
          </w:r>
        </w:p>
      </w:docPartBody>
    </w:docPart>
    <w:docPart>
      <w:docPartPr>
        <w:name w:val="{2a6d8d4c-17d4-454a-b273-36e7e69a7cb5}"/>
        <w:style w:val=""/>
        <w:category>
          <w:name w:val="常规"/>
          <w:gallery w:val="placeholder"/>
        </w:category>
        <w:types>
          <w:type w:val="bbPlcHdr"/>
        </w:types>
        <w:behaviors>
          <w:behavior w:val="content"/>
        </w:behaviors>
        <w:description w:val=""/>
        <w:guid w:val="{2A6D8D4C-17D4-454A-B273-36E7E69A7CB5}"/>
      </w:docPartPr>
      <w:docPartBody>
        <w:p w14:paraId="39E2DAE1">
          <w:r>
            <w:rPr>
              <w:rStyle w:val="4"/>
              <w:rFonts w:hint="eastAsia"/>
            </w:rPr>
            <w:t>　</w:t>
          </w:r>
        </w:p>
      </w:docPartBody>
    </w:docPart>
    <w:docPart>
      <w:docPartPr>
        <w:name w:val="{c0812664-2cda-4da8-b779-e64626bb2ba7}"/>
        <w:style w:val=""/>
        <w:category>
          <w:name w:val="常规"/>
          <w:gallery w:val="placeholder"/>
        </w:category>
        <w:types>
          <w:type w:val="bbPlcHdr"/>
        </w:types>
        <w:behaviors>
          <w:behavior w:val="content"/>
        </w:behaviors>
        <w:description w:val=""/>
        <w:guid w:val="{C0812664-2CDA-4DA8-B779-E64626BB2BA7}"/>
      </w:docPartPr>
      <w:docPartBody>
        <w:p w14:paraId="5400C072">
          <w:r>
            <w:rPr>
              <w:rStyle w:val="4"/>
              <w:rFonts w:hint="eastAsia"/>
            </w:rPr>
            <w:t>　</w:t>
          </w:r>
        </w:p>
      </w:docPartBody>
    </w:docPart>
    <w:docPart>
      <w:docPartPr>
        <w:name w:val="{6f30955f-b77f-4afe-8b09-25f848106008}"/>
        <w:style w:val=""/>
        <w:category>
          <w:name w:val="常规"/>
          <w:gallery w:val="placeholder"/>
        </w:category>
        <w:types>
          <w:type w:val="bbPlcHdr"/>
        </w:types>
        <w:behaviors>
          <w:behavior w:val="content"/>
        </w:behaviors>
        <w:description w:val=""/>
        <w:guid w:val="{6F30955F-B77F-4AFE-8B09-25F848106008}"/>
      </w:docPartPr>
      <w:docPartBody>
        <w:p w14:paraId="02A60DF8">
          <w:r>
            <w:rPr>
              <w:rStyle w:val="4"/>
              <w:rFonts w:hint="eastAsia"/>
            </w:rPr>
            <w:t>　</w:t>
          </w:r>
        </w:p>
      </w:docPartBody>
    </w:docPart>
    <w:docPart>
      <w:docPartPr>
        <w:name w:val="{dd9af3e3-6bdb-41c8-af00-dfb93af6e7d3}"/>
        <w:style w:val=""/>
        <w:category>
          <w:name w:val="常规"/>
          <w:gallery w:val="placeholder"/>
        </w:category>
        <w:types>
          <w:type w:val="bbPlcHdr"/>
        </w:types>
        <w:behaviors>
          <w:behavior w:val="content"/>
        </w:behaviors>
        <w:description w:val=""/>
        <w:guid w:val="{DD9AF3E3-6BDB-41C8-AF00-DFB93AF6E7D3}"/>
      </w:docPartPr>
      <w:docPartBody>
        <w:p w14:paraId="6D847FA2">
          <w:r>
            <w:rPr>
              <w:rStyle w:val="4"/>
              <w:rFonts w:hint="eastAsia"/>
            </w:rPr>
            <w:t>　</w:t>
          </w:r>
        </w:p>
      </w:docPartBody>
    </w:docPart>
    <w:docPart>
      <w:docPartPr>
        <w:name w:val="{675b4e51-4ded-4f81-868b-1cf1e144ab31}"/>
        <w:style w:val=""/>
        <w:category>
          <w:name w:val="常规"/>
          <w:gallery w:val="placeholder"/>
        </w:category>
        <w:types>
          <w:type w:val="bbPlcHdr"/>
        </w:types>
        <w:behaviors>
          <w:behavior w:val="content"/>
        </w:behaviors>
        <w:description w:val=""/>
        <w:guid w:val="{675B4E51-4DED-4F81-868B-1CF1E144AB31}"/>
      </w:docPartPr>
      <w:docPartBody>
        <w:p w14:paraId="239F301E">
          <w:r>
            <w:rPr>
              <w:rStyle w:val="4"/>
              <w:rFonts w:hint="eastAsia"/>
            </w:rPr>
            <w:t>　</w:t>
          </w:r>
        </w:p>
      </w:docPartBody>
    </w:docPart>
    <w:docPart>
      <w:docPartPr>
        <w:name w:val="{b46afa6c-b4bd-4b7d-bcbe-7ec724afd91c}"/>
        <w:style w:val=""/>
        <w:category>
          <w:name w:val="常规"/>
          <w:gallery w:val="placeholder"/>
        </w:category>
        <w:types>
          <w:type w:val="bbPlcHdr"/>
        </w:types>
        <w:behaviors>
          <w:behavior w:val="content"/>
        </w:behaviors>
        <w:description w:val=""/>
        <w:guid w:val="{B46AFA6C-B4BD-4B7D-BCBE-7EC724AFD91C}"/>
      </w:docPartPr>
      <w:docPartBody>
        <w:p w14:paraId="00AE547C">
          <w:r>
            <w:rPr>
              <w:rStyle w:val="4"/>
              <w:rFonts w:hint="eastAsia"/>
            </w:rPr>
            <w:t>　</w:t>
          </w:r>
        </w:p>
      </w:docPartBody>
    </w:docPart>
    <w:docPart>
      <w:docPartPr>
        <w:name w:val="{77489c01-767b-4814-8639-35fe896fae20}"/>
        <w:style w:val=""/>
        <w:category>
          <w:name w:val="常规"/>
          <w:gallery w:val="placeholder"/>
        </w:category>
        <w:types>
          <w:type w:val="bbPlcHdr"/>
        </w:types>
        <w:behaviors>
          <w:behavior w:val="content"/>
        </w:behaviors>
        <w:description w:val=""/>
        <w:guid w:val="{77489C01-767B-4814-8639-35FE896FAE20}"/>
      </w:docPartPr>
      <w:docPartBody>
        <w:p w14:paraId="2449A6CB">
          <w:r>
            <w:rPr>
              <w:rStyle w:val="4"/>
              <w:rFonts w:hint="eastAsia"/>
            </w:rPr>
            <w:t>　</w:t>
          </w:r>
        </w:p>
      </w:docPartBody>
    </w:docPart>
    <w:docPart>
      <w:docPartPr>
        <w:name w:val="{3d117078-d684-4d51-9e6b-7f31e594f04d}"/>
        <w:style w:val=""/>
        <w:category>
          <w:name w:val="常规"/>
          <w:gallery w:val="placeholder"/>
        </w:category>
        <w:types>
          <w:type w:val="bbPlcHdr"/>
        </w:types>
        <w:behaviors>
          <w:behavior w:val="content"/>
        </w:behaviors>
        <w:description w:val=""/>
        <w:guid w:val="{3D117078-D684-4D51-9E6B-7F31E594F04D}"/>
      </w:docPartPr>
      <w:docPartBody>
        <w:p w14:paraId="61FA9F9B">
          <w:r>
            <w:rPr>
              <w:rStyle w:val="4"/>
              <w:rFonts w:hint="eastAsia"/>
            </w:rPr>
            <w:t>　</w:t>
          </w:r>
        </w:p>
      </w:docPartBody>
    </w:docPart>
    <w:docPart>
      <w:docPartPr>
        <w:name w:val="{2cc8f0d7-c5d6-4c8a-a47f-adb2d612b16a}"/>
        <w:style w:val=""/>
        <w:category>
          <w:name w:val="常规"/>
          <w:gallery w:val="placeholder"/>
        </w:category>
        <w:types>
          <w:type w:val="bbPlcHdr"/>
        </w:types>
        <w:behaviors>
          <w:behavior w:val="content"/>
        </w:behaviors>
        <w:description w:val=""/>
        <w:guid w:val="{2CC8F0D7-C5D6-4C8A-A47F-ADB2D612B16A}"/>
      </w:docPartPr>
      <w:docPartBody>
        <w:p w14:paraId="2870B2B9">
          <w:r>
            <w:rPr>
              <w:rStyle w:val="4"/>
              <w:rFonts w:hint="eastAsia"/>
            </w:rPr>
            <w:t>　</w:t>
          </w:r>
        </w:p>
      </w:docPartBody>
    </w:docPart>
    <w:docPart>
      <w:docPartPr>
        <w:name w:val="{6a0c14a3-273d-4a1c-87a0-a16ca3bc5bd5}"/>
        <w:style w:val=""/>
        <w:category>
          <w:name w:val="常规"/>
          <w:gallery w:val="placeholder"/>
        </w:category>
        <w:types>
          <w:type w:val="bbPlcHdr"/>
        </w:types>
        <w:behaviors>
          <w:behavior w:val="content"/>
        </w:behaviors>
        <w:description w:val=""/>
        <w:guid w:val="{6A0C14A3-273D-4A1C-87A0-A16CA3BC5BD5}"/>
      </w:docPartPr>
      <w:docPartBody>
        <w:p w14:paraId="18705A2F">
          <w:r>
            <w:rPr>
              <w:rStyle w:val="4"/>
              <w:rFonts w:hint="eastAsia"/>
            </w:rPr>
            <w:t>　</w:t>
          </w:r>
        </w:p>
      </w:docPartBody>
    </w:docPart>
    <w:docPart>
      <w:docPartPr>
        <w:name w:val="{d4c05224-2427-4576-94d4-91b9333b0dd2}"/>
        <w:style w:val=""/>
        <w:category>
          <w:name w:val="常规"/>
          <w:gallery w:val="placeholder"/>
        </w:category>
        <w:types>
          <w:type w:val="bbPlcHdr"/>
        </w:types>
        <w:behaviors>
          <w:behavior w:val="content"/>
        </w:behaviors>
        <w:description w:val=""/>
        <w:guid w:val="{D4C05224-2427-4576-94D4-91B9333B0DD2}"/>
      </w:docPartPr>
      <w:docPartBody>
        <w:p w14:paraId="71D54D71">
          <w:r>
            <w:rPr>
              <w:rStyle w:val="4"/>
              <w:rFonts w:hint="eastAsia"/>
            </w:rPr>
            <w:t>　</w:t>
          </w:r>
        </w:p>
      </w:docPartBody>
    </w:docPart>
    <w:docPart>
      <w:docPartPr>
        <w:name w:val="{7857670b-0411-41a0-8768-2a6b5706f65b}"/>
        <w:style w:val=""/>
        <w:category>
          <w:name w:val="常规"/>
          <w:gallery w:val="placeholder"/>
        </w:category>
        <w:types>
          <w:type w:val="bbPlcHdr"/>
        </w:types>
        <w:behaviors>
          <w:behavior w:val="content"/>
        </w:behaviors>
        <w:description w:val=""/>
        <w:guid w:val="{7857670B-0411-41A0-8768-2A6B5706F65B}"/>
      </w:docPartPr>
      <w:docPartBody>
        <w:p w14:paraId="0A00F6C7">
          <w:r>
            <w:rPr>
              <w:rStyle w:val="4"/>
              <w:rFonts w:hint="eastAsia"/>
            </w:rPr>
            <w:t>　</w:t>
          </w:r>
        </w:p>
      </w:docPartBody>
    </w:docPart>
    <w:docPart>
      <w:docPartPr>
        <w:name w:val="{db856ebd-6f6b-4365-b791-d5cd84a05f66}"/>
        <w:style w:val=""/>
        <w:category>
          <w:name w:val="常规"/>
          <w:gallery w:val="placeholder"/>
        </w:category>
        <w:types>
          <w:type w:val="bbPlcHdr"/>
        </w:types>
        <w:behaviors>
          <w:behavior w:val="content"/>
        </w:behaviors>
        <w:description w:val=""/>
        <w:guid w:val="{DB856EBD-6F6B-4365-B791-D5CD84A05F66}"/>
      </w:docPartPr>
      <w:docPartBody>
        <w:p w14:paraId="79BCC64A">
          <w:r>
            <w:rPr>
              <w:rStyle w:val="4"/>
              <w:rFonts w:hint="eastAsia"/>
            </w:rPr>
            <w:t>　</w:t>
          </w:r>
        </w:p>
      </w:docPartBody>
    </w:docPart>
    <w:docPart>
      <w:docPartPr>
        <w:name w:val="{72a5ff22-9a38-4d02-b871-4d9b0ea35748}"/>
        <w:style w:val=""/>
        <w:category>
          <w:name w:val="常规"/>
          <w:gallery w:val="placeholder"/>
        </w:category>
        <w:types>
          <w:type w:val="bbPlcHdr"/>
        </w:types>
        <w:behaviors>
          <w:behavior w:val="content"/>
        </w:behaviors>
        <w:description w:val=""/>
        <w:guid w:val="{72A5FF22-9A38-4D02-B871-4D9B0EA35748}"/>
      </w:docPartPr>
      <w:docPartBody>
        <w:p w14:paraId="1A012689">
          <w:r>
            <w:rPr>
              <w:rStyle w:val="4"/>
              <w:rFonts w:hint="eastAsia"/>
            </w:rPr>
            <w:t>　</w:t>
          </w:r>
        </w:p>
      </w:docPartBody>
    </w:docPart>
    <w:docPart>
      <w:docPartPr>
        <w:name w:val="{cb4e2310-4ef5-44b4-9419-d1b794171c78}"/>
        <w:style w:val=""/>
        <w:category>
          <w:name w:val="常规"/>
          <w:gallery w:val="placeholder"/>
        </w:category>
        <w:types>
          <w:type w:val="bbPlcHdr"/>
        </w:types>
        <w:behaviors>
          <w:behavior w:val="content"/>
        </w:behaviors>
        <w:description w:val=""/>
        <w:guid w:val="{CB4E2310-4EF5-44B4-9419-D1B794171C78}"/>
      </w:docPartPr>
      <w:docPartBody>
        <w:p w14:paraId="0678B712">
          <w:r>
            <w:rPr>
              <w:rStyle w:val="4"/>
              <w:rFonts w:hint="eastAsia"/>
            </w:rPr>
            <w:t>　</w:t>
          </w:r>
        </w:p>
      </w:docPartBody>
    </w:docPart>
    <w:docPart>
      <w:docPartPr>
        <w:name w:val="{e13e1838-74b0-4c10-a2d9-b7ed71a53cc5}"/>
        <w:style w:val=""/>
        <w:category>
          <w:name w:val="常规"/>
          <w:gallery w:val="placeholder"/>
        </w:category>
        <w:types>
          <w:type w:val="bbPlcHdr"/>
        </w:types>
        <w:behaviors>
          <w:behavior w:val="content"/>
        </w:behaviors>
        <w:description w:val=""/>
        <w:guid w:val="{E13E1838-74B0-4C10-A2D9-B7ED71A53CC5}"/>
      </w:docPartPr>
      <w:docPartBody>
        <w:p w14:paraId="17A82EDC">
          <w:r>
            <w:rPr>
              <w:rStyle w:val="4"/>
              <w:rFonts w:hint="eastAsia"/>
            </w:rPr>
            <w:t>　</w:t>
          </w:r>
        </w:p>
      </w:docPartBody>
    </w:docPart>
    <w:docPart>
      <w:docPartPr>
        <w:name w:val="{dac80138-80a9-4f66-bd31-592d454e5556}"/>
        <w:style w:val=""/>
        <w:category>
          <w:name w:val="常规"/>
          <w:gallery w:val="placeholder"/>
        </w:category>
        <w:types>
          <w:type w:val="bbPlcHdr"/>
        </w:types>
        <w:behaviors>
          <w:behavior w:val="content"/>
        </w:behaviors>
        <w:description w:val=""/>
        <w:guid w:val="{DAC80138-80A9-4F66-BD31-592D454E5556}"/>
      </w:docPartPr>
      <w:docPartBody>
        <w:p w14:paraId="2AD30FDA">
          <w:r>
            <w:rPr>
              <w:rStyle w:val="4"/>
              <w:rFonts w:hint="eastAsia"/>
            </w:rPr>
            <w:t>　</w:t>
          </w:r>
        </w:p>
      </w:docPartBody>
    </w:docPart>
    <w:docPart>
      <w:docPartPr>
        <w:name w:val="{6c593e68-85c9-4f50-8d3d-b8d1bf426658}"/>
        <w:style w:val=""/>
        <w:category>
          <w:name w:val="常规"/>
          <w:gallery w:val="placeholder"/>
        </w:category>
        <w:types>
          <w:type w:val="bbPlcHdr"/>
        </w:types>
        <w:behaviors>
          <w:behavior w:val="content"/>
        </w:behaviors>
        <w:description w:val=""/>
        <w:guid w:val="{6C593E68-85C9-4F50-8D3D-B8D1BF426658}"/>
      </w:docPartPr>
      <w:docPartBody>
        <w:p w14:paraId="51B363E5">
          <w:r>
            <w:rPr>
              <w:rStyle w:val="4"/>
              <w:rFonts w:hint="eastAsia"/>
            </w:rPr>
            <w:t>　</w:t>
          </w:r>
        </w:p>
      </w:docPartBody>
    </w:docPart>
    <w:docPart>
      <w:docPartPr>
        <w:name w:val="{ff5088b6-2712-4a83-8e82-feb0ff073f7e}"/>
        <w:style w:val=""/>
        <w:category>
          <w:name w:val="常规"/>
          <w:gallery w:val="placeholder"/>
        </w:category>
        <w:types>
          <w:type w:val="bbPlcHdr"/>
        </w:types>
        <w:behaviors>
          <w:behavior w:val="content"/>
        </w:behaviors>
        <w:description w:val=""/>
        <w:guid w:val="{FF5088B6-2712-4A83-8E82-FEB0FF073F7E}"/>
      </w:docPartPr>
      <w:docPartBody>
        <w:p w14:paraId="7CAB0B43">
          <w:r>
            <w:rPr>
              <w:rStyle w:val="4"/>
              <w:rFonts w:hint="eastAsia"/>
            </w:rPr>
            <w:t>　</w:t>
          </w:r>
        </w:p>
      </w:docPartBody>
    </w:docPart>
    <w:docPart>
      <w:docPartPr>
        <w:name w:val="{476a5c04-f013-4308-ae31-27fca4933a80}"/>
        <w:style w:val=""/>
        <w:category>
          <w:name w:val="常规"/>
          <w:gallery w:val="placeholder"/>
        </w:category>
        <w:types>
          <w:type w:val="bbPlcHdr"/>
        </w:types>
        <w:behaviors>
          <w:behavior w:val="content"/>
        </w:behaviors>
        <w:description w:val=""/>
        <w:guid w:val="{476A5C04-F013-4308-AE31-27FCA4933A80}"/>
      </w:docPartPr>
      <w:docPartBody>
        <w:p w14:paraId="074C464E">
          <w:r>
            <w:rPr>
              <w:rStyle w:val="4"/>
              <w:rFonts w:hint="eastAsia"/>
            </w:rPr>
            <w:t>　</w:t>
          </w:r>
        </w:p>
      </w:docPartBody>
    </w:docPart>
    <w:docPart>
      <w:docPartPr>
        <w:name w:val="{31e701fb-1afd-481e-b699-3b89320895e4}"/>
        <w:style w:val=""/>
        <w:category>
          <w:name w:val="常规"/>
          <w:gallery w:val="placeholder"/>
        </w:category>
        <w:types>
          <w:type w:val="bbPlcHdr"/>
        </w:types>
        <w:behaviors>
          <w:behavior w:val="content"/>
        </w:behaviors>
        <w:description w:val=""/>
        <w:guid w:val="{31E701FB-1AFD-481E-B699-3B89320895E4}"/>
      </w:docPartPr>
      <w:docPartBody>
        <w:p w14:paraId="732E5F6C">
          <w:r>
            <w:rPr>
              <w:rStyle w:val="4"/>
              <w:rFonts w:hint="eastAsia"/>
            </w:rPr>
            <w:t>　</w:t>
          </w:r>
        </w:p>
      </w:docPartBody>
    </w:docPart>
    <w:docPart>
      <w:docPartPr>
        <w:name w:val="{675547d5-2fbb-4aba-a866-9ee596c17de6}"/>
        <w:style w:val=""/>
        <w:category>
          <w:name w:val="常规"/>
          <w:gallery w:val="placeholder"/>
        </w:category>
        <w:types>
          <w:type w:val="bbPlcHdr"/>
        </w:types>
        <w:behaviors>
          <w:behavior w:val="content"/>
        </w:behaviors>
        <w:description w:val=""/>
        <w:guid w:val="{675547D5-2FBB-4ABA-A866-9EE596C17DE6}"/>
      </w:docPartPr>
      <w:docPartBody>
        <w:p w14:paraId="3AA25851">
          <w:r>
            <w:rPr>
              <w:rStyle w:val="4"/>
              <w:color w:val="333399"/>
              <w:u w:val="single"/>
            </w:rPr>
            <w:t>　　　</w:t>
          </w:r>
        </w:p>
      </w:docPartBody>
    </w:docPart>
    <w:docPart>
      <w:docPartPr>
        <w:name w:val="{92a5aa80-f947-4198-8ac0-c897dab6a615}"/>
        <w:style w:val=""/>
        <w:category>
          <w:name w:val="常规"/>
          <w:gallery w:val="placeholder"/>
        </w:category>
        <w:types>
          <w:type w:val="bbPlcHdr"/>
        </w:types>
        <w:behaviors>
          <w:behavior w:val="content"/>
        </w:behaviors>
        <w:description w:val=""/>
        <w:guid w:val="{92A5AA80-F947-4198-8AC0-C897DAB6A615}"/>
      </w:docPartPr>
      <w:docPartBody>
        <w:p w14:paraId="0023508F">
          <w:r>
            <w:rPr>
              <w:rStyle w:val="4"/>
              <w:rFonts w:hint="eastAsia"/>
            </w:rPr>
            <w:t>　</w:t>
          </w:r>
        </w:p>
      </w:docPartBody>
    </w:docPart>
    <w:docPart>
      <w:docPartPr>
        <w:name w:val="{7e93b215-355b-4b72-ad54-81d0c9f5305e}"/>
        <w:style w:val=""/>
        <w:category>
          <w:name w:val="常规"/>
          <w:gallery w:val="placeholder"/>
        </w:category>
        <w:types>
          <w:type w:val="bbPlcHdr"/>
        </w:types>
        <w:behaviors>
          <w:behavior w:val="content"/>
        </w:behaviors>
        <w:description w:val=""/>
        <w:guid w:val="{7E93B215-355B-4B72-AD54-81D0C9F5305E}"/>
      </w:docPartPr>
      <w:docPartBody>
        <w:p w14:paraId="39882F95">
          <w:r>
            <w:rPr>
              <w:rStyle w:val="4"/>
              <w:rFonts w:hint="eastAsia"/>
            </w:rPr>
            <w:t>　</w:t>
          </w:r>
        </w:p>
      </w:docPartBody>
    </w:docPart>
    <w:docPart>
      <w:docPartPr>
        <w:name w:val="{f0b382af-66aa-46d0-817e-d8e960ceb529}"/>
        <w:style w:val=""/>
        <w:category>
          <w:name w:val="常规"/>
          <w:gallery w:val="placeholder"/>
        </w:category>
        <w:types>
          <w:type w:val="bbPlcHdr"/>
        </w:types>
        <w:behaviors>
          <w:behavior w:val="content"/>
        </w:behaviors>
        <w:description w:val=""/>
        <w:guid w:val="{F0B382AF-66AA-46D0-817E-D8E960CEB529}"/>
      </w:docPartPr>
      <w:docPartBody>
        <w:p w14:paraId="577BF905">
          <w:r>
            <w:rPr>
              <w:rStyle w:val="4"/>
              <w:rFonts w:hint="eastAsia"/>
            </w:rPr>
            <w:t>　</w:t>
          </w:r>
        </w:p>
      </w:docPartBody>
    </w:docPart>
    <w:docPart>
      <w:docPartPr>
        <w:name w:val="{5601263c-6b11-4e3b-af45-e668d5c2c93a}"/>
        <w:style w:val=""/>
        <w:category>
          <w:name w:val="常规"/>
          <w:gallery w:val="placeholder"/>
        </w:category>
        <w:types>
          <w:type w:val="bbPlcHdr"/>
        </w:types>
        <w:behaviors>
          <w:behavior w:val="content"/>
        </w:behaviors>
        <w:description w:val=""/>
        <w:guid w:val="{5601263C-6B11-4E3B-AF45-E668D5C2C93A}"/>
      </w:docPartPr>
      <w:docPartBody>
        <w:p w14:paraId="6EE6B78B">
          <w:r>
            <w:rPr>
              <w:rStyle w:val="4"/>
              <w:color w:val="333399"/>
              <w:u w:val="single"/>
            </w:rPr>
            <w:t>　　　</w:t>
          </w:r>
        </w:p>
      </w:docPartBody>
    </w:docPart>
    <w:docPart>
      <w:docPartPr>
        <w:name w:val="{679140ce-70d3-4061-be32-2aa1c211d7f2}"/>
        <w:style w:val=""/>
        <w:category>
          <w:name w:val="常规"/>
          <w:gallery w:val="placeholder"/>
        </w:category>
        <w:types>
          <w:type w:val="bbPlcHdr"/>
        </w:types>
        <w:behaviors>
          <w:behavior w:val="content"/>
        </w:behaviors>
        <w:description w:val=""/>
        <w:guid w:val="{679140CE-70D3-4061-BE32-2AA1C211D7F2}"/>
      </w:docPartPr>
      <w:docPartBody>
        <w:p w14:paraId="69E381EF">
          <w:r>
            <w:rPr>
              <w:rStyle w:val="4"/>
              <w:rFonts w:hint="eastAsia"/>
            </w:rPr>
            <w:t>　</w:t>
          </w:r>
        </w:p>
      </w:docPartBody>
    </w:docPart>
    <w:docPart>
      <w:docPartPr>
        <w:name w:val="{cf338f5b-714d-4426-b193-8701ca0eadc9}"/>
        <w:style w:val=""/>
        <w:category>
          <w:name w:val="常规"/>
          <w:gallery w:val="placeholder"/>
        </w:category>
        <w:types>
          <w:type w:val="bbPlcHdr"/>
        </w:types>
        <w:behaviors>
          <w:behavior w:val="content"/>
        </w:behaviors>
        <w:description w:val=""/>
        <w:guid w:val="{CF338F5B-714D-4426-B193-8701CA0EADC9}"/>
      </w:docPartPr>
      <w:docPartBody>
        <w:p w14:paraId="3109D7C5">
          <w:r>
            <w:rPr>
              <w:rStyle w:val="4"/>
              <w:rFonts w:hint="eastAsia"/>
            </w:rPr>
            <w:t>　</w:t>
          </w:r>
        </w:p>
      </w:docPartBody>
    </w:docPart>
    <w:docPart>
      <w:docPartPr>
        <w:name w:val="{6acde759-3aab-4502-a12a-e432035249b0}"/>
        <w:style w:val=""/>
        <w:category>
          <w:name w:val="常规"/>
          <w:gallery w:val="placeholder"/>
        </w:category>
        <w:types>
          <w:type w:val="bbPlcHdr"/>
        </w:types>
        <w:behaviors>
          <w:behavior w:val="content"/>
        </w:behaviors>
        <w:description w:val=""/>
        <w:guid w:val="{6ACDE759-3AAB-4502-A12A-E432035249B0}"/>
      </w:docPartPr>
      <w:docPartBody>
        <w:p w14:paraId="43355448">
          <w:r>
            <w:rPr>
              <w:rStyle w:val="4"/>
              <w:rFonts w:hint="eastAsia"/>
            </w:rPr>
            <w:t>　</w:t>
          </w:r>
        </w:p>
      </w:docPartBody>
    </w:docPart>
    <w:docPart>
      <w:docPartPr>
        <w:name w:val="{132e0bfd-13c2-41c6-85e5-32fdf9d45fc6}"/>
        <w:style w:val=""/>
        <w:category>
          <w:name w:val="常规"/>
          <w:gallery w:val="placeholder"/>
        </w:category>
        <w:types>
          <w:type w:val="bbPlcHdr"/>
        </w:types>
        <w:behaviors>
          <w:behavior w:val="content"/>
        </w:behaviors>
        <w:description w:val=""/>
        <w:guid w:val="{132E0BFD-13C2-41C6-85E5-32FDF9D45FC6}"/>
      </w:docPartPr>
      <w:docPartBody>
        <w:p w14:paraId="2D20D8EE">
          <w:r>
            <w:rPr>
              <w:rStyle w:val="4"/>
              <w:color w:val="333399"/>
              <w:u w:val="single"/>
            </w:rPr>
            <w:t>　　　</w:t>
          </w:r>
        </w:p>
      </w:docPartBody>
    </w:docPart>
    <w:docPart>
      <w:docPartPr>
        <w:name w:val="{1e954a86-87fb-4bed-80e0-8ce8c7a1a6d1}"/>
        <w:style w:val=""/>
        <w:category>
          <w:name w:val="常规"/>
          <w:gallery w:val="placeholder"/>
        </w:category>
        <w:types>
          <w:type w:val="bbPlcHdr"/>
        </w:types>
        <w:behaviors>
          <w:behavior w:val="content"/>
        </w:behaviors>
        <w:description w:val=""/>
        <w:guid w:val="{1E954A86-87FB-4BED-80E0-8CE8C7A1A6D1}"/>
      </w:docPartPr>
      <w:docPartBody>
        <w:p w14:paraId="04425024">
          <w:r>
            <w:rPr>
              <w:rStyle w:val="4"/>
              <w:rFonts w:hint="eastAsia"/>
            </w:rPr>
            <w:t>　</w:t>
          </w:r>
        </w:p>
      </w:docPartBody>
    </w:docPart>
    <w:docPart>
      <w:docPartPr>
        <w:name w:val="{ed865f5d-8d72-4c4d-bd97-136fffbf140a}"/>
        <w:style w:val=""/>
        <w:category>
          <w:name w:val="常规"/>
          <w:gallery w:val="placeholder"/>
        </w:category>
        <w:types>
          <w:type w:val="bbPlcHdr"/>
        </w:types>
        <w:behaviors>
          <w:behavior w:val="content"/>
        </w:behaviors>
        <w:description w:val=""/>
        <w:guid w:val="{ED865F5D-8D72-4C4D-BD97-136FFFBF140A}"/>
      </w:docPartPr>
      <w:docPartBody>
        <w:p w14:paraId="61C590AD">
          <w:r>
            <w:rPr>
              <w:rStyle w:val="4"/>
              <w:rFonts w:hint="eastAsia"/>
            </w:rPr>
            <w:t>　</w:t>
          </w:r>
        </w:p>
      </w:docPartBody>
    </w:docPart>
    <w:docPart>
      <w:docPartPr>
        <w:name w:val="{d8014d7a-cba5-4a66-9d59-c514dac73ae3}"/>
        <w:style w:val=""/>
        <w:category>
          <w:name w:val="常规"/>
          <w:gallery w:val="placeholder"/>
        </w:category>
        <w:types>
          <w:type w:val="bbPlcHdr"/>
        </w:types>
        <w:behaviors>
          <w:behavior w:val="content"/>
        </w:behaviors>
        <w:description w:val=""/>
        <w:guid w:val="{D8014D7A-CBA5-4A66-9D59-C514DAC73AE3}"/>
      </w:docPartPr>
      <w:docPartBody>
        <w:p w14:paraId="4B51C1CF">
          <w:r>
            <w:rPr>
              <w:rStyle w:val="4"/>
              <w:color w:val="333399"/>
              <w:u w:val="single"/>
            </w:rPr>
            <w:t>　　　</w:t>
          </w:r>
        </w:p>
      </w:docPartBody>
    </w:docPart>
    <w:docPart>
      <w:docPartPr>
        <w:name w:val="{2f0233a8-8d11-4276-9ff6-11cece56d899}"/>
        <w:style w:val=""/>
        <w:category>
          <w:name w:val="常规"/>
          <w:gallery w:val="placeholder"/>
        </w:category>
        <w:types>
          <w:type w:val="bbPlcHdr"/>
        </w:types>
        <w:behaviors>
          <w:behavior w:val="content"/>
        </w:behaviors>
        <w:description w:val=""/>
        <w:guid w:val="{2F0233A8-8D11-4276-9FF6-11CECE56D899}"/>
      </w:docPartPr>
      <w:docPartBody>
        <w:p w14:paraId="18FCFD77">
          <w:pPr>
            <w:pStyle w:val="10"/>
          </w:pPr>
          <w:r>
            <w:rPr>
              <w:rStyle w:val="4"/>
              <w:color w:val="333399"/>
              <w:u w:val="single"/>
            </w:rPr>
            <w:t>　　　</w:t>
          </w:r>
        </w:p>
      </w:docPartBody>
    </w:docPart>
    <w:docPart>
      <w:docPartPr>
        <w:name w:val="{b6b89b44-f7b5-4149-967e-84a1a40ac472}"/>
        <w:style w:val=""/>
        <w:category>
          <w:name w:val="常规"/>
          <w:gallery w:val="placeholder"/>
        </w:category>
        <w:types>
          <w:type w:val="bbPlcHdr"/>
        </w:types>
        <w:behaviors>
          <w:behavior w:val="content"/>
        </w:behaviors>
        <w:description w:val=""/>
        <w:guid w:val="{B6B89B44-F7B5-4149-967E-84A1A40AC472}"/>
      </w:docPartPr>
      <w:docPartBody>
        <w:p w14:paraId="5E6BCFD4">
          <w:pPr>
            <w:pStyle w:val="12"/>
          </w:pPr>
          <w:r>
            <w:rPr>
              <w:rStyle w:val="4"/>
              <w:color w:val="333399"/>
              <w:u w:val="single"/>
            </w:rPr>
            <w:t>　　　</w:t>
          </w:r>
        </w:p>
      </w:docPartBody>
    </w:docPart>
    <w:docPart>
      <w:docPartPr>
        <w:name w:val="{161db290-63b3-4a2f-a767-44253e066c48}"/>
        <w:style w:val=""/>
        <w:category>
          <w:name w:val="常规"/>
          <w:gallery w:val="placeholder"/>
        </w:category>
        <w:types>
          <w:type w:val="bbPlcHdr"/>
        </w:types>
        <w:behaviors>
          <w:behavior w:val="content"/>
        </w:behaviors>
        <w:description w:val=""/>
        <w:guid w:val="{161DB290-63B3-4A2F-A767-44253E066C48}"/>
      </w:docPartPr>
      <w:docPartBody>
        <w:p w14:paraId="09DE4B7F">
          <w:r>
            <w:rPr>
              <w:rStyle w:val="4"/>
              <w:rFonts w:hint="eastAsia"/>
            </w:rPr>
            <w:t>　</w:t>
          </w:r>
        </w:p>
      </w:docPartBody>
    </w:docPart>
    <w:docPart>
      <w:docPartPr>
        <w:name w:val="{0740b8a5-1ba0-4fc1-adab-1023569073ee}"/>
        <w:style w:val=""/>
        <w:category>
          <w:name w:val="常规"/>
          <w:gallery w:val="placeholder"/>
        </w:category>
        <w:types>
          <w:type w:val="bbPlcHdr"/>
        </w:types>
        <w:behaviors>
          <w:behavior w:val="content"/>
        </w:behaviors>
        <w:description w:val=""/>
        <w:guid w:val="{0740B8A5-1BA0-4FC1-ADAB-1023569073EE}"/>
      </w:docPartPr>
      <w:docPartBody>
        <w:p w14:paraId="4AC616E2">
          <w:r>
            <w:rPr>
              <w:rStyle w:val="4"/>
              <w:color w:val="333399"/>
              <w:u w:val="single"/>
            </w:rPr>
            <w:t>　　　</w:t>
          </w:r>
        </w:p>
      </w:docPartBody>
    </w:docPart>
    <w:docPart>
      <w:docPartPr>
        <w:name w:val="{88b7610f-cbf8-4c93-9288-98a85facce58}"/>
        <w:style w:val=""/>
        <w:category>
          <w:name w:val="常规"/>
          <w:gallery w:val="placeholder"/>
        </w:category>
        <w:types>
          <w:type w:val="bbPlcHdr"/>
        </w:types>
        <w:behaviors>
          <w:behavior w:val="content"/>
        </w:behaviors>
        <w:description w:val=""/>
        <w:guid w:val="{88B7610F-CBF8-4C93-9288-98A85FACCE58}"/>
      </w:docPartPr>
      <w:docPartBody>
        <w:p w14:paraId="75015C8A">
          <w:r>
            <w:rPr>
              <w:rStyle w:val="4"/>
              <w:color w:val="333399"/>
              <w:u w:val="single"/>
            </w:rPr>
            <w:t>　　　</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B67"/>
    <w:rsid w:val="00023EA6"/>
    <w:rsid w:val="000B1B67"/>
    <w:rsid w:val="000B640A"/>
    <w:rsid w:val="000B7B0C"/>
    <w:rsid w:val="00120205"/>
    <w:rsid w:val="00134D46"/>
    <w:rsid w:val="001B107A"/>
    <w:rsid w:val="001F07ED"/>
    <w:rsid w:val="00213074"/>
    <w:rsid w:val="002670EF"/>
    <w:rsid w:val="00277DD7"/>
    <w:rsid w:val="00337273"/>
    <w:rsid w:val="003819ED"/>
    <w:rsid w:val="003822E6"/>
    <w:rsid w:val="003B404D"/>
    <w:rsid w:val="003C3842"/>
    <w:rsid w:val="003D1E0E"/>
    <w:rsid w:val="003E625D"/>
    <w:rsid w:val="003F4591"/>
    <w:rsid w:val="005851DD"/>
    <w:rsid w:val="0062253E"/>
    <w:rsid w:val="00662942"/>
    <w:rsid w:val="007576EC"/>
    <w:rsid w:val="00763535"/>
    <w:rsid w:val="00774B62"/>
    <w:rsid w:val="007D684C"/>
    <w:rsid w:val="008E739F"/>
    <w:rsid w:val="0097465F"/>
    <w:rsid w:val="009F1B33"/>
    <w:rsid w:val="00A035BF"/>
    <w:rsid w:val="00A10629"/>
    <w:rsid w:val="00A12943"/>
    <w:rsid w:val="00A92E96"/>
    <w:rsid w:val="00AD1308"/>
    <w:rsid w:val="00AE0D9C"/>
    <w:rsid w:val="00AE26F8"/>
    <w:rsid w:val="00BC6C5E"/>
    <w:rsid w:val="00CC5327"/>
    <w:rsid w:val="00D078C8"/>
    <w:rsid w:val="00D53A56"/>
    <w:rsid w:val="00DE6687"/>
    <w:rsid w:val="00E93B0E"/>
    <w:rsid w:val="00F023E4"/>
    <w:rsid w:val="00F701F2"/>
    <w:rsid w:val="00F83BE3"/>
    <w:rsid w:val="00F95E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semiHidden="0" w:name="Placeholder Text"/>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link w:val="5"/>
    <w:qFormat/>
    <w:uiPriority w:val="99"/>
    <w:rPr>
      <w:color w:val="808080"/>
    </w:rPr>
  </w:style>
  <w:style w:type="paragraph" w:customStyle="1" w:styleId="5">
    <w:name w:val="_Style 113"/>
    <w:basedOn w:val="1"/>
    <w:link w:val="4"/>
    <w:unhideWhenUsed/>
    <w:qFormat/>
    <w:uiPriority w:val="99"/>
    <w:pPr>
      <w:keepNext/>
      <w:keepLines/>
      <w:widowControl/>
      <w:spacing w:before="240" w:after="64" w:line="320" w:lineRule="auto"/>
      <w:jc w:val="left"/>
      <w:outlineLvl w:val="6"/>
    </w:pPr>
    <w:rPr>
      <w:color w:val="808080"/>
      <w:kern w:val="0"/>
      <w:sz w:val="20"/>
      <w:szCs w:val="20"/>
    </w:rPr>
  </w:style>
  <w:style w:type="paragraph" w:customStyle="1" w:styleId="6">
    <w:name w:val="A382C8C091A94E83B5284F508EA3080A"/>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7">
    <w:name w:val="F9336239E5344EE4BA2E4814EED4E9DA"/>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8">
    <w:name w:val="85AE56D4083A439B8E436FDA6AB447B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9">
    <w:name w:val="4C23AE05FC354F5C93E997C105429B4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10">
    <w:name w:val="6DFBE66A275E452781D31301A7E08304"/>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11">
    <w:name w:val="F9403F548A3F459C9CA232DFC61EBD49"/>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12">
    <w:name w:val="076EE792C305412AB5E24EB6FAF0CB41"/>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13">
    <w:name w:val="293C4F5161224371B220A7EC35459B3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4">
    <w:name w:val="0CC132D03074442B8EF34A5D9011BE9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5">
    <w:name w:val="D8DEABBB108A4217874EF3F439A0713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6">
    <w:name w:val="75FCC87414EC4602AD9AE92B9FF2EFD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7">
    <w:name w:val="2E92F3A45492480FB81AD8E5108F7B1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8">
    <w:name w:val="E3FEE8BA411145428788F3E1F9A894A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9">
    <w:name w:val="4EF845D92EDB4A4D94948E119BA5EC3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0">
    <w:name w:val="AFB200F29D3D4591866678B95BE72E9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1">
    <w:name w:val="8DD52DF9681D4A0CADB77A06AED6DB3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2">
    <w:name w:val="24064C40643645F99CC059C2E2C396E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3">
    <w:name w:val="D49538FC90E54CA297E972C87D1866D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4">
    <w:name w:val="295760B4A29742D4AF2607A157E3460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5">
    <w:name w:val="83CE1C3DAB0E439DB3978F094C35C98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6">
    <w:name w:val="7AC5E9DA92CB482A91CA34ED08EAD35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7">
    <w:name w:val="325FCC2A8C77460B961F2DCB5C233093"/>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sections xmlns:sc="http://mapping.word.org/2014/section/customize"/>
</file>

<file path=customXml/item3.xml><?xml version="1.0" encoding="utf-8"?>
<m:mapping xmlns:m="http://mapping.word.org/2012/mapping">
  <m:sm4><![CDATA[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]]></m:sm4>
</m:mapping>
</file>

<file path=customXml/item4.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xmlns:bond="bond">
  <clcid-cgi:GongSiFaDingZhongWenMingCheng xmlns:clcid-cgi="clcid-cgi">际华集团股份有限公司</clcid-cgi:GongSiFaDingZhongWenMingCheng>
  <clcid-mr:GongSiFuZeRenXingMing xmlns:clcid-mr="clcid-mr">夏前军</clcid-mr:GongSiFuZeRenXingMing>
  <clcid-mr:ZhuGuanKuaiJiGongZuoFuZeRenXingMing xmlns:clcid-mr="clcid-mr">刘改平</clcid-mr:ZhuGuanKuaiJiGongZuoFuZeRenXingMing>
  <clcid-mr:KuaiJiJiGouFuZeRenXingMing xmlns:clcid-mr="clcid-mr">冯晓</clcid-mr:KuaiJiJiGouFuZeRenXingMing>
  <clcid-cgi:GongSiFaDingDaiBiaoRen xmlns:clcid-cgi="clcid-cgi"/>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
  <clcid-pte:FeiJingChangXingSunYiDeKouChuXiangMuDuiSuoDeShuiDeYingXiangShuoMing xmlns:clcid-pte="clcid-pte"/>
  <clcid-pte:KouChuDeFeiJingChangXingSunYiHeJi xmlns:clcid-pte="clcid-pte"/>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clcid-mr:DuiBaoGaoCunZaiYiYiDeDongShiXingMing/>
  <bond:DanWeiFeiJingYingXingWangLaiZhanKuanHeZiJinChaiJie>100000000</bond:DanWeiFeiJingYingXingWangLaiZhanKuanHeZiJinChaiJie>
  <bond:DanWeiMuGongSiYouXiZhaiWu>亿元</bond:DanWeiMuGongSiYouXiZhaiWu>
  <bond:DanWeiYouXiZhaiWu>亿元</bond:DanWeiYouXiZhaiWu>
  <bond:DanWeiFaXingRenJingWaiShiChangFaXingZhaiQuan>亿元</bond:DanWeiFaXingRenJingWaiShiChangFaXingZhaiQuan>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FeiJingChangXingSunYiXiangMu/>
  <clcid-pte:DanDuJinXingJianZhiCeShiDeYingShouKuanXiangHeTongZiChanJianZhiZhunBeiZhuanHuiDeShuoMingFeiJingChangXingSunYiXiangMu/>
  <clcid-pte:YinQuXiaoXiuGaiGuQuanJiLiJiHuaYiCiXingQueRenDeGuFenZhiFuFeiYong/>
  <clcid-pte:DuiYuXianJinJieSuanDeGuFenZhiFuZaiKeXingQuanRiZhiHouYingFuZhiGongXinChouDeGongYunJiaZhiBianDongChanShengDeSunYi/>
  <bond:BiZhongFeiJingYingXingWangLaiZhanKuanHeZiJinChaiJie>人民币</bond:BiZhongFeiJingYingXingWangLaiZhanKuanHeZiJinChaiJie>
  <bond:JingWaiZhaiQuan>0</bond:JingWaiZhaiQuan>
  <bond:BiZhongFaXingRenJingWaiShiChangFaXingZhaiQuan>人民币</bond:BiZhongFaXingRenJingWaiShiChangFaXingZhaiQuan>
  <bond:DanWeiZhuYaoZiChanHeFuZhaiBianDongQingKuang>亿元</bond:DanWeiZhuYaoZiChanHeFuZhaiBianDongQingKuang>
  <bond:BiZhongZhuYaoZiChanHeFuZhaiBianDongQingKuang>人民币</bond:BiZhongZhuYaoZiChanHeFuZhaiBianDongQingKuang>
</b:binding>
</file>

<file path=customXml/item5.xml><?xml version="1.0" encoding="utf-8"?>
<sc:sections xmlns:sc="http://mapping.word.org/2014/section/customize"/>
</file>

<file path=customXml/item6.xml><?xml version="1.0" encoding="utf-8"?>
<t:template xmlns:t="http://mapping.word.org/2012/template">
  <t:sse><![CDATA[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]]></t:sse>
</t:template>
</file>

<file path=customXml/itemProps1.xml><?xml version="1.0" encoding="utf-8"?>
<ds:datastoreItem xmlns:ds="http://schemas.openxmlformats.org/officeDocument/2006/customXml" ds:itemID="{3FB3E029-E0BE-40A5-8B47-DF272C1AF0A3}">
  <ds:schemaRefs/>
</ds:datastoreItem>
</file>

<file path=customXml/itemProps2.xml><?xml version="1.0" encoding="utf-8"?>
<ds:datastoreItem xmlns:ds="http://schemas.openxmlformats.org/officeDocument/2006/customXml" ds:itemID="{1F37729E-89F6-4D70-BC0B-8EF77515B409}">
  <ds:schemaRefs/>
</ds:datastoreItem>
</file>

<file path=customXml/itemProps3.xml><?xml version="1.0" encoding="utf-8"?>
<ds:datastoreItem xmlns:ds="http://schemas.openxmlformats.org/officeDocument/2006/customXml" ds:itemID="{C0456297-A4F9-4FBA-AB90-EDBF7A3FBAF9}">
  <ds:schemaRefs/>
</ds:datastoreItem>
</file>

<file path=customXml/itemProps4.xml><?xml version="1.0" encoding="utf-8"?>
<ds:datastoreItem xmlns:ds="http://schemas.openxmlformats.org/officeDocument/2006/customXml" ds:itemID="{89EBAB94-44A0-46A2-B712-30D997D04A6D}">
  <ds:schemaRefs/>
</ds:datastoreItem>
</file>

<file path=customXml/itemProps5.xml><?xml version="1.0" encoding="utf-8"?>
<ds:datastoreItem xmlns:ds="http://schemas.openxmlformats.org/officeDocument/2006/customXml" ds:itemID="{3F2E1972-70FC-4B05-8E7D-8FAC72974B3C}">
  <ds:schemaRefs/>
</ds:datastoreItem>
</file>

<file path=customXml/itemProps6.xml><?xml version="1.0" encoding="utf-8"?>
<ds:datastoreItem xmlns:ds="http://schemas.openxmlformats.org/officeDocument/2006/customXml" ds:itemID="{77344605-8d5b-4037-a8c6-c3435c3db4a6}">
  <ds:schemaRefs/>
</ds:datastoreItem>
</file>

<file path=docProps/app.xml><?xml version="1.0" encoding="utf-8"?>
<Properties xmlns="http://schemas.openxmlformats.org/officeDocument/2006/extended-properties" xmlns:vt="http://schemas.openxmlformats.org/officeDocument/2006/docPropsVTypes">
  <Template>SSEReport</Template>
  <Company>Sky123.Org</Company>
  <Pages>21</Pages>
  <Words>1198</Words>
  <Characters>1357</Characters>
  <Lines>15742</Lines>
  <Paragraphs>16061</Paragraphs>
  <TotalTime>828</TotalTime>
  <ScaleCrop>false</ScaleCrop>
  <LinksUpToDate>false</LinksUpToDate>
  <CharactersWithSpaces>1416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2025-08-19T01:40:00Z</dcterms:created>
  <dc:creator>管理员</dc:creator>
  <cp:lastModifiedBy>袁静</cp:lastModifiedBy>
  <dcterms:modified xsi:type="dcterms:W3CDTF">2025-08-27T09:47:33Z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eyJoZGlkIjoiZjU2OWY0OTBiOTUzYWIyZDJlZDY0OWY5MmZiOTQ4NmQiLCJ1c2VySWQiOiIyMzczODA3MjQifQ==</vt:lpwstr>
  </property>
  <property fmtid="{D5CDD505-2E9C-101B-9397-08002B2CF9AE}" pid="3" name="KSOProductBuildVer">
    <vt:lpwstr>2052-12.1.0.22529</vt:lpwstr>
  </property>
  <property fmtid="{D5CDD505-2E9C-101B-9397-08002B2CF9AE}" pid="4" name="ICV">
    <vt:lpwstr>BEF1130623DF483AA85A749EFAEDC647_13</vt:lpwstr>
  </property>
</Properties>
</file>